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81926" w14:textId="77777777" w:rsidR="004D2710" w:rsidRPr="00172BFB" w:rsidRDefault="00172BFB" w:rsidP="00172BFB">
      <w:pPr>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
        </w:rPr>
        <w:t>TITLE:</w:t>
      </w:r>
      <w:r w:rsidRPr="00172BFB">
        <w:rPr>
          <w:rFonts w:asciiTheme="majorHAnsi" w:hAnsiTheme="majorHAnsi" w:cstheme="majorHAnsi"/>
        </w:rPr>
        <w:t xml:space="preserve"> </w:t>
      </w:r>
    </w:p>
    <w:p w14:paraId="7D398E0F" w14:textId="43097A6C" w:rsidR="004D2710" w:rsidRPr="00172BFB" w:rsidRDefault="00172BFB" w:rsidP="00172BFB">
      <w:pPr>
        <w:pBdr>
          <w:top w:val="nil"/>
          <w:left w:val="nil"/>
          <w:bottom w:val="nil"/>
          <w:right w:val="nil"/>
          <w:between w:val="nil"/>
        </w:pBdr>
        <w:ind w:left="142"/>
        <w:rPr>
          <w:rFonts w:asciiTheme="majorHAnsi" w:hAnsiTheme="majorHAnsi" w:cstheme="majorHAnsi"/>
          <w:bCs/>
        </w:rPr>
      </w:pPr>
      <w:r w:rsidRPr="00172BFB">
        <w:rPr>
          <w:rFonts w:asciiTheme="majorHAnsi" w:hAnsiTheme="majorHAnsi" w:cstheme="majorHAnsi"/>
          <w:bCs/>
        </w:rPr>
        <w:t xml:space="preserve">Tractable </w:t>
      </w:r>
      <w:r w:rsidRPr="00172BFB">
        <w:rPr>
          <w:rFonts w:asciiTheme="majorHAnsi" w:hAnsiTheme="majorHAnsi" w:cstheme="majorHAnsi"/>
          <w:bCs/>
          <w:i/>
          <w:iCs/>
        </w:rPr>
        <w:t>In Vivo</w:t>
      </w:r>
      <w:r w:rsidRPr="00172BFB">
        <w:rPr>
          <w:rFonts w:asciiTheme="majorHAnsi" w:hAnsiTheme="majorHAnsi" w:cstheme="majorHAnsi"/>
          <w:bCs/>
        </w:rPr>
        <w:t xml:space="preserve"> Reprogramming of Tumor Cells to </w:t>
      </w:r>
      <w:r w:rsidR="001F5907" w:rsidRPr="00172BFB">
        <w:rPr>
          <w:rFonts w:asciiTheme="majorHAnsi" w:hAnsiTheme="majorHAnsi" w:cstheme="majorHAnsi"/>
        </w:rPr>
        <w:t>Type 1 Conventional Dendritic Cell</w:t>
      </w:r>
      <w:r w:rsidRPr="00172BFB">
        <w:rPr>
          <w:rFonts w:asciiTheme="majorHAnsi" w:hAnsiTheme="majorHAnsi" w:cstheme="majorHAnsi"/>
          <w:bCs/>
        </w:rPr>
        <w:t>-like Cells</w:t>
      </w:r>
    </w:p>
    <w:p w14:paraId="240BCBB0" w14:textId="77777777" w:rsidR="004D2710" w:rsidRPr="00172BFB" w:rsidRDefault="004D2710" w:rsidP="00172BFB">
      <w:pPr>
        <w:ind w:left="142"/>
        <w:rPr>
          <w:rFonts w:asciiTheme="majorHAnsi" w:hAnsiTheme="majorHAnsi" w:cstheme="majorHAnsi"/>
          <w:b/>
        </w:rPr>
      </w:pPr>
    </w:p>
    <w:p w14:paraId="7391EA8A"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 xml:space="preserve">AUTHORS AND AFFILIATIONS: </w:t>
      </w:r>
    </w:p>
    <w:p w14:paraId="3FDF9489" w14:textId="77777777" w:rsidR="004D2710" w:rsidRPr="00172BFB" w:rsidRDefault="00172BFB" w:rsidP="00172BFB">
      <w:pPr>
        <w:pStyle w:val="Heading2"/>
        <w:keepNext w:val="0"/>
        <w:shd w:val="clear" w:color="auto" w:fill="FFFFFF"/>
        <w:ind w:left="142"/>
        <w:rPr>
          <w:rFonts w:asciiTheme="majorHAnsi" w:hAnsiTheme="majorHAnsi" w:cstheme="majorHAnsi"/>
          <w:b w:val="0"/>
          <w:vertAlign w:val="superscript"/>
        </w:rPr>
      </w:pPr>
      <w:bookmarkStart w:id="0" w:name="_heading=h.re10fj9la7qd" w:colFirst="0" w:colLast="0"/>
      <w:bookmarkEnd w:id="0"/>
      <w:r w:rsidRPr="00172BFB">
        <w:rPr>
          <w:rFonts w:asciiTheme="majorHAnsi" w:hAnsiTheme="majorHAnsi" w:cstheme="majorHAnsi"/>
          <w:b w:val="0"/>
        </w:rPr>
        <w:t>Ervin Ascic</w:t>
      </w:r>
      <w:r w:rsidRPr="00172BFB">
        <w:rPr>
          <w:rFonts w:asciiTheme="majorHAnsi" w:hAnsiTheme="majorHAnsi" w:cstheme="majorHAnsi"/>
          <w:b w:val="0"/>
          <w:vertAlign w:val="superscript"/>
        </w:rPr>
        <w:t>1,2</w:t>
      </w:r>
      <w:r w:rsidRPr="00172BFB">
        <w:rPr>
          <w:rFonts w:asciiTheme="majorHAnsi" w:hAnsiTheme="majorHAnsi" w:cstheme="majorHAnsi"/>
          <w:b w:val="0"/>
        </w:rPr>
        <w:t>*, Gaia Fontanari</w:t>
      </w:r>
      <w:r w:rsidRPr="00172BFB">
        <w:rPr>
          <w:rFonts w:asciiTheme="majorHAnsi" w:hAnsiTheme="majorHAnsi" w:cstheme="majorHAnsi"/>
          <w:b w:val="0"/>
          <w:vertAlign w:val="superscript"/>
        </w:rPr>
        <w:t>1,2</w:t>
      </w:r>
      <w:r w:rsidRPr="00172BFB">
        <w:rPr>
          <w:rFonts w:asciiTheme="majorHAnsi" w:hAnsiTheme="majorHAnsi" w:cstheme="majorHAnsi"/>
          <w:b w:val="0"/>
        </w:rPr>
        <w:t>*, Maria Thrasyvoulou</w:t>
      </w:r>
      <w:r w:rsidRPr="00172BFB">
        <w:rPr>
          <w:rFonts w:asciiTheme="majorHAnsi" w:hAnsiTheme="majorHAnsi" w:cstheme="majorHAnsi"/>
          <w:b w:val="0"/>
          <w:vertAlign w:val="superscript"/>
        </w:rPr>
        <w:t>1,2</w:t>
      </w:r>
      <w:r w:rsidRPr="00172BFB">
        <w:rPr>
          <w:rFonts w:asciiTheme="majorHAnsi" w:hAnsiTheme="majorHAnsi" w:cstheme="majorHAnsi"/>
          <w:b w:val="0"/>
        </w:rPr>
        <w:t>, César Pérez Bucio</w:t>
      </w:r>
      <w:r w:rsidRPr="00172BFB">
        <w:rPr>
          <w:rFonts w:asciiTheme="majorHAnsi" w:hAnsiTheme="majorHAnsi" w:cstheme="majorHAnsi"/>
          <w:b w:val="0"/>
          <w:vertAlign w:val="superscript"/>
        </w:rPr>
        <w:t>1,2</w:t>
      </w:r>
      <w:r w:rsidRPr="00172BFB">
        <w:rPr>
          <w:rFonts w:asciiTheme="majorHAnsi" w:hAnsiTheme="majorHAnsi" w:cstheme="majorHAnsi"/>
          <w:b w:val="0"/>
        </w:rPr>
        <w:t>, Tommaso Ballocci</w:t>
      </w:r>
      <w:r w:rsidRPr="00172BFB">
        <w:rPr>
          <w:rFonts w:asciiTheme="majorHAnsi" w:hAnsiTheme="majorHAnsi" w:cstheme="majorHAnsi"/>
          <w:b w:val="0"/>
          <w:vertAlign w:val="superscript"/>
        </w:rPr>
        <w:t>1,2</w:t>
      </w:r>
      <w:r w:rsidRPr="00172BFB">
        <w:rPr>
          <w:rFonts w:asciiTheme="majorHAnsi" w:hAnsiTheme="majorHAnsi" w:cstheme="majorHAnsi"/>
          <w:b w:val="0"/>
        </w:rPr>
        <w:t>, Carlos-Filipe Pereira</w:t>
      </w:r>
      <w:r w:rsidRPr="00172BFB">
        <w:rPr>
          <w:rFonts w:asciiTheme="majorHAnsi" w:hAnsiTheme="majorHAnsi" w:cstheme="majorHAnsi"/>
          <w:b w:val="0"/>
          <w:vertAlign w:val="superscript"/>
        </w:rPr>
        <w:t>1,2,3#</w:t>
      </w:r>
    </w:p>
    <w:p w14:paraId="0983ECB3" w14:textId="77777777" w:rsidR="006A0640" w:rsidRPr="00172BFB" w:rsidRDefault="006A0640" w:rsidP="00172BFB">
      <w:pPr>
        <w:ind w:left="142"/>
        <w:rPr>
          <w:rFonts w:asciiTheme="majorHAnsi" w:hAnsiTheme="majorHAnsi" w:cstheme="majorHAnsi"/>
        </w:rPr>
      </w:pPr>
    </w:p>
    <w:p w14:paraId="251C38FD" w14:textId="77777777" w:rsidR="006A0640" w:rsidRPr="00172BFB" w:rsidRDefault="006A0640" w:rsidP="00172BFB">
      <w:pPr>
        <w:ind w:left="142"/>
        <w:rPr>
          <w:rFonts w:asciiTheme="majorHAnsi" w:hAnsiTheme="majorHAnsi" w:cstheme="majorHAnsi"/>
        </w:rPr>
      </w:pPr>
      <w:r w:rsidRPr="00172BFB">
        <w:rPr>
          <w:rFonts w:asciiTheme="majorHAnsi" w:hAnsiTheme="majorHAnsi" w:cstheme="majorHAnsi"/>
        </w:rPr>
        <w:t>*These authors contributed equally to this work and should be considered as co-first authors.</w:t>
      </w:r>
    </w:p>
    <w:p w14:paraId="4F45D768" w14:textId="77777777" w:rsidR="006A0640" w:rsidRPr="00172BFB" w:rsidRDefault="006A0640" w:rsidP="00172BFB">
      <w:pPr>
        <w:ind w:left="142"/>
        <w:rPr>
          <w:rFonts w:asciiTheme="majorHAnsi" w:hAnsiTheme="majorHAnsi" w:cstheme="majorHAnsi"/>
        </w:rPr>
      </w:pPr>
    </w:p>
    <w:p w14:paraId="0FC408F7" w14:textId="32F34E62" w:rsidR="004D2710" w:rsidRPr="00172BFB" w:rsidRDefault="00172BFB" w:rsidP="00172BFB">
      <w:pPr>
        <w:ind w:left="142"/>
        <w:rPr>
          <w:rFonts w:asciiTheme="majorHAnsi" w:hAnsiTheme="majorHAnsi" w:cstheme="majorHAnsi"/>
        </w:rPr>
      </w:pPr>
      <w:r w:rsidRPr="00172BFB">
        <w:rPr>
          <w:rFonts w:asciiTheme="majorHAnsi" w:hAnsiTheme="majorHAnsi" w:cstheme="majorHAnsi"/>
          <w:vertAlign w:val="superscript"/>
        </w:rPr>
        <w:t>1</w:t>
      </w:r>
      <w:r w:rsidRPr="00172BFB">
        <w:rPr>
          <w:rFonts w:asciiTheme="majorHAnsi" w:hAnsiTheme="majorHAnsi" w:cstheme="majorHAnsi"/>
        </w:rPr>
        <w:t>Molecular Medicine and Gene Therapy, Science for Life Laboratory, Lund Stem Cell Centre, Lund University, 221 84 Lund, Sweden</w:t>
      </w:r>
    </w:p>
    <w:p w14:paraId="6E98A20D" w14:textId="46B18195" w:rsidR="004D2710" w:rsidRPr="00172BFB" w:rsidRDefault="00172BFB" w:rsidP="00172BFB">
      <w:pPr>
        <w:ind w:left="142"/>
        <w:rPr>
          <w:rFonts w:asciiTheme="majorHAnsi" w:hAnsiTheme="majorHAnsi" w:cstheme="majorHAnsi"/>
        </w:rPr>
      </w:pPr>
      <w:r w:rsidRPr="00172BFB">
        <w:rPr>
          <w:rFonts w:asciiTheme="majorHAnsi" w:hAnsiTheme="majorHAnsi" w:cstheme="majorHAnsi"/>
          <w:vertAlign w:val="superscript"/>
        </w:rPr>
        <w:t>2</w:t>
      </w:r>
      <w:r w:rsidRPr="00172BFB">
        <w:rPr>
          <w:rFonts w:asciiTheme="majorHAnsi" w:hAnsiTheme="majorHAnsi" w:cstheme="majorHAnsi"/>
        </w:rPr>
        <w:t>Wallenberg Centre for Molecular Medicine at Lund University, 221 84 Lund, Sweden</w:t>
      </w:r>
    </w:p>
    <w:p w14:paraId="708DC102" w14:textId="55590097" w:rsidR="004D2710" w:rsidRPr="00172BFB" w:rsidRDefault="00172BFB" w:rsidP="00172BFB">
      <w:pPr>
        <w:ind w:left="142"/>
        <w:rPr>
          <w:rFonts w:asciiTheme="majorHAnsi" w:hAnsiTheme="majorHAnsi" w:cstheme="majorHAnsi"/>
        </w:rPr>
      </w:pPr>
      <w:r w:rsidRPr="00172BFB">
        <w:rPr>
          <w:rFonts w:asciiTheme="majorHAnsi" w:hAnsiTheme="majorHAnsi" w:cstheme="majorHAnsi"/>
          <w:vertAlign w:val="superscript"/>
        </w:rPr>
        <w:t>3</w:t>
      </w:r>
      <w:r w:rsidRPr="00172BFB">
        <w:rPr>
          <w:rFonts w:asciiTheme="majorHAnsi" w:hAnsiTheme="majorHAnsi" w:cstheme="majorHAnsi"/>
        </w:rPr>
        <w:t>Centre for Neuroscience and Cell Biology, University of Coimbra, Largo Marquês do Pombal, 3004-517 Coimbra, Portugal</w:t>
      </w:r>
    </w:p>
    <w:p w14:paraId="09326656" w14:textId="77777777" w:rsidR="004D2710" w:rsidRPr="00172BFB" w:rsidRDefault="004D2710" w:rsidP="00172BFB">
      <w:pPr>
        <w:ind w:left="142"/>
        <w:rPr>
          <w:rFonts w:asciiTheme="majorHAnsi" w:hAnsiTheme="majorHAnsi" w:cstheme="majorHAnsi"/>
        </w:rPr>
      </w:pPr>
    </w:p>
    <w:p w14:paraId="6D8CA76A" w14:textId="4211BDBF" w:rsidR="004D2710" w:rsidRPr="00172BFB" w:rsidRDefault="00172BFB" w:rsidP="00172BFB">
      <w:pPr>
        <w:ind w:left="142"/>
        <w:rPr>
          <w:rFonts w:asciiTheme="majorHAnsi" w:hAnsiTheme="majorHAnsi" w:cstheme="majorHAnsi"/>
          <w:b/>
          <w:bCs/>
        </w:rPr>
      </w:pPr>
      <w:r w:rsidRPr="00172BFB">
        <w:rPr>
          <w:rFonts w:asciiTheme="majorHAnsi" w:hAnsiTheme="majorHAnsi" w:cstheme="majorHAnsi"/>
          <w:b/>
          <w:bCs/>
        </w:rPr>
        <w:t xml:space="preserve">Email </w:t>
      </w:r>
      <w:r w:rsidR="006A0640" w:rsidRPr="00172BFB">
        <w:rPr>
          <w:rFonts w:asciiTheme="majorHAnsi" w:hAnsiTheme="majorHAnsi" w:cstheme="majorHAnsi"/>
          <w:b/>
          <w:bCs/>
        </w:rPr>
        <w:t>a</w:t>
      </w:r>
      <w:r w:rsidRPr="00172BFB">
        <w:rPr>
          <w:rFonts w:asciiTheme="majorHAnsi" w:hAnsiTheme="majorHAnsi" w:cstheme="majorHAnsi"/>
          <w:b/>
          <w:bCs/>
        </w:rPr>
        <w:t xml:space="preserve">ddresses of </w:t>
      </w:r>
      <w:r w:rsidR="006A0640" w:rsidRPr="00172BFB">
        <w:rPr>
          <w:rFonts w:asciiTheme="majorHAnsi" w:hAnsiTheme="majorHAnsi" w:cstheme="majorHAnsi"/>
          <w:b/>
          <w:bCs/>
        </w:rPr>
        <w:t>the a</w:t>
      </w:r>
      <w:r w:rsidRPr="00172BFB">
        <w:rPr>
          <w:rFonts w:asciiTheme="majorHAnsi" w:hAnsiTheme="majorHAnsi" w:cstheme="majorHAnsi"/>
          <w:b/>
          <w:bCs/>
        </w:rPr>
        <w:t>uthors:</w:t>
      </w:r>
    </w:p>
    <w:p w14:paraId="47FF73DC" w14:textId="77777777" w:rsidR="004D2710" w:rsidRPr="00172BFB" w:rsidRDefault="00172BFB" w:rsidP="00172BFB">
      <w:pPr>
        <w:pStyle w:val="Heading2"/>
        <w:keepNext w:val="0"/>
        <w:shd w:val="clear" w:color="auto" w:fill="FFFFFF"/>
        <w:ind w:left="142"/>
        <w:rPr>
          <w:rFonts w:asciiTheme="majorHAnsi" w:hAnsiTheme="majorHAnsi" w:cstheme="majorHAnsi"/>
          <w:b w:val="0"/>
        </w:rPr>
      </w:pPr>
      <w:bookmarkStart w:id="1" w:name="_heading=h.yxnd86zb2dy4" w:colFirst="0" w:colLast="0"/>
      <w:bookmarkEnd w:id="1"/>
      <w:r w:rsidRPr="00172BFB">
        <w:rPr>
          <w:rFonts w:asciiTheme="majorHAnsi" w:hAnsiTheme="majorHAnsi" w:cstheme="majorHAnsi"/>
          <w:b w:val="0"/>
        </w:rPr>
        <w:t xml:space="preserve">Ervin </w:t>
      </w:r>
      <w:proofErr w:type="spellStart"/>
      <w:r w:rsidRPr="00172BFB">
        <w:rPr>
          <w:rFonts w:asciiTheme="majorHAnsi" w:hAnsiTheme="majorHAnsi" w:cstheme="majorHAnsi"/>
          <w:b w:val="0"/>
        </w:rPr>
        <w:t>Ascic</w:t>
      </w:r>
      <w:proofErr w:type="spellEnd"/>
      <w:r w:rsidRPr="00172BFB">
        <w:rPr>
          <w:rFonts w:asciiTheme="majorHAnsi" w:hAnsiTheme="majorHAnsi" w:cstheme="majorHAnsi"/>
          <w:b w:val="0"/>
        </w:rPr>
        <w:t xml:space="preserve">, Email: </w:t>
      </w:r>
      <w:hyperlink r:id="rId8">
        <w:r w:rsidR="004D2710" w:rsidRPr="00172BFB">
          <w:rPr>
            <w:rFonts w:asciiTheme="majorHAnsi" w:hAnsiTheme="majorHAnsi" w:cstheme="majorHAnsi"/>
            <w:b w:val="0"/>
          </w:rPr>
          <w:t>ervin.ascic@med.lu.se</w:t>
        </w:r>
      </w:hyperlink>
    </w:p>
    <w:p w14:paraId="2E0C9D68"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Gaia Fontanari, Email: </w:t>
      </w:r>
      <w:hyperlink r:id="rId9">
        <w:r w:rsidR="004D2710" w:rsidRPr="00172BFB">
          <w:rPr>
            <w:rFonts w:asciiTheme="majorHAnsi" w:hAnsiTheme="majorHAnsi" w:cstheme="majorHAnsi"/>
          </w:rPr>
          <w:t>gaia.fontanari@med.lu.se</w:t>
        </w:r>
      </w:hyperlink>
    </w:p>
    <w:p w14:paraId="34FF7A7F"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Maria </w:t>
      </w:r>
      <w:proofErr w:type="spellStart"/>
      <w:r w:rsidRPr="00172BFB">
        <w:rPr>
          <w:rFonts w:asciiTheme="majorHAnsi" w:hAnsiTheme="majorHAnsi" w:cstheme="majorHAnsi"/>
        </w:rPr>
        <w:t>Thrasyvoulou</w:t>
      </w:r>
      <w:proofErr w:type="spellEnd"/>
      <w:r w:rsidRPr="00172BFB">
        <w:rPr>
          <w:rFonts w:asciiTheme="majorHAnsi" w:hAnsiTheme="majorHAnsi" w:cstheme="majorHAnsi"/>
        </w:rPr>
        <w:t xml:space="preserve">, Email: </w:t>
      </w:r>
      <w:hyperlink r:id="rId10">
        <w:r w:rsidR="004D2710" w:rsidRPr="00172BFB">
          <w:rPr>
            <w:rFonts w:asciiTheme="majorHAnsi" w:hAnsiTheme="majorHAnsi" w:cstheme="majorHAnsi"/>
          </w:rPr>
          <w:t>ma7648th-s@student.lu.se</w:t>
        </w:r>
      </w:hyperlink>
    </w:p>
    <w:p w14:paraId="480B1A33"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rPr>
        <w:t>César Pérez Bucio, Email: cesar.perez_bucio@med.lu.se</w:t>
      </w:r>
    </w:p>
    <w:p w14:paraId="6CF8FBFA"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Tommaso </w:t>
      </w:r>
      <w:proofErr w:type="spellStart"/>
      <w:r w:rsidRPr="00172BFB">
        <w:rPr>
          <w:rFonts w:asciiTheme="majorHAnsi" w:hAnsiTheme="majorHAnsi" w:cstheme="majorHAnsi"/>
        </w:rPr>
        <w:t>Ballocci</w:t>
      </w:r>
      <w:proofErr w:type="spellEnd"/>
      <w:r w:rsidRPr="00172BFB">
        <w:rPr>
          <w:rFonts w:asciiTheme="majorHAnsi" w:hAnsiTheme="majorHAnsi" w:cstheme="majorHAnsi"/>
        </w:rPr>
        <w:t xml:space="preserve">, Email: to7002ba-s@student.lu.se </w:t>
      </w:r>
    </w:p>
    <w:p w14:paraId="2B7E97D2" w14:textId="77777777" w:rsidR="006A0640" w:rsidRPr="00172BFB" w:rsidRDefault="006A0640" w:rsidP="00172BFB">
      <w:pPr>
        <w:ind w:left="142"/>
        <w:rPr>
          <w:rFonts w:asciiTheme="majorHAnsi" w:hAnsiTheme="majorHAnsi" w:cstheme="majorHAnsi"/>
        </w:rPr>
      </w:pPr>
    </w:p>
    <w:p w14:paraId="44C80D16" w14:textId="77777777" w:rsidR="006A0640" w:rsidRPr="00172BFB" w:rsidRDefault="00172BFB" w:rsidP="00172BFB">
      <w:pPr>
        <w:ind w:left="142"/>
        <w:rPr>
          <w:rFonts w:asciiTheme="majorHAnsi" w:hAnsiTheme="majorHAnsi" w:cstheme="majorHAnsi"/>
        </w:rPr>
      </w:pPr>
      <w:r w:rsidRPr="00172BFB">
        <w:rPr>
          <w:rFonts w:asciiTheme="majorHAnsi" w:hAnsiTheme="majorHAnsi" w:cstheme="majorHAnsi"/>
          <w:vertAlign w:val="superscript"/>
        </w:rPr>
        <w:t>#</w:t>
      </w:r>
      <w:r w:rsidRPr="00172BFB">
        <w:rPr>
          <w:rFonts w:asciiTheme="majorHAnsi" w:hAnsiTheme="majorHAnsi" w:cstheme="majorHAnsi"/>
        </w:rPr>
        <w:t xml:space="preserve">Corresponding author: </w:t>
      </w:r>
    </w:p>
    <w:p w14:paraId="26E7A3C7" w14:textId="64EF20BE"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Carlos-Filipe Pereira, Email: </w:t>
      </w:r>
      <w:hyperlink r:id="rId11">
        <w:r w:rsidR="004D2710" w:rsidRPr="00172BFB">
          <w:rPr>
            <w:rFonts w:asciiTheme="majorHAnsi" w:hAnsiTheme="majorHAnsi" w:cstheme="majorHAnsi"/>
          </w:rPr>
          <w:t>filipe.pereira@med.lu.se</w:t>
        </w:r>
      </w:hyperlink>
      <w:r w:rsidRPr="00172BFB">
        <w:rPr>
          <w:rFonts w:asciiTheme="majorHAnsi" w:hAnsiTheme="majorHAnsi" w:cstheme="majorHAnsi"/>
        </w:rPr>
        <w:t xml:space="preserve"> </w:t>
      </w:r>
    </w:p>
    <w:p w14:paraId="7784CCBC" w14:textId="77777777" w:rsidR="004D2710" w:rsidRPr="00172BFB" w:rsidRDefault="004D2710" w:rsidP="00172BFB">
      <w:pPr>
        <w:pBdr>
          <w:top w:val="nil"/>
          <w:left w:val="nil"/>
          <w:bottom w:val="nil"/>
          <w:right w:val="nil"/>
          <w:between w:val="nil"/>
        </w:pBdr>
        <w:ind w:left="142"/>
        <w:rPr>
          <w:rFonts w:asciiTheme="majorHAnsi" w:hAnsiTheme="majorHAnsi" w:cstheme="majorHAnsi"/>
        </w:rPr>
      </w:pPr>
    </w:p>
    <w:p w14:paraId="3CAF2D87" w14:textId="77777777" w:rsidR="004D2710" w:rsidRPr="00172BFB" w:rsidRDefault="00172BFB" w:rsidP="00172BFB">
      <w:pPr>
        <w:ind w:left="142"/>
        <w:rPr>
          <w:rFonts w:asciiTheme="majorHAnsi" w:hAnsiTheme="majorHAnsi" w:cstheme="majorHAnsi"/>
        </w:rPr>
      </w:pPr>
      <w:bookmarkStart w:id="2" w:name="_heading=h.3ob318o0zedc" w:colFirst="0" w:colLast="0"/>
      <w:bookmarkEnd w:id="2"/>
      <w:r w:rsidRPr="00172BFB">
        <w:rPr>
          <w:rFonts w:asciiTheme="majorHAnsi" w:hAnsiTheme="majorHAnsi" w:cstheme="majorHAnsi"/>
          <w:b/>
        </w:rPr>
        <w:t>SUMMARY:</w:t>
      </w:r>
      <w:r w:rsidRPr="00172BFB">
        <w:rPr>
          <w:rFonts w:asciiTheme="majorHAnsi" w:hAnsiTheme="majorHAnsi" w:cstheme="majorHAnsi"/>
        </w:rPr>
        <w:t xml:space="preserve"> </w:t>
      </w:r>
    </w:p>
    <w:p w14:paraId="6878F09B" w14:textId="04762D1D"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This protocol describes the </w:t>
      </w:r>
      <w:r w:rsidRPr="00172BFB">
        <w:rPr>
          <w:rFonts w:asciiTheme="majorHAnsi" w:hAnsiTheme="majorHAnsi" w:cstheme="majorHAnsi"/>
          <w:i/>
          <w:iCs/>
        </w:rPr>
        <w:t>in vivo</w:t>
      </w:r>
      <w:r w:rsidRPr="00172BFB">
        <w:rPr>
          <w:rFonts w:asciiTheme="majorHAnsi" w:hAnsiTheme="majorHAnsi" w:cstheme="majorHAnsi"/>
        </w:rPr>
        <w:t xml:space="preserve"> reprogramming of mouse cancer cells into type 1 dendritic-like cells within the tumor microenvironment through enforced expression of the transcription factors PU.1, IRF8, and BATF3.</w:t>
      </w:r>
    </w:p>
    <w:p w14:paraId="02B34700" w14:textId="77777777" w:rsidR="004D2710" w:rsidRPr="00172BFB" w:rsidRDefault="004D2710" w:rsidP="00172BFB">
      <w:pPr>
        <w:ind w:left="142"/>
        <w:rPr>
          <w:rFonts w:asciiTheme="majorHAnsi" w:hAnsiTheme="majorHAnsi" w:cstheme="majorHAnsi"/>
        </w:rPr>
      </w:pPr>
    </w:p>
    <w:p w14:paraId="42B2D48F" w14:textId="12F8B07F"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ABSTRACT:</w:t>
      </w:r>
      <w:r w:rsidRPr="00172BFB">
        <w:rPr>
          <w:rFonts w:asciiTheme="majorHAnsi" w:hAnsiTheme="majorHAnsi" w:cstheme="majorHAnsi"/>
        </w:rPr>
        <w:t xml:space="preserve"> </w:t>
      </w:r>
    </w:p>
    <w:p w14:paraId="61913F0C" w14:textId="0F938294"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The efficacy of cancer immunotherapy relies on the recruitment and activation of cytotoxic T cell responses against solid tumors by type 1 conventional dendritic cells (cDC1s). However, the generation of cDC1s for cancer immunotherapy faces significant limitations, including poor cell yield, functional heterogeneity, and susceptibility to immunosuppression in </w:t>
      </w:r>
      <w:proofErr w:type="gramStart"/>
      <w:r w:rsidRPr="00172BFB">
        <w:rPr>
          <w:rFonts w:asciiTheme="majorHAnsi" w:hAnsiTheme="majorHAnsi" w:cstheme="majorHAnsi"/>
        </w:rPr>
        <w:t>the tumor</w:t>
      </w:r>
      <w:proofErr w:type="gramEnd"/>
      <w:r w:rsidRPr="00172BFB">
        <w:rPr>
          <w:rFonts w:asciiTheme="majorHAnsi" w:hAnsiTheme="majorHAnsi" w:cstheme="majorHAnsi"/>
        </w:rPr>
        <w:t xml:space="preserve"> microenvironment (TME). We recently developed an immunotherapy modality based on </w:t>
      </w:r>
      <w:r w:rsidRPr="00172BFB">
        <w:rPr>
          <w:rFonts w:asciiTheme="majorHAnsi" w:hAnsiTheme="majorHAnsi" w:cstheme="majorHAnsi"/>
          <w:i/>
          <w:iCs/>
        </w:rPr>
        <w:t>in vivo</w:t>
      </w:r>
      <w:r w:rsidRPr="00172BFB">
        <w:rPr>
          <w:rFonts w:asciiTheme="majorHAnsi" w:hAnsiTheme="majorHAnsi" w:cstheme="majorHAnsi"/>
        </w:rPr>
        <w:t xml:space="preserve"> reprogramming of cancer cells into immunogenic cDC1-like cells, which enabled cancer cells to present tumor antigens as cDC1s and elicited polyclonal cytotoxic T cell responses and durable systemic anti-tumor immunity. Here, we describe a tractable protocol to generate cDC1-like cells within the TME by overexpressing the minimal cDC1-specific gene regulatory </w:t>
      </w:r>
      <w:r w:rsidR="00676386" w:rsidRPr="00172BFB">
        <w:rPr>
          <w:rFonts w:asciiTheme="majorHAnsi" w:hAnsiTheme="majorHAnsi" w:cstheme="majorHAnsi"/>
        </w:rPr>
        <w:t>network—</w:t>
      </w:r>
      <w:r w:rsidRPr="00172BFB">
        <w:rPr>
          <w:rFonts w:asciiTheme="majorHAnsi" w:hAnsiTheme="majorHAnsi" w:cstheme="majorHAnsi"/>
        </w:rPr>
        <w:t>PU.1, IRF8, and BATF3 (collectively referred to as PIB)</w:t>
      </w:r>
      <w:r w:rsidR="00676386" w:rsidRPr="00172BFB">
        <w:rPr>
          <w:rFonts w:asciiTheme="majorHAnsi" w:hAnsiTheme="majorHAnsi" w:cstheme="majorHAnsi"/>
        </w:rPr>
        <w:t>—</w:t>
      </w:r>
      <w:r w:rsidRPr="00172BFB">
        <w:rPr>
          <w:rFonts w:asciiTheme="majorHAnsi" w:hAnsiTheme="majorHAnsi" w:cstheme="majorHAnsi"/>
        </w:rPr>
        <w:t xml:space="preserve">in cancer cells, followed by subcutaneous implantation of a mixture of transduced and parental cells. PIB overexpression drives the gradual acquisition of the hematopoietic marker CD45 and the professional antigen presentation complex MHC class II on tumor cells, serving as cell surface readouts </w:t>
      </w:r>
      <w:proofErr w:type="gramStart"/>
      <w:r w:rsidRPr="00172BFB">
        <w:rPr>
          <w:rFonts w:asciiTheme="majorHAnsi" w:hAnsiTheme="majorHAnsi" w:cstheme="majorHAnsi"/>
        </w:rPr>
        <w:t xml:space="preserve">for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w:t>
      </w:r>
      <w:r w:rsidRPr="00172BFB">
        <w:rPr>
          <w:rFonts w:asciiTheme="majorHAnsi" w:hAnsiTheme="majorHAnsi" w:cstheme="majorHAnsi"/>
        </w:rPr>
        <w:lastRenderedPageBreak/>
        <w:t xml:space="preserve">cDC1 reprogramming. When compared to the reprogramming process </w:t>
      </w:r>
      <w:r w:rsidRPr="00172BFB">
        <w:rPr>
          <w:rFonts w:asciiTheme="majorHAnsi" w:hAnsiTheme="majorHAnsi" w:cstheme="majorHAnsi"/>
          <w:i/>
          <w:iCs/>
        </w:rPr>
        <w:t>in vitro,</w:t>
      </w:r>
      <w:r w:rsidRPr="00172BFB">
        <w:rPr>
          <w:rFonts w:asciiTheme="majorHAnsi" w:hAnsiTheme="majorHAnsi" w:cstheme="majorHAnsi"/>
        </w:rPr>
        <w:t xml:space="preserve"> reprogramming of the YUMM1.7 mouse melanoma model </w:t>
      </w:r>
      <w:r w:rsidRPr="00172BFB">
        <w:rPr>
          <w:rFonts w:asciiTheme="majorHAnsi" w:hAnsiTheme="majorHAnsi" w:cstheme="majorHAnsi"/>
          <w:i/>
          <w:iCs/>
        </w:rPr>
        <w:t>in vivo</w:t>
      </w:r>
      <w:r w:rsidRPr="00172BFB">
        <w:rPr>
          <w:rFonts w:asciiTheme="majorHAnsi" w:hAnsiTheme="majorHAnsi" w:cstheme="majorHAnsi"/>
        </w:rPr>
        <w:t xml:space="preserve"> demonstrated faster kinetics and higher efficiency. cDC1-like cells induced rapid remodeling of the TME by recruiting host immune cells within the first 3 days and leading to the formation of tertiary lymphoid structure by day 9. </w:t>
      </w:r>
      <w:r w:rsidR="00482165" w:rsidRPr="00172BFB">
        <w:rPr>
          <w:rFonts w:asciiTheme="majorHAnsi" w:hAnsiTheme="majorHAnsi" w:cstheme="majorHAnsi"/>
        </w:rPr>
        <w:t>Reprogrammed cDC1-like</w:t>
      </w:r>
      <w:r w:rsidRPr="00172BFB">
        <w:rPr>
          <w:rFonts w:asciiTheme="majorHAnsi" w:hAnsiTheme="majorHAnsi" w:cstheme="majorHAnsi"/>
        </w:rPr>
        <w:t xml:space="preserve"> cells persisted in tumors for at least 9 days but were undetected </w:t>
      </w:r>
      <w:proofErr w:type="gramStart"/>
      <w:r w:rsidRPr="00172BFB">
        <w:rPr>
          <w:rFonts w:asciiTheme="majorHAnsi" w:hAnsiTheme="majorHAnsi" w:cstheme="majorHAnsi"/>
        </w:rPr>
        <w:t>at</w:t>
      </w:r>
      <w:proofErr w:type="gramEnd"/>
      <w:r w:rsidRPr="00172BFB">
        <w:rPr>
          <w:rFonts w:asciiTheme="majorHAnsi" w:hAnsiTheme="majorHAnsi" w:cstheme="majorHAnsi"/>
        </w:rPr>
        <w:t xml:space="preserve"> day 15. The </w:t>
      </w:r>
      <w:r w:rsidRPr="00172BFB">
        <w:rPr>
          <w:rFonts w:asciiTheme="majorHAnsi" w:hAnsiTheme="majorHAnsi" w:cstheme="majorHAnsi"/>
          <w:i/>
          <w:iCs/>
        </w:rPr>
        <w:t>in vivo</w:t>
      </w:r>
      <w:r w:rsidRPr="00172BFB">
        <w:rPr>
          <w:rFonts w:asciiTheme="majorHAnsi" w:hAnsiTheme="majorHAnsi" w:cstheme="majorHAnsi"/>
        </w:rPr>
        <w:t xml:space="preserve"> cDC1 reprogramming protocol described here provides a tractable and robust method to effectively transform “immune-cold” tumors into “immune-hot”. Overall, it offers a powerful platform to study the mechanisms underlying cDC1-mediated anti-tumor immunity and uncover synergistic combinations with other cancer immunotherapy modalities.</w:t>
      </w:r>
    </w:p>
    <w:p w14:paraId="1C2CAC0B" w14:textId="77777777" w:rsidR="004D2710" w:rsidRPr="00172BFB" w:rsidRDefault="004D2710" w:rsidP="00172BFB">
      <w:pPr>
        <w:ind w:left="142"/>
        <w:rPr>
          <w:rFonts w:asciiTheme="majorHAnsi" w:hAnsiTheme="majorHAnsi" w:cstheme="majorHAnsi"/>
        </w:rPr>
      </w:pPr>
    </w:p>
    <w:p w14:paraId="78D0DF0F"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INTRODUCTION:</w:t>
      </w:r>
      <w:r w:rsidRPr="00172BFB">
        <w:rPr>
          <w:rFonts w:asciiTheme="majorHAnsi" w:hAnsiTheme="majorHAnsi" w:cstheme="majorHAnsi"/>
        </w:rPr>
        <w:t xml:space="preserve"> </w:t>
      </w:r>
    </w:p>
    <w:p w14:paraId="24E26FE2" w14:textId="06121BE5"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Recent advancements in cancer immunotherapy modalities, including immune checkpoint blockade (ICB), adoptive cell therapy (ACT), and vaccines, have </w:t>
      </w:r>
      <w:r w:rsidR="00597360" w:rsidRPr="00172BFB">
        <w:rPr>
          <w:rFonts w:asciiTheme="majorHAnsi" w:hAnsiTheme="majorHAnsi" w:cstheme="majorHAnsi"/>
        </w:rPr>
        <w:t>shifted</w:t>
      </w:r>
      <w:r w:rsidRPr="00172BFB">
        <w:rPr>
          <w:rFonts w:asciiTheme="majorHAnsi" w:hAnsiTheme="majorHAnsi" w:cstheme="majorHAnsi"/>
        </w:rPr>
        <w:t xml:space="preserve"> the landscape of cancer treatment</w:t>
      </w:r>
      <w:r w:rsidRPr="00172BFB">
        <w:rPr>
          <w:rFonts w:asciiTheme="majorHAnsi" w:hAnsiTheme="majorHAnsi" w:cstheme="majorHAnsi"/>
          <w:i/>
          <w:vertAlign w:val="superscript"/>
        </w:rPr>
        <w:t>1</w:t>
      </w:r>
      <w:r w:rsidRPr="00172BFB">
        <w:rPr>
          <w:rFonts w:asciiTheme="majorHAnsi" w:hAnsiTheme="majorHAnsi" w:cstheme="majorHAnsi"/>
        </w:rPr>
        <w:t>. In melanoma, response rates to programmed cell death protein 1 (PD-1) and cytotoxic T lymphocyte–associated protein 4 (CTLA-4) inhibition can reach up to 60%</w:t>
      </w:r>
      <w:r w:rsidRPr="00172BFB">
        <w:rPr>
          <w:rFonts w:asciiTheme="majorHAnsi" w:hAnsiTheme="majorHAnsi" w:cstheme="majorHAnsi"/>
          <w:i/>
          <w:vertAlign w:val="superscript"/>
        </w:rPr>
        <w:t>2</w:t>
      </w:r>
      <w:r w:rsidRPr="00172BFB">
        <w:rPr>
          <w:rFonts w:asciiTheme="majorHAnsi" w:hAnsiTheme="majorHAnsi" w:cstheme="majorHAnsi"/>
        </w:rPr>
        <w:t>. Nevertheless, over 40% of melanoma patients fail to respond to ICB, and response rates in less immunogenic cancers, such as breast cancer, microsatellite-stable colorectal cancer, and glioblastoma, remain below 5%, highlighting clinical gaps</w:t>
      </w:r>
      <w:r w:rsidRPr="00172BFB">
        <w:rPr>
          <w:rFonts w:asciiTheme="majorHAnsi" w:hAnsiTheme="majorHAnsi" w:cstheme="majorHAnsi"/>
          <w:i/>
          <w:vertAlign w:val="superscript"/>
        </w:rPr>
        <w:t>3–5</w:t>
      </w:r>
      <w:r w:rsidRPr="00172BFB">
        <w:rPr>
          <w:rFonts w:asciiTheme="majorHAnsi" w:hAnsiTheme="majorHAnsi" w:cstheme="majorHAnsi"/>
        </w:rPr>
        <w:t>. A major barrier to broad clinical success is the poor activation of cytotoxic T cell responses, which depend on efficient antigen presentation within the tumor microenvironment (TME)</w:t>
      </w:r>
      <w:r w:rsidRPr="00172BFB">
        <w:rPr>
          <w:rFonts w:asciiTheme="majorHAnsi" w:hAnsiTheme="majorHAnsi" w:cstheme="majorHAnsi"/>
          <w:i/>
          <w:vertAlign w:val="superscript"/>
        </w:rPr>
        <w:t>6</w:t>
      </w:r>
      <w:r w:rsidRPr="00172BFB">
        <w:rPr>
          <w:rFonts w:asciiTheme="majorHAnsi" w:hAnsiTheme="majorHAnsi" w:cstheme="majorHAnsi"/>
        </w:rPr>
        <w:t>.</w:t>
      </w:r>
    </w:p>
    <w:p w14:paraId="1DEB08EC" w14:textId="77777777" w:rsidR="004D2710" w:rsidRPr="00172BFB" w:rsidRDefault="004D2710" w:rsidP="00172BFB">
      <w:pPr>
        <w:ind w:left="142"/>
        <w:rPr>
          <w:rFonts w:asciiTheme="majorHAnsi" w:hAnsiTheme="majorHAnsi" w:cstheme="majorHAnsi"/>
        </w:rPr>
      </w:pPr>
    </w:p>
    <w:p w14:paraId="5CC2025A" w14:textId="40340373" w:rsidR="004D2710" w:rsidRPr="00172BFB" w:rsidRDefault="00172BFB" w:rsidP="00172BFB">
      <w:pPr>
        <w:ind w:left="142"/>
        <w:rPr>
          <w:rFonts w:asciiTheme="majorHAnsi" w:hAnsiTheme="majorHAnsi" w:cstheme="majorHAnsi"/>
        </w:rPr>
      </w:pPr>
      <w:r w:rsidRPr="00172BFB">
        <w:rPr>
          <w:rFonts w:asciiTheme="majorHAnsi" w:hAnsiTheme="majorHAnsi" w:cstheme="majorHAnsi"/>
        </w:rPr>
        <w:t>Conventional type 1 dendritic cells (cDC1s) are rare, but indispensable for the initiation of tumor-specific immunity, offering three key signals to prime T cell responses: (1) professional processing and presentation of antigens on major histocompatibility complexes (MHC) class I and II, (2) co-stimulation via CD80 and CD86, and (3) pro-inflammatory cytokine signaling including IL-12</w:t>
      </w:r>
      <w:r w:rsidRPr="00172BFB">
        <w:rPr>
          <w:rFonts w:asciiTheme="majorHAnsi" w:hAnsiTheme="majorHAnsi" w:cstheme="majorHAnsi"/>
          <w:i/>
          <w:vertAlign w:val="superscript"/>
        </w:rPr>
        <w:t>7</w:t>
      </w:r>
      <w:r w:rsidR="00765EF4" w:rsidRPr="00172BFB">
        <w:rPr>
          <w:rFonts w:asciiTheme="majorHAnsi" w:hAnsiTheme="majorHAnsi" w:cstheme="majorHAnsi"/>
          <w:i/>
          <w:vertAlign w:val="superscript"/>
        </w:rPr>
        <w:t>,</w:t>
      </w:r>
      <w:r w:rsidRPr="00172BFB">
        <w:rPr>
          <w:rFonts w:asciiTheme="majorHAnsi" w:hAnsiTheme="majorHAnsi" w:cstheme="majorHAnsi"/>
          <w:i/>
          <w:vertAlign w:val="superscript"/>
        </w:rPr>
        <w:t>8</w:t>
      </w:r>
      <w:r w:rsidRPr="00172BFB">
        <w:rPr>
          <w:rFonts w:asciiTheme="majorHAnsi" w:hAnsiTheme="majorHAnsi" w:cstheme="majorHAnsi"/>
        </w:rPr>
        <w:t>. Among the dendritic cell (DC) subsets, cDC1s excel in cross-presenting tumor cell-associated antigens to prime naïve or re-activate memory CD8</w:t>
      </w:r>
      <w:r w:rsidRPr="00172BFB">
        <w:rPr>
          <w:rFonts w:asciiTheme="majorHAnsi" w:hAnsiTheme="majorHAnsi" w:cstheme="majorHAnsi"/>
          <w:vertAlign w:val="superscript"/>
        </w:rPr>
        <w:t>+</w:t>
      </w:r>
      <w:r w:rsidRPr="00172BFB">
        <w:rPr>
          <w:rFonts w:asciiTheme="majorHAnsi" w:hAnsiTheme="majorHAnsi" w:cstheme="majorHAnsi"/>
        </w:rPr>
        <w:t xml:space="preserve"> T cells or drive CD4</w:t>
      </w:r>
      <w:r w:rsidRPr="00172BFB">
        <w:rPr>
          <w:rFonts w:asciiTheme="majorHAnsi" w:hAnsiTheme="majorHAnsi" w:cstheme="majorHAnsi"/>
          <w:vertAlign w:val="superscript"/>
        </w:rPr>
        <w:t>+</w:t>
      </w:r>
      <w:r w:rsidRPr="00172BFB">
        <w:rPr>
          <w:rFonts w:asciiTheme="majorHAnsi" w:hAnsiTheme="majorHAnsi" w:cstheme="majorHAnsi"/>
        </w:rPr>
        <w:t xml:space="preserve"> T cell differentiation to type 1 T helper (T</w:t>
      </w:r>
      <w:r w:rsidRPr="00172BFB">
        <w:rPr>
          <w:rFonts w:asciiTheme="majorHAnsi" w:hAnsiTheme="majorHAnsi" w:cstheme="majorHAnsi"/>
          <w:vertAlign w:val="subscript"/>
        </w:rPr>
        <w:t>H1</w:t>
      </w:r>
      <w:r w:rsidRPr="00172BFB">
        <w:rPr>
          <w:rFonts w:asciiTheme="majorHAnsi" w:hAnsiTheme="majorHAnsi" w:cstheme="majorHAnsi"/>
        </w:rPr>
        <w:t>) cells</w:t>
      </w:r>
      <w:r w:rsidRPr="00172BFB">
        <w:rPr>
          <w:rFonts w:asciiTheme="majorHAnsi" w:hAnsiTheme="majorHAnsi" w:cstheme="majorHAnsi"/>
          <w:i/>
          <w:vertAlign w:val="superscript"/>
        </w:rPr>
        <w:t>9</w:t>
      </w:r>
      <w:r w:rsidRPr="00172BFB">
        <w:rPr>
          <w:rFonts w:asciiTheme="majorHAnsi" w:hAnsiTheme="majorHAnsi" w:cstheme="majorHAnsi"/>
        </w:rPr>
        <w:t>. Additionally, cDC1</w:t>
      </w:r>
      <w:r w:rsidR="00765EF4" w:rsidRPr="00172BFB">
        <w:rPr>
          <w:rFonts w:asciiTheme="majorHAnsi" w:hAnsiTheme="majorHAnsi" w:cstheme="majorHAnsi"/>
        </w:rPr>
        <w:t>s</w:t>
      </w:r>
      <w:r w:rsidRPr="00172BFB">
        <w:rPr>
          <w:rFonts w:asciiTheme="majorHAnsi" w:hAnsiTheme="majorHAnsi" w:cstheme="majorHAnsi"/>
        </w:rPr>
        <w:t xml:space="preserve"> are the main producers of chemokines, C-X-C motif chemokine ligands 9 and 10 (CXCL9/10), which mediat</w:t>
      </w:r>
      <w:r w:rsidR="00AF6AC4" w:rsidRPr="00172BFB">
        <w:rPr>
          <w:rFonts w:asciiTheme="majorHAnsi" w:hAnsiTheme="majorHAnsi" w:cstheme="majorHAnsi"/>
        </w:rPr>
        <w:t>e</w:t>
      </w:r>
      <w:r w:rsidRPr="00172BFB">
        <w:rPr>
          <w:rFonts w:asciiTheme="majorHAnsi" w:hAnsiTheme="majorHAnsi" w:cstheme="majorHAnsi"/>
        </w:rPr>
        <w:t xml:space="preserve"> T cell recruitment to the tumor tissue</w:t>
      </w:r>
      <w:r w:rsidRPr="00172BFB">
        <w:rPr>
          <w:rFonts w:asciiTheme="majorHAnsi" w:hAnsiTheme="majorHAnsi" w:cstheme="majorHAnsi"/>
          <w:i/>
          <w:vertAlign w:val="superscript"/>
        </w:rPr>
        <w:t>10–13</w:t>
      </w:r>
      <w:r w:rsidRPr="00172BFB">
        <w:rPr>
          <w:rFonts w:asciiTheme="majorHAnsi" w:hAnsiTheme="majorHAnsi" w:cstheme="majorHAnsi"/>
        </w:rPr>
        <w:t xml:space="preserve">. Over the last few years, numerous studies have highlighted that tumor rejection and effective responses to ICB or ACT strongly correlate with the presence of </w:t>
      </w:r>
      <w:proofErr w:type="spellStart"/>
      <w:r w:rsidRPr="00172BFB">
        <w:rPr>
          <w:rFonts w:asciiTheme="majorHAnsi" w:hAnsiTheme="majorHAnsi" w:cstheme="majorHAnsi"/>
        </w:rPr>
        <w:t>intratumoral</w:t>
      </w:r>
      <w:proofErr w:type="spellEnd"/>
      <w:r w:rsidRPr="00172BFB">
        <w:rPr>
          <w:rFonts w:asciiTheme="majorHAnsi" w:hAnsiTheme="majorHAnsi" w:cstheme="majorHAnsi"/>
        </w:rPr>
        <w:t xml:space="preserve"> cDC1s</w:t>
      </w:r>
      <w:r w:rsidRPr="00172BFB">
        <w:rPr>
          <w:rFonts w:asciiTheme="majorHAnsi" w:hAnsiTheme="majorHAnsi" w:cstheme="majorHAnsi"/>
          <w:i/>
          <w:vertAlign w:val="superscript"/>
        </w:rPr>
        <w:t>12,13</w:t>
      </w:r>
      <w:r w:rsidRPr="00172BFB">
        <w:rPr>
          <w:rFonts w:asciiTheme="majorHAnsi" w:hAnsiTheme="majorHAnsi" w:cstheme="majorHAnsi"/>
        </w:rPr>
        <w:t>. Hence, cDC1s have developed as an attractive target for cancer immunotherapy and successfully harnessing their unique features can have significant translational potential.</w:t>
      </w:r>
    </w:p>
    <w:p w14:paraId="19E10E84" w14:textId="77777777" w:rsidR="004D2710" w:rsidRPr="00172BFB" w:rsidRDefault="004D2710" w:rsidP="00172BFB">
      <w:pPr>
        <w:ind w:left="142"/>
        <w:rPr>
          <w:rFonts w:asciiTheme="majorHAnsi" w:hAnsiTheme="majorHAnsi" w:cstheme="majorHAnsi"/>
        </w:rPr>
      </w:pPr>
    </w:p>
    <w:p w14:paraId="69F68CEE" w14:textId="727477D1" w:rsidR="004D2710" w:rsidRPr="00172BFB" w:rsidRDefault="00172BFB" w:rsidP="00172BFB">
      <w:pPr>
        <w:ind w:left="142"/>
        <w:rPr>
          <w:rFonts w:asciiTheme="majorHAnsi" w:hAnsiTheme="majorHAnsi" w:cstheme="majorHAnsi"/>
        </w:rPr>
      </w:pPr>
      <w:r w:rsidRPr="00172BFB">
        <w:rPr>
          <w:rFonts w:asciiTheme="majorHAnsi" w:hAnsiTheme="majorHAnsi" w:cstheme="majorHAnsi"/>
        </w:rPr>
        <w:t>Current methods to generate cDC1s are based on blood isolation or differentiation from CD34</w:t>
      </w:r>
      <w:r w:rsidRPr="00172BFB">
        <w:rPr>
          <w:rFonts w:asciiTheme="majorHAnsi" w:hAnsiTheme="majorHAnsi" w:cstheme="majorHAnsi"/>
          <w:vertAlign w:val="superscript"/>
        </w:rPr>
        <w:t>+</w:t>
      </w:r>
      <w:r w:rsidRPr="00172BFB">
        <w:rPr>
          <w:rFonts w:asciiTheme="majorHAnsi" w:hAnsiTheme="majorHAnsi" w:cstheme="majorHAnsi"/>
        </w:rPr>
        <w:t xml:space="preserve"> progenitors or pluripotent stem cells</w:t>
      </w:r>
      <w:r w:rsidRPr="00172BFB">
        <w:rPr>
          <w:rFonts w:asciiTheme="majorHAnsi" w:hAnsiTheme="majorHAnsi" w:cstheme="majorHAnsi"/>
          <w:i/>
          <w:vertAlign w:val="superscript"/>
        </w:rPr>
        <w:t>14–16</w:t>
      </w:r>
      <w:r w:rsidRPr="00172BFB">
        <w:rPr>
          <w:rFonts w:asciiTheme="majorHAnsi" w:hAnsiTheme="majorHAnsi" w:cstheme="majorHAnsi"/>
        </w:rPr>
        <w:t xml:space="preserve">. The predominant clinical strategies rely on isolating a mixture of autologous DC subsets from the blood and stimulating them </w:t>
      </w:r>
      <w:r w:rsidRPr="00172BFB">
        <w:rPr>
          <w:rFonts w:asciiTheme="majorHAnsi" w:hAnsiTheme="majorHAnsi" w:cstheme="majorHAnsi"/>
          <w:i/>
          <w:iCs/>
        </w:rPr>
        <w:t>ex vivo</w:t>
      </w:r>
      <w:r w:rsidRPr="00172BFB">
        <w:rPr>
          <w:rFonts w:asciiTheme="majorHAnsi" w:hAnsiTheme="majorHAnsi" w:cstheme="majorHAnsi"/>
        </w:rPr>
        <w:t xml:space="preserve"> with toll-like receptor agonists or pro-inflammatory cytokines to induce a mature, immunogenic program before reinfusion</w:t>
      </w:r>
      <w:r w:rsidRPr="00172BFB">
        <w:rPr>
          <w:rFonts w:asciiTheme="majorHAnsi" w:hAnsiTheme="majorHAnsi" w:cstheme="majorHAnsi"/>
          <w:vertAlign w:val="superscript"/>
        </w:rPr>
        <w:t>16</w:t>
      </w:r>
      <w:r w:rsidRPr="00172BFB">
        <w:rPr>
          <w:rFonts w:asciiTheme="majorHAnsi" w:hAnsiTheme="majorHAnsi" w:cstheme="majorHAnsi"/>
        </w:rPr>
        <w:t>. However, these strategies are limited by poor cell maturation, immunosuppressive barriers in the TME</w:t>
      </w:r>
      <w:r w:rsidR="00676386" w:rsidRPr="00172BFB">
        <w:rPr>
          <w:rFonts w:asciiTheme="majorHAnsi" w:hAnsiTheme="majorHAnsi" w:cstheme="majorHAnsi"/>
        </w:rPr>
        <w:t>,</w:t>
      </w:r>
      <w:r w:rsidRPr="00172BFB">
        <w:rPr>
          <w:rFonts w:asciiTheme="majorHAnsi" w:hAnsiTheme="majorHAnsi" w:cstheme="majorHAnsi"/>
        </w:rPr>
        <w:t xml:space="preserve"> and subset heterogeneity in the infused DC mixture, where only a small proportion of cDC1s is present</w:t>
      </w:r>
      <w:r w:rsidRPr="00172BFB">
        <w:rPr>
          <w:rFonts w:asciiTheme="majorHAnsi" w:hAnsiTheme="majorHAnsi" w:cstheme="majorHAnsi"/>
          <w:i/>
          <w:vertAlign w:val="superscript"/>
        </w:rPr>
        <w:t>7</w:t>
      </w:r>
      <w:r w:rsidRPr="00172BFB">
        <w:rPr>
          <w:rFonts w:asciiTheme="majorHAnsi" w:hAnsiTheme="majorHAnsi" w:cstheme="majorHAnsi"/>
        </w:rPr>
        <w:t>. Moreover, isolating only cDC1s for cancer immunotherapy or vaccination is challenging due their extremely low abundance in peripheral blood (&lt;0.3%)</w:t>
      </w:r>
      <w:r w:rsidRPr="00172BFB">
        <w:rPr>
          <w:rFonts w:asciiTheme="majorHAnsi" w:hAnsiTheme="majorHAnsi" w:cstheme="majorHAnsi"/>
          <w:i/>
          <w:vertAlign w:val="superscript"/>
        </w:rPr>
        <w:t>16</w:t>
      </w:r>
      <w:r w:rsidRPr="00172BFB">
        <w:rPr>
          <w:rFonts w:asciiTheme="majorHAnsi" w:hAnsiTheme="majorHAnsi" w:cstheme="majorHAnsi"/>
        </w:rPr>
        <w:t>. Additionally, cDC1s can be produced from CD34</w:t>
      </w:r>
      <w:r w:rsidRPr="00172BFB">
        <w:rPr>
          <w:rFonts w:asciiTheme="majorHAnsi" w:hAnsiTheme="majorHAnsi" w:cstheme="majorHAnsi"/>
          <w:vertAlign w:val="superscript"/>
        </w:rPr>
        <w:t>+</w:t>
      </w:r>
      <w:r w:rsidRPr="00172BFB">
        <w:rPr>
          <w:rFonts w:asciiTheme="majorHAnsi" w:hAnsiTheme="majorHAnsi" w:cstheme="majorHAnsi"/>
        </w:rPr>
        <w:t xml:space="preserve"> progenitor cells or induced </w:t>
      </w:r>
      <w:r w:rsidRPr="00172BFB">
        <w:rPr>
          <w:rFonts w:asciiTheme="majorHAnsi" w:hAnsiTheme="majorHAnsi" w:cstheme="majorHAnsi"/>
        </w:rPr>
        <w:lastRenderedPageBreak/>
        <w:t>pluripotent stem cells using cytokines and NOTCH signaling. However, these methods require complex and long protocols and yield low numbers and heterogen</w:t>
      </w:r>
      <w:r w:rsidR="00676386" w:rsidRPr="00172BFB">
        <w:rPr>
          <w:rFonts w:asciiTheme="majorHAnsi" w:hAnsiTheme="majorHAnsi" w:cstheme="majorHAnsi"/>
        </w:rPr>
        <w:t>e</w:t>
      </w:r>
      <w:r w:rsidRPr="00172BFB">
        <w:rPr>
          <w:rFonts w:asciiTheme="majorHAnsi" w:hAnsiTheme="majorHAnsi" w:cstheme="majorHAnsi"/>
        </w:rPr>
        <w:t>ous populations of DC subsets</w:t>
      </w:r>
      <w:r w:rsidRPr="00172BFB">
        <w:rPr>
          <w:rFonts w:asciiTheme="majorHAnsi" w:hAnsiTheme="majorHAnsi" w:cstheme="majorHAnsi"/>
          <w:i/>
          <w:vertAlign w:val="superscript"/>
        </w:rPr>
        <w:t>17–19</w:t>
      </w:r>
      <w:r w:rsidRPr="00172BFB">
        <w:rPr>
          <w:rFonts w:asciiTheme="majorHAnsi" w:hAnsiTheme="majorHAnsi" w:cstheme="majorHAnsi"/>
        </w:rPr>
        <w:t>.</w:t>
      </w:r>
    </w:p>
    <w:p w14:paraId="32898265" w14:textId="77777777" w:rsidR="004D2710" w:rsidRPr="00172BFB" w:rsidRDefault="004D2710" w:rsidP="00172BFB">
      <w:pPr>
        <w:ind w:left="142"/>
        <w:rPr>
          <w:rFonts w:asciiTheme="majorHAnsi" w:eastAsia="Roboto" w:hAnsiTheme="majorHAnsi" w:cstheme="majorHAnsi"/>
        </w:rPr>
      </w:pPr>
    </w:p>
    <w:p w14:paraId="605C20CD" w14:textId="77121272" w:rsidR="004D2710" w:rsidRPr="00172BFB" w:rsidRDefault="00172BFB" w:rsidP="00172BFB">
      <w:pPr>
        <w:ind w:left="142"/>
        <w:rPr>
          <w:rFonts w:asciiTheme="majorHAnsi" w:hAnsiTheme="majorHAnsi" w:cstheme="majorHAnsi"/>
        </w:rPr>
      </w:pPr>
      <w:r w:rsidRPr="00172BFB">
        <w:rPr>
          <w:rFonts w:asciiTheme="majorHAnsi" w:hAnsiTheme="majorHAnsi" w:cstheme="majorHAnsi"/>
        </w:rPr>
        <w:t>To address these limitations</w:t>
      </w:r>
      <w:proofErr w:type="gramStart"/>
      <w:r w:rsidRPr="00172BFB">
        <w:rPr>
          <w:rFonts w:asciiTheme="majorHAnsi" w:hAnsiTheme="majorHAnsi" w:cstheme="majorHAnsi"/>
        </w:rPr>
        <w:t xml:space="preserve">,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reprogramming provides a suitable strategy for cancer immunotherapy to generate cDC1-like cells, which resemble the phenotypic, transcriptional</w:t>
      </w:r>
      <w:r w:rsidR="00837D04" w:rsidRPr="00172BFB">
        <w:rPr>
          <w:rFonts w:asciiTheme="majorHAnsi" w:hAnsiTheme="majorHAnsi" w:cstheme="majorHAnsi"/>
        </w:rPr>
        <w:t>,</w:t>
      </w:r>
      <w:r w:rsidRPr="00172BFB">
        <w:rPr>
          <w:rFonts w:asciiTheme="majorHAnsi" w:hAnsiTheme="majorHAnsi" w:cstheme="majorHAnsi"/>
        </w:rPr>
        <w:t xml:space="preserve"> and functional properties of cDC1s</w:t>
      </w:r>
      <w:r w:rsidRPr="00172BFB">
        <w:rPr>
          <w:rFonts w:asciiTheme="majorHAnsi" w:hAnsiTheme="majorHAnsi" w:cstheme="majorHAnsi"/>
          <w:i/>
          <w:vertAlign w:val="superscript"/>
        </w:rPr>
        <w:t>20</w:t>
      </w:r>
      <w:r w:rsidRPr="00172BFB">
        <w:rPr>
          <w:rFonts w:asciiTheme="majorHAnsi" w:hAnsiTheme="majorHAnsi" w:cstheme="majorHAnsi"/>
        </w:rPr>
        <w:t xml:space="preserve">. Through the overexpression of the cDC1-specific minimal gene regulatory </w:t>
      </w:r>
      <w:r w:rsidR="00752A0E" w:rsidRPr="00172BFB">
        <w:rPr>
          <w:rFonts w:asciiTheme="majorHAnsi" w:hAnsiTheme="majorHAnsi" w:cstheme="majorHAnsi"/>
        </w:rPr>
        <w:t>network—</w:t>
      </w:r>
      <w:r w:rsidRPr="00172BFB">
        <w:rPr>
          <w:rFonts w:asciiTheme="majorHAnsi" w:hAnsiTheme="majorHAnsi" w:cstheme="majorHAnsi"/>
        </w:rPr>
        <w:t>PU.1, IRF8</w:t>
      </w:r>
      <w:r w:rsidR="00752A0E" w:rsidRPr="00172BFB">
        <w:rPr>
          <w:rFonts w:asciiTheme="majorHAnsi" w:hAnsiTheme="majorHAnsi" w:cstheme="majorHAnsi"/>
        </w:rPr>
        <w:t>,</w:t>
      </w:r>
      <w:r w:rsidRPr="00172BFB">
        <w:rPr>
          <w:rFonts w:asciiTheme="majorHAnsi" w:hAnsiTheme="majorHAnsi" w:cstheme="majorHAnsi"/>
        </w:rPr>
        <w:t xml:space="preserve"> and BATF3 (collectively referred to as PIB)</w:t>
      </w:r>
      <w:r w:rsidR="00752A0E" w:rsidRPr="00172BFB">
        <w:rPr>
          <w:rFonts w:asciiTheme="majorHAnsi" w:hAnsiTheme="majorHAnsi" w:cstheme="majorHAnsi"/>
        </w:rPr>
        <w:t>—</w:t>
      </w:r>
      <w:r w:rsidRPr="00172BFB">
        <w:rPr>
          <w:rFonts w:asciiTheme="majorHAnsi" w:hAnsiTheme="majorHAnsi" w:cstheme="majorHAnsi"/>
        </w:rPr>
        <w:t>fibroblasts, stromal cells</w:t>
      </w:r>
      <w:r w:rsidR="00752A0E" w:rsidRPr="00172BFB">
        <w:rPr>
          <w:rFonts w:asciiTheme="majorHAnsi" w:hAnsiTheme="majorHAnsi" w:cstheme="majorHAnsi"/>
        </w:rPr>
        <w:t>,</w:t>
      </w:r>
      <w:r w:rsidRPr="00172BFB">
        <w:rPr>
          <w:rFonts w:asciiTheme="majorHAnsi" w:hAnsiTheme="majorHAnsi" w:cstheme="majorHAnsi"/>
        </w:rPr>
        <w:t xml:space="preserve"> and cancer cells have been gradually reprogrammed into cDC1-like cells enabling tumor antigen processing and presentation on MHC class I and II, co-stimulatory </w:t>
      </w:r>
      <w:r w:rsidR="00765EF4" w:rsidRPr="00172BFB">
        <w:rPr>
          <w:rFonts w:asciiTheme="majorHAnsi" w:hAnsiTheme="majorHAnsi" w:cstheme="majorHAnsi"/>
        </w:rPr>
        <w:t>signaling via</w:t>
      </w:r>
      <w:r w:rsidRPr="00172BFB">
        <w:rPr>
          <w:rFonts w:asciiTheme="majorHAnsi" w:hAnsiTheme="majorHAnsi" w:cstheme="majorHAnsi"/>
        </w:rPr>
        <w:t xml:space="preserve"> CD80 and CD86, and cytokine/chemokine secretion</w:t>
      </w:r>
      <w:r w:rsidR="00752A0E" w:rsidRPr="00172BFB">
        <w:rPr>
          <w:rFonts w:asciiTheme="majorHAnsi" w:hAnsiTheme="majorHAnsi" w:cstheme="majorHAnsi"/>
        </w:rPr>
        <w:t>,</w:t>
      </w:r>
      <w:r w:rsidRPr="00172BFB">
        <w:rPr>
          <w:rFonts w:asciiTheme="majorHAnsi" w:hAnsiTheme="majorHAnsi" w:cstheme="majorHAnsi"/>
        </w:rPr>
        <w:t xml:space="preserve"> including CXCL9/10 and IL-12</w:t>
      </w:r>
      <w:r w:rsidRPr="00172BFB">
        <w:rPr>
          <w:rFonts w:asciiTheme="majorHAnsi" w:hAnsiTheme="majorHAnsi" w:cstheme="majorHAnsi"/>
          <w:i/>
          <w:vertAlign w:val="superscript"/>
        </w:rPr>
        <w:t>20–23</w:t>
      </w:r>
      <w:r w:rsidRPr="00172BFB">
        <w:rPr>
          <w:rFonts w:asciiTheme="majorHAnsi" w:hAnsiTheme="majorHAnsi" w:cstheme="majorHAnsi"/>
        </w:rPr>
        <w:t xml:space="preserve">. cDC1 reprogramming progressed faster and more efficiently across human xenografts </w:t>
      </w:r>
      <w:r w:rsidRPr="00172BFB">
        <w:rPr>
          <w:rFonts w:asciiTheme="majorHAnsi" w:hAnsiTheme="majorHAnsi" w:cstheme="majorHAnsi"/>
          <w:i/>
          <w:iCs/>
        </w:rPr>
        <w:t>in vivo</w:t>
      </w:r>
      <w:r w:rsidRPr="00172BFB">
        <w:rPr>
          <w:rFonts w:asciiTheme="majorHAnsi" w:hAnsiTheme="majorHAnsi" w:cstheme="majorHAnsi"/>
        </w:rPr>
        <w:t xml:space="preserve"> and independently of immunosuppression, generating cDC1-like cells with a mature immunogenic signature</w:t>
      </w:r>
      <w:r w:rsidRPr="00172BFB">
        <w:rPr>
          <w:rFonts w:asciiTheme="majorHAnsi" w:hAnsiTheme="majorHAnsi" w:cstheme="majorHAnsi"/>
          <w:i/>
          <w:vertAlign w:val="superscript"/>
        </w:rPr>
        <w:t>20</w:t>
      </w:r>
      <w:r w:rsidRPr="00172BFB">
        <w:rPr>
          <w:rFonts w:asciiTheme="majorHAnsi" w:hAnsiTheme="majorHAnsi" w:cstheme="majorHAnsi"/>
        </w:rPr>
        <w:t>. In syngeneic melanoma tumors, we observed that cDC1-like cells remodeled their TME, induced the formation of tertiary lymphoid structure (TLS), and recruited and expanded polyclonal T</w:t>
      </w:r>
      <w:r w:rsidRPr="00172BFB">
        <w:rPr>
          <w:rFonts w:asciiTheme="majorHAnsi" w:hAnsiTheme="majorHAnsi" w:cstheme="majorHAnsi"/>
          <w:vertAlign w:val="subscript"/>
        </w:rPr>
        <w:t>H1</w:t>
      </w:r>
      <w:r w:rsidRPr="00172BFB">
        <w:rPr>
          <w:rFonts w:asciiTheme="majorHAnsi" w:hAnsiTheme="majorHAnsi" w:cstheme="majorHAnsi"/>
        </w:rPr>
        <w:t xml:space="preserve"> and cytotoxic memory T cells</w:t>
      </w:r>
      <w:r w:rsidR="004A54B8" w:rsidRPr="00172BFB">
        <w:rPr>
          <w:rFonts w:asciiTheme="majorHAnsi" w:hAnsiTheme="majorHAnsi" w:cstheme="majorHAnsi"/>
        </w:rPr>
        <w:t>,</w:t>
      </w:r>
      <w:r w:rsidRPr="00172BFB">
        <w:rPr>
          <w:rFonts w:asciiTheme="majorHAnsi" w:hAnsiTheme="majorHAnsi" w:cstheme="majorHAnsi"/>
        </w:rPr>
        <w:t xml:space="preserve"> leading to long-term systemic immunity</w:t>
      </w:r>
      <w:r w:rsidRPr="00172BFB">
        <w:rPr>
          <w:rFonts w:asciiTheme="majorHAnsi" w:hAnsiTheme="majorHAnsi" w:cstheme="majorHAnsi"/>
          <w:i/>
          <w:vertAlign w:val="superscript"/>
        </w:rPr>
        <w:t>20</w:t>
      </w:r>
      <w:r w:rsidRPr="00172BFB">
        <w:rPr>
          <w:rFonts w:asciiTheme="majorHAnsi" w:hAnsiTheme="majorHAnsi" w:cstheme="majorHAnsi"/>
        </w:rPr>
        <w:t xml:space="preserve">. Finally, we developed a novel cancer immunotherapy modality based on </w:t>
      </w:r>
      <w:r w:rsidRPr="00172BFB">
        <w:rPr>
          <w:rFonts w:asciiTheme="majorHAnsi" w:hAnsiTheme="majorHAnsi" w:cstheme="majorHAnsi"/>
          <w:i/>
          <w:iCs/>
        </w:rPr>
        <w:t>in situ</w:t>
      </w:r>
      <w:r w:rsidRPr="00172BFB">
        <w:rPr>
          <w:rFonts w:asciiTheme="majorHAnsi" w:hAnsiTheme="majorHAnsi" w:cstheme="majorHAnsi"/>
        </w:rPr>
        <w:t xml:space="preserve"> reprogramming of cancer cells into cDC1-like cells by </w:t>
      </w:r>
      <w:proofErr w:type="spellStart"/>
      <w:r w:rsidRPr="00172BFB">
        <w:rPr>
          <w:rFonts w:asciiTheme="majorHAnsi" w:hAnsiTheme="majorHAnsi" w:cstheme="majorHAnsi"/>
        </w:rPr>
        <w:t>intratumoral</w:t>
      </w:r>
      <w:proofErr w:type="spellEnd"/>
      <w:r w:rsidRPr="00172BFB">
        <w:rPr>
          <w:rFonts w:asciiTheme="majorHAnsi" w:hAnsiTheme="majorHAnsi" w:cstheme="majorHAnsi"/>
        </w:rPr>
        <w:t xml:space="preserve"> injection of adenoviral vectors</w:t>
      </w:r>
      <w:r w:rsidRPr="00172BFB">
        <w:rPr>
          <w:rFonts w:asciiTheme="majorHAnsi" w:hAnsiTheme="majorHAnsi" w:cstheme="majorHAnsi"/>
          <w:i/>
          <w:vertAlign w:val="superscript"/>
        </w:rPr>
        <w:t>20</w:t>
      </w:r>
      <w:r w:rsidRPr="00172BFB">
        <w:rPr>
          <w:rFonts w:asciiTheme="majorHAnsi" w:hAnsiTheme="majorHAnsi" w:cstheme="majorHAnsi"/>
        </w:rPr>
        <w:t>. These findings pave the way for clinical translation of cDC1 reprogramming as a new cancer immunotherapy modality that can harness the functional properties of cDC1s.</w:t>
      </w:r>
    </w:p>
    <w:p w14:paraId="49633695" w14:textId="77777777" w:rsidR="004D2710" w:rsidRPr="00172BFB" w:rsidRDefault="004D2710" w:rsidP="00172BFB">
      <w:pPr>
        <w:ind w:left="142"/>
        <w:rPr>
          <w:rFonts w:asciiTheme="majorHAnsi" w:hAnsiTheme="majorHAnsi" w:cstheme="majorHAnsi"/>
        </w:rPr>
      </w:pPr>
    </w:p>
    <w:p w14:paraId="7E31D15C" w14:textId="7C19976B"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Here, we present a tractable protocol to generate cDC1-like cells within the TME based </w:t>
      </w:r>
      <w:proofErr w:type="gramStart"/>
      <w:r w:rsidRPr="00172BFB">
        <w:rPr>
          <w:rFonts w:asciiTheme="majorHAnsi" w:hAnsiTheme="majorHAnsi" w:cstheme="majorHAnsi"/>
        </w:rPr>
        <w:t xml:space="preserve">on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cDC1 reprogramming. Lentiviral delivery of PIB to cancer cells and subsequent implantation as a defined mix of transduced cancer cells with </w:t>
      </w:r>
      <w:proofErr w:type="spellStart"/>
      <w:r w:rsidRPr="00172BFB">
        <w:rPr>
          <w:rFonts w:asciiTheme="majorHAnsi" w:hAnsiTheme="majorHAnsi" w:cstheme="majorHAnsi"/>
        </w:rPr>
        <w:t>untransduced</w:t>
      </w:r>
      <w:proofErr w:type="spellEnd"/>
      <w:r w:rsidRPr="00172BFB">
        <w:rPr>
          <w:rFonts w:asciiTheme="majorHAnsi" w:hAnsiTheme="majorHAnsi" w:cstheme="majorHAnsi"/>
        </w:rPr>
        <w:t xml:space="preserve"> parental cancer cells allows </w:t>
      </w:r>
      <w:r w:rsidRPr="00172BFB">
        <w:rPr>
          <w:rFonts w:asciiTheme="majorHAnsi" w:hAnsiTheme="majorHAnsi" w:cstheme="majorHAnsi"/>
          <w:i/>
          <w:iCs/>
        </w:rPr>
        <w:t>in vivo</w:t>
      </w:r>
      <w:r w:rsidRPr="00172BFB">
        <w:rPr>
          <w:rFonts w:asciiTheme="majorHAnsi" w:hAnsiTheme="majorHAnsi" w:cstheme="majorHAnsi"/>
        </w:rPr>
        <w:t xml:space="preserve"> reprogramming of a controlled fraction of cancer cells within the TME. Additionally, this method is not limited by the </w:t>
      </w:r>
      <w:proofErr w:type="gramStart"/>
      <w:r w:rsidRPr="00172BFB">
        <w:rPr>
          <w:rFonts w:asciiTheme="majorHAnsi" w:hAnsiTheme="majorHAnsi" w:cstheme="majorHAnsi"/>
          <w:i/>
          <w:iCs/>
        </w:rPr>
        <w:t>in situ</w:t>
      </w:r>
      <w:proofErr w:type="gramEnd"/>
      <w:r w:rsidRPr="00172BFB">
        <w:rPr>
          <w:rFonts w:asciiTheme="majorHAnsi" w:hAnsiTheme="majorHAnsi" w:cstheme="majorHAnsi"/>
        </w:rPr>
        <w:t xml:space="preserve"> delivery efficiency of viral vectors</w:t>
      </w:r>
      <w:r w:rsidRPr="00172BFB">
        <w:rPr>
          <w:rFonts w:asciiTheme="majorHAnsi" w:hAnsiTheme="majorHAnsi" w:cstheme="majorHAnsi"/>
          <w:i/>
          <w:vertAlign w:val="superscript"/>
        </w:rPr>
        <w:t>20</w:t>
      </w:r>
      <w:r w:rsidRPr="00172BFB">
        <w:rPr>
          <w:rFonts w:asciiTheme="majorHAnsi" w:hAnsiTheme="majorHAnsi" w:cstheme="majorHAnsi"/>
        </w:rPr>
        <w:t xml:space="preserve">. We outline the steps for efficient lentiviral vector production, functional titration, and </w:t>
      </w:r>
      <w:r w:rsidRPr="00172BFB">
        <w:rPr>
          <w:rFonts w:asciiTheme="majorHAnsi" w:hAnsiTheme="majorHAnsi" w:cstheme="majorHAnsi"/>
          <w:i/>
          <w:iCs/>
        </w:rPr>
        <w:t>in vivo</w:t>
      </w:r>
      <w:r w:rsidRPr="00172BFB">
        <w:rPr>
          <w:rFonts w:asciiTheme="majorHAnsi" w:hAnsiTheme="majorHAnsi" w:cstheme="majorHAnsi"/>
        </w:rPr>
        <w:t xml:space="preserve"> cDC1 reprogramming using the syngeneic melanoma model, YUMM1.7</w:t>
      </w:r>
      <w:r w:rsidR="00752A0E" w:rsidRPr="00172BFB">
        <w:rPr>
          <w:rFonts w:asciiTheme="majorHAnsi" w:hAnsiTheme="majorHAnsi" w:cstheme="majorHAnsi"/>
        </w:rPr>
        <w:t>,</w:t>
      </w:r>
      <w:r w:rsidRPr="00172BFB">
        <w:rPr>
          <w:rFonts w:asciiTheme="majorHAnsi" w:hAnsiTheme="majorHAnsi" w:cstheme="majorHAnsi"/>
        </w:rPr>
        <w:t xml:space="preserve"> as an example. We detail the experimental setup and the gating strategy for </w:t>
      </w:r>
      <w:proofErr w:type="gramStart"/>
      <w:r w:rsidRPr="00172BFB">
        <w:rPr>
          <w:rFonts w:asciiTheme="majorHAnsi" w:hAnsiTheme="majorHAnsi" w:cstheme="majorHAnsi"/>
        </w:rPr>
        <w:t xml:space="preserve">analyzing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reprogrammed </w:t>
      </w:r>
      <w:r w:rsidR="00482165" w:rsidRPr="00172BFB">
        <w:rPr>
          <w:rFonts w:asciiTheme="majorHAnsi" w:hAnsiTheme="majorHAnsi" w:cstheme="majorHAnsi"/>
        </w:rPr>
        <w:t xml:space="preserve">cDC1-like </w:t>
      </w:r>
      <w:r w:rsidRPr="00172BFB">
        <w:rPr>
          <w:rFonts w:asciiTheme="majorHAnsi" w:hAnsiTheme="majorHAnsi" w:cstheme="majorHAnsi"/>
        </w:rPr>
        <w:t xml:space="preserve">cells by flow cytometry after tumor dissociation. We also provide </w:t>
      </w:r>
      <w:proofErr w:type="gramStart"/>
      <w:r w:rsidRPr="00172BFB">
        <w:rPr>
          <w:rFonts w:asciiTheme="majorHAnsi" w:hAnsiTheme="majorHAnsi" w:cstheme="majorHAnsi"/>
        </w:rPr>
        <w:t>the steps</w:t>
      </w:r>
      <w:proofErr w:type="gramEnd"/>
      <w:r w:rsidRPr="00172BFB">
        <w:rPr>
          <w:rFonts w:asciiTheme="majorHAnsi" w:hAnsiTheme="majorHAnsi" w:cstheme="majorHAnsi"/>
        </w:rPr>
        <w:t xml:space="preserve"> to evaluate changes in the TME by performing cryopreservation, sectioning, and immunofluorescence staining of tumor sections</w:t>
      </w:r>
      <w:r w:rsidR="004A54B8" w:rsidRPr="00172BFB">
        <w:rPr>
          <w:rFonts w:asciiTheme="majorHAnsi" w:hAnsiTheme="majorHAnsi" w:cstheme="majorHAnsi"/>
        </w:rPr>
        <w:t>,</w:t>
      </w:r>
      <w:r w:rsidRPr="00172BFB">
        <w:rPr>
          <w:rFonts w:asciiTheme="majorHAnsi" w:hAnsiTheme="majorHAnsi" w:cstheme="majorHAnsi"/>
        </w:rPr>
        <w:t xml:space="preserve"> followed by confocal microscopy. Finally, we address how to monitor cDC1-induced immunity by measuring tumor growth and survival. This tractable and scalable approach offers researchers a valuable tool to assess combinatorial treatment strategies </w:t>
      </w:r>
      <w:proofErr w:type="gramStart"/>
      <w:r w:rsidRPr="00172BFB">
        <w:rPr>
          <w:rFonts w:asciiTheme="majorHAnsi" w:hAnsiTheme="majorHAnsi" w:cstheme="majorHAnsi"/>
        </w:rPr>
        <w:t xml:space="preserve">with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cDC1 reprogramming, to characterize changes in the TME and TLS neogenesis across cancer models or perform large screens modifying the expression of various immune pathways, </w:t>
      </w:r>
      <w:r w:rsidR="00752A0E" w:rsidRPr="00172BFB">
        <w:rPr>
          <w:rFonts w:asciiTheme="majorHAnsi" w:hAnsiTheme="majorHAnsi" w:cstheme="majorHAnsi"/>
        </w:rPr>
        <w:t xml:space="preserve">for example, </w:t>
      </w:r>
      <w:r w:rsidRPr="00172BFB">
        <w:rPr>
          <w:rFonts w:asciiTheme="majorHAnsi" w:hAnsiTheme="majorHAnsi" w:cstheme="majorHAnsi"/>
        </w:rPr>
        <w:t>antigen presentation or cytokine/chemokine secretion, and unravel their impact on antitumor immunity.</w:t>
      </w:r>
    </w:p>
    <w:p w14:paraId="5839B174" w14:textId="77777777" w:rsidR="004D2710" w:rsidRPr="00172BFB" w:rsidRDefault="004D2710" w:rsidP="00172BFB">
      <w:pPr>
        <w:ind w:left="142"/>
        <w:rPr>
          <w:rFonts w:asciiTheme="majorHAnsi" w:hAnsiTheme="majorHAnsi" w:cstheme="majorHAnsi"/>
          <w:b/>
        </w:rPr>
      </w:pPr>
    </w:p>
    <w:p w14:paraId="385992B9"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PROTOCOL:</w:t>
      </w:r>
      <w:r w:rsidRPr="00172BFB">
        <w:rPr>
          <w:rFonts w:asciiTheme="majorHAnsi" w:hAnsiTheme="majorHAnsi" w:cstheme="majorHAnsi"/>
        </w:rPr>
        <w:t xml:space="preserve"> </w:t>
      </w:r>
    </w:p>
    <w:p w14:paraId="5F5E860B" w14:textId="77777777" w:rsidR="004D2710" w:rsidRPr="00172BFB" w:rsidRDefault="004D2710" w:rsidP="00172BFB">
      <w:pPr>
        <w:ind w:left="142"/>
        <w:rPr>
          <w:rFonts w:asciiTheme="majorHAnsi" w:hAnsiTheme="majorHAnsi" w:cstheme="majorHAnsi"/>
        </w:rPr>
      </w:pPr>
    </w:p>
    <w:p w14:paraId="2EE298B3" w14:textId="77777777" w:rsidR="006F20FC" w:rsidRPr="00172BFB" w:rsidRDefault="006F20FC" w:rsidP="00172BFB">
      <w:pPr>
        <w:widowControl/>
        <w:ind w:left="142"/>
        <w:rPr>
          <w:rFonts w:asciiTheme="majorHAnsi" w:hAnsiTheme="majorHAnsi" w:cstheme="majorHAnsi"/>
        </w:rPr>
      </w:pPr>
      <w:r w:rsidRPr="00172BFB">
        <w:rPr>
          <w:rFonts w:asciiTheme="majorHAnsi" w:hAnsiTheme="majorHAnsi" w:cstheme="majorHAnsi"/>
        </w:rPr>
        <w:t>Animal experimental procedures were performed in accordance with Swedish regulations after approval from the Swedish Board of Agriculture.</w:t>
      </w:r>
    </w:p>
    <w:p w14:paraId="3FD45886" w14:textId="77777777" w:rsidR="006F20FC" w:rsidRPr="00172BFB" w:rsidRDefault="006F20FC" w:rsidP="00172BFB">
      <w:pPr>
        <w:ind w:left="142"/>
        <w:rPr>
          <w:rFonts w:asciiTheme="majorHAnsi" w:hAnsiTheme="majorHAnsi" w:cstheme="majorHAnsi"/>
        </w:rPr>
      </w:pPr>
    </w:p>
    <w:p w14:paraId="48492EBC" w14:textId="7B05046D" w:rsidR="004D2710" w:rsidRPr="00172BFB" w:rsidRDefault="000316B5" w:rsidP="00172BFB">
      <w:pPr>
        <w:numPr>
          <w:ilvl w:val="0"/>
          <w:numId w:val="1"/>
        </w:numPr>
        <w:ind w:left="142" w:firstLine="0"/>
        <w:rPr>
          <w:rFonts w:asciiTheme="majorHAnsi" w:hAnsiTheme="majorHAnsi" w:cstheme="majorHAnsi"/>
          <w:b/>
        </w:rPr>
      </w:pPr>
      <w:bookmarkStart w:id="3" w:name="_heading=h.vsak2sw48f55" w:colFirst="0" w:colLast="0"/>
      <w:bookmarkEnd w:id="3"/>
      <w:r w:rsidRPr="00172BFB">
        <w:rPr>
          <w:rFonts w:asciiTheme="majorHAnsi" w:hAnsiTheme="majorHAnsi" w:cstheme="majorHAnsi"/>
          <w:b/>
        </w:rPr>
        <w:lastRenderedPageBreak/>
        <w:t xml:space="preserve"> </w:t>
      </w:r>
      <w:r w:rsidR="00172BFB" w:rsidRPr="00172BFB">
        <w:rPr>
          <w:rFonts w:asciiTheme="majorHAnsi" w:hAnsiTheme="majorHAnsi" w:cstheme="majorHAnsi"/>
          <w:b/>
        </w:rPr>
        <w:t>Reagent preparation</w:t>
      </w:r>
    </w:p>
    <w:p w14:paraId="3A92BADD" w14:textId="77777777" w:rsidR="004D2710" w:rsidRPr="00172BFB" w:rsidRDefault="004D2710" w:rsidP="00172BFB">
      <w:pPr>
        <w:ind w:left="142"/>
        <w:rPr>
          <w:rFonts w:asciiTheme="majorHAnsi" w:hAnsiTheme="majorHAnsi" w:cstheme="majorHAnsi"/>
          <w:b/>
        </w:rPr>
      </w:pPr>
    </w:p>
    <w:p w14:paraId="2A177E96" w14:textId="1A0BC8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To prepare Dulbecco's modified Eagle's medium (DMEM) complete medium, add 10% (v/v) fetal bovine serum (FBS), 1 mM sodium pyruvate, 100 U/m</w:t>
      </w:r>
      <w:r w:rsidR="00C30044" w:rsidRPr="00172BFB">
        <w:rPr>
          <w:rFonts w:asciiTheme="majorHAnsi" w:hAnsiTheme="majorHAnsi" w:cstheme="majorHAnsi"/>
        </w:rPr>
        <w:t>L</w:t>
      </w:r>
      <w:r w:rsidRPr="00172BFB">
        <w:rPr>
          <w:rFonts w:asciiTheme="majorHAnsi" w:hAnsiTheme="majorHAnsi" w:cstheme="majorHAnsi"/>
        </w:rPr>
        <w:t xml:space="preserve"> penicillin (Pen), 2 mM glutamine substitute</w:t>
      </w:r>
      <w:r w:rsidR="00FA4E2E" w:rsidRPr="00172BFB">
        <w:rPr>
          <w:rFonts w:asciiTheme="majorHAnsi" w:hAnsiTheme="majorHAnsi" w:cstheme="majorHAnsi"/>
        </w:rPr>
        <w:t>,</w:t>
      </w:r>
      <w:r w:rsidRPr="00172BFB">
        <w:rPr>
          <w:rFonts w:asciiTheme="majorHAnsi" w:hAnsiTheme="majorHAnsi" w:cstheme="majorHAnsi"/>
        </w:rPr>
        <w:t xml:space="preserve"> and 100 mg/m</w:t>
      </w:r>
      <w:r w:rsidR="00AF0C38" w:rsidRPr="00172BFB">
        <w:rPr>
          <w:rFonts w:asciiTheme="majorHAnsi" w:hAnsiTheme="majorHAnsi" w:cstheme="majorHAnsi"/>
        </w:rPr>
        <w:t>L</w:t>
      </w:r>
      <w:r w:rsidRPr="00172BFB">
        <w:rPr>
          <w:rFonts w:asciiTheme="majorHAnsi" w:hAnsiTheme="majorHAnsi" w:cstheme="majorHAnsi"/>
        </w:rPr>
        <w:t xml:space="preserve"> streptomycin (Strep).</w:t>
      </w:r>
    </w:p>
    <w:p w14:paraId="6260133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ACDECD7" w14:textId="7A39252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To prepare RPMI 1640 complete media, add 10% (v/v) FBS, 2 mM glutamine substitute, 1 mM sodium pyruvate, 50 mM 2-mercaptoethanol, 100 U/m</w:t>
      </w:r>
      <w:r w:rsidR="00D149B4" w:rsidRPr="00172BFB">
        <w:rPr>
          <w:rFonts w:asciiTheme="majorHAnsi" w:hAnsiTheme="majorHAnsi" w:cstheme="majorHAnsi"/>
        </w:rPr>
        <w:t>L</w:t>
      </w:r>
      <w:r w:rsidRPr="00172BFB">
        <w:rPr>
          <w:rFonts w:asciiTheme="majorHAnsi" w:hAnsiTheme="majorHAnsi" w:cstheme="majorHAnsi"/>
        </w:rPr>
        <w:t xml:space="preserve"> Pen</w:t>
      </w:r>
      <w:r w:rsidR="00FA4E2E" w:rsidRPr="00172BFB">
        <w:rPr>
          <w:rFonts w:asciiTheme="majorHAnsi" w:hAnsiTheme="majorHAnsi" w:cstheme="majorHAnsi"/>
        </w:rPr>
        <w:t>,</w:t>
      </w:r>
      <w:r w:rsidRPr="00172BFB">
        <w:rPr>
          <w:rFonts w:asciiTheme="majorHAnsi" w:hAnsiTheme="majorHAnsi" w:cstheme="majorHAnsi"/>
        </w:rPr>
        <w:t xml:space="preserve"> and 100 mg/m</w:t>
      </w:r>
      <w:r w:rsidR="00D149B4" w:rsidRPr="00172BFB">
        <w:rPr>
          <w:rFonts w:asciiTheme="majorHAnsi" w:hAnsiTheme="majorHAnsi" w:cstheme="majorHAnsi"/>
        </w:rPr>
        <w:t>L</w:t>
      </w:r>
      <w:r w:rsidRPr="00172BFB">
        <w:rPr>
          <w:rFonts w:asciiTheme="majorHAnsi" w:hAnsiTheme="majorHAnsi" w:cstheme="majorHAnsi"/>
        </w:rPr>
        <w:t xml:space="preserve"> Strep.</w:t>
      </w:r>
    </w:p>
    <w:p w14:paraId="6903AEF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D5D63FF" w14:textId="04154178"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To prepare DMEM/F12 complete media, add 10% (v/v) fetal bovine serum (FBS), 1 mM sodium pyruvate, 0.1 mM non-essential amino acids, and 100 U/m</w:t>
      </w:r>
      <w:r w:rsidR="00BE7698" w:rsidRPr="00172BFB">
        <w:rPr>
          <w:rFonts w:asciiTheme="majorHAnsi" w:hAnsiTheme="majorHAnsi" w:cstheme="majorHAnsi"/>
        </w:rPr>
        <w:t>L</w:t>
      </w:r>
      <w:r w:rsidRPr="00172BFB">
        <w:rPr>
          <w:rFonts w:asciiTheme="majorHAnsi" w:hAnsiTheme="majorHAnsi" w:cstheme="majorHAnsi"/>
        </w:rPr>
        <w:t xml:space="preserve"> Pen and 100 mg/m</w:t>
      </w:r>
      <w:r w:rsidR="00BE7698" w:rsidRPr="00172BFB">
        <w:rPr>
          <w:rFonts w:asciiTheme="majorHAnsi" w:hAnsiTheme="majorHAnsi" w:cstheme="majorHAnsi"/>
        </w:rPr>
        <w:t>L</w:t>
      </w:r>
      <w:r w:rsidRPr="00172BFB">
        <w:rPr>
          <w:rFonts w:asciiTheme="majorHAnsi" w:hAnsiTheme="majorHAnsi" w:cstheme="majorHAnsi"/>
        </w:rPr>
        <w:t xml:space="preserve"> Strep.</w:t>
      </w:r>
    </w:p>
    <w:p w14:paraId="12D2150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207DED96" w14:textId="066B6D6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To prepare 1 mg/mL </w:t>
      </w:r>
      <w:proofErr w:type="spellStart"/>
      <w:r w:rsidRPr="00172BFB">
        <w:rPr>
          <w:rFonts w:asciiTheme="majorHAnsi" w:hAnsiTheme="majorHAnsi" w:cstheme="majorHAnsi"/>
        </w:rPr>
        <w:t>Polyethylenimine</w:t>
      </w:r>
      <w:proofErr w:type="spellEnd"/>
      <w:r w:rsidRPr="00172BFB">
        <w:rPr>
          <w:rFonts w:asciiTheme="majorHAnsi" w:hAnsiTheme="majorHAnsi" w:cstheme="majorHAnsi"/>
        </w:rPr>
        <w:t xml:space="preserve"> (PEI), dissolve 100 mg of PEI powder in 100 mL </w:t>
      </w:r>
      <w:r w:rsidR="00E10221" w:rsidRPr="00172BFB">
        <w:rPr>
          <w:rFonts w:asciiTheme="majorHAnsi" w:hAnsiTheme="majorHAnsi" w:cstheme="majorHAnsi"/>
        </w:rPr>
        <w:t xml:space="preserve">of </w:t>
      </w:r>
      <w:r w:rsidRPr="00172BFB">
        <w:rPr>
          <w:rFonts w:asciiTheme="majorHAnsi" w:hAnsiTheme="majorHAnsi" w:cstheme="majorHAnsi"/>
        </w:rPr>
        <w:t xml:space="preserve">sterile deionized water in a glass beaker or conical tube. Place the beaker </w:t>
      </w:r>
      <w:proofErr w:type="gramStart"/>
      <w:r w:rsidRPr="00172BFB">
        <w:rPr>
          <w:rFonts w:asciiTheme="majorHAnsi" w:hAnsiTheme="majorHAnsi" w:cstheme="majorHAnsi"/>
        </w:rPr>
        <w:t>on</w:t>
      </w:r>
      <w:proofErr w:type="gramEnd"/>
      <w:r w:rsidRPr="00172BFB">
        <w:rPr>
          <w:rFonts w:asciiTheme="majorHAnsi" w:hAnsiTheme="majorHAnsi" w:cstheme="majorHAnsi"/>
        </w:rPr>
        <w:t xml:space="preserve"> a magnetic stirrer and stir at room temperature (RT) to create a vortex until dissolved completely. Adjust the pH to 6.9–7.1</w:t>
      </w:r>
      <w:r w:rsidR="00C13458" w:rsidRPr="00172BFB">
        <w:rPr>
          <w:rFonts w:asciiTheme="majorHAnsi" w:hAnsiTheme="majorHAnsi" w:cstheme="majorHAnsi"/>
        </w:rPr>
        <w:t>,</w:t>
      </w:r>
      <w:r w:rsidRPr="00172BFB">
        <w:rPr>
          <w:rFonts w:asciiTheme="majorHAnsi" w:hAnsiTheme="majorHAnsi" w:cstheme="majorHAnsi"/>
        </w:rPr>
        <w:t xml:space="preserve"> adding hydrochloric acid (HC</w:t>
      </w:r>
      <w:r w:rsidR="00E10221" w:rsidRPr="00172BFB">
        <w:rPr>
          <w:rFonts w:asciiTheme="majorHAnsi" w:hAnsiTheme="majorHAnsi" w:cstheme="majorHAnsi"/>
        </w:rPr>
        <w:t>l</w:t>
      </w:r>
      <w:r w:rsidRPr="00172BFB">
        <w:rPr>
          <w:rFonts w:asciiTheme="majorHAnsi" w:hAnsiTheme="majorHAnsi" w:cstheme="majorHAnsi"/>
        </w:rPr>
        <w:t xml:space="preserve">)/sodium hydroxide (NaOH) dropwise, and filter the solution through a 0.22 </w:t>
      </w:r>
      <w:proofErr w:type="spellStart"/>
      <w:r w:rsidRPr="00172BFB">
        <w:rPr>
          <w:rFonts w:asciiTheme="majorHAnsi" w:hAnsiTheme="majorHAnsi" w:cstheme="majorHAnsi"/>
        </w:rPr>
        <w:t>μm</w:t>
      </w:r>
      <w:proofErr w:type="spellEnd"/>
      <w:r w:rsidRPr="00172BFB">
        <w:rPr>
          <w:rFonts w:asciiTheme="majorHAnsi" w:hAnsiTheme="majorHAnsi" w:cstheme="majorHAnsi"/>
        </w:rPr>
        <w:t xml:space="preserve"> PES membrane filter.</w:t>
      </w:r>
    </w:p>
    <w:p w14:paraId="1A105BE0"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0A165B0" w14:textId="146ED55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To prepare 1 mM Sodium Butyrate, dissolve 1.10 mg in 10 mL </w:t>
      </w:r>
      <w:r w:rsidR="00E10221" w:rsidRPr="00172BFB">
        <w:rPr>
          <w:rFonts w:asciiTheme="majorHAnsi" w:hAnsiTheme="majorHAnsi" w:cstheme="majorHAnsi"/>
        </w:rPr>
        <w:t xml:space="preserve">of </w:t>
      </w:r>
      <w:r w:rsidRPr="00172BFB">
        <w:rPr>
          <w:rFonts w:asciiTheme="majorHAnsi" w:hAnsiTheme="majorHAnsi" w:cstheme="majorHAnsi"/>
        </w:rPr>
        <w:t>sterile deionized water.</w:t>
      </w:r>
    </w:p>
    <w:p w14:paraId="4AC6C51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683C704" w14:textId="7AFB386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To prepare 8 mg/mL Polybrene, dissolve 80 mg of Polybrene powder in 10 mL</w:t>
      </w:r>
      <w:r w:rsidR="00D149B4" w:rsidRPr="00172BFB">
        <w:rPr>
          <w:rFonts w:asciiTheme="majorHAnsi" w:hAnsiTheme="majorHAnsi" w:cstheme="majorHAnsi"/>
        </w:rPr>
        <w:t xml:space="preserve"> of</w:t>
      </w:r>
      <w:r w:rsidRPr="00172BFB">
        <w:rPr>
          <w:rFonts w:asciiTheme="majorHAnsi" w:hAnsiTheme="majorHAnsi" w:cstheme="majorHAnsi"/>
        </w:rPr>
        <w:t xml:space="preserve"> sterile deionized water.</w:t>
      </w:r>
    </w:p>
    <w:p w14:paraId="4876CA95"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0467FB6" w14:textId="12AECFE9"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To </w:t>
      </w:r>
      <w:proofErr w:type="gramStart"/>
      <w:r w:rsidRPr="00172BFB">
        <w:rPr>
          <w:rFonts w:asciiTheme="majorHAnsi" w:hAnsiTheme="majorHAnsi" w:cstheme="majorHAnsi"/>
        </w:rPr>
        <w:t>prepare</w:t>
      </w:r>
      <w:proofErr w:type="gramEnd"/>
      <w:r w:rsidRPr="00172BFB">
        <w:rPr>
          <w:rFonts w:asciiTheme="majorHAnsi" w:hAnsiTheme="majorHAnsi" w:cstheme="majorHAnsi"/>
        </w:rPr>
        <w:t xml:space="preserve"> FACS buffer, add 2% FBS and 1 mM EDTA to </w:t>
      </w:r>
      <w:proofErr w:type="gramStart"/>
      <w:r w:rsidRPr="00172BFB">
        <w:rPr>
          <w:rFonts w:asciiTheme="majorHAnsi" w:hAnsiTheme="majorHAnsi" w:cstheme="majorHAnsi"/>
        </w:rPr>
        <w:t>phosphate</w:t>
      </w:r>
      <w:proofErr w:type="gramEnd"/>
      <w:r w:rsidRPr="00172BFB">
        <w:rPr>
          <w:rFonts w:asciiTheme="majorHAnsi" w:hAnsiTheme="majorHAnsi" w:cstheme="majorHAnsi"/>
        </w:rPr>
        <w:t>-buffered saline (PBS).</w:t>
      </w:r>
    </w:p>
    <w:p w14:paraId="7DDDEC51"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5BFCF72" w14:textId="77777777" w:rsidR="004D2710" w:rsidRPr="00172BFB" w:rsidRDefault="00172BFB" w:rsidP="00172BFB">
      <w:pPr>
        <w:numPr>
          <w:ilvl w:val="0"/>
          <w:numId w:val="1"/>
        </w:numPr>
        <w:ind w:left="142" w:firstLine="0"/>
        <w:rPr>
          <w:rFonts w:asciiTheme="majorHAnsi" w:hAnsiTheme="majorHAnsi" w:cstheme="majorHAnsi"/>
          <w:b/>
          <w:highlight w:val="yellow"/>
        </w:rPr>
      </w:pPr>
      <w:r w:rsidRPr="00172BFB">
        <w:rPr>
          <w:rFonts w:asciiTheme="majorHAnsi" w:hAnsiTheme="majorHAnsi" w:cstheme="majorHAnsi"/>
          <w:b/>
          <w:highlight w:val="yellow"/>
        </w:rPr>
        <w:t>Lentivirus production</w:t>
      </w:r>
    </w:p>
    <w:p w14:paraId="6A86112B" w14:textId="77777777" w:rsidR="004D2710" w:rsidRPr="00172BFB" w:rsidRDefault="004D2710" w:rsidP="00172BFB">
      <w:pPr>
        <w:ind w:left="142"/>
        <w:rPr>
          <w:rFonts w:asciiTheme="majorHAnsi" w:hAnsiTheme="majorHAnsi" w:cstheme="majorHAnsi"/>
          <w:b/>
          <w:highlight w:val="yellow"/>
        </w:rPr>
      </w:pPr>
    </w:p>
    <w:p w14:paraId="344D86C6" w14:textId="3989110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highlight w:val="yellow"/>
        </w:rPr>
        <w:t>Thaw HEK 293T cells</w:t>
      </w:r>
      <w:r w:rsidRPr="00172BFB">
        <w:rPr>
          <w:rFonts w:asciiTheme="majorHAnsi" w:hAnsiTheme="majorHAnsi" w:cstheme="majorHAnsi"/>
        </w:rPr>
        <w:t xml:space="preserve"> by adding 1 mL of cells to 9 mL of prewarmed DMEM complete medium and centrifuge the cells at 350 </w:t>
      </w:r>
      <w:r w:rsidR="00D149B4" w:rsidRPr="00172BFB">
        <w:rPr>
          <w:rFonts w:asciiTheme="majorHAnsi" w:hAnsiTheme="majorHAnsi" w:cstheme="majorHAnsi"/>
        </w:rPr>
        <w:t>×</w:t>
      </w:r>
      <w:r w:rsidRPr="00172BFB">
        <w:rPr>
          <w:rFonts w:asciiTheme="majorHAnsi" w:hAnsiTheme="majorHAnsi" w:cstheme="majorHAnsi"/>
        </w:rPr>
        <w:t xml:space="preserve"> </w:t>
      </w:r>
      <w:r w:rsidRPr="00172BFB">
        <w:rPr>
          <w:rFonts w:asciiTheme="majorHAnsi" w:hAnsiTheme="majorHAnsi" w:cstheme="majorHAnsi"/>
          <w:i/>
        </w:rPr>
        <w:t>g</w:t>
      </w:r>
      <w:r w:rsidRPr="00172BFB">
        <w:rPr>
          <w:rFonts w:asciiTheme="majorHAnsi" w:hAnsiTheme="majorHAnsi" w:cstheme="majorHAnsi"/>
        </w:rPr>
        <w:t xml:space="preserve"> for 5 min. Resuspend the cell pellet in 20 mL of DMEM complete medium and culture cells in a 150</w:t>
      </w:r>
      <w:r w:rsidR="00D149B4" w:rsidRPr="00172BFB">
        <w:rPr>
          <w:rFonts w:asciiTheme="majorHAnsi" w:hAnsiTheme="majorHAnsi" w:cstheme="majorHAnsi"/>
        </w:rPr>
        <w:t xml:space="preserve"> </w:t>
      </w:r>
      <w:r w:rsidRPr="00172BFB">
        <w:rPr>
          <w:rFonts w:asciiTheme="majorHAnsi" w:hAnsiTheme="majorHAnsi" w:cstheme="majorHAnsi"/>
        </w:rPr>
        <w:t>mm plate at 37 °C with 5% CO</w:t>
      </w:r>
      <w:r w:rsidRPr="00172BFB">
        <w:rPr>
          <w:rFonts w:asciiTheme="majorHAnsi" w:hAnsiTheme="majorHAnsi" w:cstheme="majorHAnsi"/>
          <w:vertAlign w:val="subscript"/>
        </w:rPr>
        <w:t>2</w:t>
      </w:r>
      <w:r w:rsidRPr="00172BFB">
        <w:rPr>
          <w:rFonts w:asciiTheme="majorHAnsi" w:hAnsiTheme="majorHAnsi" w:cstheme="majorHAnsi"/>
        </w:rPr>
        <w:t>.</w:t>
      </w:r>
    </w:p>
    <w:p w14:paraId="1D381FD7"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D2A40A4" w14:textId="30B646D0"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Expand and split HEK 293T cells when they reach 80</w:t>
      </w:r>
      <w:r w:rsidR="00D149B4" w:rsidRPr="00172BFB">
        <w:rPr>
          <w:rFonts w:asciiTheme="majorHAnsi" w:hAnsiTheme="majorHAnsi" w:cstheme="majorHAnsi"/>
        </w:rPr>
        <w:t>–</w:t>
      </w:r>
      <w:r w:rsidRPr="00172BFB">
        <w:rPr>
          <w:rFonts w:asciiTheme="majorHAnsi" w:hAnsiTheme="majorHAnsi" w:cstheme="majorHAnsi"/>
        </w:rPr>
        <w:t>90% confluency. To split cells, wash once with PBS, add 5 mL of trypsin to dissociate them from the plate, and incubate 5</w:t>
      </w:r>
      <w:r w:rsidR="00D149B4" w:rsidRPr="00172BFB">
        <w:rPr>
          <w:rFonts w:asciiTheme="majorHAnsi" w:hAnsiTheme="majorHAnsi" w:cstheme="majorHAnsi"/>
        </w:rPr>
        <w:t>–</w:t>
      </w:r>
      <w:r w:rsidRPr="00172BFB">
        <w:rPr>
          <w:rFonts w:asciiTheme="majorHAnsi" w:hAnsiTheme="majorHAnsi" w:cstheme="majorHAnsi"/>
        </w:rPr>
        <w:t>10 min at 37 °C with 5% CO</w:t>
      </w:r>
      <w:r w:rsidRPr="00172BFB">
        <w:rPr>
          <w:rFonts w:asciiTheme="majorHAnsi" w:hAnsiTheme="majorHAnsi" w:cstheme="majorHAnsi"/>
          <w:vertAlign w:val="subscript"/>
        </w:rPr>
        <w:t>2</w:t>
      </w:r>
      <w:r w:rsidRPr="00172BFB">
        <w:rPr>
          <w:rFonts w:asciiTheme="majorHAnsi" w:hAnsiTheme="majorHAnsi" w:cstheme="majorHAnsi"/>
        </w:rPr>
        <w:t>.</w:t>
      </w:r>
    </w:p>
    <w:p w14:paraId="28FE9CA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ACBD083" w14:textId="51AC84B9"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Collect cells with 5 mL of DMEM complete medium, centrifuge them at 350 </w:t>
      </w:r>
      <w:r w:rsidR="00D149B4" w:rsidRPr="00172BFB">
        <w:rPr>
          <w:rFonts w:asciiTheme="majorHAnsi" w:hAnsiTheme="majorHAnsi" w:cstheme="majorHAnsi"/>
        </w:rPr>
        <w:t>×</w:t>
      </w:r>
      <w:r w:rsidRPr="00172BFB">
        <w:rPr>
          <w:rFonts w:asciiTheme="majorHAnsi" w:hAnsiTheme="majorHAnsi" w:cstheme="majorHAnsi"/>
        </w:rPr>
        <w:t xml:space="preserve"> </w:t>
      </w:r>
      <w:r w:rsidRPr="00172BFB">
        <w:rPr>
          <w:rFonts w:asciiTheme="majorHAnsi" w:hAnsiTheme="majorHAnsi" w:cstheme="majorHAnsi"/>
          <w:i/>
        </w:rPr>
        <w:t>g</w:t>
      </w:r>
      <w:r w:rsidRPr="00172BFB">
        <w:rPr>
          <w:rFonts w:asciiTheme="majorHAnsi" w:hAnsiTheme="majorHAnsi" w:cstheme="majorHAnsi"/>
        </w:rPr>
        <w:t xml:space="preserve"> for 5 min, and split them 1:6 into new 150-mm plates, 48</w:t>
      </w:r>
      <w:r w:rsidR="00D149B4" w:rsidRPr="00172BFB">
        <w:rPr>
          <w:rFonts w:asciiTheme="majorHAnsi" w:hAnsiTheme="majorHAnsi" w:cstheme="majorHAnsi"/>
        </w:rPr>
        <w:t xml:space="preserve"> </w:t>
      </w:r>
      <w:r w:rsidRPr="00172BFB">
        <w:rPr>
          <w:rFonts w:asciiTheme="majorHAnsi" w:hAnsiTheme="majorHAnsi" w:cstheme="majorHAnsi"/>
        </w:rPr>
        <w:t>h before transfection.</w:t>
      </w:r>
    </w:p>
    <w:p w14:paraId="080B0D61"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2B0D0946" w14:textId="4AA44073"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 xml:space="preserve"> </w:t>
      </w:r>
      <w:r w:rsidRPr="00172BFB">
        <w:rPr>
          <w:rFonts w:asciiTheme="majorHAnsi" w:hAnsiTheme="majorHAnsi" w:cstheme="majorHAnsi"/>
        </w:rPr>
        <w:t>The quality of the lentivirus-producing cell line is crucial for producing high titers. Do not allow cells to exceed 95% confluency and avoid seeding them at &lt;30% confluency.</w:t>
      </w:r>
    </w:p>
    <w:p w14:paraId="2E297D6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08BC8A06" w14:textId="60CC867F"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rPr>
        <w:t xml:space="preserve">After 48 h, or </w:t>
      </w:r>
      <w:r w:rsidRPr="00172BFB">
        <w:rPr>
          <w:rFonts w:asciiTheme="majorHAnsi" w:hAnsiTheme="majorHAnsi" w:cstheme="majorHAnsi"/>
          <w:highlight w:val="yellow"/>
        </w:rPr>
        <w:t>when cells reach 70</w:t>
      </w:r>
      <w:r w:rsidR="00510DB7" w:rsidRPr="00172BFB">
        <w:rPr>
          <w:rFonts w:asciiTheme="majorHAnsi" w:hAnsiTheme="majorHAnsi" w:cstheme="majorHAnsi"/>
          <w:highlight w:val="yellow"/>
        </w:rPr>
        <w:t>–</w:t>
      </w:r>
      <w:r w:rsidRPr="00172BFB">
        <w:rPr>
          <w:rFonts w:asciiTheme="majorHAnsi" w:hAnsiTheme="majorHAnsi" w:cstheme="majorHAnsi"/>
          <w:highlight w:val="yellow"/>
        </w:rPr>
        <w:t>80% confluency, prepare the transfection mix in a 50</w:t>
      </w:r>
      <w:r w:rsidR="00510DB7" w:rsidRPr="00172BFB">
        <w:rPr>
          <w:rFonts w:asciiTheme="majorHAnsi" w:hAnsiTheme="majorHAnsi" w:cstheme="majorHAnsi"/>
          <w:highlight w:val="yellow"/>
        </w:rPr>
        <w:t xml:space="preserve"> </w:t>
      </w:r>
      <w:r w:rsidRPr="00172BFB">
        <w:rPr>
          <w:rFonts w:asciiTheme="majorHAnsi" w:hAnsiTheme="majorHAnsi" w:cstheme="majorHAnsi"/>
          <w:highlight w:val="yellow"/>
        </w:rPr>
        <w:t>mL conical tube. Use the following transfer plasmid: 1) SFFV-PIB-IRES-</w:t>
      </w:r>
      <w:proofErr w:type="spellStart"/>
      <w:r w:rsidRPr="00172BFB">
        <w:rPr>
          <w:rFonts w:asciiTheme="majorHAnsi" w:hAnsiTheme="majorHAnsi" w:cstheme="majorHAnsi"/>
          <w:highlight w:val="yellow"/>
        </w:rPr>
        <w:t>eGFP</w:t>
      </w:r>
      <w:proofErr w:type="spellEnd"/>
      <w:r w:rsidR="00510DB7" w:rsidRPr="00172BFB">
        <w:rPr>
          <w:rFonts w:asciiTheme="majorHAnsi" w:hAnsiTheme="majorHAnsi" w:cstheme="majorHAnsi"/>
          <w:highlight w:val="yellow"/>
        </w:rPr>
        <w:t>—</w:t>
      </w:r>
      <w:r w:rsidRPr="00172BFB">
        <w:rPr>
          <w:rFonts w:asciiTheme="majorHAnsi" w:hAnsiTheme="majorHAnsi" w:cstheme="majorHAnsi"/>
          <w:highlight w:val="yellow"/>
        </w:rPr>
        <w:t xml:space="preserve">a polycistronic lentiviral vector containing the transcription factors PU.1, IRF8, BATF3, an internal ribosomal </w:t>
      </w:r>
      <w:r w:rsidRPr="00172BFB">
        <w:rPr>
          <w:rFonts w:asciiTheme="majorHAnsi" w:hAnsiTheme="majorHAnsi" w:cstheme="majorHAnsi"/>
          <w:highlight w:val="yellow"/>
        </w:rPr>
        <w:lastRenderedPageBreak/>
        <w:t>entry site (IRES), and an enhanced green fluorescent protein (</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rPr>
        <w:t>) as the fluorescent transduction reporter; or 2) SFFV-</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rPr>
        <w:t xml:space="preserve">, a control lentiviral vector with a multiple cloning site and </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rPr>
        <w:t xml:space="preserve">; </w:t>
      </w:r>
      <w:r w:rsidRPr="001E7F69">
        <w:rPr>
          <w:rFonts w:asciiTheme="majorHAnsi" w:hAnsiTheme="majorHAnsi" w:cstheme="majorHAnsi"/>
        </w:rPr>
        <w:t>or 3) SFFV-</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 a lentiviral vector expressing </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 </w:t>
      </w:r>
      <w:r w:rsidRPr="00172BFB">
        <w:rPr>
          <w:rFonts w:asciiTheme="majorHAnsi" w:hAnsiTheme="majorHAnsi" w:cstheme="majorHAnsi"/>
          <w:highlight w:val="yellow"/>
        </w:rPr>
        <w:t xml:space="preserve">Add 10 </w:t>
      </w:r>
      <w:proofErr w:type="gramStart"/>
      <w:r w:rsidRPr="00172BFB">
        <w:rPr>
          <w:rFonts w:asciiTheme="majorHAnsi" w:hAnsiTheme="majorHAnsi" w:cstheme="majorHAnsi"/>
          <w:highlight w:val="yellow"/>
        </w:rPr>
        <w:t>µg</w:t>
      </w:r>
      <w:proofErr w:type="gramEnd"/>
      <w:r w:rsidRPr="00172BFB">
        <w:rPr>
          <w:rFonts w:asciiTheme="majorHAnsi" w:hAnsiTheme="majorHAnsi" w:cstheme="majorHAnsi"/>
          <w:highlight w:val="yellow"/>
        </w:rPr>
        <w:t xml:space="preserve"> of transfer plasmid, 7.5 </w:t>
      </w:r>
      <w:proofErr w:type="spellStart"/>
      <w:r w:rsidRPr="00172BFB">
        <w:rPr>
          <w:rFonts w:asciiTheme="majorHAnsi" w:hAnsiTheme="majorHAnsi" w:cstheme="majorHAnsi"/>
          <w:highlight w:val="yellow"/>
        </w:rPr>
        <w:t>μg</w:t>
      </w:r>
      <w:proofErr w:type="spellEnd"/>
      <w:r w:rsidRPr="00172BFB">
        <w:rPr>
          <w:rFonts w:asciiTheme="majorHAnsi" w:hAnsiTheme="majorHAnsi" w:cstheme="majorHAnsi"/>
          <w:highlight w:val="yellow"/>
        </w:rPr>
        <w:t xml:space="preserve"> of packaging plasmid psPAX2</w:t>
      </w:r>
      <w:r w:rsidR="00510DB7" w:rsidRPr="00172BFB">
        <w:rPr>
          <w:rFonts w:asciiTheme="majorHAnsi" w:hAnsiTheme="majorHAnsi" w:cstheme="majorHAnsi"/>
          <w:highlight w:val="yellow"/>
        </w:rPr>
        <w:t>,</w:t>
      </w:r>
      <w:r w:rsidRPr="00172BFB">
        <w:rPr>
          <w:rFonts w:asciiTheme="majorHAnsi" w:hAnsiTheme="majorHAnsi" w:cstheme="majorHAnsi"/>
          <w:highlight w:val="yellow"/>
        </w:rPr>
        <w:t xml:space="preserve"> and 2.5 </w:t>
      </w:r>
      <w:proofErr w:type="spellStart"/>
      <w:r w:rsidRPr="00172BFB">
        <w:rPr>
          <w:rFonts w:asciiTheme="majorHAnsi" w:hAnsiTheme="majorHAnsi" w:cstheme="majorHAnsi"/>
          <w:highlight w:val="yellow"/>
        </w:rPr>
        <w:t>μg</w:t>
      </w:r>
      <w:proofErr w:type="spellEnd"/>
      <w:r w:rsidRPr="00172BFB">
        <w:rPr>
          <w:rFonts w:asciiTheme="majorHAnsi" w:hAnsiTheme="majorHAnsi" w:cstheme="majorHAnsi"/>
          <w:highlight w:val="yellow"/>
        </w:rPr>
        <w:t xml:space="preserve"> of envelope plasmid pMD</w:t>
      </w:r>
      <w:proofErr w:type="gramStart"/>
      <w:r w:rsidRPr="00172BFB">
        <w:rPr>
          <w:rFonts w:asciiTheme="majorHAnsi" w:hAnsiTheme="majorHAnsi" w:cstheme="majorHAnsi"/>
          <w:highlight w:val="yellow"/>
        </w:rPr>
        <w:t>2.G.</w:t>
      </w:r>
      <w:proofErr w:type="gramEnd"/>
      <w:r w:rsidRPr="00172BFB">
        <w:rPr>
          <w:rFonts w:asciiTheme="majorHAnsi" w:hAnsiTheme="majorHAnsi" w:cstheme="majorHAnsi"/>
          <w:highlight w:val="yellow"/>
        </w:rPr>
        <w:t xml:space="preserve"> Top up the tube with Opti-MEM to reach a total volume of 2 </w:t>
      </w:r>
      <w:proofErr w:type="spellStart"/>
      <w:r w:rsidRPr="00172BFB">
        <w:rPr>
          <w:rFonts w:asciiTheme="majorHAnsi" w:hAnsiTheme="majorHAnsi" w:cstheme="majorHAnsi"/>
          <w:highlight w:val="yellow"/>
        </w:rPr>
        <w:t>mL.</w:t>
      </w:r>
      <w:proofErr w:type="spellEnd"/>
      <w:r w:rsidRPr="00172BFB">
        <w:rPr>
          <w:rFonts w:asciiTheme="majorHAnsi" w:hAnsiTheme="majorHAnsi" w:cstheme="majorHAnsi"/>
          <w:highlight w:val="yellow"/>
        </w:rPr>
        <w:t xml:space="preserve"> Finally, add 60 µL of the transfection reagent PEI (from the 1 mg/mL stock) to the transfection mix.</w:t>
      </w:r>
    </w:p>
    <w:p w14:paraId="4407C519"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79211D68" w14:textId="21B94F4E"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b/>
        </w:rPr>
        <w:t xml:space="preserve"> </w:t>
      </w:r>
      <w:r w:rsidRPr="001E7F69">
        <w:rPr>
          <w:rFonts w:asciiTheme="majorHAnsi" w:hAnsiTheme="majorHAnsi" w:cstheme="majorHAnsi"/>
        </w:rPr>
        <w:t>The lentiviral vector SFFV-</w:t>
      </w:r>
      <w:proofErr w:type="spellStart"/>
      <w:r w:rsidRPr="001E7F69">
        <w:rPr>
          <w:rFonts w:asciiTheme="majorHAnsi" w:hAnsiTheme="majorHAnsi" w:cstheme="majorHAnsi"/>
        </w:rPr>
        <w:t>eGFP</w:t>
      </w:r>
      <w:proofErr w:type="spellEnd"/>
      <w:r w:rsidRPr="001E7F69">
        <w:rPr>
          <w:rFonts w:asciiTheme="majorHAnsi" w:hAnsiTheme="majorHAnsi" w:cstheme="majorHAnsi"/>
        </w:rPr>
        <w:t xml:space="preserve"> is used as a transduction control for reprogramming experiments to account for lentiviral-mediated immunogenicity, while SFFV-</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 is used to generate fluorescently labeled cancer cell lines.</w:t>
      </w:r>
    </w:p>
    <w:p w14:paraId="06720A0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5FF69F81" w14:textId="5D242AF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Vortex the transfection mixes thoroughly for 1 min and incubate for 15 min at RT to allow the formation of DNA-lipid complexes.</w:t>
      </w:r>
    </w:p>
    <w:p w14:paraId="1351FB39"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4B1F67A3" w14:textId="448645FF" w:rsidR="004D2710" w:rsidRPr="00172BFB" w:rsidRDefault="00172BFB" w:rsidP="00172BFB">
      <w:pPr>
        <w:widowControl/>
        <w:pBdr>
          <w:top w:val="nil"/>
          <w:left w:val="nil"/>
          <w:bottom w:val="nil"/>
          <w:right w:val="nil"/>
          <w:between w:val="nil"/>
        </w:pBdr>
        <w:ind w:left="142"/>
        <w:rPr>
          <w:rFonts w:asciiTheme="majorHAnsi" w:hAnsiTheme="majorHAnsi" w:cstheme="majorHAnsi"/>
          <w:highlight w:val="yellow"/>
        </w:rPr>
      </w:pPr>
      <w:r w:rsidRPr="00172BFB">
        <w:rPr>
          <w:rFonts w:asciiTheme="majorHAnsi" w:hAnsiTheme="majorHAnsi" w:cstheme="majorHAnsi"/>
          <w:bCs/>
          <w:highlight w:val="yellow"/>
        </w:rPr>
        <w:t>NOTE:</w:t>
      </w:r>
      <w:r w:rsidRPr="00172BFB">
        <w:rPr>
          <w:rFonts w:asciiTheme="majorHAnsi" w:hAnsiTheme="majorHAnsi" w:cstheme="majorHAnsi"/>
          <w:b/>
          <w:highlight w:val="yellow"/>
        </w:rPr>
        <w:t xml:space="preserve"> </w:t>
      </w:r>
      <w:r w:rsidRPr="00172BFB">
        <w:rPr>
          <w:rFonts w:asciiTheme="majorHAnsi" w:hAnsiTheme="majorHAnsi" w:cstheme="majorHAnsi"/>
          <w:highlight w:val="yellow"/>
        </w:rPr>
        <w:t xml:space="preserve">Confluency significantly influences viral </w:t>
      </w:r>
      <w:proofErr w:type="gramStart"/>
      <w:r w:rsidRPr="00172BFB">
        <w:rPr>
          <w:rFonts w:asciiTheme="majorHAnsi" w:hAnsiTheme="majorHAnsi" w:cstheme="majorHAnsi"/>
          <w:highlight w:val="yellow"/>
        </w:rPr>
        <w:t>titers</w:t>
      </w:r>
      <w:proofErr w:type="gramEnd"/>
      <w:r w:rsidRPr="00172BFB">
        <w:rPr>
          <w:rFonts w:asciiTheme="majorHAnsi" w:hAnsiTheme="majorHAnsi" w:cstheme="majorHAnsi"/>
          <w:highlight w:val="yellow"/>
        </w:rPr>
        <w:t>. Transfecting cells at less than 70% confluen</w:t>
      </w:r>
      <w:r w:rsidR="00D12D45" w:rsidRPr="00172BFB">
        <w:rPr>
          <w:rFonts w:asciiTheme="majorHAnsi" w:hAnsiTheme="majorHAnsi" w:cstheme="majorHAnsi"/>
          <w:highlight w:val="yellow"/>
        </w:rPr>
        <w:t>cy</w:t>
      </w:r>
      <w:r w:rsidRPr="00172BFB">
        <w:rPr>
          <w:rFonts w:asciiTheme="majorHAnsi" w:hAnsiTheme="majorHAnsi" w:cstheme="majorHAnsi"/>
          <w:highlight w:val="yellow"/>
        </w:rPr>
        <w:t xml:space="preserve"> will result in lower viral </w:t>
      </w:r>
      <w:proofErr w:type="gramStart"/>
      <w:r w:rsidRPr="00172BFB">
        <w:rPr>
          <w:rFonts w:asciiTheme="majorHAnsi" w:hAnsiTheme="majorHAnsi" w:cstheme="majorHAnsi"/>
          <w:highlight w:val="yellow"/>
        </w:rPr>
        <w:t>titers</w:t>
      </w:r>
      <w:proofErr w:type="gramEnd"/>
      <w:r w:rsidRPr="00172BFB">
        <w:rPr>
          <w:rFonts w:asciiTheme="majorHAnsi" w:hAnsiTheme="majorHAnsi" w:cstheme="majorHAnsi"/>
          <w:highlight w:val="yellow"/>
        </w:rPr>
        <w:t xml:space="preserve"> due to fewer cells receiving the plasmids. </w:t>
      </w:r>
    </w:p>
    <w:p w14:paraId="0ED7BF5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05D35DDF" w14:textId="7D5A2165"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Aspirate the medium of the HEK 293T cells and add 10 mL of DMEM without Pen/Step and with 10% of sterile-filtered FBS. </w:t>
      </w:r>
    </w:p>
    <w:p w14:paraId="18C4E68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54CC19C3" w14:textId="09B8E90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Add the transfection mix dropwise to the 150</w:t>
      </w:r>
      <w:r w:rsidR="00510DB7" w:rsidRPr="00172BFB">
        <w:rPr>
          <w:rFonts w:asciiTheme="majorHAnsi" w:hAnsiTheme="majorHAnsi" w:cstheme="majorHAnsi"/>
          <w:highlight w:val="yellow"/>
        </w:rPr>
        <w:t xml:space="preserve"> </w:t>
      </w:r>
      <w:r w:rsidRPr="00172BFB">
        <w:rPr>
          <w:rFonts w:asciiTheme="majorHAnsi" w:hAnsiTheme="majorHAnsi" w:cstheme="majorHAnsi"/>
          <w:highlight w:val="yellow"/>
        </w:rPr>
        <w:t>mm plates and incubate for 16 h at 37 °C with 5% CO</w:t>
      </w:r>
      <w:r w:rsidRPr="00172BFB">
        <w:rPr>
          <w:rFonts w:asciiTheme="majorHAnsi" w:hAnsiTheme="majorHAnsi" w:cstheme="majorHAnsi"/>
          <w:highlight w:val="yellow"/>
          <w:vertAlign w:val="subscript"/>
        </w:rPr>
        <w:t>2</w:t>
      </w:r>
      <w:r w:rsidRPr="00172BFB">
        <w:rPr>
          <w:rFonts w:asciiTheme="majorHAnsi" w:hAnsiTheme="majorHAnsi" w:cstheme="majorHAnsi"/>
          <w:highlight w:val="yellow"/>
        </w:rPr>
        <w:t>.</w:t>
      </w:r>
    </w:p>
    <w:p w14:paraId="35053671"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24065668" w14:textId="2CEFD498"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After transfection, replace the medium with 20 mL of DMEM complete medium supplemented with 1 mM Sodium Butyrate, and incubate cells for 24 h at 37 °C with 5% CO</w:t>
      </w:r>
      <w:r w:rsidRPr="00172BFB">
        <w:rPr>
          <w:rFonts w:asciiTheme="majorHAnsi" w:hAnsiTheme="majorHAnsi" w:cstheme="majorHAnsi"/>
          <w:highlight w:val="yellow"/>
          <w:vertAlign w:val="subscript"/>
        </w:rPr>
        <w:t>2</w:t>
      </w:r>
      <w:r w:rsidRPr="00172BFB">
        <w:rPr>
          <w:rFonts w:asciiTheme="majorHAnsi" w:hAnsiTheme="majorHAnsi" w:cstheme="majorHAnsi"/>
          <w:highlight w:val="yellow"/>
        </w:rPr>
        <w:t xml:space="preserve">. </w:t>
      </w:r>
    </w:p>
    <w:p w14:paraId="222DA6F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4C6AA9F1" w14:textId="24BA1BE5"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Sodium butyrate is a class 1 histone deacetylase (HDAC) inhibitor and can enhance gene expression in HEK 293T cells by inducing histone hyperacetylation, which </w:t>
      </w:r>
      <w:proofErr w:type="gramStart"/>
      <w:r w:rsidRPr="00172BFB">
        <w:rPr>
          <w:rFonts w:asciiTheme="majorHAnsi" w:hAnsiTheme="majorHAnsi" w:cstheme="majorHAnsi"/>
        </w:rPr>
        <w:t>opens up</w:t>
      </w:r>
      <w:proofErr w:type="gramEnd"/>
      <w:r w:rsidR="00510DB7" w:rsidRPr="00172BFB">
        <w:rPr>
          <w:rFonts w:asciiTheme="majorHAnsi" w:hAnsiTheme="majorHAnsi" w:cstheme="majorHAnsi"/>
        </w:rPr>
        <w:t xml:space="preserve"> the </w:t>
      </w:r>
      <w:r w:rsidRPr="00172BFB">
        <w:rPr>
          <w:rFonts w:asciiTheme="majorHAnsi" w:hAnsiTheme="majorHAnsi" w:cstheme="majorHAnsi"/>
        </w:rPr>
        <w:t>chromatin structure and facilitates transcription of viral packaging and transfer plasmids.</w:t>
      </w:r>
      <w:r w:rsidRPr="00172BFB">
        <w:rPr>
          <w:rFonts w:asciiTheme="majorHAnsi" w:eastAsia="Roboto" w:hAnsiTheme="majorHAnsi" w:cstheme="majorHAnsi"/>
        </w:rPr>
        <w:t xml:space="preserve"> </w:t>
      </w:r>
      <w:r w:rsidRPr="00172BFB">
        <w:rPr>
          <w:rFonts w:asciiTheme="majorHAnsi" w:hAnsiTheme="majorHAnsi" w:cstheme="majorHAnsi"/>
        </w:rPr>
        <w:t xml:space="preserve">Transfection efficiency can be assessed by checking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expression using a fluorescence microscope.</w:t>
      </w:r>
    </w:p>
    <w:p w14:paraId="3306717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193AF5A9" w14:textId="07BBA7E9"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Collect the lentivirus-containing supernatant 48 h and 60 h post</w:t>
      </w:r>
      <w:r w:rsidR="00510DB7" w:rsidRPr="00172BFB">
        <w:rPr>
          <w:rFonts w:asciiTheme="majorHAnsi" w:hAnsiTheme="majorHAnsi" w:cstheme="majorHAnsi"/>
          <w:highlight w:val="yellow"/>
        </w:rPr>
        <w:t xml:space="preserve"> </w:t>
      </w:r>
      <w:r w:rsidRPr="00172BFB">
        <w:rPr>
          <w:rFonts w:asciiTheme="majorHAnsi" w:hAnsiTheme="majorHAnsi" w:cstheme="majorHAnsi"/>
          <w:highlight w:val="yellow"/>
        </w:rPr>
        <w:t>transfection into 50</w:t>
      </w:r>
      <w:r w:rsidR="00510DB7" w:rsidRPr="00172BFB">
        <w:rPr>
          <w:rFonts w:asciiTheme="majorHAnsi" w:hAnsiTheme="majorHAnsi" w:cstheme="majorHAnsi"/>
          <w:highlight w:val="yellow"/>
        </w:rPr>
        <w:t xml:space="preserve"> </w:t>
      </w:r>
      <w:r w:rsidRPr="00172BFB">
        <w:rPr>
          <w:rFonts w:asciiTheme="majorHAnsi" w:hAnsiTheme="majorHAnsi" w:cstheme="majorHAnsi"/>
          <w:highlight w:val="yellow"/>
        </w:rPr>
        <w:t>mL conical tubes. After the first collection, add 12 mL of prewarmed DMEM complete medium per 150</w:t>
      </w:r>
      <w:r w:rsidR="00510DB7" w:rsidRPr="00172BFB">
        <w:rPr>
          <w:rFonts w:asciiTheme="majorHAnsi" w:hAnsiTheme="majorHAnsi" w:cstheme="majorHAnsi"/>
          <w:highlight w:val="yellow"/>
        </w:rPr>
        <w:t xml:space="preserve"> </w:t>
      </w:r>
      <w:r w:rsidRPr="00172BFB">
        <w:rPr>
          <w:rFonts w:asciiTheme="majorHAnsi" w:hAnsiTheme="majorHAnsi" w:cstheme="majorHAnsi"/>
          <w:highlight w:val="yellow"/>
        </w:rPr>
        <w:t>mm plate for the second collection. Store the collections at 4 °C, filter them through a 0.45 µm low-protein</w:t>
      </w:r>
      <w:r w:rsidR="00510DB7" w:rsidRPr="00172BFB">
        <w:rPr>
          <w:rFonts w:asciiTheme="majorHAnsi" w:hAnsiTheme="majorHAnsi" w:cstheme="majorHAnsi"/>
          <w:highlight w:val="yellow"/>
        </w:rPr>
        <w:t>-</w:t>
      </w:r>
      <w:r w:rsidRPr="00172BFB">
        <w:rPr>
          <w:rFonts w:asciiTheme="majorHAnsi" w:hAnsiTheme="majorHAnsi" w:cstheme="majorHAnsi"/>
          <w:highlight w:val="yellow"/>
        </w:rPr>
        <w:t>binding PES filter and combine them.</w:t>
      </w:r>
    </w:p>
    <w:p w14:paraId="05EF26AB"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2AB3288" w14:textId="45253D35"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To concentrate the virus, pipette 37 g</w:t>
      </w:r>
      <w:r w:rsidRPr="00172BFB">
        <w:rPr>
          <w:rFonts w:asciiTheme="majorHAnsi" w:hAnsiTheme="majorHAnsi" w:cstheme="majorHAnsi"/>
          <w:i/>
          <w:highlight w:val="yellow"/>
        </w:rPr>
        <w:t xml:space="preserve"> </w:t>
      </w:r>
      <w:r w:rsidRPr="00172BFB">
        <w:rPr>
          <w:rFonts w:asciiTheme="majorHAnsi" w:hAnsiTheme="majorHAnsi" w:cstheme="majorHAnsi"/>
          <w:highlight w:val="yellow"/>
        </w:rPr>
        <w:t xml:space="preserve">of lentivirus-containing medium into 38.5 mL Open-Top </w:t>
      </w:r>
      <w:proofErr w:type="spellStart"/>
      <w:r w:rsidRPr="00172BFB">
        <w:rPr>
          <w:rFonts w:asciiTheme="majorHAnsi" w:hAnsiTheme="majorHAnsi" w:cstheme="majorHAnsi"/>
          <w:highlight w:val="yellow"/>
        </w:rPr>
        <w:t>Thinwall</w:t>
      </w:r>
      <w:proofErr w:type="spellEnd"/>
      <w:r w:rsidRPr="00172BFB">
        <w:rPr>
          <w:rFonts w:asciiTheme="majorHAnsi" w:hAnsiTheme="majorHAnsi" w:cstheme="majorHAnsi"/>
          <w:highlight w:val="yellow"/>
        </w:rPr>
        <w:t xml:space="preserve"> Polypropylene Tubes. Measure the weight of the tubes using a bench scale.</w:t>
      </w:r>
    </w:p>
    <w:p w14:paraId="3CBE5F07"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6E505E4A" w14:textId="527C1499"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highlight w:val="yellow"/>
        </w:rPr>
        <w:t>NOTE:</w:t>
      </w:r>
      <w:r w:rsidRPr="00172BFB">
        <w:rPr>
          <w:rFonts w:asciiTheme="majorHAnsi" w:hAnsiTheme="majorHAnsi" w:cstheme="majorHAnsi"/>
          <w:b/>
          <w:highlight w:val="yellow"/>
        </w:rPr>
        <w:t xml:space="preserve"> </w:t>
      </w:r>
      <w:r w:rsidRPr="00172BFB">
        <w:rPr>
          <w:rFonts w:asciiTheme="majorHAnsi" w:hAnsiTheme="majorHAnsi" w:cstheme="majorHAnsi"/>
          <w:highlight w:val="yellow"/>
        </w:rPr>
        <w:t>Measure the weight of the lentivirus-containing medium rather than its volume, as weight provides greater precision for balancing. The weight of the tubes must be well balanced to avoid damaging the ultracentrifuge.</w:t>
      </w:r>
      <w:r w:rsidRPr="00172BFB">
        <w:rPr>
          <w:rFonts w:asciiTheme="majorHAnsi" w:hAnsiTheme="majorHAnsi" w:cstheme="majorHAnsi"/>
        </w:rPr>
        <w:t xml:space="preserve"> </w:t>
      </w:r>
    </w:p>
    <w:p w14:paraId="1C3E396B"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1A2D6D01" w14:textId="7D2F10F6"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lastRenderedPageBreak/>
        <w:t>Place the tubes into the ultracentrifugation buckets, close the lids, and place the buckets into a Swinging-bucket rotor. Centrifuge at 25</w:t>
      </w:r>
      <w:r w:rsidR="00510DB7" w:rsidRPr="00172BFB">
        <w:rPr>
          <w:rFonts w:asciiTheme="majorHAnsi" w:hAnsiTheme="majorHAnsi" w:cstheme="majorHAnsi"/>
          <w:highlight w:val="yellow"/>
        </w:rPr>
        <w:t>,</w:t>
      </w:r>
      <w:r w:rsidRPr="00172BFB">
        <w:rPr>
          <w:rFonts w:asciiTheme="majorHAnsi" w:hAnsiTheme="majorHAnsi" w:cstheme="majorHAnsi"/>
          <w:highlight w:val="yellow"/>
        </w:rPr>
        <w:t xml:space="preserve">000 </w:t>
      </w:r>
      <w:r w:rsidR="00510DB7" w:rsidRPr="00172BFB">
        <w:rPr>
          <w:rFonts w:asciiTheme="majorHAnsi" w:hAnsiTheme="majorHAnsi" w:cstheme="majorHAnsi"/>
          <w:highlight w:val="yellow"/>
        </w:rPr>
        <w:t>×</w:t>
      </w:r>
      <w:r w:rsidRPr="00172BFB">
        <w:rPr>
          <w:rFonts w:asciiTheme="majorHAnsi" w:hAnsiTheme="majorHAnsi" w:cstheme="majorHAnsi"/>
          <w:i/>
          <w:highlight w:val="yellow"/>
        </w:rPr>
        <w:t xml:space="preserve"> g </w:t>
      </w:r>
      <w:r w:rsidRPr="00172BFB">
        <w:rPr>
          <w:rFonts w:asciiTheme="majorHAnsi" w:hAnsiTheme="majorHAnsi" w:cstheme="majorHAnsi"/>
          <w:highlight w:val="yellow"/>
        </w:rPr>
        <w:t>for 90 min at 4 °C.</w:t>
      </w:r>
    </w:p>
    <w:p w14:paraId="5BBB7C81"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2A44318"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After centrifugation, remove the tubes from the buckets and aspirate the supernatant. </w:t>
      </w:r>
    </w:p>
    <w:p w14:paraId="32AECE9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7737DBF4" w14:textId="23385A6B" w:rsidR="004D2710" w:rsidRPr="00172BFB" w:rsidRDefault="00172BFB" w:rsidP="00172BFB">
      <w:pPr>
        <w:widowControl/>
        <w:pBdr>
          <w:top w:val="nil"/>
          <w:left w:val="nil"/>
          <w:bottom w:val="nil"/>
          <w:right w:val="nil"/>
          <w:between w:val="nil"/>
        </w:pBdr>
        <w:ind w:left="142"/>
        <w:rPr>
          <w:rFonts w:asciiTheme="majorHAnsi" w:hAnsiTheme="majorHAnsi" w:cstheme="majorHAnsi"/>
          <w:highlight w:val="yellow"/>
        </w:rPr>
      </w:pPr>
      <w:r w:rsidRPr="00172BFB">
        <w:rPr>
          <w:rFonts w:asciiTheme="majorHAnsi" w:hAnsiTheme="majorHAnsi" w:cstheme="majorHAnsi"/>
          <w:bCs/>
          <w:highlight w:val="yellow"/>
        </w:rPr>
        <w:t>NOTE:</w:t>
      </w:r>
      <w:r w:rsidRPr="00172BFB">
        <w:rPr>
          <w:rFonts w:asciiTheme="majorHAnsi" w:hAnsiTheme="majorHAnsi" w:cstheme="majorHAnsi"/>
          <w:b/>
          <w:highlight w:val="yellow"/>
        </w:rPr>
        <w:t xml:space="preserve"> </w:t>
      </w:r>
      <w:r w:rsidRPr="00172BFB">
        <w:rPr>
          <w:rFonts w:asciiTheme="majorHAnsi" w:hAnsiTheme="majorHAnsi" w:cstheme="majorHAnsi"/>
          <w:highlight w:val="yellow"/>
        </w:rPr>
        <w:t xml:space="preserve">The same tubes can be filled up repeatedly and used for a total number of </w:t>
      </w:r>
      <w:r w:rsidR="00D14EAF" w:rsidRPr="00172BFB">
        <w:rPr>
          <w:rFonts w:asciiTheme="majorHAnsi" w:hAnsiTheme="majorHAnsi" w:cstheme="majorHAnsi"/>
          <w:highlight w:val="yellow"/>
        </w:rPr>
        <w:t>three</w:t>
      </w:r>
      <w:r w:rsidRPr="00172BFB">
        <w:rPr>
          <w:rFonts w:asciiTheme="majorHAnsi" w:hAnsiTheme="majorHAnsi" w:cstheme="majorHAnsi"/>
          <w:highlight w:val="yellow"/>
        </w:rPr>
        <w:t xml:space="preserve"> centrifugation rounds to produce a bigger lentivirus pellet per tube.</w:t>
      </w:r>
    </w:p>
    <w:p w14:paraId="34FE17D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12E4E0FB" w14:textId="6A1E05CE"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Place the Open-Top </w:t>
      </w:r>
      <w:proofErr w:type="spellStart"/>
      <w:r w:rsidRPr="00172BFB">
        <w:rPr>
          <w:rFonts w:asciiTheme="majorHAnsi" w:hAnsiTheme="majorHAnsi" w:cstheme="majorHAnsi"/>
          <w:highlight w:val="yellow"/>
        </w:rPr>
        <w:t>Thinwall</w:t>
      </w:r>
      <w:proofErr w:type="spellEnd"/>
      <w:r w:rsidRPr="00172BFB">
        <w:rPr>
          <w:rFonts w:asciiTheme="majorHAnsi" w:hAnsiTheme="majorHAnsi" w:cstheme="majorHAnsi"/>
          <w:highlight w:val="yellow"/>
        </w:rPr>
        <w:t xml:space="preserve"> Polypropylene Tubes upside down for 5 min on a </w:t>
      </w:r>
      <w:r w:rsidR="00D14EAF" w:rsidRPr="00172BFB">
        <w:rPr>
          <w:rFonts w:asciiTheme="majorHAnsi" w:hAnsiTheme="majorHAnsi" w:cstheme="majorHAnsi"/>
          <w:highlight w:val="yellow"/>
        </w:rPr>
        <w:t xml:space="preserve">laboratory </w:t>
      </w:r>
      <w:r w:rsidRPr="00172BFB">
        <w:rPr>
          <w:rFonts w:asciiTheme="majorHAnsi" w:hAnsiTheme="majorHAnsi" w:cstheme="majorHAnsi"/>
          <w:highlight w:val="yellow"/>
        </w:rPr>
        <w:t>wipe or similar absorbent material to allow excess liquid to drain and dry the pellet.</w:t>
      </w:r>
    </w:p>
    <w:p w14:paraId="7197C32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6627151F" w14:textId="5D21DC94"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Add 200 µL of ice-cold DMEM supplemented with HEPES or PBS to each pellet. Place the microcentrifuge tubes into 50</w:t>
      </w:r>
      <w:r w:rsidR="00D14EAF" w:rsidRPr="00172BFB">
        <w:rPr>
          <w:rFonts w:asciiTheme="majorHAnsi" w:hAnsiTheme="majorHAnsi" w:cstheme="majorHAnsi"/>
          <w:highlight w:val="yellow"/>
        </w:rPr>
        <w:t xml:space="preserve"> </w:t>
      </w:r>
      <w:r w:rsidRPr="00172BFB">
        <w:rPr>
          <w:rFonts w:asciiTheme="majorHAnsi" w:hAnsiTheme="majorHAnsi" w:cstheme="majorHAnsi"/>
          <w:highlight w:val="yellow"/>
        </w:rPr>
        <w:t>mL conical tubes and close the lid to maintain sterility.</w:t>
      </w:r>
    </w:p>
    <w:p w14:paraId="046231A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616F8DB"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Incubate the pellet overnight at 4 °C to allow resuspension.</w:t>
      </w:r>
    </w:p>
    <w:p w14:paraId="7A55BDB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65B7B8E"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Combine the resuspended pellets, aliquot, and store them at -80 °C for up to a year.</w:t>
      </w:r>
    </w:p>
    <w:p w14:paraId="3E9FD645"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14EBED2F" w14:textId="771803B6"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highlight w:val="yellow"/>
        </w:rPr>
        <w:t>NOTE:</w:t>
      </w:r>
      <w:r w:rsidRPr="00172BFB">
        <w:rPr>
          <w:rFonts w:asciiTheme="majorHAnsi" w:hAnsiTheme="majorHAnsi" w:cstheme="majorHAnsi"/>
          <w:highlight w:val="yellow"/>
        </w:rPr>
        <w:t xml:space="preserve"> To avoid loss of titer by repeated rounds of freeze-thawing, use smaller aliquot volumes (e.g., 50</w:t>
      </w:r>
      <w:r w:rsidR="00D14EAF" w:rsidRPr="00172BFB">
        <w:rPr>
          <w:rFonts w:asciiTheme="majorHAnsi" w:hAnsiTheme="majorHAnsi" w:cstheme="majorHAnsi"/>
          <w:highlight w:val="yellow"/>
        </w:rPr>
        <w:t>–</w:t>
      </w:r>
      <w:r w:rsidRPr="00172BFB">
        <w:rPr>
          <w:rFonts w:asciiTheme="majorHAnsi" w:hAnsiTheme="majorHAnsi" w:cstheme="majorHAnsi"/>
          <w:highlight w:val="yellow"/>
        </w:rPr>
        <w:t>200 µL).</w:t>
      </w:r>
    </w:p>
    <w:p w14:paraId="39F6EEEE" w14:textId="77777777" w:rsidR="004D2710" w:rsidRPr="00172BFB" w:rsidRDefault="004D2710" w:rsidP="00172BFB">
      <w:pPr>
        <w:ind w:left="142"/>
        <w:rPr>
          <w:rFonts w:asciiTheme="majorHAnsi" w:hAnsiTheme="majorHAnsi" w:cstheme="majorHAnsi"/>
          <w:b/>
          <w:highlight w:val="yellow"/>
        </w:rPr>
      </w:pPr>
    </w:p>
    <w:p w14:paraId="5138E58B" w14:textId="77777777" w:rsidR="004D2710" w:rsidRPr="001E7F69" w:rsidRDefault="00172BFB" w:rsidP="00172BFB">
      <w:pPr>
        <w:numPr>
          <w:ilvl w:val="0"/>
          <w:numId w:val="1"/>
        </w:numPr>
        <w:ind w:left="142" w:firstLine="0"/>
        <w:rPr>
          <w:rFonts w:asciiTheme="majorHAnsi" w:hAnsiTheme="majorHAnsi" w:cstheme="majorHAnsi"/>
          <w:b/>
        </w:rPr>
      </w:pPr>
      <w:r w:rsidRPr="001E7F69">
        <w:rPr>
          <w:rFonts w:asciiTheme="majorHAnsi" w:hAnsiTheme="majorHAnsi" w:cstheme="majorHAnsi"/>
          <w:b/>
        </w:rPr>
        <w:t>Functional virus titration</w:t>
      </w:r>
    </w:p>
    <w:p w14:paraId="0ECAF179" w14:textId="77777777" w:rsidR="004D2710" w:rsidRPr="001E7F69" w:rsidRDefault="004D2710" w:rsidP="00172BFB">
      <w:pPr>
        <w:ind w:left="142"/>
        <w:rPr>
          <w:rFonts w:asciiTheme="majorHAnsi" w:hAnsiTheme="majorHAnsi" w:cstheme="majorHAnsi"/>
        </w:rPr>
      </w:pPr>
    </w:p>
    <w:p w14:paraId="1A9E589F" w14:textId="63401A59" w:rsidR="004D2710" w:rsidRPr="001E7F69" w:rsidRDefault="00D14EAF" w:rsidP="00172BFB">
      <w:pPr>
        <w:ind w:left="142"/>
        <w:rPr>
          <w:rFonts w:asciiTheme="majorHAnsi" w:hAnsiTheme="majorHAnsi" w:cstheme="majorHAnsi"/>
        </w:rPr>
      </w:pPr>
      <w:r w:rsidRPr="001E7F69">
        <w:rPr>
          <w:rFonts w:asciiTheme="majorHAnsi" w:hAnsiTheme="majorHAnsi" w:cstheme="majorHAnsi"/>
        </w:rPr>
        <w:t xml:space="preserve">NOTE: </w:t>
      </w:r>
      <w:r w:rsidR="00172BFB" w:rsidRPr="001E7F69">
        <w:rPr>
          <w:rFonts w:asciiTheme="majorHAnsi" w:hAnsiTheme="majorHAnsi" w:cstheme="majorHAnsi"/>
        </w:rPr>
        <w:t>This step should be repeated for each batch of lentivirus to determine the optimal viral dose required to achieve a 1:1 ratio of transduced (</w:t>
      </w:r>
      <w:proofErr w:type="spellStart"/>
      <w:r w:rsidR="00172BFB" w:rsidRPr="001E7F69">
        <w:rPr>
          <w:rFonts w:asciiTheme="majorHAnsi" w:hAnsiTheme="majorHAnsi" w:cstheme="majorHAnsi"/>
        </w:rPr>
        <w:t>eGFP</w:t>
      </w:r>
      <w:proofErr w:type="spellEnd"/>
      <w:r w:rsidR="00172BFB" w:rsidRPr="001E7F69">
        <w:rPr>
          <w:rFonts w:asciiTheme="majorHAnsi" w:hAnsiTheme="majorHAnsi" w:cstheme="majorHAnsi"/>
        </w:rPr>
        <w:t xml:space="preserve">⁺) to </w:t>
      </w:r>
      <w:proofErr w:type="spellStart"/>
      <w:r w:rsidR="00172BFB" w:rsidRPr="001E7F69">
        <w:rPr>
          <w:rFonts w:asciiTheme="majorHAnsi" w:hAnsiTheme="majorHAnsi" w:cstheme="majorHAnsi"/>
        </w:rPr>
        <w:t>untransduced</w:t>
      </w:r>
      <w:proofErr w:type="spellEnd"/>
      <w:r w:rsidR="00172BFB" w:rsidRPr="001E7F69">
        <w:rPr>
          <w:rFonts w:asciiTheme="majorHAnsi" w:hAnsiTheme="majorHAnsi" w:cstheme="majorHAnsi"/>
        </w:rPr>
        <w:t xml:space="preserve"> (</w:t>
      </w:r>
      <w:proofErr w:type="spellStart"/>
      <w:r w:rsidR="00172BFB" w:rsidRPr="001E7F69">
        <w:rPr>
          <w:rFonts w:asciiTheme="majorHAnsi" w:hAnsiTheme="majorHAnsi" w:cstheme="majorHAnsi"/>
        </w:rPr>
        <w:t>eGFP</w:t>
      </w:r>
      <w:proofErr w:type="spellEnd"/>
      <w:r w:rsidR="00172BFB" w:rsidRPr="001E7F69">
        <w:rPr>
          <w:rFonts w:asciiTheme="majorHAnsi" w:hAnsiTheme="majorHAnsi" w:cstheme="majorHAnsi"/>
        </w:rPr>
        <w:t>⁻) cells.</w:t>
      </w:r>
    </w:p>
    <w:p w14:paraId="47BA7EF0" w14:textId="77777777" w:rsidR="004D2710" w:rsidRPr="001E7F69" w:rsidRDefault="004D2710" w:rsidP="00172BFB">
      <w:pPr>
        <w:ind w:left="142"/>
        <w:rPr>
          <w:rFonts w:asciiTheme="majorHAnsi" w:hAnsiTheme="majorHAnsi" w:cstheme="majorHAnsi"/>
        </w:rPr>
      </w:pPr>
    </w:p>
    <w:p w14:paraId="58A49959" w14:textId="0011A312" w:rsidR="004D2710" w:rsidRPr="001E7F69" w:rsidRDefault="00172BFB" w:rsidP="00172BFB">
      <w:pPr>
        <w:numPr>
          <w:ilvl w:val="1"/>
          <w:numId w:val="1"/>
        </w:numPr>
        <w:ind w:left="142" w:firstLine="0"/>
        <w:rPr>
          <w:rFonts w:asciiTheme="majorHAnsi" w:hAnsiTheme="majorHAnsi" w:cstheme="majorHAnsi"/>
        </w:rPr>
      </w:pPr>
      <w:r w:rsidRPr="001E7F69">
        <w:rPr>
          <w:rFonts w:asciiTheme="majorHAnsi" w:hAnsiTheme="majorHAnsi" w:cstheme="majorHAnsi"/>
        </w:rPr>
        <w:t xml:space="preserve">Thaw and expand cancer cells in appropriate culture media (e.g., the YUMM1.7 murine melanoma cell line in DMEM/F12 complete medium). </w:t>
      </w:r>
    </w:p>
    <w:p w14:paraId="3D9BD535" w14:textId="77777777" w:rsidR="004D2710" w:rsidRPr="001E7F69" w:rsidRDefault="004D2710" w:rsidP="00172BFB">
      <w:pPr>
        <w:ind w:left="142"/>
        <w:rPr>
          <w:rFonts w:asciiTheme="majorHAnsi" w:hAnsiTheme="majorHAnsi" w:cstheme="majorHAnsi"/>
          <w:b/>
        </w:rPr>
      </w:pPr>
    </w:p>
    <w:p w14:paraId="1E4F1EFC" w14:textId="77777777" w:rsidR="004D2710" w:rsidRPr="001E7F69" w:rsidRDefault="00172BFB" w:rsidP="00172BFB">
      <w:pP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rPr>
        <w:t xml:space="preserve"> Cells should undergo at least one round of division before a reprogramming experiment. Passages of cells should be similar between experiments.</w:t>
      </w:r>
    </w:p>
    <w:p w14:paraId="5C645D05" w14:textId="3FA999DE"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115180DB" w14:textId="2A260D91"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One day before tumor establishment, raise cancer cells by aspirating their culture media, washing once with PBS, and adding 2 mL or 5 mL of trypsin per 100</w:t>
      </w:r>
      <w:r w:rsidR="00D14EAF" w:rsidRPr="001E7F69">
        <w:rPr>
          <w:rFonts w:asciiTheme="majorHAnsi" w:hAnsiTheme="majorHAnsi" w:cstheme="majorHAnsi"/>
        </w:rPr>
        <w:t xml:space="preserve"> </w:t>
      </w:r>
      <w:r w:rsidRPr="001E7F69">
        <w:rPr>
          <w:rFonts w:asciiTheme="majorHAnsi" w:hAnsiTheme="majorHAnsi" w:cstheme="majorHAnsi"/>
        </w:rPr>
        <w:t>mm plate or 150</w:t>
      </w:r>
      <w:r w:rsidR="00D14EAF" w:rsidRPr="001E7F69">
        <w:rPr>
          <w:rFonts w:asciiTheme="majorHAnsi" w:hAnsiTheme="majorHAnsi" w:cstheme="majorHAnsi"/>
        </w:rPr>
        <w:t xml:space="preserve"> </w:t>
      </w:r>
      <w:r w:rsidRPr="001E7F69">
        <w:rPr>
          <w:rFonts w:asciiTheme="majorHAnsi" w:hAnsiTheme="majorHAnsi" w:cstheme="majorHAnsi"/>
        </w:rPr>
        <w:t>mm plate. Incubate for 5</w:t>
      </w:r>
      <w:r w:rsidR="00D14EAF" w:rsidRPr="001E7F69">
        <w:rPr>
          <w:rFonts w:asciiTheme="majorHAnsi" w:hAnsiTheme="majorHAnsi" w:cstheme="majorHAnsi"/>
        </w:rPr>
        <w:t>–</w:t>
      </w:r>
      <w:r w:rsidRPr="001E7F69">
        <w:rPr>
          <w:rFonts w:asciiTheme="majorHAnsi" w:hAnsiTheme="majorHAnsi" w:cstheme="majorHAnsi"/>
        </w:rPr>
        <w:t>10 min at 37 °C with 5% CO</w:t>
      </w:r>
      <w:r w:rsidRPr="001E7F69">
        <w:rPr>
          <w:rFonts w:asciiTheme="majorHAnsi" w:hAnsiTheme="majorHAnsi" w:cstheme="majorHAnsi"/>
          <w:vertAlign w:val="subscript"/>
        </w:rPr>
        <w:t>2</w:t>
      </w:r>
      <w:r w:rsidRPr="001E7F69">
        <w:rPr>
          <w:rFonts w:asciiTheme="majorHAnsi" w:hAnsiTheme="majorHAnsi" w:cstheme="majorHAnsi"/>
        </w:rPr>
        <w:t xml:space="preserve"> and collect the cells by adding 8 mL or 5 mL complete media per 100</w:t>
      </w:r>
      <w:r w:rsidR="00D14EAF" w:rsidRPr="001E7F69">
        <w:rPr>
          <w:rFonts w:asciiTheme="majorHAnsi" w:hAnsiTheme="majorHAnsi" w:cstheme="majorHAnsi"/>
        </w:rPr>
        <w:t xml:space="preserve"> mm</w:t>
      </w:r>
      <w:r w:rsidRPr="001E7F69">
        <w:rPr>
          <w:rFonts w:asciiTheme="majorHAnsi" w:hAnsiTheme="majorHAnsi" w:cstheme="majorHAnsi"/>
        </w:rPr>
        <w:t xml:space="preserve"> or 150</w:t>
      </w:r>
      <w:r w:rsidR="00D14EAF" w:rsidRPr="001E7F69">
        <w:rPr>
          <w:rFonts w:asciiTheme="majorHAnsi" w:hAnsiTheme="majorHAnsi" w:cstheme="majorHAnsi"/>
        </w:rPr>
        <w:t xml:space="preserve"> </w:t>
      </w:r>
      <w:r w:rsidRPr="001E7F69">
        <w:rPr>
          <w:rFonts w:asciiTheme="majorHAnsi" w:hAnsiTheme="majorHAnsi" w:cstheme="majorHAnsi"/>
        </w:rPr>
        <w:t>mm plate, respectively, into 50</w:t>
      </w:r>
      <w:r w:rsidR="00D14EAF" w:rsidRPr="001E7F69">
        <w:rPr>
          <w:rFonts w:asciiTheme="majorHAnsi" w:hAnsiTheme="majorHAnsi" w:cstheme="majorHAnsi"/>
        </w:rPr>
        <w:t xml:space="preserve"> </w:t>
      </w:r>
      <w:r w:rsidRPr="001E7F69">
        <w:rPr>
          <w:rFonts w:asciiTheme="majorHAnsi" w:hAnsiTheme="majorHAnsi" w:cstheme="majorHAnsi"/>
        </w:rPr>
        <w:t>mL conical tubes.</w:t>
      </w:r>
    </w:p>
    <w:p w14:paraId="7EC90495"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00C1BCB9" w14:textId="7AFC344E"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Centrifuge cells at 350 </w:t>
      </w:r>
      <w:r w:rsidR="00D14EAF" w:rsidRPr="001E7F69">
        <w:rPr>
          <w:rFonts w:asciiTheme="majorHAnsi" w:hAnsiTheme="majorHAnsi" w:cstheme="majorHAnsi"/>
        </w:rPr>
        <w:t>×</w:t>
      </w:r>
      <w:r w:rsidRPr="001E7F69">
        <w:rPr>
          <w:rFonts w:asciiTheme="majorHAnsi" w:hAnsiTheme="majorHAnsi" w:cstheme="majorHAnsi"/>
          <w:i/>
        </w:rPr>
        <w:t xml:space="preserve"> g </w:t>
      </w:r>
      <w:r w:rsidRPr="001E7F69">
        <w:rPr>
          <w:rFonts w:asciiTheme="majorHAnsi" w:hAnsiTheme="majorHAnsi" w:cstheme="majorHAnsi"/>
        </w:rPr>
        <w:t>for 5 min to remove trypsin and resuspend in complete medium.</w:t>
      </w:r>
    </w:p>
    <w:p w14:paraId="2371AA99"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5AAA7B8F" w14:textId="05C34A0F"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Take a 10 µL aliquot of cells, add 10 µL </w:t>
      </w:r>
      <w:r w:rsidR="00D14EAF" w:rsidRPr="001E7F69">
        <w:rPr>
          <w:rFonts w:asciiTheme="majorHAnsi" w:hAnsiTheme="majorHAnsi" w:cstheme="majorHAnsi"/>
        </w:rPr>
        <w:t xml:space="preserve">of </w:t>
      </w:r>
      <w:r w:rsidRPr="001E7F69">
        <w:rPr>
          <w:rFonts w:asciiTheme="majorHAnsi" w:hAnsiTheme="majorHAnsi" w:cstheme="majorHAnsi"/>
        </w:rPr>
        <w:t>Trypan Blue, and count viable cells using a hemocytometer.</w:t>
      </w:r>
    </w:p>
    <w:p w14:paraId="59530955"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6199E515" w14:textId="2818CC8B"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lastRenderedPageBreak/>
        <w:t>Transfer 6</w:t>
      </w:r>
      <w:r w:rsidR="00D14EAF" w:rsidRPr="001E7F69">
        <w:rPr>
          <w:rFonts w:asciiTheme="majorHAnsi" w:hAnsiTheme="majorHAnsi" w:cstheme="majorHAnsi"/>
        </w:rPr>
        <w:t xml:space="preserve"> × </w:t>
      </w:r>
      <w:r w:rsidRPr="001E7F69">
        <w:rPr>
          <w:rFonts w:asciiTheme="majorHAnsi" w:hAnsiTheme="majorHAnsi" w:cstheme="majorHAnsi"/>
        </w:rPr>
        <w:t>10</w:t>
      </w:r>
      <w:r w:rsidRPr="001E7F69">
        <w:rPr>
          <w:rFonts w:asciiTheme="majorHAnsi" w:hAnsiTheme="majorHAnsi" w:cstheme="majorHAnsi"/>
          <w:vertAlign w:val="superscript"/>
        </w:rPr>
        <w:t>5</w:t>
      </w:r>
      <w:r w:rsidRPr="001E7F69">
        <w:rPr>
          <w:rFonts w:asciiTheme="majorHAnsi" w:hAnsiTheme="majorHAnsi" w:cstheme="majorHAnsi"/>
        </w:rPr>
        <w:t xml:space="preserve"> cells to a new 50</w:t>
      </w:r>
      <w:r w:rsidR="00D14EAF" w:rsidRPr="001E7F69">
        <w:rPr>
          <w:rFonts w:asciiTheme="majorHAnsi" w:hAnsiTheme="majorHAnsi" w:cstheme="majorHAnsi"/>
        </w:rPr>
        <w:t xml:space="preserve"> </w:t>
      </w:r>
      <w:r w:rsidRPr="001E7F69">
        <w:rPr>
          <w:rFonts w:asciiTheme="majorHAnsi" w:hAnsiTheme="majorHAnsi" w:cstheme="majorHAnsi"/>
        </w:rPr>
        <w:t xml:space="preserve">mL conical tube containing 12 mL of complete medium and add 12 µL of 8 mg/mL polybrene to the cell suspension to reach a working concentration of 8 </w:t>
      </w:r>
      <w:proofErr w:type="gramStart"/>
      <w:r w:rsidRPr="001E7F69">
        <w:rPr>
          <w:rFonts w:asciiTheme="majorHAnsi" w:hAnsiTheme="majorHAnsi" w:cstheme="majorHAnsi"/>
        </w:rPr>
        <w:t>µg</w:t>
      </w:r>
      <w:proofErr w:type="gramEnd"/>
      <w:r w:rsidRPr="001E7F69">
        <w:rPr>
          <w:rFonts w:asciiTheme="majorHAnsi" w:hAnsiTheme="majorHAnsi" w:cstheme="majorHAnsi"/>
        </w:rPr>
        <w:t>/</w:t>
      </w:r>
      <w:proofErr w:type="spellStart"/>
      <w:r w:rsidRPr="001E7F69">
        <w:rPr>
          <w:rFonts w:asciiTheme="majorHAnsi" w:hAnsiTheme="majorHAnsi" w:cstheme="majorHAnsi"/>
        </w:rPr>
        <w:t>mL.</w:t>
      </w:r>
      <w:proofErr w:type="spellEnd"/>
    </w:p>
    <w:p w14:paraId="67F64359"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6D829CAC" w14:textId="5A6BC3AA"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Pipette 2 mL of the cell suspension into each well on a 6-well tissue culture plate.</w:t>
      </w:r>
    </w:p>
    <w:p w14:paraId="46C16F8A"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05E0E11F" w14:textId="733E426C"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rPr>
        <w:t xml:space="preserve"> If necessary, increase cell numbers to 1.2</w:t>
      </w:r>
      <w:r w:rsidR="00D14EAF" w:rsidRPr="001E7F69">
        <w:rPr>
          <w:rFonts w:asciiTheme="majorHAnsi" w:hAnsiTheme="majorHAnsi" w:cstheme="majorHAnsi"/>
        </w:rPr>
        <w:t>–</w:t>
      </w:r>
      <w:r w:rsidRPr="001E7F69">
        <w:rPr>
          <w:rFonts w:asciiTheme="majorHAnsi" w:hAnsiTheme="majorHAnsi" w:cstheme="majorHAnsi"/>
        </w:rPr>
        <w:t>1.8</w:t>
      </w:r>
      <w:r w:rsidR="00D14EAF" w:rsidRPr="001E7F69">
        <w:rPr>
          <w:rFonts w:asciiTheme="majorHAnsi" w:hAnsiTheme="majorHAnsi" w:cstheme="majorHAnsi"/>
        </w:rPr>
        <w:t xml:space="preserve"> </w:t>
      </w:r>
      <w:r w:rsidRPr="001E7F69">
        <w:rPr>
          <w:rFonts w:asciiTheme="majorHAnsi" w:hAnsiTheme="majorHAnsi" w:cstheme="majorHAnsi"/>
        </w:rPr>
        <w:t>x</w:t>
      </w:r>
      <w:r w:rsidR="00D14EAF" w:rsidRPr="001E7F69">
        <w:rPr>
          <w:rFonts w:asciiTheme="majorHAnsi" w:hAnsiTheme="majorHAnsi" w:cstheme="majorHAnsi"/>
        </w:rPr>
        <w:t xml:space="preserve"> </w:t>
      </w:r>
      <w:r w:rsidRPr="001E7F69">
        <w:rPr>
          <w:rFonts w:asciiTheme="majorHAnsi" w:hAnsiTheme="majorHAnsi" w:cstheme="majorHAnsi"/>
        </w:rPr>
        <w:t>10</w:t>
      </w:r>
      <w:r w:rsidRPr="001E7F69">
        <w:rPr>
          <w:rFonts w:asciiTheme="majorHAnsi" w:hAnsiTheme="majorHAnsi" w:cstheme="majorHAnsi"/>
          <w:vertAlign w:val="superscript"/>
        </w:rPr>
        <w:t>6</w:t>
      </w:r>
      <w:r w:rsidRPr="001E7F69">
        <w:rPr>
          <w:rFonts w:asciiTheme="majorHAnsi" w:hAnsiTheme="majorHAnsi" w:cstheme="majorHAnsi"/>
        </w:rPr>
        <w:t xml:space="preserve"> per 6-well plate.</w:t>
      </w:r>
    </w:p>
    <w:p w14:paraId="1F290987"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045F3A6B" w14:textId="713C9CA3"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Add increasing volumes of lentivirus to each well to determine the optimal volume needed to achieve a 1:1 ratio of transduced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to </w:t>
      </w:r>
      <w:proofErr w:type="spellStart"/>
      <w:r w:rsidRPr="001E7F69">
        <w:rPr>
          <w:rFonts w:asciiTheme="majorHAnsi" w:hAnsiTheme="majorHAnsi" w:cstheme="majorHAnsi"/>
        </w:rPr>
        <w:t>untransduced</w:t>
      </w:r>
      <w:proofErr w:type="spellEnd"/>
      <w:r w:rsidRPr="001E7F69">
        <w:rPr>
          <w:rFonts w:asciiTheme="majorHAnsi" w:hAnsiTheme="majorHAnsi" w:cstheme="majorHAnsi"/>
        </w:rPr>
        <w:t xml:space="preserve">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cells.</w:t>
      </w:r>
    </w:p>
    <w:p w14:paraId="5450BB17"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38263F3E" w14:textId="45CA88AC"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b/>
        </w:rPr>
        <w:t xml:space="preserve"> </w:t>
      </w:r>
      <w:r w:rsidRPr="001E7F69">
        <w:rPr>
          <w:rFonts w:asciiTheme="majorHAnsi" w:hAnsiTheme="majorHAnsi" w:cstheme="majorHAnsi"/>
        </w:rPr>
        <w:t>Add the recommended lentivirus volumes of lentivirus of 1, 2, 4, 8, 16, and 32 µL in triplicates. Perform the functional titration for the empty control lentiviral vector SFFV-</w:t>
      </w:r>
      <w:proofErr w:type="spellStart"/>
      <w:r w:rsidRPr="001E7F69">
        <w:rPr>
          <w:rFonts w:asciiTheme="majorHAnsi" w:hAnsiTheme="majorHAnsi" w:cstheme="majorHAnsi"/>
        </w:rPr>
        <w:t>eGFP</w:t>
      </w:r>
      <w:proofErr w:type="spellEnd"/>
      <w:r w:rsidRPr="001E7F69">
        <w:rPr>
          <w:rFonts w:asciiTheme="majorHAnsi" w:hAnsiTheme="majorHAnsi" w:cstheme="majorHAnsi"/>
        </w:rPr>
        <w:t xml:space="preserve"> and SFFV-</w:t>
      </w:r>
      <w:proofErr w:type="spellStart"/>
      <w:r w:rsidRPr="001E7F69">
        <w:rPr>
          <w:rFonts w:asciiTheme="majorHAnsi" w:hAnsiTheme="majorHAnsi" w:cstheme="majorHAnsi"/>
        </w:rPr>
        <w:t>mCherry</w:t>
      </w:r>
      <w:proofErr w:type="spellEnd"/>
      <w:r w:rsidRPr="001E7F69">
        <w:rPr>
          <w:rFonts w:asciiTheme="majorHAnsi" w:hAnsiTheme="majorHAnsi" w:cstheme="majorHAnsi"/>
        </w:rPr>
        <w:t>.</w:t>
      </w:r>
    </w:p>
    <w:p w14:paraId="2E54F7DB"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0CB5473B" w14:textId="05EA0DCC"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Incubate </w:t>
      </w:r>
      <w:r w:rsidR="008D67B9" w:rsidRPr="001E7F69">
        <w:rPr>
          <w:rFonts w:asciiTheme="majorHAnsi" w:hAnsiTheme="majorHAnsi" w:cstheme="majorHAnsi"/>
        </w:rPr>
        <w:t xml:space="preserve">the </w:t>
      </w:r>
      <w:r w:rsidRPr="001E7F69">
        <w:rPr>
          <w:rFonts w:asciiTheme="majorHAnsi" w:hAnsiTheme="majorHAnsi" w:cstheme="majorHAnsi"/>
        </w:rPr>
        <w:t>cells for 24 h at 37 °C with 5% CO</w:t>
      </w:r>
      <w:r w:rsidRPr="001E7F69">
        <w:rPr>
          <w:rFonts w:asciiTheme="majorHAnsi" w:hAnsiTheme="majorHAnsi" w:cstheme="majorHAnsi"/>
          <w:vertAlign w:val="subscript"/>
        </w:rPr>
        <w:t>2</w:t>
      </w:r>
      <w:r w:rsidRPr="001E7F69">
        <w:rPr>
          <w:rFonts w:asciiTheme="majorHAnsi" w:hAnsiTheme="majorHAnsi" w:cstheme="majorHAnsi"/>
        </w:rPr>
        <w:t>.</w:t>
      </w:r>
    </w:p>
    <w:p w14:paraId="217A5E87"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6E892E71" w14:textId="7777777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On day 0, remove the lentivirus-containing media, replace with fresh media, and incubate for 72 h at 37 °C with 5% CO</w:t>
      </w:r>
      <w:r w:rsidRPr="001E7F69">
        <w:rPr>
          <w:rFonts w:asciiTheme="majorHAnsi" w:hAnsiTheme="majorHAnsi" w:cstheme="majorHAnsi"/>
          <w:vertAlign w:val="subscript"/>
        </w:rPr>
        <w:t>2</w:t>
      </w:r>
      <w:r w:rsidRPr="001E7F69">
        <w:rPr>
          <w:rFonts w:asciiTheme="majorHAnsi" w:hAnsiTheme="majorHAnsi" w:cstheme="majorHAnsi"/>
        </w:rPr>
        <w:t xml:space="preserve">. </w:t>
      </w:r>
    </w:p>
    <w:p w14:paraId="1FC7973E"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4701F878" w14:textId="6F3F188B"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On day 3, check </w:t>
      </w:r>
      <w:r w:rsidR="008D67B9" w:rsidRPr="001E7F69">
        <w:rPr>
          <w:rFonts w:asciiTheme="majorHAnsi" w:hAnsiTheme="majorHAnsi" w:cstheme="majorHAnsi"/>
        </w:rPr>
        <w:t xml:space="preserve">the </w:t>
      </w:r>
      <w:r w:rsidRPr="001E7F69">
        <w:rPr>
          <w:rFonts w:asciiTheme="majorHAnsi" w:hAnsiTheme="majorHAnsi" w:cstheme="majorHAnsi"/>
        </w:rPr>
        <w:t xml:space="preserve">cells for </w:t>
      </w:r>
      <w:proofErr w:type="spellStart"/>
      <w:r w:rsidRPr="001E7F69">
        <w:rPr>
          <w:rFonts w:asciiTheme="majorHAnsi" w:hAnsiTheme="majorHAnsi" w:cstheme="majorHAnsi"/>
        </w:rPr>
        <w:t>eGFP</w:t>
      </w:r>
      <w:proofErr w:type="spellEnd"/>
      <w:r w:rsidRPr="001E7F69">
        <w:rPr>
          <w:rFonts w:asciiTheme="majorHAnsi" w:hAnsiTheme="majorHAnsi" w:cstheme="majorHAnsi"/>
        </w:rPr>
        <w:t xml:space="preserve"> expression under a fluorescence microscope.</w:t>
      </w:r>
    </w:p>
    <w:p w14:paraId="31A5F05B"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4602A7F4" w14:textId="724285F1"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rPr>
        <w:t xml:space="preserve"> This step provides a rapid verification of cell transduction but does not replace the analysis performed by flow cytometry in step 3.14 to determine the exact ratio of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to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cells.</w:t>
      </w:r>
    </w:p>
    <w:p w14:paraId="5706CEAD" w14:textId="547E2B11"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rPr>
        <w:t xml:space="preserve">In some cancer cells (e.g., B16 mouse melanoma cells) the </w:t>
      </w:r>
      <w:proofErr w:type="spellStart"/>
      <w:r w:rsidRPr="001E7F69">
        <w:rPr>
          <w:rFonts w:asciiTheme="majorHAnsi" w:hAnsiTheme="majorHAnsi" w:cstheme="majorHAnsi"/>
        </w:rPr>
        <w:t>eGFP</w:t>
      </w:r>
      <w:proofErr w:type="spellEnd"/>
      <w:r w:rsidRPr="001E7F69">
        <w:rPr>
          <w:rFonts w:asciiTheme="majorHAnsi" w:hAnsiTheme="majorHAnsi" w:cstheme="majorHAnsi"/>
        </w:rPr>
        <w:t xml:space="preserve"> signal may be low and difficult to detect using a fluorescence microscope. It is recommended to proceed directly to flow cytometry.</w:t>
      </w:r>
    </w:p>
    <w:p w14:paraId="3B339EC9"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465F59FD" w14:textId="02935074"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Aspirate the medium, wash the cells once with PBS, and add 500 µL trypsin per well. Incubate for 5</w:t>
      </w:r>
      <w:r w:rsidR="0071073D" w:rsidRPr="001E7F69">
        <w:rPr>
          <w:rFonts w:asciiTheme="majorHAnsi" w:hAnsiTheme="majorHAnsi" w:cstheme="majorHAnsi"/>
        </w:rPr>
        <w:t>–</w:t>
      </w:r>
      <w:r w:rsidRPr="001E7F69">
        <w:rPr>
          <w:rFonts w:asciiTheme="majorHAnsi" w:hAnsiTheme="majorHAnsi" w:cstheme="majorHAnsi"/>
        </w:rPr>
        <w:t>10 min at 37 °C with 5% CO</w:t>
      </w:r>
      <w:r w:rsidRPr="001E7F69">
        <w:rPr>
          <w:rFonts w:asciiTheme="majorHAnsi" w:hAnsiTheme="majorHAnsi" w:cstheme="majorHAnsi"/>
          <w:vertAlign w:val="subscript"/>
        </w:rPr>
        <w:t>2</w:t>
      </w:r>
      <w:r w:rsidRPr="001E7F69">
        <w:rPr>
          <w:rFonts w:asciiTheme="majorHAnsi" w:hAnsiTheme="majorHAnsi" w:cstheme="majorHAnsi"/>
        </w:rPr>
        <w:t>.</w:t>
      </w:r>
    </w:p>
    <w:p w14:paraId="530C1800"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120190B8" w14:textId="7777777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Raise the cells in each well with 1.5 mL of FACS buffer and pipette the cell suspension into 5 mL polystyrene tubes. Take an aliquot and count viable cells using a hemocytometer and Trypan blue staining.</w:t>
      </w:r>
    </w:p>
    <w:p w14:paraId="611998B7"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2E049553" w14:textId="3CB70D1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Centrifuge the cell suspension at 350 </w:t>
      </w:r>
      <w:r w:rsidR="0071073D" w:rsidRPr="001E7F69">
        <w:rPr>
          <w:rFonts w:asciiTheme="majorHAnsi" w:hAnsiTheme="majorHAnsi" w:cstheme="majorHAnsi"/>
        </w:rPr>
        <w:t>×</w:t>
      </w:r>
      <w:r w:rsidRPr="001E7F69">
        <w:rPr>
          <w:rFonts w:asciiTheme="majorHAnsi" w:hAnsiTheme="majorHAnsi" w:cstheme="majorHAnsi"/>
          <w:i/>
        </w:rPr>
        <w:t xml:space="preserve"> g </w:t>
      </w:r>
      <w:r w:rsidRPr="001E7F69">
        <w:rPr>
          <w:rFonts w:asciiTheme="majorHAnsi" w:hAnsiTheme="majorHAnsi" w:cstheme="majorHAnsi"/>
        </w:rPr>
        <w:t xml:space="preserve">for 5 min, resuspend the pellet in 100 µL </w:t>
      </w:r>
      <w:r w:rsidR="0071073D" w:rsidRPr="001E7F69">
        <w:rPr>
          <w:rFonts w:asciiTheme="majorHAnsi" w:hAnsiTheme="majorHAnsi" w:cstheme="majorHAnsi"/>
        </w:rPr>
        <w:t xml:space="preserve">of </w:t>
      </w:r>
      <w:r w:rsidRPr="001E7F69">
        <w:rPr>
          <w:rFonts w:asciiTheme="majorHAnsi" w:hAnsiTheme="majorHAnsi" w:cstheme="majorHAnsi"/>
        </w:rPr>
        <w:t>FACS buffer, and proceed with flow cytometry analysis.</w:t>
      </w:r>
    </w:p>
    <w:p w14:paraId="00E159C3"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603D41B0" w14:textId="242B6FF0"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Quantify the precise ratio of transduced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to </w:t>
      </w:r>
      <w:proofErr w:type="spellStart"/>
      <w:r w:rsidRPr="001E7F69">
        <w:rPr>
          <w:rFonts w:asciiTheme="majorHAnsi" w:hAnsiTheme="majorHAnsi" w:cstheme="majorHAnsi"/>
        </w:rPr>
        <w:t>untransduced</w:t>
      </w:r>
      <w:proofErr w:type="spellEnd"/>
      <w:r w:rsidRPr="001E7F69">
        <w:rPr>
          <w:rFonts w:asciiTheme="majorHAnsi" w:hAnsiTheme="majorHAnsi" w:cstheme="majorHAnsi"/>
        </w:rPr>
        <w:t xml:space="preserve">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cells by flow cytometry. </w:t>
      </w:r>
      <w:proofErr w:type="gramStart"/>
      <w:r w:rsidRPr="001E7F69">
        <w:rPr>
          <w:rFonts w:asciiTheme="majorHAnsi" w:hAnsiTheme="majorHAnsi" w:cstheme="majorHAnsi"/>
        </w:rPr>
        <w:t xml:space="preserve">For </w:t>
      </w:r>
      <w:r w:rsidRPr="001E7F69">
        <w:rPr>
          <w:rFonts w:asciiTheme="majorHAnsi" w:hAnsiTheme="majorHAnsi" w:cstheme="majorHAnsi"/>
          <w:i/>
          <w:iCs/>
        </w:rPr>
        <w:t>in</w:t>
      </w:r>
      <w:proofErr w:type="gramEnd"/>
      <w:r w:rsidRPr="001E7F69">
        <w:rPr>
          <w:rFonts w:asciiTheme="majorHAnsi" w:hAnsiTheme="majorHAnsi" w:cstheme="majorHAnsi"/>
          <w:i/>
          <w:iCs/>
        </w:rPr>
        <w:t xml:space="preserve"> vivo</w:t>
      </w:r>
      <w:r w:rsidRPr="001E7F69">
        <w:rPr>
          <w:rFonts w:asciiTheme="majorHAnsi" w:hAnsiTheme="majorHAnsi" w:cstheme="majorHAnsi"/>
        </w:rPr>
        <w:t xml:space="preserve"> testing, use the lentivirus volume that yields closest to 1:1 ratio.</w:t>
      </w:r>
    </w:p>
    <w:p w14:paraId="290DF174"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16F4BF64" w14:textId="01E5BD57"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b/>
        </w:rPr>
        <w:t xml:space="preserve"> </w:t>
      </w:r>
      <w:r w:rsidRPr="001E7F69">
        <w:rPr>
          <w:rFonts w:asciiTheme="majorHAnsi" w:hAnsiTheme="majorHAnsi" w:cstheme="majorHAnsi"/>
        </w:rPr>
        <w:t xml:space="preserve">To accurately determine the ratio of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to </w:t>
      </w:r>
      <w:proofErr w:type="spellStart"/>
      <w:r w:rsidRPr="001E7F69">
        <w:rPr>
          <w:rFonts w:asciiTheme="majorHAnsi" w:hAnsiTheme="majorHAnsi" w:cstheme="majorHAnsi"/>
        </w:rPr>
        <w:t>eGFP</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cells, include non-transduced cancer cells as negative controls for gating.</w:t>
      </w:r>
    </w:p>
    <w:p w14:paraId="465F2769"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B77B6F1" w14:textId="77777777" w:rsidR="004D2710" w:rsidRPr="00172BFB" w:rsidRDefault="00172BFB" w:rsidP="00172BFB">
      <w:pPr>
        <w:numPr>
          <w:ilvl w:val="0"/>
          <w:numId w:val="1"/>
        </w:numPr>
        <w:ind w:left="142" w:firstLine="0"/>
        <w:rPr>
          <w:rFonts w:asciiTheme="majorHAnsi" w:hAnsiTheme="majorHAnsi" w:cstheme="majorHAnsi"/>
          <w:b/>
          <w:highlight w:val="yellow"/>
        </w:rPr>
      </w:pPr>
      <w:r w:rsidRPr="00172BFB">
        <w:rPr>
          <w:rFonts w:asciiTheme="majorHAnsi" w:hAnsiTheme="majorHAnsi" w:cstheme="majorHAnsi"/>
          <w:b/>
          <w:highlight w:val="yellow"/>
        </w:rPr>
        <w:t xml:space="preserve">Subcutaneous tumor establishment </w:t>
      </w:r>
      <w:proofErr w:type="gramStart"/>
      <w:r w:rsidRPr="00172BFB">
        <w:rPr>
          <w:rFonts w:asciiTheme="majorHAnsi" w:hAnsiTheme="majorHAnsi" w:cstheme="majorHAnsi"/>
          <w:b/>
          <w:highlight w:val="yellow"/>
        </w:rPr>
        <w:t xml:space="preserve">for </w:t>
      </w:r>
      <w:r w:rsidRPr="00172BFB">
        <w:rPr>
          <w:rFonts w:asciiTheme="majorHAnsi" w:hAnsiTheme="majorHAnsi" w:cstheme="majorHAnsi"/>
          <w:b/>
          <w:i/>
          <w:iCs/>
          <w:highlight w:val="yellow"/>
        </w:rPr>
        <w:t>in</w:t>
      </w:r>
      <w:proofErr w:type="gramEnd"/>
      <w:r w:rsidRPr="00172BFB">
        <w:rPr>
          <w:rFonts w:asciiTheme="majorHAnsi" w:hAnsiTheme="majorHAnsi" w:cstheme="majorHAnsi"/>
          <w:b/>
          <w:i/>
          <w:iCs/>
          <w:highlight w:val="yellow"/>
        </w:rPr>
        <w:t xml:space="preserve"> vivo</w:t>
      </w:r>
      <w:r w:rsidRPr="00172BFB">
        <w:rPr>
          <w:rFonts w:asciiTheme="majorHAnsi" w:hAnsiTheme="majorHAnsi" w:cstheme="majorHAnsi"/>
          <w:b/>
          <w:highlight w:val="yellow"/>
        </w:rPr>
        <w:t xml:space="preserve"> reprogramming</w:t>
      </w:r>
    </w:p>
    <w:p w14:paraId="040AE55B" w14:textId="77777777" w:rsidR="004D2710" w:rsidRPr="00172BFB" w:rsidRDefault="004D2710" w:rsidP="00172BFB">
      <w:pPr>
        <w:widowControl/>
        <w:ind w:left="142"/>
        <w:rPr>
          <w:rFonts w:asciiTheme="majorHAnsi" w:hAnsiTheme="majorHAnsi" w:cstheme="majorHAnsi"/>
        </w:rPr>
      </w:pPr>
    </w:p>
    <w:p w14:paraId="310D84FD" w14:textId="5D5A46AE"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Thaw and expand cancer cells in their appropriate culture medium for generating </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-expressing cells. </w:t>
      </w:r>
    </w:p>
    <w:p w14:paraId="6EB3A8D6"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7D610C27" w14:textId="6B5671D3"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rPr>
        <w:t xml:space="preserve"> </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 expression facilitates the distinction of cancer cells during flow cytometry analysis from other populations in the tumor,</w:t>
      </w:r>
      <w:r w:rsidR="006F20FC" w:rsidRPr="001E7F69">
        <w:rPr>
          <w:rFonts w:asciiTheme="majorHAnsi" w:hAnsiTheme="majorHAnsi" w:cstheme="majorHAnsi"/>
        </w:rPr>
        <w:t xml:space="preserve"> for example</w:t>
      </w:r>
      <w:r w:rsidRPr="001E7F69">
        <w:rPr>
          <w:rFonts w:asciiTheme="majorHAnsi" w:hAnsiTheme="majorHAnsi" w:cstheme="majorHAnsi"/>
        </w:rPr>
        <w:t>, endogenous stromal and immune cells.</w:t>
      </w:r>
    </w:p>
    <w:p w14:paraId="0F1C4276"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4A2E59F2" w14:textId="728C089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Perform steps 3.2</w:t>
      </w:r>
      <w:r w:rsidR="006F20FC" w:rsidRPr="001E7F69">
        <w:rPr>
          <w:rFonts w:asciiTheme="majorHAnsi" w:hAnsiTheme="majorHAnsi" w:cstheme="majorHAnsi"/>
        </w:rPr>
        <w:t>–</w:t>
      </w:r>
      <w:r w:rsidRPr="001E7F69">
        <w:rPr>
          <w:rFonts w:asciiTheme="majorHAnsi" w:hAnsiTheme="majorHAnsi" w:cstheme="majorHAnsi"/>
        </w:rPr>
        <w:t>3.4 and resuspend cells in complete media at a concentration of 10</w:t>
      </w:r>
      <w:r w:rsidRPr="001E7F69">
        <w:rPr>
          <w:rFonts w:asciiTheme="majorHAnsi" w:hAnsiTheme="majorHAnsi" w:cstheme="majorHAnsi"/>
          <w:vertAlign w:val="superscript"/>
        </w:rPr>
        <w:t>5</w:t>
      </w:r>
      <w:r w:rsidRPr="001E7F69">
        <w:rPr>
          <w:rFonts w:asciiTheme="majorHAnsi" w:hAnsiTheme="majorHAnsi" w:cstheme="majorHAnsi"/>
        </w:rPr>
        <w:t xml:space="preserve"> cells per </w:t>
      </w:r>
      <w:proofErr w:type="spellStart"/>
      <w:r w:rsidRPr="001E7F69">
        <w:rPr>
          <w:rFonts w:asciiTheme="majorHAnsi" w:hAnsiTheme="majorHAnsi" w:cstheme="majorHAnsi"/>
        </w:rPr>
        <w:t>mL.</w:t>
      </w:r>
      <w:proofErr w:type="spellEnd"/>
    </w:p>
    <w:p w14:paraId="6F3D71C7"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2342C978" w14:textId="7777777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Add 8 µg/mL of polybrene and the determined volume of SFFV-</w:t>
      </w:r>
      <w:proofErr w:type="spellStart"/>
      <w:r w:rsidRPr="001E7F69">
        <w:rPr>
          <w:rFonts w:asciiTheme="majorHAnsi" w:hAnsiTheme="majorHAnsi" w:cstheme="majorHAnsi"/>
        </w:rPr>
        <w:t>mCherry</w:t>
      </w:r>
      <w:proofErr w:type="spellEnd"/>
      <w:r w:rsidRPr="001E7F69">
        <w:rPr>
          <w:rFonts w:asciiTheme="majorHAnsi" w:hAnsiTheme="majorHAnsi" w:cstheme="majorHAnsi"/>
        </w:rPr>
        <w:t xml:space="preserve"> lentivirus to the cell suspension to reach &gt;90% transduction efficiency.</w:t>
      </w:r>
    </w:p>
    <w:p w14:paraId="5437C2E8"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b/>
        </w:rPr>
      </w:pPr>
    </w:p>
    <w:p w14:paraId="7A3D0E9A" w14:textId="35EA567F" w:rsidR="004D2710" w:rsidRPr="001E7F69" w:rsidRDefault="00172BFB" w:rsidP="00172BFB">
      <w:pPr>
        <w:widowControl/>
        <w:pBdr>
          <w:top w:val="nil"/>
          <w:left w:val="nil"/>
          <w:bottom w:val="nil"/>
          <w:right w:val="nil"/>
          <w:between w:val="nil"/>
        </w:pBdr>
        <w:ind w:left="142"/>
        <w:rPr>
          <w:rFonts w:asciiTheme="majorHAnsi" w:hAnsiTheme="majorHAnsi" w:cstheme="majorHAnsi"/>
        </w:rPr>
      </w:pPr>
      <w:r w:rsidRPr="001E7F69">
        <w:rPr>
          <w:rFonts w:asciiTheme="majorHAnsi" w:hAnsiTheme="majorHAnsi" w:cstheme="majorHAnsi"/>
          <w:bCs/>
        </w:rPr>
        <w:t>NOTE:</w:t>
      </w:r>
      <w:r w:rsidRPr="001E7F69">
        <w:rPr>
          <w:rFonts w:asciiTheme="majorHAnsi" w:hAnsiTheme="majorHAnsi" w:cstheme="majorHAnsi"/>
        </w:rPr>
        <w:t xml:space="preserve"> Alternatively, if achieving &gt;90% transduction compromises cell viability, sort </w:t>
      </w:r>
      <w:proofErr w:type="spellStart"/>
      <w:r w:rsidRPr="001E7F69">
        <w:rPr>
          <w:rFonts w:asciiTheme="majorHAnsi" w:hAnsiTheme="majorHAnsi" w:cstheme="majorHAnsi"/>
        </w:rPr>
        <w:t>mCherry</w:t>
      </w:r>
      <w:proofErr w:type="spellEnd"/>
      <w:r w:rsidRPr="001E7F69">
        <w:rPr>
          <w:rFonts w:asciiTheme="majorHAnsi" w:hAnsiTheme="majorHAnsi" w:cstheme="majorHAnsi"/>
          <w:vertAlign w:val="superscript"/>
        </w:rPr>
        <w:t>+</w:t>
      </w:r>
      <w:r w:rsidRPr="001E7F69">
        <w:rPr>
          <w:rFonts w:asciiTheme="majorHAnsi" w:hAnsiTheme="majorHAnsi" w:cstheme="majorHAnsi"/>
        </w:rPr>
        <w:t xml:space="preserve"> cells by fluorescence-activated cell sorting (FACS) 72 h after transduction and expand sorted cells in culture.</w:t>
      </w:r>
    </w:p>
    <w:p w14:paraId="13661F5C"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4FCDD82C" w14:textId="169A16CC"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Plate 5 mL of the cell suspension (containing 5</w:t>
      </w:r>
      <w:r w:rsidR="00531F46" w:rsidRPr="001E7F69">
        <w:rPr>
          <w:rFonts w:asciiTheme="majorHAnsi" w:hAnsiTheme="majorHAnsi" w:cstheme="majorHAnsi"/>
        </w:rPr>
        <w:t xml:space="preserve"> × </w:t>
      </w:r>
      <w:r w:rsidRPr="001E7F69">
        <w:rPr>
          <w:rFonts w:asciiTheme="majorHAnsi" w:hAnsiTheme="majorHAnsi" w:cstheme="majorHAnsi"/>
        </w:rPr>
        <w:t>10</w:t>
      </w:r>
      <w:r w:rsidRPr="001E7F69">
        <w:rPr>
          <w:rFonts w:asciiTheme="majorHAnsi" w:hAnsiTheme="majorHAnsi" w:cstheme="majorHAnsi"/>
          <w:vertAlign w:val="superscript"/>
        </w:rPr>
        <w:t>5</w:t>
      </w:r>
      <w:r w:rsidRPr="001E7F69">
        <w:rPr>
          <w:rFonts w:asciiTheme="majorHAnsi" w:hAnsiTheme="majorHAnsi" w:cstheme="majorHAnsi"/>
        </w:rPr>
        <w:t xml:space="preserve"> cells) per 100</w:t>
      </w:r>
      <w:r w:rsidR="00AC138E" w:rsidRPr="001E7F69">
        <w:rPr>
          <w:rFonts w:asciiTheme="majorHAnsi" w:hAnsiTheme="majorHAnsi" w:cstheme="majorHAnsi"/>
        </w:rPr>
        <w:t xml:space="preserve"> </w:t>
      </w:r>
      <w:r w:rsidRPr="001E7F69">
        <w:rPr>
          <w:rFonts w:asciiTheme="majorHAnsi" w:hAnsiTheme="majorHAnsi" w:cstheme="majorHAnsi"/>
        </w:rPr>
        <w:t>mm plate and incubate cells at 37 °C with 5% CO</w:t>
      </w:r>
      <w:r w:rsidRPr="001E7F69">
        <w:rPr>
          <w:rFonts w:asciiTheme="majorHAnsi" w:hAnsiTheme="majorHAnsi" w:cstheme="majorHAnsi"/>
          <w:vertAlign w:val="subscript"/>
        </w:rPr>
        <w:t>2</w:t>
      </w:r>
      <w:r w:rsidRPr="001E7F69">
        <w:rPr>
          <w:rFonts w:asciiTheme="majorHAnsi" w:hAnsiTheme="majorHAnsi" w:cstheme="majorHAnsi"/>
        </w:rPr>
        <w:t xml:space="preserve"> for 24 h.</w:t>
      </w:r>
    </w:p>
    <w:p w14:paraId="26EB0254" w14:textId="77777777" w:rsidR="004D2710" w:rsidRPr="001E7F69" w:rsidRDefault="004D2710" w:rsidP="00172BFB">
      <w:pPr>
        <w:widowControl/>
        <w:pBdr>
          <w:top w:val="nil"/>
          <w:left w:val="nil"/>
          <w:bottom w:val="nil"/>
          <w:right w:val="nil"/>
          <w:between w:val="nil"/>
        </w:pBdr>
        <w:ind w:left="142"/>
        <w:rPr>
          <w:rFonts w:asciiTheme="majorHAnsi" w:hAnsiTheme="majorHAnsi" w:cstheme="majorHAnsi"/>
        </w:rPr>
      </w:pPr>
    </w:p>
    <w:p w14:paraId="20C50B09" w14:textId="7A051170"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 xml:space="preserve">After 24 h, replace the medium with 10 mL of complete medium and expand </w:t>
      </w:r>
      <w:r w:rsidR="008D67B9" w:rsidRPr="001E7F69">
        <w:rPr>
          <w:rFonts w:asciiTheme="majorHAnsi" w:hAnsiTheme="majorHAnsi" w:cstheme="majorHAnsi"/>
        </w:rPr>
        <w:t xml:space="preserve">the </w:t>
      </w:r>
      <w:r w:rsidRPr="001E7F69">
        <w:rPr>
          <w:rFonts w:asciiTheme="majorHAnsi" w:hAnsiTheme="majorHAnsi" w:cstheme="majorHAnsi"/>
        </w:rPr>
        <w:t>cells by culturing them at 37 °C with 5% CO</w:t>
      </w:r>
      <w:r w:rsidRPr="001E7F69">
        <w:rPr>
          <w:rFonts w:asciiTheme="majorHAnsi" w:hAnsiTheme="majorHAnsi" w:cstheme="majorHAnsi"/>
          <w:vertAlign w:val="subscript"/>
        </w:rPr>
        <w:t xml:space="preserve">2 </w:t>
      </w:r>
      <w:r w:rsidRPr="001E7F69">
        <w:rPr>
          <w:rFonts w:asciiTheme="majorHAnsi" w:hAnsiTheme="majorHAnsi" w:cstheme="majorHAnsi"/>
        </w:rPr>
        <w:t>for at least 7 days before starting reprogramming experiments.</w:t>
      </w:r>
    </w:p>
    <w:p w14:paraId="42452CC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72D41706" w14:textId="4C7B6425"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After expansion, follow steps 3.2</w:t>
      </w:r>
      <w:r w:rsidR="00231463" w:rsidRPr="00172BFB">
        <w:rPr>
          <w:rFonts w:asciiTheme="majorHAnsi" w:hAnsiTheme="majorHAnsi" w:cstheme="majorHAnsi"/>
          <w:highlight w:val="yellow"/>
        </w:rPr>
        <w:t>–</w:t>
      </w:r>
      <w:r w:rsidRPr="00172BFB">
        <w:rPr>
          <w:rFonts w:asciiTheme="majorHAnsi" w:hAnsiTheme="majorHAnsi" w:cstheme="majorHAnsi"/>
          <w:highlight w:val="yellow"/>
        </w:rPr>
        <w:t xml:space="preserve">3.4 to prepare </w:t>
      </w:r>
      <w:r w:rsidR="008D67B9" w:rsidRPr="00172BFB">
        <w:rPr>
          <w:rFonts w:asciiTheme="majorHAnsi" w:hAnsiTheme="majorHAnsi" w:cstheme="majorHAnsi"/>
          <w:highlight w:val="yellow"/>
        </w:rPr>
        <w:t xml:space="preserve">the </w:t>
      </w:r>
      <w:r w:rsidRPr="00172BFB">
        <w:rPr>
          <w:rFonts w:asciiTheme="majorHAnsi" w:hAnsiTheme="majorHAnsi" w:cstheme="majorHAnsi"/>
          <w:highlight w:val="yellow"/>
        </w:rPr>
        <w:t>cell suspensions for subsequent transduction with the previously determined volume of SFFV-PIB-IRES-</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rPr>
        <w:t>, resulting in the closest 1:1 ratio of transduced (</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vertAlign w:val="superscript"/>
        </w:rPr>
        <w:t>+</w:t>
      </w:r>
      <w:r w:rsidRPr="00172BFB">
        <w:rPr>
          <w:rFonts w:asciiTheme="majorHAnsi" w:hAnsiTheme="majorHAnsi" w:cstheme="majorHAnsi"/>
          <w:highlight w:val="yellow"/>
        </w:rPr>
        <w:t xml:space="preserve">) to </w:t>
      </w:r>
      <w:proofErr w:type="spellStart"/>
      <w:r w:rsidRPr="00172BFB">
        <w:rPr>
          <w:rFonts w:asciiTheme="majorHAnsi" w:hAnsiTheme="majorHAnsi" w:cstheme="majorHAnsi"/>
          <w:highlight w:val="yellow"/>
        </w:rPr>
        <w:t>untransduced</w:t>
      </w:r>
      <w:proofErr w:type="spellEnd"/>
      <w:r w:rsidRPr="00172BFB">
        <w:rPr>
          <w:rFonts w:asciiTheme="majorHAnsi" w:hAnsiTheme="majorHAnsi" w:cstheme="majorHAnsi"/>
          <w:highlight w:val="yellow"/>
        </w:rPr>
        <w:t xml:space="preserve"> (</w:t>
      </w:r>
      <w:proofErr w:type="spellStart"/>
      <w:r w:rsidRPr="00172BFB">
        <w:rPr>
          <w:rFonts w:asciiTheme="majorHAnsi" w:hAnsiTheme="majorHAnsi" w:cstheme="majorHAnsi"/>
          <w:highlight w:val="yellow"/>
        </w:rPr>
        <w:t>eGFP</w:t>
      </w:r>
      <w:proofErr w:type="spellEnd"/>
      <w:r w:rsidRPr="00172BFB">
        <w:rPr>
          <w:rFonts w:asciiTheme="majorHAnsi" w:hAnsiTheme="majorHAnsi" w:cstheme="majorHAnsi"/>
          <w:highlight w:val="yellow"/>
          <w:vertAlign w:val="superscript"/>
        </w:rPr>
        <w:t>-</w:t>
      </w:r>
      <w:r w:rsidRPr="00172BFB">
        <w:rPr>
          <w:rFonts w:asciiTheme="majorHAnsi" w:hAnsiTheme="majorHAnsi" w:cstheme="majorHAnsi"/>
          <w:highlight w:val="yellow"/>
        </w:rPr>
        <w:t>) cells on day 3.</w:t>
      </w:r>
    </w:p>
    <w:p w14:paraId="4D84329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6396D7C0" w14:textId="34BDCA3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Add 8 </w:t>
      </w:r>
      <w:proofErr w:type="gramStart"/>
      <w:r w:rsidRPr="00172BFB">
        <w:rPr>
          <w:rFonts w:asciiTheme="majorHAnsi" w:hAnsiTheme="majorHAnsi" w:cstheme="majorHAnsi"/>
          <w:highlight w:val="yellow"/>
        </w:rPr>
        <w:t>µg</w:t>
      </w:r>
      <w:proofErr w:type="gramEnd"/>
      <w:r w:rsidRPr="00172BFB">
        <w:rPr>
          <w:rFonts w:asciiTheme="majorHAnsi" w:hAnsiTheme="majorHAnsi" w:cstheme="majorHAnsi"/>
          <w:highlight w:val="yellow"/>
        </w:rPr>
        <w:t>/mL of polybrene to the cell suspension, along with the previously determined volume of lentivirus to the cell suspension in 50</w:t>
      </w:r>
      <w:r w:rsidR="00231463" w:rsidRPr="00172BFB">
        <w:rPr>
          <w:rFonts w:asciiTheme="majorHAnsi" w:hAnsiTheme="majorHAnsi" w:cstheme="majorHAnsi"/>
          <w:highlight w:val="yellow"/>
        </w:rPr>
        <w:t xml:space="preserve"> </w:t>
      </w:r>
      <w:r w:rsidRPr="00172BFB">
        <w:rPr>
          <w:rFonts w:asciiTheme="majorHAnsi" w:hAnsiTheme="majorHAnsi" w:cstheme="majorHAnsi"/>
          <w:highlight w:val="yellow"/>
        </w:rPr>
        <w:t>mL conical tubes. Mix well without creating bubbles.</w:t>
      </w:r>
    </w:p>
    <w:p w14:paraId="2CDFC05C" w14:textId="77777777" w:rsidR="004D2710" w:rsidRPr="00172BFB" w:rsidRDefault="004D2710" w:rsidP="00172BFB">
      <w:pPr>
        <w:ind w:left="142"/>
        <w:rPr>
          <w:rFonts w:asciiTheme="majorHAnsi" w:hAnsiTheme="majorHAnsi" w:cstheme="majorHAnsi"/>
          <w:highlight w:val="yellow"/>
        </w:rPr>
      </w:pPr>
    </w:p>
    <w:p w14:paraId="1EE35A92" w14:textId="4F76A9B2" w:rsidR="004D2710" w:rsidRPr="00172BFB" w:rsidRDefault="00172BFB" w:rsidP="00172BFB">
      <w:pPr>
        <w:numPr>
          <w:ilvl w:val="1"/>
          <w:numId w:val="1"/>
        </w:numPr>
        <w:ind w:left="142" w:firstLine="0"/>
        <w:rPr>
          <w:rFonts w:asciiTheme="majorHAnsi" w:hAnsiTheme="majorHAnsi" w:cstheme="majorHAnsi"/>
          <w:highlight w:val="yellow"/>
        </w:rPr>
      </w:pPr>
      <w:r w:rsidRPr="00172BFB">
        <w:rPr>
          <w:rFonts w:asciiTheme="majorHAnsi" w:hAnsiTheme="majorHAnsi" w:cstheme="majorHAnsi"/>
          <w:highlight w:val="yellow"/>
        </w:rPr>
        <w:t>Pipette 2 mL of the cell suspension (containing 10</w:t>
      </w:r>
      <w:r w:rsidRPr="00172BFB">
        <w:rPr>
          <w:rFonts w:asciiTheme="majorHAnsi" w:hAnsiTheme="majorHAnsi" w:cstheme="majorHAnsi"/>
          <w:highlight w:val="yellow"/>
          <w:vertAlign w:val="superscript"/>
        </w:rPr>
        <w:t>5</w:t>
      </w:r>
      <w:r w:rsidRPr="00172BFB">
        <w:rPr>
          <w:rFonts w:asciiTheme="majorHAnsi" w:hAnsiTheme="majorHAnsi" w:cstheme="majorHAnsi"/>
          <w:highlight w:val="yellow"/>
        </w:rPr>
        <w:t xml:space="preserve"> cells) per well in a 6-well tissue culture plate and incubate for 24 h at 37 °C with 5% CO</w:t>
      </w:r>
      <w:r w:rsidRPr="00172BFB">
        <w:rPr>
          <w:rFonts w:asciiTheme="majorHAnsi" w:hAnsiTheme="majorHAnsi" w:cstheme="majorHAnsi"/>
          <w:highlight w:val="yellow"/>
          <w:vertAlign w:val="subscript"/>
        </w:rPr>
        <w:t>2</w:t>
      </w:r>
      <w:r w:rsidRPr="00172BFB">
        <w:rPr>
          <w:rFonts w:asciiTheme="majorHAnsi" w:hAnsiTheme="majorHAnsi" w:cstheme="majorHAnsi"/>
          <w:highlight w:val="yellow"/>
        </w:rPr>
        <w:t>.</w:t>
      </w:r>
    </w:p>
    <w:p w14:paraId="13166204" w14:textId="77777777" w:rsidR="004D2710" w:rsidRPr="00172BFB" w:rsidRDefault="004D2710" w:rsidP="00172BFB">
      <w:pPr>
        <w:ind w:left="142"/>
        <w:rPr>
          <w:rFonts w:asciiTheme="majorHAnsi" w:hAnsiTheme="majorHAnsi" w:cstheme="majorHAnsi"/>
          <w:b/>
        </w:rPr>
      </w:pPr>
    </w:p>
    <w:p w14:paraId="5CBAF829" w14:textId="6BC58BBE" w:rsidR="004D2710" w:rsidRPr="00172BFB" w:rsidRDefault="00172BFB" w:rsidP="00172BFB">
      <w:pP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Alternatively, plate the cells in 5 mL of transduction media in 100</w:t>
      </w:r>
      <w:r w:rsidR="00231463" w:rsidRPr="00172BFB">
        <w:rPr>
          <w:rFonts w:asciiTheme="majorHAnsi" w:hAnsiTheme="majorHAnsi" w:cstheme="majorHAnsi"/>
        </w:rPr>
        <w:t xml:space="preserve"> </w:t>
      </w:r>
      <w:r w:rsidRPr="00172BFB">
        <w:rPr>
          <w:rFonts w:asciiTheme="majorHAnsi" w:hAnsiTheme="majorHAnsi" w:cstheme="majorHAnsi"/>
        </w:rPr>
        <w:t>mm tissue-culture plates. However, note that transduction efficiency may be reduced in larger volumes and should be empirically determined as described in steps 3.1</w:t>
      </w:r>
      <w:r w:rsidR="00231463" w:rsidRPr="00172BFB">
        <w:rPr>
          <w:rFonts w:asciiTheme="majorHAnsi" w:hAnsiTheme="majorHAnsi" w:cstheme="majorHAnsi"/>
        </w:rPr>
        <w:t>–</w:t>
      </w:r>
      <w:r w:rsidRPr="00172BFB">
        <w:rPr>
          <w:rFonts w:asciiTheme="majorHAnsi" w:hAnsiTheme="majorHAnsi" w:cstheme="majorHAnsi"/>
        </w:rPr>
        <w:t>3.13.</w:t>
      </w:r>
    </w:p>
    <w:p w14:paraId="25E6B698" w14:textId="0505C804" w:rsidR="004D2710" w:rsidRPr="00172BFB" w:rsidRDefault="00172BFB" w:rsidP="00172BFB">
      <w:pPr>
        <w:ind w:left="142"/>
        <w:rPr>
          <w:rFonts w:asciiTheme="majorHAnsi" w:hAnsiTheme="majorHAnsi" w:cstheme="majorHAnsi"/>
        </w:rPr>
      </w:pPr>
      <w:r w:rsidRPr="00172BFB">
        <w:rPr>
          <w:rFonts w:asciiTheme="majorHAnsi" w:hAnsiTheme="majorHAnsi" w:cstheme="majorHAnsi"/>
        </w:rPr>
        <w:t>It is recommended to transduce at least 10% more cells to compensate for potential cell loss during the transduction process and to ensure sufficient volume for pipetting or injection during tumor establishment.</w:t>
      </w:r>
    </w:p>
    <w:p w14:paraId="1EF7BCE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211617E0" w14:textId="46EA9376"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lastRenderedPageBreak/>
        <w:t xml:space="preserve">After 24 h, remove the lentivirus-containing medium, wash twice with PBS, add 500 µL </w:t>
      </w:r>
      <w:r w:rsidR="00231463" w:rsidRPr="00172BFB">
        <w:rPr>
          <w:rFonts w:asciiTheme="majorHAnsi" w:hAnsiTheme="majorHAnsi" w:cstheme="majorHAnsi"/>
          <w:highlight w:val="yellow"/>
        </w:rPr>
        <w:t xml:space="preserve">of </w:t>
      </w:r>
      <w:r w:rsidRPr="00172BFB">
        <w:rPr>
          <w:rFonts w:asciiTheme="majorHAnsi" w:hAnsiTheme="majorHAnsi" w:cstheme="majorHAnsi"/>
          <w:highlight w:val="yellow"/>
        </w:rPr>
        <w:t>trypsin to each well, and incubate for 5</w:t>
      </w:r>
      <w:r w:rsidR="00231463" w:rsidRPr="00172BFB">
        <w:rPr>
          <w:rFonts w:asciiTheme="majorHAnsi" w:hAnsiTheme="majorHAnsi" w:cstheme="majorHAnsi"/>
          <w:highlight w:val="yellow"/>
        </w:rPr>
        <w:t>–</w:t>
      </w:r>
      <w:r w:rsidRPr="00172BFB">
        <w:rPr>
          <w:rFonts w:asciiTheme="majorHAnsi" w:hAnsiTheme="majorHAnsi" w:cstheme="majorHAnsi"/>
          <w:highlight w:val="yellow"/>
        </w:rPr>
        <w:t>10 min at 37 °C with 5% CO</w:t>
      </w:r>
      <w:r w:rsidRPr="00172BFB">
        <w:rPr>
          <w:rFonts w:asciiTheme="majorHAnsi" w:hAnsiTheme="majorHAnsi" w:cstheme="majorHAnsi"/>
          <w:highlight w:val="yellow"/>
          <w:vertAlign w:val="subscript"/>
        </w:rPr>
        <w:t>2</w:t>
      </w:r>
      <w:r w:rsidRPr="00172BFB">
        <w:rPr>
          <w:rFonts w:asciiTheme="majorHAnsi" w:hAnsiTheme="majorHAnsi" w:cstheme="majorHAnsi"/>
          <w:highlight w:val="yellow"/>
        </w:rPr>
        <w:t>.</w:t>
      </w:r>
    </w:p>
    <w:p w14:paraId="679EA3D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BFF9903" w14:textId="3027F82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Check under a light microscope whether</w:t>
      </w:r>
      <w:r w:rsidR="008D67B9" w:rsidRPr="00172BFB">
        <w:rPr>
          <w:rFonts w:asciiTheme="majorHAnsi" w:hAnsiTheme="majorHAnsi" w:cstheme="majorHAnsi"/>
          <w:highlight w:val="yellow"/>
        </w:rPr>
        <w:t xml:space="preserve"> the</w:t>
      </w:r>
      <w:r w:rsidRPr="00172BFB">
        <w:rPr>
          <w:rFonts w:asciiTheme="majorHAnsi" w:hAnsiTheme="majorHAnsi" w:cstheme="majorHAnsi"/>
          <w:highlight w:val="yellow"/>
        </w:rPr>
        <w:t xml:space="preserve"> cells </w:t>
      </w:r>
      <w:proofErr w:type="gramStart"/>
      <w:r w:rsidRPr="00172BFB">
        <w:rPr>
          <w:rFonts w:asciiTheme="majorHAnsi" w:hAnsiTheme="majorHAnsi" w:cstheme="majorHAnsi"/>
          <w:highlight w:val="yellow"/>
        </w:rPr>
        <w:t>dissociated</w:t>
      </w:r>
      <w:proofErr w:type="gramEnd"/>
      <w:r w:rsidRPr="00172BFB">
        <w:rPr>
          <w:rFonts w:asciiTheme="majorHAnsi" w:hAnsiTheme="majorHAnsi" w:cstheme="majorHAnsi"/>
          <w:highlight w:val="yellow"/>
        </w:rPr>
        <w:t xml:space="preserve"> completely from the plates and then collect </w:t>
      </w:r>
      <w:r w:rsidR="008D67B9" w:rsidRPr="00172BFB">
        <w:rPr>
          <w:rFonts w:asciiTheme="majorHAnsi" w:hAnsiTheme="majorHAnsi" w:cstheme="majorHAnsi"/>
          <w:highlight w:val="yellow"/>
        </w:rPr>
        <w:t>them</w:t>
      </w:r>
      <w:r w:rsidRPr="00172BFB">
        <w:rPr>
          <w:rFonts w:asciiTheme="majorHAnsi" w:hAnsiTheme="majorHAnsi" w:cstheme="majorHAnsi"/>
          <w:highlight w:val="yellow"/>
        </w:rPr>
        <w:t xml:space="preserve"> with complete media into 50</w:t>
      </w:r>
      <w:r w:rsidR="00D00984" w:rsidRPr="00172BFB">
        <w:rPr>
          <w:rFonts w:asciiTheme="majorHAnsi" w:hAnsiTheme="majorHAnsi" w:cstheme="majorHAnsi"/>
          <w:highlight w:val="yellow"/>
        </w:rPr>
        <w:t xml:space="preserve"> </w:t>
      </w:r>
      <w:r w:rsidRPr="00172BFB">
        <w:rPr>
          <w:rFonts w:asciiTheme="majorHAnsi" w:hAnsiTheme="majorHAnsi" w:cstheme="majorHAnsi"/>
          <w:highlight w:val="yellow"/>
        </w:rPr>
        <w:t>m</w:t>
      </w:r>
      <w:r w:rsidR="00D00984" w:rsidRPr="00172BFB">
        <w:rPr>
          <w:rFonts w:asciiTheme="majorHAnsi" w:hAnsiTheme="majorHAnsi" w:cstheme="majorHAnsi"/>
          <w:highlight w:val="yellow"/>
        </w:rPr>
        <w:t>L</w:t>
      </w:r>
      <w:r w:rsidRPr="00172BFB">
        <w:rPr>
          <w:rFonts w:asciiTheme="majorHAnsi" w:hAnsiTheme="majorHAnsi" w:cstheme="majorHAnsi"/>
          <w:highlight w:val="yellow"/>
        </w:rPr>
        <w:t xml:space="preserve"> conical tubes. </w:t>
      </w:r>
    </w:p>
    <w:p w14:paraId="279DED3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70A3459A" w14:textId="3F68D0F2"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Pellet the cells by centrifuging</w:t>
      </w:r>
      <w:r w:rsidR="00426477" w:rsidRPr="00172BFB">
        <w:rPr>
          <w:rFonts w:asciiTheme="majorHAnsi" w:hAnsiTheme="majorHAnsi" w:cstheme="majorHAnsi"/>
          <w:highlight w:val="yellow"/>
        </w:rPr>
        <w:t xml:space="preserve"> them for</w:t>
      </w:r>
      <w:r w:rsidRPr="00172BFB">
        <w:rPr>
          <w:rFonts w:asciiTheme="majorHAnsi" w:hAnsiTheme="majorHAnsi" w:cstheme="majorHAnsi"/>
          <w:highlight w:val="yellow"/>
        </w:rPr>
        <w:t xml:space="preserve"> 5 min at 350 </w:t>
      </w:r>
      <w:r w:rsidR="00C73A27" w:rsidRPr="00172BFB">
        <w:rPr>
          <w:rFonts w:asciiTheme="majorHAnsi" w:hAnsiTheme="majorHAnsi" w:cstheme="majorHAnsi"/>
          <w:highlight w:val="yellow"/>
        </w:rPr>
        <w:t>×</w:t>
      </w:r>
      <w:r w:rsidRPr="00172BFB">
        <w:rPr>
          <w:rFonts w:asciiTheme="majorHAnsi" w:hAnsiTheme="majorHAnsi" w:cstheme="majorHAnsi"/>
          <w:highlight w:val="yellow"/>
        </w:rPr>
        <w:t xml:space="preserve"> </w:t>
      </w:r>
      <w:r w:rsidRPr="00172BFB">
        <w:rPr>
          <w:rFonts w:asciiTheme="majorHAnsi" w:hAnsiTheme="majorHAnsi" w:cstheme="majorHAnsi"/>
          <w:i/>
          <w:highlight w:val="yellow"/>
        </w:rPr>
        <w:t>g</w:t>
      </w:r>
      <w:r w:rsidRPr="00172BFB">
        <w:rPr>
          <w:rFonts w:asciiTheme="majorHAnsi" w:hAnsiTheme="majorHAnsi" w:cstheme="majorHAnsi"/>
          <w:highlight w:val="yellow"/>
        </w:rPr>
        <w:t xml:space="preserve">, wash the pellet with PBS, and centrifuge again for 5 min at 350 </w:t>
      </w:r>
      <w:r w:rsidR="00C73A27" w:rsidRPr="00172BFB">
        <w:rPr>
          <w:rFonts w:asciiTheme="majorHAnsi" w:hAnsiTheme="majorHAnsi" w:cstheme="majorHAnsi"/>
          <w:highlight w:val="yellow"/>
        </w:rPr>
        <w:t>×</w:t>
      </w:r>
      <w:r w:rsidRPr="00172BFB">
        <w:rPr>
          <w:rFonts w:asciiTheme="majorHAnsi" w:hAnsiTheme="majorHAnsi" w:cstheme="majorHAnsi"/>
          <w:highlight w:val="yellow"/>
        </w:rPr>
        <w:t xml:space="preserve"> </w:t>
      </w:r>
      <w:r w:rsidRPr="00172BFB">
        <w:rPr>
          <w:rFonts w:asciiTheme="majorHAnsi" w:hAnsiTheme="majorHAnsi" w:cstheme="majorHAnsi"/>
          <w:i/>
          <w:highlight w:val="yellow"/>
        </w:rPr>
        <w:t>g</w:t>
      </w:r>
      <w:r w:rsidRPr="00172BFB">
        <w:rPr>
          <w:rFonts w:asciiTheme="majorHAnsi" w:hAnsiTheme="majorHAnsi" w:cstheme="majorHAnsi"/>
          <w:highlight w:val="yellow"/>
        </w:rPr>
        <w:t>. Take an aliquot and count viable cells using a hemocytometer and Trypan blue staining.</w:t>
      </w:r>
    </w:p>
    <w:p w14:paraId="42B21C3B"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5F1E3DE" w14:textId="09EC921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Resuspend the pellet in ice-cold PBS to reach a concentration of 2</w:t>
      </w:r>
      <w:r w:rsidR="00C73A27" w:rsidRPr="00172BFB">
        <w:rPr>
          <w:rFonts w:asciiTheme="majorHAnsi" w:hAnsiTheme="majorHAnsi" w:cstheme="majorHAnsi"/>
          <w:highlight w:val="yellow"/>
        </w:rPr>
        <w:t>–</w:t>
      </w:r>
      <w:r w:rsidRPr="00172BFB">
        <w:rPr>
          <w:rFonts w:asciiTheme="majorHAnsi" w:hAnsiTheme="majorHAnsi" w:cstheme="majorHAnsi"/>
          <w:highlight w:val="yellow"/>
        </w:rPr>
        <w:t>4</w:t>
      </w:r>
      <w:r w:rsidR="00C73A27" w:rsidRPr="00172BFB">
        <w:rPr>
          <w:rFonts w:asciiTheme="majorHAnsi" w:hAnsiTheme="majorHAnsi" w:cstheme="majorHAnsi"/>
          <w:highlight w:val="yellow"/>
        </w:rPr>
        <w:t xml:space="preserve"> × </w:t>
      </w:r>
      <w:r w:rsidRPr="00172BFB">
        <w:rPr>
          <w:rFonts w:asciiTheme="majorHAnsi" w:hAnsiTheme="majorHAnsi" w:cstheme="majorHAnsi"/>
          <w:highlight w:val="yellow"/>
        </w:rPr>
        <w:t>10</w:t>
      </w:r>
      <w:r w:rsidRPr="00172BFB">
        <w:rPr>
          <w:rFonts w:asciiTheme="majorHAnsi" w:hAnsiTheme="majorHAnsi" w:cstheme="majorHAnsi"/>
          <w:highlight w:val="yellow"/>
          <w:vertAlign w:val="superscript"/>
        </w:rPr>
        <w:t>7</w:t>
      </w:r>
      <w:r w:rsidRPr="00172BFB">
        <w:rPr>
          <w:rFonts w:asciiTheme="majorHAnsi" w:hAnsiTheme="majorHAnsi" w:cstheme="majorHAnsi"/>
          <w:highlight w:val="yellow"/>
        </w:rPr>
        <w:t xml:space="preserve"> cells per mL, which corresponds to 1</w:t>
      </w:r>
      <w:r w:rsidR="00C73A27" w:rsidRPr="00172BFB">
        <w:rPr>
          <w:rFonts w:asciiTheme="majorHAnsi" w:hAnsiTheme="majorHAnsi" w:cstheme="majorHAnsi"/>
          <w:highlight w:val="yellow"/>
        </w:rPr>
        <w:t>–</w:t>
      </w:r>
      <w:r w:rsidRPr="00172BFB">
        <w:rPr>
          <w:rFonts w:asciiTheme="majorHAnsi" w:hAnsiTheme="majorHAnsi" w:cstheme="majorHAnsi"/>
          <w:highlight w:val="yellow"/>
        </w:rPr>
        <w:t>2</w:t>
      </w:r>
      <w:r w:rsidR="00C73A27" w:rsidRPr="00172BFB">
        <w:rPr>
          <w:rFonts w:asciiTheme="majorHAnsi" w:hAnsiTheme="majorHAnsi" w:cstheme="majorHAnsi"/>
          <w:highlight w:val="yellow"/>
        </w:rPr>
        <w:t xml:space="preserve"> × </w:t>
      </w:r>
      <w:r w:rsidRPr="00172BFB">
        <w:rPr>
          <w:rFonts w:asciiTheme="majorHAnsi" w:hAnsiTheme="majorHAnsi" w:cstheme="majorHAnsi"/>
          <w:highlight w:val="yellow"/>
        </w:rPr>
        <w:t>10</w:t>
      </w:r>
      <w:r w:rsidRPr="00172BFB">
        <w:rPr>
          <w:rFonts w:asciiTheme="majorHAnsi" w:hAnsiTheme="majorHAnsi" w:cstheme="majorHAnsi"/>
          <w:highlight w:val="yellow"/>
          <w:vertAlign w:val="superscript"/>
        </w:rPr>
        <w:t xml:space="preserve">6 </w:t>
      </w:r>
      <w:r w:rsidRPr="00172BFB">
        <w:rPr>
          <w:rFonts w:asciiTheme="majorHAnsi" w:hAnsiTheme="majorHAnsi" w:cstheme="majorHAnsi"/>
          <w:highlight w:val="yellow"/>
        </w:rPr>
        <w:t>cells in 50 µL of injection volume per tumor.</w:t>
      </w:r>
    </w:p>
    <w:p w14:paraId="6BBF8CB8"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2E865D37" w14:textId="150D121A"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Importantly, these numbers have been validated for YUMM1.7 melanoma tumors to isolate in vivo reprogrammed </w:t>
      </w:r>
      <w:r w:rsidR="00482165" w:rsidRPr="00172BFB">
        <w:rPr>
          <w:rFonts w:asciiTheme="majorHAnsi" w:hAnsiTheme="majorHAnsi" w:cstheme="majorHAnsi"/>
        </w:rPr>
        <w:t xml:space="preserve">cDC1-like </w:t>
      </w:r>
      <w:r w:rsidRPr="00172BFB">
        <w:rPr>
          <w:rFonts w:asciiTheme="majorHAnsi" w:hAnsiTheme="majorHAnsi" w:cstheme="majorHAnsi"/>
        </w:rPr>
        <w:t>cells for flow cytometry analysis. For other cell lines and for other experimental readouts, such as tumor growth and survival experiments, the numbers need to be empirically tested. For tumor growth and survival experiments</w:t>
      </w:r>
      <w:r w:rsidR="00CF5F20" w:rsidRPr="00172BFB">
        <w:rPr>
          <w:rFonts w:asciiTheme="majorHAnsi" w:hAnsiTheme="majorHAnsi" w:cstheme="majorHAnsi"/>
        </w:rPr>
        <w:t>,</w:t>
      </w:r>
      <w:r w:rsidRPr="00172BFB">
        <w:rPr>
          <w:rFonts w:asciiTheme="majorHAnsi" w:hAnsiTheme="majorHAnsi" w:cstheme="majorHAnsi"/>
        </w:rPr>
        <w:t xml:space="preserve"> lower cell numbers</w:t>
      </w:r>
      <w:r w:rsidR="00397A95" w:rsidRPr="00172BFB">
        <w:rPr>
          <w:rFonts w:asciiTheme="majorHAnsi" w:hAnsiTheme="majorHAnsi" w:cstheme="majorHAnsi"/>
        </w:rPr>
        <w:t>—</w:t>
      </w:r>
      <w:r w:rsidRPr="00172BFB">
        <w:rPr>
          <w:rFonts w:asciiTheme="majorHAnsi" w:hAnsiTheme="majorHAnsi" w:cstheme="majorHAnsi"/>
        </w:rPr>
        <w:t>ranging from 100</w:t>
      </w:r>
      <w:r w:rsidR="00C86B6B" w:rsidRPr="00172BFB">
        <w:rPr>
          <w:rFonts w:asciiTheme="majorHAnsi" w:hAnsiTheme="majorHAnsi" w:cstheme="majorHAnsi"/>
        </w:rPr>
        <w:t>,</w:t>
      </w:r>
      <w:r w:rsidRPr="00172BFB">
        <w:rPr>
          <w:rFonts w:asciiTheme="majorHAnsi" w:hAnsiTheme="majorHAnsi" w:cstheme="majorHAnsi"/>
        </w:rPr>
        <w:t>000</w:t>
      </w:r>
      <w:r w:rsidR="00574548" w:rsidRPr="00172BFB">
        <w:rPr>
          <w:rFonts w:asciiTheme="majorHAnsi" w:hAnsiTheme="majorHAnsi" w:cstheme="majorHAnsi"/>
        </w:rPr>
        <w:t xml:space="preserve"> to </w:t>
      </w:r>
      <w:r w:rsidRPr="00172BFB">
        <w:rPr>
          <w:rFonts w:asciiTheme="majorHAnsi" w:hAnsiTheme="majorHAnsi" w:cstheme="majorHAnsi"/>
        </w:rPr>
        <w:t>250</w:t>
      </w:r>
      <w:r w:rsidR="00C86B6B" w:rsidRPr="00172BFB">
        <w:rPr>
          <w:rFonts w:asciiTheme="majorHAnsi" w:hAnsiTheme="majorHAnsi" w:cstheme="majorHAnsi"/>
        </w:rPr>
        <w:t>,</w:t>
      </w:r>
      <w:r w:rsidRPr="00172BFB">
        <w:rPr>
          <w:rFonts w:asciiTheme="majorHAnsi" w:hAnsiTheme="majorHAnsi" w:cstheme="majorHAnsi"/>
        </w:rPr>
        <w:t>000 cells per tumor</w:t>
      </w:r>
      <w:r w:rsidR="00397A95" w:rsidRPr="00172BFB">
        <w:rPr>
          <w:rFonts w:asciiTheme="majorHAnsi" w:hAnsiTheme="majorHAnsi" w:cstheme="majorHAnsi"/>
        </w:rPr>
        <w:t>—</w:t>
      </w:r>
      <w:r w:rsidRPr="00172BFB">
        <w:rPr>
          <w:rFonts w:asciiTheme="majorHAnsi" w:hAnsiTheme="majorHAnsi" w:cstheme="majorHAnsi"/>
        </w:rPr>
        <w:t xml:space="preserve">are recommended. </w:t>
      </w:r>
    </w:p>
    <w:p w14:paraId="73B2CFE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2DDE0731" w14:textId="51A6FFFC"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Relocate to the work area where animal experiments are performed and keep </w:t>
      </w:r>
      <w:r w:rsidR="008D67B9" w:rsidRPr="00172BFB">
        <w:rPr>
          <w:rFonts w:asciiTheme="majorHAnsi" w:hAnsiTheme="majorHAnsi" w:cstheme="majorHAnsi"/>
          <w:highlight w:val="yellow"/>
        </w:rPr>
        <w:t xml:space="preserve">the </w:t>
      </w:r>
      <w:r w:rsidRPr="00172BFB">
        <w:rPr>
          <w:rFonts w:asciiTheme="majorHAnsi" w:hAnsiTheme="majorHAnsi" w:cstheme="majorHAnsi"/>
          <w:highlight w:val="yellow"/>
        </w:rPr>
        <w:t>cells on ice.</w:t>
      </w:r>
    </w:p>
    <w:p w14:paraId="39C6A078"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1406E1E1" w14:textId="2F4820A2" w:rsidR="004D2710" w:rsidRPr="00172BFB" w:rsidRDefault="00172BFB" w:rsidP="00172BFB">
      <w:pPr>
        <w:widowControl/>
        <w:pBdr>
          <w:top w:val="nil"/>
          <w:left w:val="nil"/>
          <w:bottom w:val="nil"/>
          <w:right w:val="nil"/>
          <w:between w:val="nil"/>
        </w:pBdr>
        <w:ind w:left="142"/>
        <w:rPr>
          <w:rFonts w:asciiTheme="majorHAnsi" w:hAnsiTheme="majorHAnsi" w:cstheme="majorHAnsi"/>
          <w:highlight w:val="yellow"/>
        </w:rPr>
      </w:pPr>
      <w:r w:rsidRPr="00172BFB">
        <w:rPr>
          <w:rFonts w:asciiTheme="majorHAnsi" w:hAnsiTheme="majorHAnsi" w:cstheme="majorHAnsi"/>
          <w:bCs/>
          <w:highlight w:val="yellow"/>
        </w:rPr>
        <w:t>NOTE:</w:t>
      </w:r>
      <w:r w:rsidRPr="00172BFB">
        <w:rPr>
          <w:rFonts w:asciiTheme="majorHAnsi" w:hAnsiTheme="majorHAnsi" w:cstheme="majorHAnsi"/>
          <w:b/>
          <w:highlight w:val="yellow"/>
        </w:rPr>
        <w:t xml:space="preserve"> </w:t>
      </w:r>
      <w:r w:rsidRPr="00172BFB">
        <w:rPr>
          <w:rFonts w:asciiTheme="majorHAnsi" w:hAnsiTheme="majorHAnsi" w:cstheme="majorHAnsi"/>
          <w:highlight w:val="yellow"/>
        </w:rPr>
        <w:t xml:space="preserve">After cell preparation, </w:t>
      </w:r>
      <w:proofErr w:type="gramStart"/>
      <w:r w:rsidRPr="00172BFB">
        <w:rPr>
          <w:rFonts w:asciiTheme="majorHAnsi" w:hAnsiTheme="majorHAnsi" w:cstheme="majorHAnsi"/>
          <w:highlight w:val="yellow"/>
        </w:rPr>
        <w:t>perform cell injections</w:t>
      </w:r>
      <w:proofErr w:type="gramEnd"/>
      <w:r w:rsidRPr="00172BFB">
        <w:rPr>
          <w:rFonts w:asciiTheme="majorHAnsi" w:hAnsiTheme="majorHAnsi" w:cstheme="majorHAnsi"/>
          <w:highlight w:val="yellow"/>
        </w:rPr>
        <w:t xml:space="preserve"> as quickly as possible as cell viability is reduced over time.</w:t>
      </w:r>
    </w:p>
    <w:p w14:paraId="671436C0"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0D853E91" w14:textId="72D9D2F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 xml:space="preserve">Prepare the anesthesia solution containing 3 µL </w:t>
      </w:r>
      <w:r w:rsidR="004D31FC" w:rsidRPr="00172BFB">
        <w:rPr>
          <w:rFonts w:asciiTheme="majorHAnsi" w:hAnsiTheme="majorHAnsi" w:cstheme="majorHAnsi"/>
          <w:highlight w:val="yellow"/>
        </w:rPr>
        <w:t xml:space="preserve">of </w:t>
      </w:r>
      <w:r w:rsidRPr="00172BFB">
        <w:rPr>
          <w:rFonts w:asciiTheme="majorHAnsi" w:hAnsiTheme="majorHAnsi" w:cstheme="majorHAnsi"/>
          <w:highlight w:val="yellow"/>
        </w:rPr>
        <w:t>Xylazine (20 mg/mL), 27 µL</w:t>
      </w:r>
      <w:r w:rsidR="004D31FC" w:rsidRPr="00172BFB">
        <w:rPr>
          <w:rFonts w:asciiTheme="majorHAnsi" w:hAnsiTheme="majorHAnsi" w:cstheme="majorHAnsi"/>
          <w:highlight w:val="yellow"/>
        </w:rPr>
        <w:t xml:space="preserve"> of</w:t>
      </w:r>
      <w:r w:rsidRPr="00172BFB">
        <w:rPr>
          <w:rFonts w:asciiTheme="majorHAnsi" w:hAnsiTheme="majorHAnsi" w:cstheme="majorHAnsi"/>
          <w:highlight w:val="yellow"/>
        </w:rPr>
        <w:t xml:space="preserve"> Ketamine (100 mg/mL), and 30 µL </w:t>
      </w:r>
      <w:r w:rsidR="004D31FC" w:rsidRPr="00172BFB">
        <w:rPr>
          <w:rFonts w:asciiTheme="majorHAnsi" w:hAnsiTheme="majorHAnsi" w:cstheme="majorHAnsi"/>
          <w:highlight w:val="yellow"/>
        </w:rPr>
        <w:t xml:space="preserve">of </w:t>
      </w:r>
      <w:r w:rsidRPr="00172BFB">
        <w:rPr>
          <w:rFonts w:asciiTheme="majorHAnsi" w:hAnsiTheme="majorHAnsi" w:cstheme="majorHAnsi"/>
          <w:highlight w:val="yellow"/>
        </w:rPr>
        <w:t>PBS per mouse.</w:t>
      </w:r>
    </w:p>
    <w:p w14:paraId="4BBDF9D8"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5226C403" w14:textId="7D18B90B"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Anesthetize CD45.1 mice by injecting 60 µL of anesthetic intraperitoneally. Randomize the mice</w:t>
      </w:r>
      <w:r w:rsidR="007A6F6B" w:rsidRPr="00172BFB">
        <w:rPr>
          <w:rFonts w:asciiTheme="majorHAnsi" w:hAnsiTheme="majorHAnsi" w:cstheme="majorHAnsi"/>
          <w:highlight w:val="yellow"/>
        </w:rPr>
        <w:t xml:space="preserve"> </w:t>
      </w:r>
      <w:r w:rsidRPr="00172BFB">
        <w:rPr>
          <w:rFonts w:asciiTheme="majorHAnsi" w:hAnsiTheme="majorHAnsi" w:cstheme="majorHAnsi"/>
          <w:highlight w:val="yellow"/>
        </w:rPr>
        <w:t xml:space="preserve">and keep them on a </w:t>
      </w:r>
      <w:proofErr w:type="gramStart"/>
      <w:r w:rsidRPr="00172BFB">
        <w:rPr>
          <w:rFonts w:asciiTheme="majorHAnsi" w:hAnsiTheme="majorHAnsi" w:cstheme="majorHAnsi"/>
          <w:highlight w:val="yellow"/>
        </w:rPr>
        <w:t>warming</w:t>
      </w:r>
      <w:proofErr w:type="gramEnd"/>
      <w:r w:rsidRPr="00172BFB">
        <w:rPr>
          <w:rFonts w:asciiTheme="majorHAnsi" w:hAnsiTheme="majorHAnsi" w:cstheme="majorHAnsi"/>
          <w:highlight w:val="yellow"/>
        </w:rPr>
        <w:t xml:space="preserve"> pad to avoid a drop in body temperature. Apply eye </w:t>
      </w:r>
      <w:proofErr w:type="gramStart"/>
      <w:r w:rsidRPr="00172BFB">
        <w:rPr>
          <w:rFonts w:asciiTheme="majorHAnsi" w:hAnsiTheme="majorHAnsi" w:cstheme="majorHAnsi"/>
          <w:highlight w:val="yellow"/>
        </w:rPr>
        <w:t>crème</w:t>
      </w:r>
      <w:proofErr w:type="gramEnd"/>
      <w:r w:rsidRPr="00172BFB">
        <w:rPr>
          <w:rFonts w:asciiTheme="majorHAnsi" w:hAnsiTheme="majorHAnsi" w:cstheme="majorHAnsi"/>
          <w:highlight w:val="yellow"/>
        </w:rPr>
        <w:t xml:space="preserve"> on their eyes to prevent ocular dehydration during anesthesia.</w:t>
      </w:r>
    </w:p>
    <w:p w14:paraId="343A7A30" w14:textId="77777777" w:rsidR="004D2710" w:rsidRPr="00172BFB" w:rsidRDefault="004D2710" w:rsidP="00172BFB">
      <w:pPr>
        <w:widowControl/>
        <w:ind w:left="142"/>
        <w:rPr>
          <w:rFonts w:asciiTheme="majorHAnsi" w:hAnsiTheme="majorHAnsi" w:cstheme="majorHAnsi"/>
          <w:b/>
          <w:highlight w:val="yellow"/>
        </w:rPr>
      </w:pPr>
    </w:p>
    <w:p w14:paraId="426E47C6" w14:textId="199B0691" w:rsidR="004D2710" w:rsidRPr="00172BFB" w:rsidRDefault="00172BFB" w:rsidP="00172BFB">
      <w:pPr>
        <w:widowControl/>
        <w:ind w:left="142"/>
        <w:rPr>
          <w:rFonts w:asciiTheme="majorHAnsi" w:hAnsiTheme="majorHAnsi" w:cstheme="majorHAnsi"/>
        </w:rPr>
      </w:pPr>
      <w:r w:rsidRPr="00367FF2">
        <w:rPr>
          <w:rFonts w:asciiTheme="majorHAnsi" w:hAnsiTheme="majorHAnsi" w:cstheme="majorHAnsi"/>
          <w:bCs/>
        </w:rPr>
        <w:t>NOTE:</w:t>
      </w:r>
      <w:r w:rsidRPr="00367FF2">
        <w:rPr>
          <w:rFonts w:asciiTheme="majorHAnsi" w:hAnsiTheme="majorHAnsi" w:cstheme="majorHAnsi"/>
          <w:b/>
        </w:rPr>
        <w:t xml:space="preserve"> </w:t>
      </w:r>
      <w:r w:rsidRPr="00367FF2">
        <w:rPr>
          <w:rFonts w:asciiTheme="majorHAnsi" w:hAnsiTheme="majorHAnsi" w:cstheme="majorHAnsi"/>
        </w:rPr>
        <w:t xml:space="preserve">It is critical to use CD45.1 mice to enable distinction between </w:t>
      </w:r>
      <w:r w:rsidRPr="00367FF2">
        <w:rPr>
          <w:rFonts w:asciiTheme="majorHAnsi" w:hAnsiTheme="majorHAnsi" w:cstheme="majorHAnsi"/>
          <w:i/>
          <w:iCs/>
        </w:rPr>
        <w:t>in vivo</w:t>
      </w:r>
      <w:r w:rsidRPr="00367FF2">
        <w:rPr>
          <w:rFonts w:asciiTheme="majorHAnsi" w:hAnsiTheme="majorHAnsi" w:cstheme="majorHAnsi"/>
        </w:rPr>
        <w:t xml:space="preserve"> reprogrammed </w:t>
      </w:r>
      <w:r w:rsidR="00426477" w:rsidRPr="00367FF2">
        <w:rPr>
          <w:rFonts w:asciiTheme="majorHAnsi" w:hAnsiTheme="majorHAnsi" w:cstheme="majorHAnsi"/>
        </w:rPr>
        <w:t>cDC1-like</w:t>
      </w:r>
      <w:r w:rsidRPr="00367FF2">
        <w:rPr>
          <w:rFonts w:asciiTheme="majorHAnsi" w:hAnsiTheme="majorHAnsi" w:cstheme="majorHAnsi"/>
        </w:rPr>
        <w:t xml:space="preserve"> cells expressing the wild-type CD45.2 allele and endogenous immune cells. If the cell line is CD45.1 C57B</w:t>
      </w:r>
      <w:r w:rsidR="008D67B9" w:rsidRPr="00367FF2">
        <w:rPr>
          <w:rFonts w:asciiTheme="majorHAnsi" w:hAnsiTheme="majorHAnsi" w:cstheme="majorHAnsi"/>
        </w:rPr>
        <w:t>L</w:t>
      </w:r>
      <w:r w:rsidRPr="00367FF2">
        <w:rPr>
          <w:rFonts w:asciiTheme="majorHAnsi" w:hAnsiTheme="majorHAnsi" w:cstheme="majorHAnsi"/>
        </w:rPr>
        <w:t xml:space="preserve">/6 mice (CD45.2) can be used as recipients. </w:t>
      </w:r>
      <w:r w:rsidRPr="00172BFB">
        <w:rPr>
          <w:rFonts w:asciiTheme="majorHAnsi" w:hAnsiTheme="majorHAnsi" w:cstheme="majorHAnsi"/>
        </w:rPr>
        <w:t xml:space="preserve">Mice should be </w:t>
      </w:r>
      <w:r w:rsidR="00CF5F20" w:rsidRPr="00172BFB">
        <w:rPr>
          <w:rFonts w:asciiTheme="majorHAnsi" w:hAnsiTheme="majorHAnsi" w:cstheme="majorHAnsi"/>
        </w:rPr>
        <w:t>sex</w:t>
      </w:r>
      <w:r w:rsidR="007A6F6B" w:rsidRPr="00172BFB">
        <w:rPr>
          <w:rFonts w:asciiTheme="majorHAnsi" w:hAnsiTheme="majorHAnsi" w:cstheme="majorHAnsi"/>
        </w:rPr>
        <w:t>-</w:t>
      </w:r>
      <w:r w:rsidRPr="00172BFB">
        <w:rPr>
          <w:rFonts w:asciiTheme="majorHAnsi" w:hAnsiTheme="majorHAnsi" w:cstheme="majorHAnsi"/>
        </w:rPr>
        <w:t xml:space="preserve"> and age-matched between experimental groups and randomized before tumor establishment.</w:t>
      </w:r>
    </w:p>
    <w:p w14:paraId="1BC44395"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53617E00" w14:textId="0499C85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Wait 5</w:t>
      </w:r>
      <w:r w:rsidR="007A6F6B" w:rsidRPr="00172BFB">
        <w:rPr>
          <w:rFonts w:asciiTheme="majorHAnsi" w:hAnsiTheme="majorHAnsi" w:cstheme="majorHAnsi"/>
          <w:highlight w:val="yellow"/>
        </w:rPr>
        <w:t>–</w:t>
      </w:r>
      <w:r w:rsidRPr="00172BFB">
        <w:rPr>
          <w:rFonts w:asciiTheme="majorHAnsi" w:hAnsiTheme="majorHAnsi" w:cstheme="majorHAnsi"/>
          <w:highlight w:val="yellow"/>
        </w:rPr>
        <w:t>10 min until all mice are fully anesthetized.</w:t>
      </w:r>
    </w:p>
    <w:p w14:paraId="5E2B9BCB"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A0493C3" w14:textId="6B57AC7C"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Shave the right flank of the mice using a razor; optionally, mark them using an ear clipper. Disinfect the area and swipe away the remaining hair with 70% ethanol.</w:t>
      </w:r>
    </w:p>
    <w:p w14:paraId="2CA57197"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620367D9" w14:textId="44C0E275"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Resuspend cancer cells by pipetting up and down using a P1000 pipette. Load the cell suspension into a 0.5 mL 30</w:t>
      </w:r>
      <w:r w:rsidR="007A6F6B" w:rsidRPr="00172BFB">
        <w:rPr>
          <w:rFonts w:asciiTheme="majorHAnsi" w:hAnsiTheme="majorHAnsi" w:cstheme="majorHAnsi"/>
          <w:highlight w:val="yellow"/>
        </w:rPr>
        <w:t xml:space="preserve"> </w:t>
      </w:r>
      <w:r w:rsidRPr="00172BFB">
        <w:rPr>
          <w:rFonts w:asciiTheme="majorHAnsi" w:hAnsiTheme="majorHAnsi" w:cstheme="majorHAnsi"/>
          <w:highlight w:val="yellow"/>
        </w:rPr>
        <w:t>G syringe.</w:t>
      </w:r>
    </w:p>
    <w:p w14:paraId="37B3E04D" w14:textId="36BC6D82"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0AB0B61A" w14:textId="75C1E73F"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lastRenderedPageBreak/>
        <w:t>Gently lift the skin of the shaved flank of the mouse using two fingers and insert the tip of the needle where the skin forms a crease.</w:t>
      </w:r>
    </w:p>
    <w:p w14:paraId="3846CBE7"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0F092933" w14:textId="7CD98759" w:rsidR="004D2710" w:rsidRPr="00172BFB" w:rsidRDefault="00172BFB" w:rsidP="00172BFB">
      <w:pPr>
        <w:widowControl/>
        <w:pBdr>
          <w:top w:val="nil"/>
          <w:left w:val="nil"/>
          <w:bottom w:val="nil"/>
          <w:right w:val="nil"/>
          <w:between w:val="nil"/>
        </w:pBdr>
        <w:ind w:left="142"/>
        <w:rPr>
          <w:rFonts w:asciiTheme="majorHAnsi" w:hAnsiTheme="majorHAnsi" w:cstheme="majorHAnsi"/>
          <w:b/>
          <w:highlight w:val="yellow"/>
        </w:rPr>
      </w:pPr>
      <w:r w:rsidRPr="00172BFB">
        <w:rPr>
          <w:rFonts w:asciiTheme="majorHAnsi" w:hAnsiTheme="majorHAnsi" w:cstheme="majorHAnsi"/>
          <w:bCs/>
          <w:highlight w:val="yellow"/>
        </w:rPr>
        <w:t>NOTE:</w:t>
      </w:r>
      <w:r w:rsidRPr="00172BFB">
        <w:rPr>
          <w:rFonts w:asciiTheme="majorHAnsi" w:hAnsiTheme="majorHAnsi" w:cstheme="majorHAnsi"/>
          <w:highlight w:val="yellow"/>
        </w:rPr>
        <w:t xml:space="preserve"> Be cautious to avoid puncturing your fingers with the needle.</w:t>
      </w:r>
    </w:p>
    <w:p w14:paraId="6D7E398E"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1E72E6FD" w14:textId="402A5CE4"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Release the skin, hold the syringe in place with one hand, and use two fingers of the other hand to stretch the skin of the mouse.</w:t>
      </w:r>
    </w:p>
    <w:p w14:paraId="391428B0" w14:textId="343A5E89"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5569CB4B" w14:textId="462435DF"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Slowly inject 50 µL of the cancer cell suspension to create an oval bulge (subcutaneous swelling) at the injection site.</w:t>
      </w:r>
    </w:p>
    <w:p w14:paraId="56A8D08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highlight w:val="yellow"/>
        </w:rPr>
      </w:pPr>
    </w:p>
    <w:p w14:paraId="2555253C" w14:textId="6E7DACE4" w:rsidR="004D2710" w:rsidRPr="00172BFB" w:rsidRDefault="00172BFB" w:rsidP="00172BFB">
      <w:pPr>
        <w:widowControl/>
        <w:pBdr>
          <w:top w:val="nil"/>
          <w:left w:val="nil"/>
          <w:bottom w:val="nil"/>
          <w:right w:val="nil"/>
          <w:between w:val="nil"/>
        </w:pBdr>
        <w:ind w:left="142"/>
        <w:rPr>
          <w:rFonts w:asciiTheme="majorHAnsi" w:hAnsiTheme="majorHAnsi" w:cstheme="majorHAnsi"/>
          <w:highlight w:val="yellow"/>
        </w:rPr>
      </w:pPr>
      <w:r w:rsidRPr="00172BFB">
        <w:rPr>
          <w:rFonts w:asciiTheme="majorHAnsi" w:hAnsiTheme="majorHAnsi" w:cstheme="majorHAnsi"/>
          <w:bCs/>
          <w:highlight w:val="yellow"/>
        </w:rPr>
        <w:t>NOTE:</w:t>
      </w:r>
      <w:r w:rsidRPr="00172BFB">
        <w:rPr>
          <w:rFonts w:asciiTheme="majorHAnsi" w:hAnsiTheme="majorHAnsi" w:cstheme="majorHAnsi"/>
          <w:highlight w:val="yellow"/>
        </w:rPr>
        <w:t xml:space="preserve"> If a bulge does not form, the suspension may have leaked into the surrounding subcutaneous tissue, which can lead to inconsistent or failed tumor formation.</w:t>
      </w:r>
    </w:p>
    <w:p w14:paraId="4E82463D" w14:textId="665E9532"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76CD6B06" w14:textId="459D0CFA"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highlight w:val="yellow"/>
        </w:rPr>
      </w:pPr>
      <w:r w:rsidRPr="00172BFB">
        <w:rPr>
          <w:rFonts w:asciiTheme="majorHAnsi" w:hAnsiTheme="majorHAnsi" w:cstheme="majorHAnsi"/>
          <w:highlight w:val="yellow"/>
        </w:rPr>
        <w:t>Post</w:t>
      </w:r>
      <w:r w:rsidR="00786CC8" w:rsidRPr="00172BFB">
        <w:rPr>
          <w:rFonts w:asciiTheme="majorHAnsi" w:hAnsiTheme="majorHAnsi" w:cstheme="majorHAnsi"/>
          <w:highlight w:val="yellow"/>
        </w:rPr>
        <w:t xml:space="preserve"> </w:t>
      </w:r>
      <w:r w:rsidRPr="00172BFB">
        <w:rPr>
          <w:rFonts w:asciiTheme="majorHAnsi" w:hAnsiTheme="majorHAnsi" w:cstheme="majorHAnsi"/>
          <w:highlight w:val="yellow"/>
        </w:rPr>
        <w:t>procedure, monitor all mice wake up to ensure survival after anesthesia.</w:t>
      </w:r>
    </w:p>
    <w:p w14:paraId="418FAF5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highlight w:val="yellow"/>
        </w:rPr>
      </w:pPr>
    </w:p>
    <w:p w14:paraId="4046F85F" w14:textId="77777777" w:rsidR="004D2710" w:rsidRPr="001E7F69"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E7F69">
        <w:rPr>
          <w:rFonts w:asciiTheme="majorHAnsi" w:hAnsiTheme="majorHAnsi" w:cstheme="majorHAnsi"/>
        </w:rPr>
        <w:t>Maintain the mice in a controlled temperature environment with 23 ± 2 °C and a fixed 12 h light/dark cycle and free access to food and water.</w:t>
      </w:r>
    </w:p>
    <w:p w14:paraId="7DB324D5"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5C98F4CA" w14:textId="77777777"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If you wish to monitor tumor growth, proceed with steps 4.24–4.26. Otherwise, skip these steps and proceed directly to the next sections.</w:t>
      </w:r>
    </w:p>
    <w:p w14:paraId="72F3DB7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038897B"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To monitor tumor growth, gently restrain the mouse with one hand, allowing clear visualization of the tumor.</w:t>
      </w:r>
    </w:p>
    <w:p w14:paraId="63FEEE3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6051569"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Using an electronic caliper, measure the tumor’s length (</w:t>
      </w:r>
      <w:r w:rsidRPr="00172BFB">
        <w:rPr>
          <w:rFonts w:asciiTheme="majorHAnsi" w:hAnsiTheme="majorHAnsi" w:cstheme="majorHAnsi"/>
          <w:i/>
        </w:rPr>
        <w:t>l</w:t>
      </w:r>
      <w:r w:rsidRPr="00172BFB">
        <w:rPr>
          <w:rFonts w:asciiTheme="majorHAnsi" w:hAnsiTheme="majorHAnsi" w:cstheme="majorHAnsi"/>
        </w:rPr>
        <w:t>), width (</w:t>
      </w:r>
      <w:r w:rsidRPr="00172BFB">
        <w:rPr>
          <w:rFonts w:asciiTheme="majorHAnsi" w:hAnsiTheme="majorHAnsi" w:cstheme="majorHAnsi"/>
          <w:i/>
        </w:rPr>
        <w:t>w</w:t>
      </w:r>
      <w:r w:rsidRPr="00172BFB">
        <w:rPr>
          <w:rFonts w:asciiTheme="majorHAnsi" w:hAnsiTheme="majorHAnsi" w:cstheme="majorHAnsi"/>
        </w:rPr>
        <w:t>), and height (</w:t>
      </w:r>
      <w:r w:rsidRPr="00172BFB">
        <w:rPr>
          <w:rFonts w:asciiTheme="majorHAnsi" w:hAnsiTheme="majorHAnsi" w:cstheme="majorHAnsi"/>
          <w:i/>
        </w:rPr>
        <w:t>h</w:t>
      </w:r>
      <w:r w:rsidRPr="00172BFB">
        <w:rPr>
          <w:rFonts w:asciiTheme="majorHAnsi" w:hAnsiTheme="majorHAnsi" w:cstheme="majorHAnsi"/>
        </w:rPr>
        <w:t>). Calculate the tumor volume (</w:t>
      </w:r>
      <w:r w:rsidRPr="00172BFB">
        <w:rPr>
          <w:rFonts w:asciiTheme="majorHAnsi" w:hAnsiTheme="majorHAnsi" w:cstheme="majorHAnsi"/>
          <w:i/>
        </w:rPr>
        <w:t>V</w:t>
      </w:r>
      <w:r w:rsidRPr="00172BFB">
        <w:rPr>
          <w:rFonts w:asciiTheme="majorHAnsi" w:hAnsiTheme="majorHAnsi" w:cstheme="majorHAnsi"/>
        </w:rPr>
        <w:t xml:space="preserve">) using the formula: </w:t>
      </w:r>
      <w:r w:rsidRPr="00172BFB">
        <w:rPr>
          <w:rFonts w:asciiTheme="majorHAnsi" w:hAnsiTheme="majorHAnsi" w:cstheme="majorHAnsi"/>
          <w:i/>
        </w:rPr>
        <w:t xml:space="preserve">V </w:t>
      </w:r>
      <w:r w:rsidRPr="00172BFB">
        <w:rPr>
          <w:rFonts w:asciiTheme="majorHAnsi" w:hAnsiTheme="majorHAnsi" w:cstheme="majorHAnsi"/>
        </w:rPr>
        <w:t>= (</w:t>
      </w:r>
      <w:r w:rsidRPr="00172BFB">
        <w:rPr>
          <w:rFonts w:asciiTheme="majorHAnsi" w:hAnsiTheme="majorHAnsi" w:cstheme="majorHAnsi"/>
          <w:i/>
        </w:rPr>
        <w:t>l</w:t>
      </w:r>
      <w:r w:rsidRPr="00172BFB">
        <w:rPr>
          <w:rFonts w:asciiTheme="majorHAnsi" w:hAnsiTheme="majorHAnsi" w:cstheme="majorHAnsi"/>
        </w:rPr>
        <w:t xml:space="preserve"> x </w:t>
      </w:r>
      <w:r w:rsidRPr="00172BFB">
        <w:rPr>
          <w:rFonts w:asciiTheme="majorHAnsi" w:hAnsiTheme="majorHAnsi" w:cstheme="majorHAnsi"/>
          <w:i/>
        </w:rPr>
        <w:t xml:space="preserve">w </w:t>
      </w:r>
      <w:r w:rsidRPr="00172BFB">
        <w:rPr>
          <w:rFonts w:asciiTheme="majorHAnsi" w:hAnsiTheme="majorHAnsi" w:cstheme="majorHAnsi"/>
        </w:rPr>
        <w:t xml:space="preserve">x </w:t>
      </w:r>
      <w:r w:rsidRPr="00172BFB">
        <w:rPr>
          <w:rFonts w:asciiTheme="majorHAnsi" w:hAnsiTheme="majorHAnsi" w:cstheme="majorHAnsi"/>
          <w:i/>
        </w:rPr>
        <w:t>h</w:t>
      </w:r>
      <w:r w:rsidRPr="00172BFB">
        <w:rPr>
          <w:rFonts w:asciiTheme="majorHAnsi" w:hAnsiTheme="majorHAnsi" w:cstheme="majorHAnsi"/>
        </w:rPr>
        <w:t>) / 2.</w:t>
      </w:r>
    </w:p>
    <w:p w14:paraId="4C1332C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7903A77" w14:textId="585464C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Measure tumor dimensions every two to three days. When the tumor reaches a volume that meets the humane endpoint criterion (e.g., 1</w:t>
      </w:r>
      <w:r w:rsidR="00786CC8" w:rsidRPr="00172BFB">
        <w:rPr>
          <w:rFonts w:asciiTheme="majorHAnsi" w:hAnsiTheme="majorHAnsi" w:cstheme="majorHAnsi"/>
        </w:rPr>
        <w:t>,</w:t>
      </w:r>
      <w:r w:rsidRPr="00172BFB">
        <w:rPr>
          <w:rFonts w:asciiTheme="majorHAnsi" w:hAnsiTheme="majorHAnsi" w:cstheme="majorHAnsi"/>
        </w:rPr>
        <w:t>500 mm³), euthanize the animal in accordance with ethical and institutional guidelines.</w:t>
      </w:r>
    </w:p>
    <w:p w14:paraId="131F9ADC"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3E84A32B" w14:textId="77777777" w:rsidR="004D2710" w:rsidRPr="00172BFB" w:rsidRDefault="00172BFB" w:rsidP="00172BFB">
      <w:pPr>
        <w:numPr>
          <w:ilvl w:val="0"/>
          <w:numId w:val="1"/>
        </w:numPr>
        <w:ind w:left="142" w:firstLine="0"/>
        <w:rPr>
          <w:rFonts w:asciiTheme="majorHAnsi" w:hAnsiTheme="majorHAnsi" w:cstheme="majorHAnsi"/>
          <w:b/>
        </w:rPr>
      </w:pPr>
      <w:r w:rsidRPr="00172BFB">
        <w:rPr>
          <w:rFonts w:asciiTheme="majorHAnsi" w:hAnsiTheme="majorHAnsi" w:cstheme="majorHAnsi"/>
          <w:b/>
        </w:rPr>
        <w:t>Tumor isolation for flow cytometry analysis</w:t>
      </w:r>
    </w:p>
    <w:p w14:paraId="017479C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6C70498A"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Prepare scissors, forceps, FACS buffer, and 12-well non-tissue culture plates with ice-cold RPMI complete medium for collection of tumor samples.</w:t>
      </w:r>
    </w:p>
    <w:p w14:paraId="2AC21E35"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740DABD8"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Prepare the tumor digestion solution by mixing 30 µL of 100 mg/mL collagenase D and 3 µL of 10 mg/mL </w:t>
      </w:r>
      <w:proofErr w:type="spellStart"/>
      <w:r w:rsidRPr="00172BFB">
        <w:rPr>
          <w:rFonts w:asciiTheme="majorHAnsi" w:hAnsiTheme="majorHAnsi" w:cstheme="majorHAnsi"/>
        </w:rPr>
        <w:t>DNAse</w:t>
      </w:r>
      <w:proofErr w:type="spellEnd"/>
      <w:r w:rsidRPr="00172BFB">
        <w:rPr>
          <w:rFonts w:asciiTheme="majorHAnsi" w:hAnsiTheme="majorHAnsi" w:cstheme="majorHAnsi"/>
        </w:rPr>
        <w:t xml:space="preserve"> I in 3 mL of RPMI complete medium per tumor (to reach a working concentration of 1 mg/mL collagenase D and of 10 </w:t>
      </w:r>
      <w:proofErr w:type="gramStart"/>
      <w:r w:rsidRPr="00172BFB">
        <w:rPr>
          <w:rFonts w:asciiTheme="majorHAnsi" w:hAnsiTheme="majorHAnsi" w:cstheme="majorHAnsi"/>
        </w:rPr>
        <w:t>µg</w:t>
      </w:r>
      <w:proofErr w:type="gramEnd"/>
      <w:r w:rsidRPr="00172BFB">
        <w:rPr>
          <w:rFonts w:asciiTheme="majorHAnsi" w:hAnsiTheme="majorHAnsi" w:cstheme="majorHAnsi"/>
        </w:rPr>
        <w:t xml:space="preserve">/mL </w:t>
      </w:r>
      <w:proofErr w:type="spellStart"/>
      <w:r w:rsidRPr="00172BFB">
        <w:rPr>
          <w:rFonts w:asciiTheme="majorHAnsi" w:hAnsiTheme="majorHAnsi" w:cstheme="majorHAnsi"/>
        </w:rPr>
        <w:t>DNAse</w:t>
      </w:r>
      <w:proofErr w:type="spellEnd"/>
      <w:r w:rsidRPr="00172BFB">
        <w:rPr>
          <w:rFonts w:asciiTheme="majorHAnsi" w:hAnsiTheme="majorHAnsi" w:cstheme="majorHAnsi"/>
        </w:rPr>
        <w:t xml:space="preserve"> I).</w:t>
      </w:r>
    </w:p>
    <w:p w14:paraId="4B868071"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01FA5C60" w14:textId="77777777"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If digestion efficiency is suboptimal, add 2–5 mM </w:t>
      </w:r>
      <w:proofErr w:type="spellStart"/>
      <w:r w:rsidRPr="00172BFB">
        <w:rPr>
          <w:rFonts w:asciiTheme="majorHAnsi" w:hAnsiTheme="majorHAnsi" w:cstheme="majorHAnsi"/>
        </w:rPr>
        <w:t>CaCl</w:t>
      </w:r>
      <w:proofErr w:type="spellEnd"/>
      <w:r w:rsidRPr="00172BFB">
        <w:rPr>
          <w:rFonts w:asciiTheme="majorHAnsi" w:hAnsiTheme="majorHAnsi" w:cstheme="majorHAnsi"/>
        </w:rPr>
        <w:t>₂ to support collagenase activity.</w:t>
      </w:r>
    </w:p>
    <w:p w14:paraId="7CB682D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0C7A778" w14:textId="22063B52"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Euthanize </w:t>
      </w:r>
      <w:r w:rsidR="008D350D" w:rsidRPr="00172BFB">
        <w:rPr>
          <w:rFonts w:asciiTheme="majorHAnsi" w:hAnsiTheme="majorHAnsi" w:cstheme="majorHAnsi"/>
        </w:rPr>
        <w:t xml:space="preserve">the </w:t>
      </w:r>
      <w:r w:rsidRPr="00172BFB">
        <w:rPr>
          <w:rFonts w:asciiTheme="majorHAnsi" w:hAnsiTheme="majorHAnsi" w:cstheme="majorHAnsi"/>
        </w:rPr>
        <w:t>mice by cervical dislocation or CO</w:t>
      </w:r>
      <w:r w:rsidRPr="00172BFB">
        <w:rPr>
          <w:rFonts w:asciiTheme="majorHAnsi" w:hAnsiTheme="majorHAnsi" w:cstheme="majorHAnsi"/>
          <w:vertAlign w:val="subscript"/>
        </w:rPr>
        <w:t>2</w:t>
      </w:r>
      <w:r w:rsidRPr="00172BFB">
        <w:rPr>
          <w:rFonts w:asciiTheme="majorHAnsi" w:hAnsiTheme="majorHAnsi" w:cstheme="majorHAnsi"/>
        </w:rPr>
        <w:t xml:space="preserve"> asphyxiation on the day of isolation.</w:t>
      </w:r>
    </w:p>
    <w:p w14:paraId="067053C8"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E4AC114"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Excise subcutaneous tumors with scissors and forceps and place each tumor into a well of the 12-well non-tissue culture plate with ice-cold RPMI. Try to minimize excision of non-tumor tissue.</w:t>
      </w:r>
    </w:p>
    <w:p w14:paraId="34DDDBB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3E41F911" w14:textId="31709864"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Cut tumor samples into 1</w:t>
      </w:r>
      <w:r w:rsidR="00786CC8" w:rsidRPr="00172BFB">
        <w:rPr>
          <w:rFonts w:asciiTheme="majorHAnsi" w:hAnsiTheme="majorHAnsi" w:cstheme="majorHAnsi"/>
        </w:rPr>
        <w:t>–</w:t>
      </w:r>
      <w:r w:rsidRPr="00172BFB">
        <w:rPr>
          <w:rFonts w:asciiTheme="majorHAnsi" w:hAnsiTheme="majorHAnsi" w:cstheme="majorHAnsi"/>
        </w:rPr>
        <w:t>2 mm</w:t>
      </w:r>
      <w:r w:rsidRPr="00172BFB">
        <w:rPr>
          <w:rFonts w:asciiTheme="majorHAnsi" w:hAnsiTheme="majorHAnsi" w:cstheme="majorHAnsi"/>
          <w:vertAlign w:val="superscript"/>
        </w:rPr>
        <w:t>3</w:t>
      </w:r>
      <w:r w:rsidRPr="00172BFB">
        <w:rPr>
          <w:rFonts w:asciiTheme="majorHAnsi" w:hAnsiTheme="majorHAnsi" w:cstheme="majorHAnsi"/>
        </w:rPr>
        <w:t xml:space="preserve"> pieces using scissors, collect the pieces</w:t>
      </w:r>
      <w:r w:rsidR="008D67B9" w:rsidRPr="00172BFB">
        <w:rPr>
          <w:rFonts w:asciiTheme="majorHAnsi" w:hAnsiTheme="majorHAnsi" w:cstheme="majorHAnsi"/>
        </w:rPr>
        <w:t xml:space="preserve"> into</w:t>
      </w:r>
      <w:r w:rsidRPr="00172BFB">
        <w:rPr>
          <w:rFonts w:asciiTheme="majorHAnsi" w:hAnsiTheme="majorHAnsi" w:cstheme="majorHAnsi"/>
        </w:rPr>
        <w:t xml:space="preserve"> 50</w:t>
      </w:r>
      <w:r w:rsidR="00786CC8" w:rsidRPr="00172BFB">
        <w:rPr>
          <w:rFonts w:asciiTheme="majorHAnsi" w:hAnsiTheme="majorHAnsi" w:cstheme="majorHAnsi"/>
        </w:rPr>
        <w:t xml:space="preserve"> </w:t>
      </w:r>
      <w:r w:rsidRPr="00172BFB">
        <w:rPr>
          <w:rFonts w:asciiTheme="majorHAnsi" w:hAnsiTheme="majorHAnsi" w:cstheme="majorHAnsi"/>
        </w:rPr>
        <w:t>mL conical tubes containing 3 m</w:t>
      </w:r>
      <w:r w:rsidR="008D67B9" w:rsidRPr="00172BFB">
        <w:rPr>
          <w:rFonts w:asciiTheme="majorHAnsi" w:hAnsiTheme="majorHAnsi" w:cstheme="majorHAnsi"/>
        </w:rPr>
        <w:t>L</w:t>
      </w:r>
      <w:r w:rsidRPr="00172BFB">
        <w:rPr>
          <w:rFonts w:asciiTheme="majorHAnsi" w:hAnsiTheme="majorHAnsi" w:cstheme="majorHAnsi"/>
        </w:rPr>
        <w:t xml:space="preserve"> of digestion solution, and incubate at 37 °C while shaking at 200</w:t>
      </w:r>
      <w:r w:rsidR="00786CC8" w:rsidRPr="00172BFB">
        <w:rPr>
          <w:rFonts w:asciiTheme="majorHAnsi" w:hAnsiTheme="majorHAnsi" w:cstheme="majorHAnsi"/>
        </w:rPr>
        <w:t>–</w:t>
      </w:r>
      <w:r w:rsidRPr="00172BFB">
        <w:rPr>
          <w:rFonts w:asciiTheme="majorHAnsi" w:hAnsiTheme="majorHAnsi" w:cstheme="majorHAnsi"/>
        </w:rPr>
        <w:t>250 rpm for 30</w:t>
      </w:r>
      <w:r w:rsidR="00786CC8" w:rsidRPr="00172BFB">
        <w:rPr>
          <w:rFonts w:asciiTheme="majorHAnsi" w:hAnsiTheme="majorHAnsi" w:cstheme="majorHAnsi"/>
        </w:rPr>
        <w:t>–</w:t>
      </w:r>
      <w:r w:rsidRPr="00172BFB">
        <w:rPr>
          <w:rFonts w:asciiTheme="majorHAnsi" w:hAnsiTheme="majorHAnsi" w:cstheme="majorHAnsi"/>
        </w:rPr>
        <w:t>45 min.</w:t>
      </w:r>
    </w:p>
    <w:p w14:paraId="03FCE89E"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1874B2B1" w14:textId="4792FA9C"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Vortex or pipette every 15 min to facilitate the digestion process.</w:t>
      </w:r>
    </w:p>
    <w:p w14:paraId="4FF7FA1B" w14:textId="6CA51B0B"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7742B46C" w14:textId="5ADF706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Following digestion, vigorously pipette the mixture for </w:t>
      </w:r>
      <w:r w:rsidR="008D350D" w:rsidRPr="00172BFB">
        <w:rPr>
          <w:rFonts w:asciiTheme="majorHAnsi" w:hAnsiTheme="majorHAnsi" w:cstheme="majorHAnsi"/>
        </w:rPr>
        <w:t>1</w:t>
      </w:r>
      <w:r w:rsidRPr="00172BFB">
        <w:rPr>
          <w:rFonts w:asciiTheme="majorHAnsi" w:hAnsiTheme="majorHAnsi" w:cstheme="majorHAnsi"/>
        </w:rPr>
        <w:t xml:space="preserve"> min using a 5 mL serological pipette. Filter the cell suspension through a 70</w:t>
      </w:r>
      <w:r w:rsidR="005E79CC" w:rsidRPr="00172BFB">
        <w:rPr>
          <w:rFonts w:asciiTheme="majorHAnsi" w:hAnsiTheme="majorHAnsi" w:cstheme="majorHAnsi"/>
        </w:rPr>
        <w:t xml:space="preserve"> </w:t>
      </w:r>
      <w:r w:rsidRPr="00172BFB">
        <w:rPr>
          <w:rFonts w:asciiTheme="majorHAnsi" w:hAnsiTheme="majorHAnsi" w:cstheme="majorHAnsi"/>
        </w:rPr>
        <w:t>µm cell strainer into a new 50</w:t>
      </w:r>
      <w:r w:rsidR="005E79CC" w:rsidRPr="00172BFB">
        <w:rPr>
          <w:rFonts w:asciiTheme="majorHAnsi" w:hAnsiTheme="majorHAnsi" w:cstheme="majorHAnsi"/>
        </w:rPr>
        <w:t xml:space="preserve"> </w:t>
      </w:r>
      <w:r w:rsidRPr="00172BFB">
        <w:rPr>
          <w:rFonts w:asciiTheme="majorHAnsi" w:hAnsiTheme="majorHAnsi" w:cstheme="majorHAnsi"/>
        </w:rPr>
        <w:t>m</w:t>
      </w:r>
      <w:r w:rsidR="005E79CC" w:rsidRPr="00172BFB">
        <w:rPr>
          <w:rFonts w:asciiTheme="majorHAnsi" w:hAnsiTheme="majorHAnsi" w:cstheme="majorHAnsi"/>
        </w:rPr>
        <w:t>L</w:t>
      </w:r>
      <w:r w:rsidRPr="00172BFB">
        <w:rPr>
          <w:rFonts w:asciiTheme="majorHAnsi" w:hAnsiTheme="majorHAnsi" w:cstheme="majorHAnsi"/>
        </w:rPr>
        <w:t xml:space="preserve"> conical tube.</w:t>
      </w:r>
    </w:p>
    <w:p w14:paraId="55109289"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77D282FC" w14:textId="48E731DF"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Use the plunger of a 10 mL syringe to smash non-digested pieces against the 70</w:t>
      </w:r>
      <w:r w:rsidR="005E79CC" w:rsidRPr="00172BFB">
        <w:rPr>
          <w:rFonts w:asciiTheme="majorHAnsi" w:hAnsiTheme="majorHAnsi" w:cstheme="majorHAnsi"/>
        </w:rPr>
        <w:t xml:space="preserve"> </w:t>
      </w:r>
      <w:r w:rsidRPr="00172BFB">
        <w:rPr>
          <w:rFonts w:asciiTheme="majorHAnsi" w:hAnsiTheme="majorHAnsi" w:cstheme="majorHAnsi"/>
        </w:rPr>
        <w:t>µm cell strainer and rinse the strainer with 10 mL of RPMI complete medium.</w:t>
      </w:r>
    </w:p>
    <w:p w14:paraId="61F7E8FE"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7EB2443E" w14:textId="0D856D60"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Centrifuge the cell suspension at 350 </w:t>
      </w:r>
      <w:r w:rsidR="005E79CC" w:rsidRPr="00172BFB">
        <w:rPr>
          <w:rFonts w:asciiTheme="majorHAnsi" w:hAnsiTheme="majorHAnsi" w:cstheme="majorHAnsi"/>
        </w:rPr>
        <w:t>×</w:t>
      </w:r>
      <w:r w:rsidRPr="00172BFB">
        <w:rPr>
          <w:rFonts w:asciiTheme="majorHAnsi" w:hAnsiTheme="majorHAnsi" w:cstheme="majorHAnsi"/>
          <w:i/>
        </w:rPr>
        <w:t xml:space="preserve"> g </w:t>
      </w:r>
      <w:r w:rsidRPr="00172BFB">
        <w:rPr>
          <w:rFonts w:asciiTheme="majorHAnsi" w:hAnsiTheme="majorHAnsi" w:cstheme="majorHAnsi"/>
        </w:rPr>
        <w:t>for 5 min at 4</w:t>
      </w:r>
      <w:r w:rsidR="002D45E2" w:rsidRPr="00172BFB">
        <w:rPr>
          <w:rFonts w:asciiTheme="majorHAnsi" w:hAnsiTheme="majorHAnsi" w:cstheme="majorHAnsi"/>
        </w:rPr>
        <w:t xml:space="preserve"> </w:t>
      </w:r>
      <w:r w:rsidRPr="00172BFB">
        <w:rPr>
          <w:rFonts w:asciiTheme="majorHAnsi" w:hAnsiTheme="majorHAnsi" w:cstheme="majorHAnsi"/>
        </w:rPr>
        <w:t>°C, resuspend in 1 mL of FACS buffer, and count viable cells.</w:t>
      </w:r>
    </w:p>
    <w:p w14:paraId="17F0F4EA"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1F06830" w14:textId="7EF334A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Transfer the cell suspension to 5 mL polystyrene tubes, pellet cells at 350 </w:t>
      </w:r>
      <w:r w:rsidR="005E79CC" w:rsidRPr="00172BFB">
        <w:rPr>
          <w:rFonts w:asciiTheme="majorHAnsi" w:hAnsiTheme="majorHAnsi" w:cstheme="majorHAnsi"/>
        </w:rPr>
        <w:t>×</w:t>
      </w:r>
      <w:r w:rsidRPr="00172BFB">
        <w:rPr>
          <w:rFonts w:asciiTheme="majorHAnsi" w:hAnsiTheme="majorHAnsi" w:cstheme="majorHAnsi"/>
        </w:rPr>
        <w:t xml:space="preserve"> </w:t>
      </w:r>
      <w:r w:rsidRPr="00172BFB">
        <w:rPr>
          <w:rFonts w:asciiTheme="majorHAnsi" w:hAnsiTheme="majorHAnsi" w:cstheme="majorHAnsi"/>
          <w:i/>
        </w:rPr>
        <w:t>g</w:t>
      </w:r>
      <w:r w:rsidRPr="00172BFB">
        <w:rPr>
          <w:rFonts w:asciiTheme="majorHAnsi" w:hAnsiTheme="majorHAnsi" w:cstheme="majorHAnsi"/>
        </w:rPr>
        <w:t xml:space="preserve"> for 5 min, and resuspend 10</w:t>
      </w:r>
      <w:r w:rsidRPr="00172BFB">
        <w:rPr>
          <w:rFonts w:asciiTheme="majorHAnsi" w:hAnsiTheme="majorHAnsi" w:cstheme="majorHAnsi"/>
          <w:vertAlign w:val="superscript"/>
        </w:rPr>
        <w:t>6</w:t>
      </w:r>
      <w:r w:rsidRPr="00172BFB">
        <w:rPr>
          <w:rFonts w:asciiTheme="majorHAnsi" w:hAnsiTheme="majorHAnsi" w:cstheme="majorHAnsi"/>
        </w:rPr>
        <w:t xml:space="preserve"> viable cells per 100 µL of FACS buffer.</w:t>
      </w:r>
    </w:p>
    <w:p w14:paraId="4ED9AF3C"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0247AAC"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Separate cells for single color (SC) and FMO controls into separate polystyrene tubes.</w:t>
      </w:r>
    </w:p>
    <w:p w14:paraId="6282E53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52A02275" w14:textId="687122C8"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Prepare an antibody staining master mix containing rat serum (1:100) to block unspecific binding; a fixable viability dye (1:100) to exclude dead cells in the analysis; and fluorescently labelled antibodies anti-CD45.1, </w:t>
      </w:r>
      <w:r w:rsidR="008D350D" w:rsidRPr="00172BFB">
        <w:rPr>
          <w:rFonts w:asciiTheme="majorHAnsi" w:hAnsiTheme="majorHAnsi" w:cstheme="majorHAnsi"/>
        </w:rPr>
        <w:t>anti-</w:t>
      </w:r>
      <w:r w:rsidRPr="00172BFB">
        <w:rPr>
          <w:rFonts w:asciiTheme="majorHAnsi" w:hAnsiTheme="majorHAnsi" w:cstheme="majorHAnsi"/>
        </w:rPr>
        <w:t xml:space="preserve">CD45.2, and </w:t>
      </w:r>
      <w:r w:rsidR="008D350D" w:rsidRPr="00172BFB">
        <w:rPr>
          <w:rFonts w:asciiTheme="majorHAnsi" w:hAnsiTheme="majorHAnsi" w:cstheme="majorHAnsi"/>
        </w:rPr>
        <w:t>anti-</w:t>
      </w:r>
      <w:r w:rsidRPr="00172BFB">
        <w:rPr>
          <w:rFonts w:asciiTheme="majorHAnsi" w:hAnsiTheme="majorHAnsi" w:cstheme="majorHAnsi"/>
        </w:rPr>
        <w:t>MHC-II at their optimal concentration. Add 100 µL of the master mix to each sample and incubate for 20 min at 4</w:t>
      </w:r>
      <w:r w:rsidR="005E79CC" w:rsidRPr="00172BFB">
        <w:rPr>
          <w:rFonts w:asciiTheme="majorHAnsi" w:hAnsiTheme="majorHAnsi" w:cstheme="majorHAnsi"/>
        </w:rPr>
        <w:t xml:space="preserve"> </w:t>
      </w:r>
      <w:r w:rsidRPr="00172BFB">
        <w:rPr>
          <w:rFonts w:asciiTheme="majorHAnsi" w:hAnsiTheme="majorHAnsi" w:cstheme="majorHAnsi"/>
        </w:rPr>
        <w:t>°C in the dark.</w:t>
      </w:r>
    </w:p>
    <w:p w14:paraId="6456B42D"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6D4AFBBC" w14:textId="2CF014E4"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Wash </w:t>
      </w:r>
      <w:r w:rsidR="008D350D" w:rsidRPr="00172BFB">
        <w:rPr>
          <w:rFonts w:asciiTheme="majorHAnsi" w:hAnsiTheme="majorHAnsi" w:cstheme="majorHAnsi"/>
        </w:rPr>
        <w:t xml:space="preserve">the </w:t>
      </w:r>
      <w:r w:rsidRPr="00172BFB">
        <w:rPr>
          <w:rFonts w:asciiTheme="majorHAnsi" w:hAnsiTheme="majorHAnsi" w:cstheme="majorHAnsi"/>
        </w:rPr>
        <w:t xml:space="preserve">samples </w:t>
      </w:r>
      <w:r w:rsidR="005E79CC" w:rsidRPr="00172BFB">
        <w:rPr>
          <w:rFonts w:asciiTheme="majorHAnsi" w:hAnsiTheme="majorHAnsi" w:cstheme="majorHAnsi"/>
        </w:rPr>
        <w:t>2x</w:t>
      </w:r>
      <w:r w:rsidRPr="00172BFB">
        <w:rPr>
          <w:rFonts w:asciiTheme="majorHAnsi" w:hAnsiTheme="majorHAnsi" w:cstheme="majorHAnsi"/>
        </w:rPr>
        <w:t xml:space="preserve"> with 2 mL of FACS buffer and proceed with flow cytometry analysis.</w:t>
      </w:r>
    </w:p>
    <w:p w14:paraId="70A84FE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40D8339" w14:textId="57504CA3"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Quantify the percentages of </w:t>
      </w:r>
      <w:r w:rsidR="008D350D" w:rsidRPr="00172BFB">
        <w:rPr>
          <w:rFonts w:asciiTheme="majorHAnsi" w:hAnsiTheme="majorHAnsi" w:cstheme="majorHAnsi"/>
        </w:rPr>
        <w:t>cDC1-like cells</w:t>
      </w:r>
      <w:r w:rsidRPr="00172BFB">
        <w:rPr>
          <w:rFonts w:asciiTheme="majorHAnsi" w:hAnsiTheme="majorHAnsi" w:cstheme="majorHAnsi"/>
        </w:rPr>
        <w:t xml:space="preserve"> expressing CD45.2 and/or MHC-II, by gating in transduced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cancer cells (CD45.1</w:t>
      </w:r>
      <w:r w:rsidRPr="00172BFB">
        <w:rPr>
          <w:rFonts w:asciiTheme="majorHAnsi" w:hAnsiTheme="majorHAnsi" w:cstheme="majorHAnsi"/>
          <w:vertAlign w:val="superscript"/>
        </w:rPr>
        <w:t>-</w:t>
      </w:r>
      <w:r w:rsidRPr="00172BFB">
        <w:rPr>
          <w:rFonts w:asciiTheme="majorHAnsi" w:hAnsiTheme="majorHAnsi" w:cstheme="majorHAnsi"/>
        </w:rPr>
        <w:t>mCherry</w:t>
      </w:r>
      <w:r w:rsidRPr="00172BFB">
        <w:rPr>
          <w:rFonts w:asciiTheme="majorHAnsi" w:hAnsiTheme="majorHAnsi" w:cstheme="majorHAnsi"/>
          <w:vertAlign w:val="superscript"/>
        </w:rPr>
        <w:t>+</w:t>
      </w:r>
      <w:r w:rsidRPr="00172BFB">
        <w:rPr>
          <w:rFonts w:asciiTheme="majorHAnsi" w:hAnsiTheme="majorHAnsi" w:cstheme="majorHAnsi"/>
        </w:rPr>
        <w:t>).</w:t>
      </w:r>
    </w:p>
    <w:p w14:paraId="156FC76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b/>
        </w:rPr>
      </w:pPr>
    </w:p>
    <w:p w14:paraId="7C41558A" w14:textId="3E98FE54" w:rsidR="004D2710" w:rsidRPr="00172BFB" w:rsidRDefault="00172BFB" w:rsidP="00172BFB">
      <w:pPr>
        <w:widowControl/>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This protocol can be used to perform immunophenotyping of tumors after </w:t>
      </w:r>
      <w:r w:rsidRPr="00172BFB">
        <w:rPr>
          <w:rFonts w:asciiTheme="majorHAnsi" w:hAnsiTheme="majorHAnsi" w:cstheme="majorHAnsi"/>
          <w:i/>
          <w:iCs/>
        </w:rPr>
        <w:t xml:space="preserve">in vivo </w:t>
      </w:r>
      <w:r w:rsidR="008D350D" w:rsidRPr="00172BFB">
        <w:rPr>
          <w:rFonts w:asciiTheme="majorHAnsi" w:hAnsiTheme="majorHAnsi" w:cstheme="majorHAnsi"/>
        </w:rPr>
        <w:t>cDC1</w:t>
      </w:r>
      <w:r w:rsidRPr="00172BFB">
        <w:rPr>
          <w:rFonts w:asciiTheme="majorHAnsi" w:hAnsiTheme="majorHAnsi" w:cstheme="majorHAnsi"/>
        </w:rPr>
        <w:t xml:space="preserve"> reprogramming by complementing the staining panel with antibodies against endogenous lymphoid and/or myeloid immune cell populations.</w:t>
      </w:r>
    </w:p>
    <w:p w14:paraId="717B85E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2ACC7849" w14:textId="77777777" w:rsidR="004D2710" w:rsidRPr="00172BFB" w:rsidRDefault="00172BFB" w:rsidP="00172BFB">
      <w:pPr>
        <w:numPr>
          <w:ilvl w:val="0"/>
          <w:numId w:val="1"/>
        </w:numPr>
        <w:ind w:left="142" w:firstLine="0"/>
        <w:rPr>
          <w:rFonts w:asciiTheme="majorHAnsi" w:hAnsiTheme="majorHAnsi" w:cstheme="majorHAnsi"/>
          <w:b/>
        </w:rPr>
      </w:pPr>
      <w:r w:rsidRPr="00172BFB">
        <w:rPr>
          <w:rFonts w:asciiTheme="majorHAnsi" w:hAnsiTheme="majorHAnsi" w:cstheme="majorHAnsi"/>
          <w:b/>
        </w:rPr>
        <w:t>Tumor freezing and sectioning for confocal microscopy analysis</w:t>
      </w:r>
    </w:p>
    <w:p w14:paraId="012F5720" w14:textId="77777777" w:rsidR="004D2710" w:rsidRPr="00172BFB" w:rsidRDefault="004D2710" w:rsidP="00172BFB">
      <w:pPr>
        <w:ind w:left="142"/>
        <w:rPr>
          <w:rFonts w:asciiTheme="majorHAnsi" w:hAnsiTheme="majorHAnsi" w:cstheme="majorHAnsi"/>
          <w:b/>
        </w:rPr>
      </w:pPr>
    </w:p>
    <w:p w14:paraId="102E087F"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Prepare for tumor isolation by following steps 5.1 and 5.3. Excise subcutaneous tumors with scissors and forceps.</w:t>
      </w:r>
    </w:p>
    <w:p w14:paraId="5108A78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540F147C" w14:textId="0E61B2B0"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lastRenderedPageBreak/>
        <w:t xml:space="preserve">Fix tumors in freshly prepared 4% paraformaldehyde (PFA) in PBS at 4 °C with gentle shaking. Adjust fixation time according to tumor size, using 1 h per mm³ of tissue as a guideline. </w:t>
      </w:r>
    </w:p>
    <w:p w14:paraId="6191AAA4"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2C4C4E5D" w14:textId="7D98A4A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Transfer tumors into 15% sucrose in PBS and incubate at 4 °C </w:t>
      </w:r>
      <w:r w:rsidR="001D2F42" w:rsidRPr="00172BFB">
        <w:rPr>
          <w:rFonts w:asciiTheme="majorHAnsi" w:hAnsiTheme="majorHAnsi" w:cstheme="majorHAnsi"/>
        </w:rPr>
        <w:t>while</w:t>
      </w:r>
      <w:r w:rsidRPr="00172BFB">
        <w:rPr>
          <w:rFonts w:asciiTheme="majorHAnsi" w:hAnsiTheme="majorHAnsi" w:cstheme="majorHAnsi"/>
        </w:rPr>
        <w:t xml:space="preserve"> gentl</w:t>
      </w:r>
      <w:r w:rsidR="001D2F42" w:rsidRPr="00172BFB">
        <w:rPr>
          <w:rFonts w:asciiTheme="majorHAnsi" w:hAnsiTheme="majorHAnsi" w:cstheme="majorHAnsi"/>
        </w:rPr>
        <w:t>y</w:t>
      </w:r>
      <w:r w:rsidRPr="00172BFB">
        <w:rPr>
          <w:rFonts w:asciiTheme="majorHAnsi" w:hAnsiTheme="majorHAnsi" w:cstheme="majorHAnsi"/>
        </w:rPr>
        <w:t xml:space="preserve"> shaking </w:t>
      </w:r>
      <w:r w:rsidR="001D2F42" w:rsidRPr="00172BFB">
        <w:rPr>
          <w:rFonts w:asciiTheme="majorHAnsi" w:hAnsiTheme="majorHAnsi" w:cstheme="majorHAnsi"/>
        </w:rPr>
        <w:t xml:space="preserve">the tissues </w:t>
      </w:r>
      <w:r w:rsidRPr="00172BFB">
        <w:rPr>
          <w:rFonts w:asciiTheme="majorHAnsi" w:hAnsiTheme="majorHAnsi" w:cstheme="majorHAnsi"/>
        </w:rPr>
        <w:t>until they sink to the bottom of the tube. Then, move them to 20% sucrose in PBS under the same conditions.</w:t>
      </w:r>
    </w:p>
    <w:p w14:paraId="06671823"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3C159BBB" w14:textId="63F2897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Once tumors have settled at the bottom of the tube, incubate them in a 1:1 mixture of 20% sucrose in PBS and OCT compound for 30 min at 4 °C with shaking.</w:t>
      </w:r>
    </w:p>
    <w:p w14:paraId="2404246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DF68573" w14:textId="2106ACB5"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Remove the mixture, embed the tissues in a cryomold</w:t>
      </w:r>
      <w:r w:rsidR="001D2F42" w:rsidRPr="00172BFB">
        <w:rPr>
          <w:rFonts w:asciiTheme="majorHAnsi" w:hAnsiTheme="majorHAnsi" w:cstheme="majorHAnsi"/>
        </w:rPr>
        <w:t xml:space="preserve"> with 100% OCT</w:t>
      </w:r>
      <w:r w:rsidRPr="00172BFB">
        <w:rPr>
          <w:rFonts w:asciiTheme="majorHAnsi" w:hAnsiTheme="majorHAnsi" w:cstheme="majorHAnsi"/>
        </w:rPr>
        <w:t xml:space="preserve"> and snap-freeze using liquid nitrogen.</w:t>
      </w:r>
    </w:p>
    <w:p w14:paraId="056A5F6D" w14:textId="77777777" w:rsidR="004D2710" w:rsidRPr="00172BFB" w:rsidRDefault="004D2710" w:rsidP="00172BFB">
      <w:pPr>
        <w:widowControl/>
        <w:ind w:left="142"/>
        <w:rPr>
          <w:rFonts w:asciiTheme="majorHAnsi" w:hAnsiTheme="majorHAnsi" w:cstheme="majorHAnsi"/>
          <w:b/>
        </w:rPr>
      </w:pPr>
    </w:p>
    <w:p w14:paraId="5CDB997C" w14:textId="77777777"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 xml:space="preserve"> </w:t>
      </w:r>
      <w:r w:rsidRPr="00172BFB">
        <w:rPr>
          <w:rFonts w:asciiTheme="majorHAnsi" w:hAnsiTheme="majorHAnsi" w:cstheme="majorHAnsi"/>
        </w:rPr>
        <w:t>Always wear appropriate personal protective equipment (</w:t>
      </w:r>
      <w:proofErr w:type="spellStart"/>
      <w:r w:rsidRPr="00172BFB">
        <w:rPr>
          <w:rFonts w:asciiTheme="majorHAnsi" w:hAnsiTheme="majorHAnsi" w:cstheme="majorHAnsi"/>
        </w:rPr>
        <w:t>cryogloves</w:t>
      </w:r>
      <w:proofErr w:type="spellEnd"/>
      <w:r w:rsidRPr="00172BFB">
        <w:rPr>
          <w:rFonts w:asciiTheme="majorHAnsi" w:hAnsiTheme="majorHAnsi" w:cstheme="majorHAnsi"/>
        </w:rPr>
        <w:t>, face shield, and lab coat) to prevent cold burns or injury from rapid vapor expansion. Work in a well-ventilated area to avoid asphyxiation risk.</w:t>
      </w:r>
    </w:p>
    <w:p w14:paraId="6F9C0F6C" w14:textId="77777777" w:rsidR="004D2710" w:rsidRPr="00172BFB" w:rsidRDefault="004D2710" w:rsidP="00172BFB">
      <w:pPr>
        <w:widowControl/>
        <w:ind w:left="142"/>
        <w:rPr>
          <w:rFonts w:asciiTheme="majorHAnsi" w:hAnsiTheme="majorHAnsi" w:cstheme="majorHAnsi"/>
        </w:rPr>
      </w:pPr>
    </w:p>
    <w:p w14:paraId="51089938" w14:textId="77777777" w:rsidR="004D2710" w:rsidRPr="00172BFB" w:rsidRDefault="00172BFB" w:rsidP="00172BFB">
      <w:pPr>
        <w:widowControl/>
        <w:numPr>
          <w:ilvl w:val="2"/>
          <w:numId w:val="1"/>
        </w:numPr>
        <w:ind w:left="142" w:firstLine="0"/>
        <w:rPr>
          <w:rFonts w:asciiTheme="majorHAnsi" w:hAnsiTheme="majorHAnsi" w:cstheme="majorHAnsi"/>
        </w:rPr>
      </w:pPr>
      <w:r w:rsidRPr="00172BFB">
        <w:rPr>
          <w:rFonts w:asciiTheme="majorHAnsi" w:hAnsiTheme="majorHAnsi" w:cstheme="majorHAnsi"/>
        </w:rPr>
        <w:t>Store blocks at -80 °C in closed containers to prevent dehydration.</w:t>
      </w:r>
    </w:p>
    <w:p w14:paraId="51EAE444" w14:textId="77777777" w:rsidR="004D2710" w:rsidRPr="00172BFB" w:rsidRDefault="004D2710" w:rsidP="00172BFB">
      <w:pPr>
        <w:widowControl/>
        <w:ind w:left="142"/>
        <w:rPr>
          <w:rFonts w:asciiTheme="majorHAnsi" w:hAnsiTheme="majorHAnsi" w:cstheme="majorHAnsi"/>
        </w:rPr>
      </w:pPr>
    </w:p>
    <w:p w14:paraId="3B43E643" w14:textId="77777777" w:rsidR="004D2710" w:rsidRPr="00172BFB" w:rsidRDefault="00172BFB" w:rsidP="00172BFB">
      <w:pPr>
        <w:widowControl/>
        <w:numPr>
          <w:ilvl w:val="0"/>
          <w:numId w:val="1"/>
        </w:numPr>
        <w:ind w:left="142" w:firstLine="0"/>
        <w:rPr>
          <w:rFonts w:asciiTheme="majorHAnsi" w:hAnsiTheme="majorHAnsi" w:cstheme="majorHAnsi"/>
          <w:b/>
        </w:rPr>
      </w:pPr>
      <w:r w:rsidRPr="00172BFB">
        <w:rPr>
          <w:rFonts w:asciiTheme="majorHAnsi" w:hAnsiTheme="majorHAnsi" w:cstheme="majorHAnsi"/>
          <w:b/>
        </w:rPr>
        <w:t>Immunofluorescence staining of tumor sections</w:t>
      </w:r>
    </w:p>
    <w:p w14:paraId="36E55ED9" w14:textId="181C6975"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87481C0" w14:textId="009786BA"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Using a cryostat, </w:t>
      </w:r>
      <w:r w:rsidR="005648CB" w:rsidRPr="00172BFB">
        <w:rPr>
          <w:rFonts w:asciiTheme="majorHAnsi" w:hAnsiTheme="majorHAnsi" w:cstheme="majorHAnsi"/>
        </w:rPr>
        <w:t>cut the</w:t>
      </w:r>
      <w:r w:rsidRPr="00172BFB">
        <w:rPr>
          <w:rFonts w:asciiTheme="majorHAnsi" w:hAnsiTheme="majorHAnsi" w:cstheme="majorHAnsi"/>
        </w:rPr>
        <w:t xml:space="preserve"> tumor</w:t>
      </w:r>
      <w:r w:rsidR="005648CB" w:rsidRPr="00172BFB">
        <w:rPr>
          <w:rFonts w:asciiTheme="majorHAnsi" w:hAnsiTheme="majorHAnsi" w:cstheme="majorHAnsi"/>
        </w:rPr>
        <w:t>s</w:t>
      </w:r>
      <w:r w:rsidRPr="00172BFB">
        <w:rPr>
          <w:rFonts w:asciiTheme="majorHAnsi" w:hAnsiTheme="majorHAnsi" w:cstheme="majorHAnsi"/>
        </w:rPr>
        <w:t xml:space="preserve"> into approximately 8 </w:t>
      </w:r>
      <w:proofErr w:type="spellStart"/>
      <w:r w:rsidRPr="00172BFB">
        <w:rPr>
          <w:rFonts w:asciiTheme="majorHAnsi" w:hAnsiTheme="majorHAnsi" w:cstheme="majorHAnsi"/>
        </w:rPr>
        <w:t>μm</w:t>
      </w:r>
      <w:proofErr w:type="spellEnd"/>
      <w:r w:rsidR="005648CB" w:rsidRPr="00172BFB">
        <w:rPr>
          <w:rFonts w:asciiTheme="majorHAnsi" w:hAnsiTheme="majorHAnsi" w:cstheme="majorHAnsi"/>
        </w:rPr>
        <w:t>-thick</w:t>
      </w:r>
      <w:r w:rsidRPr="00172BFB">
        <w:rPr>
          <w:rFonts w:asciiTheme="majorHAnsi" w:hAnsiTheme="majorHAnsi" w:cstheme="majorHAnsi"/>
        </w:rPr>
        <w:t xml:space="preserve"> sections and mount them on microscope glass slides. If needed, store </w:t>
      </w:r>
      <w:r w:rsidR="005648CB" w:rsidRPr="00172BFB">
        <w:rPr>
          <w:rFonts w:asciiTheme="majorHAnsi" w:hAnsiTheme="majorHAnsi" w:cstheme="majorHAnsi"/>
        </w:rPr>
        <w:t xml:space="preserve">the </w:t>
      </w:r>
      <w:r w:rsidRPr="00172BFB">
        <w:rPr>
          <w:rFonts w:asciiTheme="majorHAnsi" w:hAnsiTheme="majorHAnsi" w:cstheme="majorHAnsi"/>
        </w:rPr>
        <w:t>slides at -80 °C.</w:t>
      </w:r>
    </w:p>
    <w:p w14:paraId="48A27133" w14:textId="77777777" w:rsidR="004D2710" w:rsidRPr="00172BFB" w:rsidRDefault="004D2710" w:rsidP="00172BFB">
      <w:pPr>
        <w:widowControl/>
        <w:ind w:left="142"/>
        <w:rPr>
          <w:rFonts w:asciiTheme="majorHAnsi" w:hAnsiTheme="majorHAnsi" w:cstheme="majorHAnsi"/>
          <w:b/>
        </w:rPr>
      </w:pPr>
    </w:p>
    <w:p w14:paraId="1ADD9230" w14:textId="50182E03"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 xml:space="preserve"> </w:t>
      </w:r>
      <w:r w:rsidRPr="00172BFB">
        <w:rPr>
          <w:rFonts w:asciiTheme="majorHAnsi" w:hAnsiTheme="majorHAnsi" w:cstheme="majorHAnsi"/>
        </w:rPr>
        <w:t xml:space="preserve">To preserve tissue integrity, keep </w:t>
      </w:r>
      <w:r w:rsidR="005648CB" w:rsidRPr="00172BFB">
        <w:rPr>
          <w:rFonts w:asciiTheme="majorHAnsi" w:hAnsiTheme="majorHAnsi" w:cstheme="majorHAnsi"/>
        </w:rPr>
        <w:t xml:space="preserve">the </w:t>
      </w:r>
      <w:r w:rsidRPr="00172BFB">
        <w:rPr>
          <w:rFonts w:asciiTheme="majorHAnsi" w:hAnsiTheme="majorHAnsi" w:cstheme="majorHAnsi"/>
        </w:rPr>
        <w:t>blocks and slides with</w:t>
      </w:r>
      <w:r w:rsidR="005648CB" w:rsidRPr="00172BFB">
        <w:rPr>
          <w:rFonts w:asciiTheme="majorHAnsi" w:hAnsiTheme="majorHAnsi" w:cstheme="majorHAnsi"/>
        </w:rPr>
        <w:t xml:space="preserve"> mounted</w:t>
      </w:r>
      <w:r w:rsidRPr="00172BFB">
        <w:rPr>
          <w:rFonts w:asciiTheme="majorHAnsi" w:hAnsiTheme="majorHAnsi" w:cstheme="majorHAnsi"/>
        </w:rPr>
        <w:t xml:space="preserve"> tumor cuts on dry ice during </w:t>
      </w:r>
      <w:r w:rsidR="00426477" w:rsidRPr="00172BFB">
        <w:rPr>
          <w:rFonts w:asciiTheme="majorHAnsi" w:hAnsiTheme="majorHAnsi" w:cstheme="majorHAnsi"/>
        </w:rPr>
        <w:t>the transport</w:t>
      </w:r>
      <w:r w:rsidRPr="00172BFB">
        <w:rPr>
          <w:rFonts w:asciiTheme="majorHAnsi" w:hAnsiTheme="majorHAnsi" w:cstheme="majorHAnsi"/>
        </w:rPr>
        <w:t xml:space="preserve"> to and from the cryostat. Ensure the cryostat is maintained at -20 °C during sectioning.</w:t>
      </w:r>
    </w:p>
    <w:p w14:paraId="413DFB0D"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1D503BC" w14:textId="7AFC768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Thaw </w:t>
      </w:r>
      <w:r w:rsidR="00426477" w:rsidRPr="00172BFB">
        <w:rPr>
          <w:rFonts w:asciiTheme="majorHAnsi" w:hAnsiTheme="majorHAnsi" w:cstheme="majorHAnsi"/>
        </w:rPr>
        <w:t xml:space="preserve">the </w:t>
      </w:r>
      <w:r w:rsidRPr="00172BFB">
        <w:rPr>
          <w:rFonts w:asciiTheme="majorHAnsi" w:hAnsiTheme="majorHAnsi" w:cstheme="majorHAnsi"/>
        </w:rPr>
        <w:t xml:space="preserve">slides in PBS for 5 min and fix them in a 4% PFA solution for 10 min at RT. </w:t>
      </w:r>
    </w:p>
    <w:p w14:paraId="63FCE6E3" w14:textId="425C198C"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78327705" w14:textId="624CD71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Following fixation, wash</w:t>
      </w:r>
      <w:r w:rsidR="00426477" w:rsidRPr="00172BFB">
        <w:rPr>
          <w:rFonts w:asciiTheme="majorHAnsi" w:hAnsiTheme="majorHAnsi" w:cstheme="majorHAnsi"/>
        </w:rPr>
        <w:t xml:space="preserve"> the</w:t>
      </w:r>
      <w:r w:rsidRPr="00172BFB">
        <w:rPr>
          <w:rFonts w:asciiTheme="majorHAnsi" w:hAnsiTheme="majorHAnsi" w:cstheme="majorHAnsi"/>
        </w:rPr>
        <w:t xml:space="preserve"> slides in PBS for 5 min.</w:t>
      </w:r>
    </w:p>
    <w:p w14:paraId="430CE284" w14:textId="77777777" w:rsidR="004D2710" w:rsidRPr="00172BFB" w:rsidRDefault="004D2710" w:rsidP="00172BFB">
      <w:pPr>
        <w:widowControl/>
        <w:ind w:left="142"/>
        <w:rPr>
          <w:rFonts w:asciiTheme="majorHAnsi" w:hAnsiTheme="majorHAnsi" w:cstheme="majorHAnsi"/>
          <w:b/>
        </w:rPr>
      </w:pPr>
    </w:p>
    <w:p w14:paraId="605ACAC7" w14:textId="28DCF1D0"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 xml:space="preserve"> </w:t>
      </w:r>
      <w:r w:rsidRPr="00172BFB">
        <w:rPr>
          <w:rFonts w:asciiTheme="majorHAnsi" w:hAnsiTheme="majorHAnsi" w:cstheme="majorHAnsi"/>
        </w:rPr>
        <w:t xml:space="preserve">Ensure the tissues remain hydrated; </w:t>
      </w:r>
      <w:r w:rsidR="00426477" w:rsidRPr="00172BFB">
        <w:rPr>
          <w:rFonts w:asciiTheme="majorHAnsi" w:hAnsiTheme="majorHAnsi" w:cstheme="majorHAnsi"/>
        </w:rPr>
        <w:t>always keep them in liquid</w:t>
      </w:r>
      <w:r w:rsidRPr="00172BFB">
        <w:rPr>
          <w:rFonts w:asciiTheme="majorHAnsi" w:hAnsiTheme="majorHAnsi" w:cstheme="majorHAnsi"/>
        </w:rPr>
        <w:t xml:space="preserve"> throughout all subsequent staining steps. If the experiment needs to be paused, slides can be stored in PBS at RT for up to </w:t>
      </w:r>
      <w:proofErr w:type="gramStart"/>
      <w:r w:rsidRPr="00172BFB">
        <w:rPr>
          <w:rFonts w:asciiTheme="majorHAnsi" w:hAnsiTheme="majorHAnsi" w:cstheme="majorHAnsi"/>
        </w:rPr>
        <w:t xml:space="preserve">a </w:t>
      </w:r>
      <w:r w:rsidR="00426477" w:rsidRPr="00172BFB">
        <w:rPr>
          <w:rFonts w:asciiTheme="majorHAnsi" w:hAnsiTheme="majorHAnsi" w:cstheme="majorHAnsi"/>
        </w:rPr>
        <w:t>3</w:t>
      </w:r>
      <w:r w:rsidRPr="00172BFB">
        <w:rPr>
          <w:rFonts w:asciiTheme="majorHAnsi" w:hAnsiTheme="majorHAnsi" w:cstheme="majorHAnsi"/>
        </w:rPr>
        <w:t xml:space="preserve"> hours</w:t>
      </w:r>
      <w:proofErr w:type="gramEnd"/>
      <w:r w:rsidRPr="00172BFB">
        <w:rPr>
          <w:rFonts w:asciiTheme="majorHAnsi" w:hAnsiTheme="majorHAnsi" w:cstheme="majorHAnsi"/>
        </w:rPr>
        <w:t xml:space="preserve">. Avoid storing the slides in PBS overnight. </w:t>
      </w:r>
    </w:p>
    <w:p w14:paraId="1622128E"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342E9865" w14:textId="77D53F23"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For antigen retrieval, fill up a steamer with water and turn it on. Place a jar containing </w:t>
      </w:r>
      <w:r w:rsidR="00916927" w:rsidRPr="00172BFB">
        <w:rPr>
          <w:rFonts w:asciiTheme="majorHAnsi" w:hAnsiTheme="majorHAnsi" w:cstheme="majorHAnsi"/>
        </w:rPr>
        <w:t>deionized</w:t>
      </w:r>
      <w:r w:rsidRPr="00172BFB">
        <w:rPr>
          <w:rFonts w:asciiTheme="majorHAnsi" w:hAnsiTheme="majorHAnsi" w:cstheme="majorHAnsi"/>
        </w:rPr>
        <w:t xml:space="preserve"> water and a jar containing 10 mM Sodium Citrate (pH 6) into the steamer and cover the opening with aluminum foil. Without removing the lid, insert a thermometer through the vents of the steamer lid</w:t>
      </w:r>
      <w:r w:rsidR="00314E19" w:rsidRPr="00172BFB">
        <w:rPr>
          <w:rFonts w:asciiTheme="majorHAnsi" w:hAnsiTheme="majorHAnsi" w:cstheme="majorHAnsi"/>
        </w:rPr>
        <w:t xml:space="preserve">, </w:t>
      </w:r>
      <w:r w:rsidRPr="00172BFB">
        <w:rPr>
          <w:rFonts w:asciiTheme="majorHAnsi" w:hAnsiTheme="majorHAnsi" w:cstheme="majorHAnsi"/>
        </w:rPr>
        <w:t>pierce the aluminum foil</w:t>
      </w:r>
      <w:r w:rsidR="00314E19" w:rsidRPr="00172BFB">
        <w:rPr>
          <w:rFonts w:asciiTheme="majorHAnsi" w:hAnsiTheme="majorHAnsi" w:cstheme="majorHAnsi"/>
        </w:rPr>
        <w:t>,</w:t>
      </w:r>
      <w:r w:rsidRPr="00172BFB">
        <w:rPr>
          <w:rFonts w:asciiTheme="majorHAnsi" w:hAnsiTheme="majorHAnsi" w:cstheme="majorHAnsi"/>
        </w:rPr>
        <w:t xml:space="preserve"> and monitor the temperature, ensuring </w:t>
      </w:r>
      <w:r w:rsidR="00426477" w:rsidRPr="00172BFB">
        <w:rPr>
          <w:rFonts w:asciiTheme="majorHAnsi" w:hAnsiTheme="majorHAnsi" w:cstheme="majorHAnsi"/>
        </w:rPr>
        <w:t xml:space="preserve">that the </w:t>
      </w:r>
      <w:r w:rsidRPr="00172BFB">
        <w:rPr>
          <w:rFonts w:asciiTheme="majorHAnsi" w:hAnsiTheme="majorHAnsi" w:cstheme="majorHAnsi"/>
        </w:rPr>
        <w:t>solutions reach ~99 °C.</w:t>
      </w:r>
    </w:p>
    <w:p w14:paraId="7A99271D"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607E8E3A" w14:textId="2C0490FC"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When </w:t>
      </w:r>
      <w:r w:rsidR="00426477" w:rsidRPr="00172BFB">
        <w:rPr>
          <w:rFonts w:asciiTheme="majorHAnsi" w:hAnsiTheme="majorHAnsi" w:cstheme="majorHAnsi"/>
        </w:rPr>
        <w:t xml:space="preserve">the </w:t>
      </w:r>
      <w:r w:rsidRPr="00172BFB">
        <w:rPr>
          <w:rFonts w:asciiTheme="majorHAnsi" w:hAnsiTheme="majorHAnsi" w:cstheme="majorHAnsi"/>
        </w:rPr>
        <w:t xml:space="preserve">buffers reach ~99 °C, </w:t>
      </w:r>
      <w:r w:rsidR="00426477" w:rsidRPr="00172BFB">
        <w:rPr>
          <w:rFonts w:asciiTheme="majorHAnsi" w:hAnsiTheme="majorHAnsi" w:cstheme="majorHAnsi"/>
        </w:rPr>
        <w:t>dip the</w:t>
      </w:r>
      <w:r w:rsidRPr="00172BFB">
        <w:rPr>
          <w:rFonts w:asciiTheme="majorHAnsi" w:hAnsiTheme="majorHAnsi" w:cstheme="majorHAnsi"/>
        </w:rPr>
        <w:t xml:space="preserve"> slides </w:t>
      </w:r>
      <w:r w:rsidR="00426477" w:rsidRPr="00172BFB">
        <w:rPr>
          <w:rFonts w:asciiTheme="majorHAnsi" w:hAnsiTheme="majorHAnsi" w:cstheme="majorHAnsi"/>
        </w:rPr>
        <w:t>in</w:t>
      </w:r>
      <w:r w:rsidRPr="00172BFB">
        <w:rPr>
          <w:rFonts w:asciiTheme="majorHAnsi" w:hAnsiTheme="majorHAnsi" w:cstheme="majorHAnsi"/>
        </w:rPr>
        <w:t xml:space="preserve"> </w:t>
      </w:r>
      <w:r w:rsidR="00916927" w:rsidRPr="00172BFB">
        <w:rPr>
          <w:rFonts w:asciiTheme="majorHAnsi" w:hAnsiTheme="majorHAnsi" w:cstheme="majorHAnsi"/>
        </w:rPr>
        <w:t xml:space="preserve">deionized </w:t>
      </w:r>
      <w:r w:rsidRPr="00172BFB">
        <w:rPr>
          <w:rFonts w:asciiTheme="majorHAnsi" w:hAnsiTheme="majorHAnsi" w:cstheme="majorHAnsi"/>
        </w:rPr>
        <w:t>water for 10 s and then quickly transfer them to the antigen retrieval solution.</w:t>
      </w:r>
    </w:p>
    <w:p w14:paraId="7223294C"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9F44DD5" w14:textId="16208ECD"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Incubate </w:t>
      </w:r>
      <w:r w:rsidR="00426477" w:rsidRPr="00172BFB">
        <w:rPr>
          <w:rFonts w:asciiTheme="majorHAnsi" w:hAnsiTheme="majorHAnsi" w:cstheme="majorHAnsi"/>
        </w:rPr>
        <w:t xml:space="preserve">the slides </w:t>
      </w:r>
      <w:r w:rsidRPr="00172BFB">
        <w:rPr>
          <w:rFonts w:asciiTheme="majorHAnsi" w:hAnsiTheme="majorHAnsi" w:cstheme="majorHAnsi"/>
        </w:rPr>
        <w:t xml:space="preserve">at </w:t>
      </w:r>
      <w:r w:rsidR="00426477" w:rsidRPr="00172BFB">
        <w:rPr>
          <w:rFonts w:asciiTheme="majorHAnsi" w:hAnsiTheme="majorHAnsi" w:cstheme="majorHAnsi"/>
        </w:rPr>
        <w:t>~</w:t>
      </w:r>
      <w:r w:rsidRPr="00172BFB">
        <w:rPr>
          <w:rFonts w:asciiTheme="majorHAnsi" w:hAnsiTheme="majorHAnsi" w:cstheme="majorHAnsi"/>
        </w:rPr>
        <w:t>99 °C for 15 min.</w:t>
      </w:r>
    </w:p>
    <w:p w14:paraId="3C5ABC92"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000FEDD" w14:textId="245F4BFC"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Wash </w:t>
      </w:r>
      <w:r w:rsidR="00426477" w:rsidRPr="00172BFB">
        <w:rPr>
          <w:rFonts w:asciiTheme="majorHAnsi" w:hAnsiTheme="majorHAnsi" w:cstheme="majorHAnsi"/>
        </w:rPr>
        <w:t xml:space="preserve">the </w:t>
      </w:r>
      <w:r w:rsidRPr="00172BFB">
        <w:rPr>
          <w:rFonts w:asciiTheme="majorHAnsi" w:hAnsiTheme="majorHAnsi" w:cstheme="majorHAnsi"/>
        </w:rPr>
        <w:t>slides in 1</w:t>
      </w:r>
      <w:r w:rsidR="00D9442F" w:rsidRPr="00172BFB">
        <w:rPr>
          <w:rFonts w:asciiTheme="majorHAnsi" w:hAnsiTheme="majorHAnsi" w:cstheme="majorHAnsi"/>
        </w:rPr>
        <w:t>x</w:t>
      </w:r>
      <w:r w:rsidRPr="00172BFB">
        <w:rPr>
          <w:rFonts w:asciiTheme="majorHAnsi" w:hAnsiTheme="majorHAnsi" w:cstheme="majorHAnsi"/>
        </w:rPr>
        <w:t xml:space="preserve"> PBS </w:t>
      </w:r>
      <w:r w:rsidR="00D9442F" w:rsidRPr="00172BFB">
        <w:rPr>
          <w:rFonts w:asciiTheme="majorHAnsi" w:hAnsiTheme="majorHAnsi" w:cstheme="majorHAnsi"/>
        </w:rPr>
        <w:t xml:space="preserve">for </w:t>
      </w:r>
      <w:r w:rsidRPr="00172BFB">
        <w:rPr>
          <w:rFonts w:asciiTheme="majorHAnsi" w:hAnsiTheme="majorHAnsi" w:cstheme="majorHAnsi"/>
        </w:rPr>
        <w:t xml:space="preserve">3 </w:t>
      </w:r>
      <w:r w:rsidR="00D9442F" w:rsidRPr="00172BFB">
        <w:rPr>
          <w:rFonts w:asciiTheme="majorHAnsi" w:hAnsiTheme="majorHAnsi" w:cstheme="majorHAnsi"/>
        </w:rPr>
        <w:t>x</w:t>
      </w:r>
      <w:r w:rsidRPr="00172BFB">
        <w:rPr>
          <w:rFonts w:asciiTheme="majorHAnsi" w:hAnsiTheme="majorHAnsi" w:cstheme="majorHAnsi"/>
        </w:rPr>
        <w:t xml:space="preserve"> 5 min.</w:t>
      </w:r>
    </w:p>
    <w:p w14:paraId="413E2540"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0827CE3D" w14:textId="77777777"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Use a Hydrophobic Barrier Pap Pen to delineate each tissue section, forming a hydrophobic perimeter that prevents any liquid added to the tissues from leaking.</w:t>
      </w:r>
    </w:p>
    <w:p w14:paraId="7A1FAE28" w14:textId="77777777" w:rsidR="004D2710" w:rsidRPr="00172BFB" w:rsidRDefault="004D2710" w:rsidP="00172BFB">
      <w:pPr>
        <w:widowControl/>
        <w:ind w:left="142"/>
        <w:rPr>
          <w:rFonts w:asciiTheme="majorHAnsi" w:hAnsiTheme="majorHAnsi" w:cstheme="majorHAnsi"/>
          <w:b/>
        </w:rPr>
      </w:pPr>
    </w:p>
    <w:p w14:paraId="2C6936FC" w14:textId="463ACE71"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 xml:space="preserve"> </w:t>
      </w:r>
      <w:r w:rsidRPr="00172BFB">
        <w:rPr>
          <w:rFonts w:asciiTheme="majorHAnsi" w:hAnsiTheme="majorHAnsi" w:cstheme="majorHAnsi"/>
        </w:rPr>
        <w:t xml:space="preserve">Subsequent PBS washes may disrupt the hydrophobic perimeter surrounding the tissues and require renewal. Draw it again as needed. </w:t>
      </w:r>
    </w:p>
    <w:p w14:paraId="5B6F1E2A" w14:textId="77777777" w:rsidR="004D2710" w:rsidRPr="00172BFB" w:rsidRDefault="004D2710" w:rsidP="00172BFB">
      <w:pPr>
        <w:widowControl/>
        <w:ind w:left="142"/>
        <w:rPr>
          <w:rFonts w:asciiTheme="majorHAnsi" w:hAnsiTheme="majorHAnsi" w:cstheme="majorHAnsi"/>
        </w:rPr>
      </w:pPr>
    </w:p>
    <w:p w14:paraId="50E50913" w14:textId="2406BD3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Block and permeabilize tissues with 150 µL of blocking buffer (5% serum and 0.5% Triton X-100 in 1</w:t>
      </w:r>
      <w:r w:rsidR="00D9442F" w:rsidRPr="00172BFB">
        <w:rPr>
          <w:rFonts w:asciiTheme="majorHAnsi" w:hAnsiTheme="majorHAnsi" w:cstheme="majorHAnsi"/>
        </w:rPr>
        <w:t>x</w:t>
      </w:r>
      <w:r w:rsidRPr="00172BFB">
        <w:rPr>
          <w:rFonts w:asciiTheme="majorHAnsi" w:hAnsiTheme="majorHAnsi" w:cstheme="majorHAnsi"/>
        </w:rPr>
        <w:t xml:space="preserve"> PBS) for 60 min at RT. For all staining steps use serum from the same species as the host of the secondary antibody.</w:t>
      </w:r>
    </w:p>
    <w:p w14:paraId="7D99F33E"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16158D75" w14:textId="46D22128"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Wash slides in 1</w:t>
      </w:r>
      <w:r w:rsidR="00D9442F" w:rsidRPr="00172BFB">
        <w:rPr>
          <w:rFonts w:asciiTheme="majorHAnsi" w:hAnsiTheme="majorHAnsi" w:cstheme="majorHAnsi"/>
        </w:rPr>
        <w:t>x</w:t>
      </w:r>
      <w:r w:rsidRPr="00172BFB">
        <w:rPr>
          <w:rFonts w:asciiTheme="majorHAnsi" w:hAnsiTheme="majorHAnsi" w:cstheme="majorHAnsi"/>
        </w:rPr>
        <w:t xml:space="preserve"> PBS </w:t>
      </w:r>
      <w:r w:rsidR="00D9442F" w:rsidRPr="00172BFB">
        <w:rPr>
          <w:rFonts w:asciiTheme="majorHAnsi" w:hAnsiTheme="majorHAnsi" w:cstheme="majorHAnsi"/>
        </w:rPr>
        <w:t xml:space="preserve">for </w:t>
      </w:r>
      <w:r w:rsidRPr="00172BFB">
        <w:rPr>
          <w:rFonts w:asciiTheme="majorHAnsi" w:hAnsiTheme="majorHAnsi" w:cstheme="majorHAnsi"/>
        </w:rPr>
        <w:t xml:space="preserve">3 </w:t>
      </w:r>
      <w:r w:rsidR="00D9442F" w:rsidRPr="00172BFB">
        <w:rPr>
          <w:rFonts w:asciiTheme="majorHAnsi" w:hAnsiTheme="majorHAnsi" w:cstheme="majorHAnsi"/>
        </w:rPr>
        <w:t>x</w:t>
      </w:r>
      <w:r w:rsidRPr="00172BFB">
        <w:rPr>
          <w:rFonts w:asciiTheme="majorHAnsi" w:hAnsiTheme="majorHAnsi" w:cstheme="majorHAnsi"/>
        </w:rPr>
        <w:t xml:space="preserve"> 5 min.</w:t>
      </w:r>
    </w:p>
    <w:p w14:paraId="53E0859D"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6772B625" w14:textId="590E960C"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Incubate tissues with 20 </w:t>
      </w:r>
      <w:proofErr w:type="gramStart"/>
      <w:r w:rsidRPr="00172BFB">
        <w:rPr>
          <w:rFonts w:asciiTheme="majorHAnsi" w:hAnsiTheme="majorHAnsi" w:cstheme="majorHAnsi"/>
        </w:rPr>
        <w:t>µg</w:t>
      </w:r>
      <w:proofErr w:type="gramEnd"/>
      <w:r w:rsidRPr="00172BFB">
        <w:rPr>
          <w:rFonts w:asciiTheme="majorHAnsi" w:hAnsiTheme="majorHAnsi" w:cstheme="majorHAnsi"/>
        </w:rPr>
        <w:t>/mL of the primary anti-CD45 antibody in blocking buffer (5% serum and 0.5% Triton X-100 in 1X PBS) overnight at 4 °C.</w:t>
      </w:r>
    </w:p>
    <w:p w14:paraId="36C288AD" w14:textId="77777777" w:rsidR="004D2710" w:rsidRPr="00172BFB" w:rsidRDefault="004D2710" w:rsidP="00172BFB">
      <w:pPr>
        <w:widowControl/>
        <w:ind w:left="142"/>
        <w:rPr>
          <w:rFonts w:asciiTheme="majorHAnsi" w:hAnsiTheme="majorHAnsi" w:cstheme="majorHAnsi"/>
          <w:b/>
        </w:rPr>
      </w:pPr>
    </w:p>
    <w:p w14:paraId="60022984" w14:textId="3944D2CB"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rPr>
        <w:t xml:space="preserve"> To use other antibodies, empirically validate antibody concentration.</w:t>
      </w:r>
    </w:p>
    <w:p w14:paraId="4DFF9088"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60589A9B" w14:textId="72CA1374"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Wash slides in 1</w:t>
      </w:r>
      <w:r w:rsidR="00C164B1" w:rsidRPr="00172BFB">
        <w:rPr>
          <w:rFonts w:asciiTheme="majorHAnsi" w:hAnsiTheme="majorHAnsi" w:cstheme="majorHAnsi"/>
        </w:rPr>
        <w:t>x</w:t>
      </w:r>
      <w:r w:rsidRPr="00172BFB">
        <w:rPr>
          <w:rFonts w:asciiTheme="majorHAnsi" w:hAnsiTheme="majorHAnsi" w:cstheme="majorHAnsi"/>
        </w:rPr>
        <w:t xml:space="preserve"> PBS </w:t>
      </w:r>
      <w:r w:rsidR="00C164B1" w:rsidRPr="00172BFB">
        <w:rPr>
          <w:rFonts w:asciiTheme="majorHAnsi" w:hAnsiTheme="majorHAnsi" w:cstheme="majorHAnsi"/>
        </w:rPr>
        <w:t xml:space="preserve">for </w:t>
      </w:r>
      <w:r w:rsidRPr="00172BFB">
        <w:rPr>
          <w:rFonts w:asciiTheme="majorHAnsi" w:hAnsiTheme="majorHAnsi" w:cstheme="majorHAnsi"/>
        </w:rPr>
        <w:t xml:space="preserve">3 </w:t>
      </w:r>
      <w:r w:rsidR="00C164B1" w:rsidRPr="00172BFB">
        <w:rPr>
          <w:rFonts w:asciiTheme="majorHAnsi" w:hAnsiTheme="majorHAnsi" w:cstheme="majorHAnsi"/>
        </w:rPr>
        <w:t>x</w:t>
      </w:r>
      <w:r w:rsidRPr="00172BFB">
        <w:rPr>
          <w:rFonts w:asciiTheme="majorHAnsi" w:hAnsiTheme="majorHAnsi" w:cstheme="majorHAnsi"/>
        </w:rPr>
        <w:t xml:space="preserve"> 5 min.</w:t>
      </w:r>
    </w:p>
    <w:p w14:paraId="4230070C"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78B2FED" w14:textId="20577E21"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Incubate</w:t>
      </w:r>
      <w:r w:rsidR="00426477" w:rsidRPr="00172BFB">
        <w:rPr>
          <w:rFonts w:asciiTheme="majorHAnsi" w:hAnsiTheme="majorHAnsi" w:cstheme="majorHAnsi"/>
        </w:rPr>
        <w:t xml:space="preserve"> the</w:t>
      </w:r>
      <w:r w:rsidRPr="00172BFB">
        <w:rPr>
          <w:rFonts w:asciiTheme="majorHAnsi" w:hAnsiTheme="majorHAnsi" w:cstheme="majorHAnsi"/>
        </w:rPr>
        <w:t xml:space="preserve"> tissue</w:t>
      </w:r>
      <w:r w:rsidR="00426477" w:rsidRPr="00172BFB">
        <w:rPr>
          <w:rFonts w:asciiTheme="majorHAnsi" w:hAnsiTheme="majorHAnsi" w:cstheme="majorHAnsi"/>
        </w:rPr>
        <w:t xml:space="preserve"> sections</w:t>
      </w:r>
      <w:r w:rsidRPr="00172BFB">
        <w:rPr>
          <w:rFonts w:asciiTheme="majorHAnsi" w:hAnsiTheme="majorHAnsi" w:cstheme="majorHAnsi"/>
        </w:rPr>
        <w:t xml:space="preserve"> with the goat anti-rat secondary antibody conjugated with AlexaFluor-647 at a 1:250 dilution in blocking buffer (5% serum) for 2 h in the dark at RT. </w:t>
      </w:r>
    </w:p>
    <w:p w14:paraId="41BA6566" w14:textId="77777777" w:rsidR="004D2710" w:rsidRPr="00172BFB" w:rsidRDefault="004D2710" w:rsidP="00172BFB">
      <w:pPr>
        <w:widowControl/>
        <w:ind w:left="142"/>
        <w:rPr>
          <w:rFonts w:asciiTheme="majorHAnsi" w:hAnsiTheme="majorHAnsi" w:cstheme="majorHAnsi"/>
          <w:b/>
        </w:rPr>
      </w:pPr>
    </w:p>
    <w:p w14:paraId="26D0CCC7" w14:textId="78E1C747" w:rsidR="004D2710" w:rsidRPr="00172BFB" w:rsidRDefault="00172BFB" w:rsidP="00172BFB">
      <w:pPr>
        <w:widowControl/>
        <w:ind w:left="142"/>
        <w:rPr>
          <w:rFonts w:asciiTheme="majorHAnsi" w:hAnsiTheme="majorHAnsi" w:cstheme="majorHAnsi"/>
        </w:rPr>
      </w:pPr>
      <w:r w:rsidRPr="00172BFB">
        <w:rPr>
          <w:rFonts w:asciiTheme="majorHAnsi" w:hAnsiTheme="majorHAnsi" w:cstheme="majorHAnsi"/>
          <w:bCs/>
        </w:rPr>
        <w:t>NOTE</w:t>
      </w:r>
      <w:r w:rsidRPr="00172BFB">
        <w:rPr>
          <w:rFonts w:asciiTheme="majorHAnsi" w:hAnsiTheme="majorHAnsi" w:cstheme="majorHAnsi"/>
          <w:b/>
        </w:rPr>
        <w:t>:</w:t>
      </w:r>
      <w:r w:rsidRPr="00172BFB">
        <w:rPr>
          <w:rFonts w:asciiTheme="majorHAnsi" w:hAnsiTheme="majorHAnsi" w:cstheme="majorHAnsi"/>
        </w:rPr>
        <w:t xml:space="preserve"> After adding the secondary antibody, perform all subsequent steps in the dark to prevent photobleaching of the fluorophores.</w:t>
      </w:r>
    </w:p>
    <w:p w14:paraId="334CB626"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20F4B110" w14:textId="0423026F"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Wash slides in 1</w:t>
      </w:r>
      <w:r w:rsidR="00D00BD4" w:rsidRPr="00172BFB">
        <w:rPr>
          <w:rFonts w:asciiTheme="majorHAnsi" w:hAnsiTheme="majorHAnsi" w:cstheme="majorHAnsi"/>
        </w:rPr>
        <w:t>x</w:t>
      </w:r>
      <w:r w:rsidRPr="00172BFB">
        <w:rPr>
          <w:rFonts w:asciiTheme="majorHAnsi" w:hAnsiTheme="majorHAnsi" w:cstheme="majorHAnsi"/>
        </w:rPr>
        <w:t xml:space="preserve"> PBS </w:t>
      </w:r>
      <w:r w:rsidR="00D00BD4" w:rsidRPr="00172BFB">
        <w:rPr>
          <w:rFonts w:asciiTheme="majorHAnsi" w:hAnsiTheme="majorHAnsi" w:cstheme="majorHAnsi"/>
        </w:rPr>
        <w:t xml:space="preserve">for </w:t>
      </w:r>
      <w:r w:rsidRPr="00172BFB">
        <w:rPr>
          <w:rFonts w:asciiTheme="majorHAnsi" w:hAnsiTheme="majorHAnsi" w:cstheme="majorHAnsi"/>
        </w:rPr>
        <w:t xml:space="preserve">3 </w:t>
      </w:r>
      <w:r w:rsidR="00D00BD4" w:rsidRPr="00172BFB">
        <w:rPr>
          <w:rFonts w:asciiTheme="majorHAnsi" w:hAnsiTheme="majorHAnsi" w:cstheme="majorHAnsi"/>
        </w:rPr>
        <w:t>x</w:t>
      </w:r>
      <w:r w:rsidRPr="00172BFB">
        <w:rPr>
          <w:rFonts w:asciiTheme="majorHAnsi" w:hAnsiTheme="majorHAnsi" w:cstheme="majorHAnsi"/>
        </w:rPr>
        <w:t xml:space="preserve"> 5 min.</w:t>
      </w:r>
    </w:p>
    <w:p w14:paraId="663983CF"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47639E32" w14:textId="578E7D4C" w:rsidR="00426477"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 xml:space="preserve">Incubate tissues with 1 </w:t>
      </w:r>
      <w:proofErr w:type="gramStart"/>
      <w:r w:rsidRPr="00172BFB">
        <w:rPr>
          <w:rFonts w:asciiTheme="majorHAnsi" w:hAnsiTheme="majorHAnsi" w:cstheme="majorHAnsi"/>
        </w:rPr>
        <w:t>µg</w:t>
      </w:r>
      <w:proofErr w:type="gramEnd"/>
      <w:r w:rsidRPr="00172BFB">
        <w:rPr>
          <w:rFonts w:asciiTheme="majorHAnsi" w:hAnsiTheme="majorHAnsi" w:cstheme="majorHAnsi"/>
        </w:rPr>
        <w:t xml:space="preserve">/mL of DAPI and 20 </w:t>
      </w:r>
      <w:proofErr w:type="gramStart"/>
      <w:r w:rsidRPr="00172BFB">
        <w:rPr>
          <w:rFonts w:asciiTheme="majorHAnsi" w:hAnsiTheme="majorHAnsi" w:cstheme="majorHAnsi"/>
        </w:rPr>
        <w:t>µg</w:t>
      </w:r>
      <w:proofErr w:type="gramEnd"/>
      <w:r w:rsidRPr="00172BFB">
        <w:rPr>
          <w:rFonts w:asciiTheme="majorHAnsi" w:hAnsiTheme="majorHAnsi" w:cstheme="majorHAnsi"/>
        </w:rPr>
        <w:t>/mL of AlexaFluor-594 conjugated antibodies in blocking buffer (5% serum) for 1 h in the dark at RT.</w:t>
      </w:r>
    </w:p>
    <w:p w14:paraId="0D2AFC86" w14:textId="77777777" w:rsidR="00426477" w:rsidRPr="00172BFB" w:rsidRDefault="00426477" w:rsidP="00172BFB">
      <w:pPr>
        <w:widowControl/>
        <w:pBdr>
          <w:top w:val="nil"/>
          <w:left w:val="nil"/>
          <w:bottom w:val="nil"/>
          <w:right w:val="nil"/>
          <w:between w:val="nil"/>
        </w:pBdr>
        <w:ind w:left="142"/>
        <w:rPr>
          <w:rFonts w:asciiTheme="majorHAnsi" w:hAnsiTheme="majorHAnsi" w:cstheme="majorHAnsi"/>
        </w:rPr>
      </w:pPr>
    </w:p>
    <w:p w14:paraId="74FF77E5" w14:textId="31A70489"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Wash slides in 1</w:t>
      </w:r>
      <w:r w:rsidR="00F562A7" w:rsidRPr="00172BFB">
        <w:rPr>
          <w:rFonts w:asciiTheme="majorHAnsi" w:hAnsiTheme="majorHAnsi" w:cstheme="majorHAnsi"/>
        </w:rPr>
        <w:t>x</w:t>
      </w:r>
      <w:r w:rsidRPr="00172BFB">
        <w:rPr>
          <w:rFonts w:asciiTheme="majorHAnsi" w:hAnsiTheme="majorHAnsi" w:cstheme="majorHAnsi"/>
        </w:rPr>
        <w:t xml:space="preserve"> PBS </w:t>
      </w:r>
      <w:r w:rsidR="00F562A7" w:rsidRPr="00172BFB">
        <w:rPr>
          <w:rFonts w:asciiTheme="majorHAnsi" w:hAnsiTheme="majorHAnsi" w:cstheme="majorHAnsi"/>
        </w:rPr>
        <w:t xml:space="preserve">for </w:t>
      </w:r>
      <w:r w:rsidRPr="00172BFB">
        <w:rPr>
          <w:rFonts w:asciiTheme="majorHAnsi" w:hAnsiTheme="majorHAnsi" w:cstheme="majorHAnsi"/>
        </w:rPr>
        <w:t xml:space="preserve">3 </w:t>
      </w:r>
      <w:r w:rsidR="00F562A7" w:rsidRPr="00172BFB">
        <w:rPr>
          <w:rFonts w:asciiTheme="majorHAnsi" w:hAnsiTheme="majorHAnsi" w:cstheme="majorHAnsi"/>
        </w:rPr>
        <w:t>x</w:t>
      </w:r>
      <w:r w:rsidRPr="00172BFB">
        <w:rPr>
          <w:rFonts w:asciiTheme="majorHAnsi" w:hAnsiTheme="majorHAnsi" w:cstheme="majorHAnsi"/>
        </w:rPr>
        <w:t xml:space="preserve"> 5 min.</w:t>
      </w:r>
    </w:p>
    <w:p w14:paraId="07A77AF0" w14:textId="77777777"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3F240E7F" w14:textId="1069A720"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Add a drop of mounting solution onto each tumor</w:t>
      </w:r>
      <w:r w:rsidR="00426477" w:rsidRPr="00172BFB">
        <w:rPr>
          <w:rFonts w:asciiTheme="majorHAnsi" w:hAnsiTheme="majorHAnsi" w:cstheme="majorHAnsi"/>
        </w:rPr>
        <w:t xml:space="preserve"> section</w:t>
      </w:r>
      <w:r w:rsidRPr="00172BFB">
        <w:rPr>
          <w:rFonts w:asciiTheme="majorHAnsi" w:hAnsiTheme="majorHAnsi" w:cstheme="majorHAnsi"/>
        </w:rPr>
        <w:t>, then apply a few drops of mounting medium to the coverslip. Quickly invert the coverslip onto the slide to mount it and ensure the absence of bubbles near the tumors.</w:t>
      </w:r>
    </w:p>
    <w:p w14:paraId="654CF8A6" w14:textId="403D3A49" w:rsidR="004D2710" w:rsidRPr="00172BFB" w:rsidRDefault="004D2710" w:rsidP="00172BFB">
      <w:pPr>
        <w:widowControl/>
        <w:pBdr>
          <w:top w:val="nil"/>
          <w:left w:val="nil"/>
          <w:bottom w:val="nil"/>
          <w:right w:val="nil"/>
          <w:between w:val="nil"/>
        </w:pBdr>
        <w:ind w:left="142"/>
        <w:rPr>
          <w:rFonts w:asciiTheme="majorHAnsi" w:hAnsiTheme="majorHAnsi" w:cstheme="majorHAnsi"/>
        </w:rPr>
      </w:pPr>
    </w:p>
    <w:p w14:paraId="54EBE254" w14:textId="07F1DD30" w:rsidR="004D2710" w:rsidRPr="00172BFB" w:rsidRDefault="00172BFB" w:rsidP="00172BFB">
      <w:pPr>
        <w:widowControl/>
        <w:numPr>
          <w:ilvl w:val="1"/>
          <w:numId w:val="1"/>
        </w:numPr>
        <w:pBdr>
          <w:top w:val="nil"/>
          <w:left w:val="nil"/>
          <w:bottom w:val="nil"/>
          <w:right w:val="nil"/>
          <w:between w:val="nil"/>
        </w:pBdr>
        <w:ind w:left="142" w:firstLine="0"/>
        <w:rPr>
          <w:rFonts w:asciiTheme="majorHAnsi" w:hAnsiTheme="majorHAnsi" w:cstheme="majorHAnsi"/>
        </w:rPr>
      </w:pPr>
      <w:r w:rsidRPr="00172BFB">
        <w:rPr>
          <w:rFonts w:asciiTheme="majorHAnsi" w:hAnsiTheme="majorHAnsi" w:cstheme="majorHAnsi"/>
        </w:rPr>
        <w:t>Allow</w:t>
      </w:r>
      <w:r w:rsidR="00426477" w:rsidRPr="00172BFB">
        <w:rPr>
          <w:rFonts w:asciiTheme="majorHAnsi" w:hAnsiTheme="majorHAnsi" w:cstheme="majorHAnsi"/>
        </w:rPr>
        <w:t xml:space="preserve"> the</w:t>
      </w:r>
      <w:r w:rsidRPr="00172BFB">
        <w:rPr>
          <w:rFonts w:asciiTheme="majorHAnsi" w:hAnsiTheme="majorHAnsi" w:cstheme="majorHAnsi"/>
        </w:rPr>
        <w:t xml:space="preserve"> slides to dry overnight and </w:t>
      </w:r>
      <w:r w:rsidR="00426477" w:rsidRPr="00172BFB">
        <w:rPr>
          <w:rFonts w:asciiTheme="majorHAnsi" w:hAnsiTheme="majorHAnsi" w:cstheme="majorHAnsi"/>
        </w:rPr>
        <w:t>image them</w:t>
      </w:r>
      <w:r w:rsidRPr="00172BFB">
        <w:rPr>
          <w:rFonts w:asciiTheme="majorHAnsi" w:hAnsiTheme="majorHAnsi" w:cstheme="majorHAnsi"/>
        </w:rPr>
        <w:t xml:space="preserve"> by confocal microscopy.</w:t>
      </w:r>
    </w:p>
    <w:p w14:paraId="2B26354F" w14:textId="77777777" w:rsidR="004D2710" w:rsidRPr="00172BFB" w:rsidRDefault="004D2710" w:rsidP="00172BFB">
      <w:pPr>
        <w:ind w:left="142"/>
        <w:rPr>
          <w:rFonts w:asciiTheme="majorHAnsi" w:hAnsiTheme="majorHAnsi" w:cstheme="majorHAnsi"/>
        </w:rPr>
      </w:pPr>
    </w:p>
    <w:p w14:paraId="73D7EA31" w14:textId="77777777" w:rsidR="004D2710" w:rsidRPr="00172BFB" w:rsidRDefault="00172BFB" w:rsidP="00172BFB">
      <w:pPr>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b/>
        </w:rPr>
        <w:t xml:space="preserve">REPRESENTATIVE RESULTS: </w:t>
      </w:r>
    </w:p>
    <w:p w14:paraId="3D40597B" w14:textId="77777777" w:rsidR="004D2710" w:rsidRPr="00172BFB" w:rsidRDefault="004D2710" w:rsidP="00172BFB">
      <w:pPr>
        <w:ind w:left="142"/>
        <w:rPr>
          <w:rFonts w:asciiTheme="majorHAnsi" w:hAnsiTheme="majorHAnsi" w:cstheme="majorHAnsi"/>
        </w:rPr>
      </w:pPr>
    </w:p>
    <w:p w14:paraId="68B58AF0" w14:textId="4F19C92D"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A schematic overview of the tractable </w:t>
      </w:r>
      <w:r w:rsidRPr="00172BFB">
        <w:rPr>
          <w:rFonts w:asciiTheme="majorHAnsi" w:hAnsiTheme="majorHAnsi" w:cstheme="majorHAnsi"/>
          <w:i/>
          <w:iCs/>
        </w:rPr>
        <w:t>in vivo</w:t>
      </w:r>
      <w:r w:rsidRPr="00172BFB">
        <w:rPr>
          <w:rFonts w:asciiTheme="majorHAnsi" w:hAnsiTheme="majorHAnsi" w:cstheme="majorHAnsi"/>
        </w:rPr>
        <w:t xml:space="preserve"> reprogramming protocol is presented in</w:t>
      </w:r>
      <w:r w:rsidRPr="00172BFB">
        <w:rPr>
          <w:rFonts w:asciiTheme="majorHAnsi" w:hAnsiTheme="majorHAnsi" w:cstheme="majorHAnsi"/>
          <w:b/>
        </w:rPr>
        <w:t xml:space="preserve"> Figure 1.</w:t>
      </w:r>
      <w:r w:rsidRPr="00172BFB">
        <w:rPr>
          <w:rFonts w:asciiTheme="majorHAnsi" w:hAnsiTheme="majorHAnsi" w:cstheme="majorHAnsi"/>
        </w:rPr>
        <w:t xml:space="preserve"> First, we produced the polycistronic lentiviral vector SFFV-PIB-IRES-</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(PIB-</w:t>
      </w:r>
      <w:proofErr w:type="spellStart"/>
      <w:r w:rsidRPr="00172BFB">
        <w:rPr>
          <w:rFonts w:asciiTheme="majorHAnsi" w:hAnsiTheme="majorHAnsi" w:cstheme="majorHAnsi"/>
        </w:rPr>
        <w:t>eGFP</w:t>
      </w:r>
      <w:proofErr w:type="spellEnd"/>
      <w:r w:rsidRPr="00172BFB">
        <w:rPr>
          <w:rFonts w:asciiTheme="majorHAnsi" w:hAnsiTheme="majorHAnsi" w:cstheme="majorHAnsi"/>
        </w:rPr>
        <w:t>), encoding for the cDC1-instructing reprogramming factors PU.1, IRF8, BATF3, followed by an internal ribosomal entry site (IRES) and enhanced green fluorescent protein (</w:t>
      </w:r>
      <w:proofErr w:type="spellStart"/>
      <w:r w:rsidRPr="00172BFB">
        <w:rPr>
          <w:rFonts w:asciiTheme="majorHAnsi" w:hAnsiTheme="majorHAnsi" w:cstheme="majorHAnsi"/>
        </w:rPr>
        <w:t>eGFP</w:t>
      </w:r>
      <w:proofErr w:type="spellEnd"/>
      <w:r w:rsidRPr="00172BFB">
        <w:rPr>
          <w:rFonts w:asciiTheme="majorHAnsi" w:hAnsiTheme="majorHAnsi" w:cstheme="majorHAnsi"/>
        </w:rPr>
        <w:t>) in the HEK 293T packaging cell line. To control for lentivirus-mediated immunogenicity, we produced an empty SFFV-MCS-</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eGFP</w:t>
      </w:r>
      <w:proofErr w:type="spellEnd"/>
      <w:r w:rsidRPr="00172BFB">
        <w:rPr>
          <w:rFonts w:asciiTheme="majorHAnsi" w:hAnsiTheme="majorHAnsi" w:cstheme="majorHAnsi"/>
        </w:rPr>
        <w:t>) vector, containing a multiple cloning site (MCS) and IRES-</w:t>
      </w:r>
      <w:proofErr w:type="spellStart"/>
      <w:r w:rsidRPr="00172BFB">
        <w:rPr>
          <w:rFonts w:asciiTheme="majorHAnsi" w:hAnsiTheme="majorHAnsi" w:cstheme="majorHAnsi"/>
        </w:rPr>
        <w:t>eGFP</w:t>
      </w:r>
      <w:proofErr w:type="spellEnd"/>
      <w:r w:rsidRPr="00172BFB">
        <w:rPr>
          <w:rFonts w:asciiTheme="majorHAnsi" w:hAnsiTheme="majorHAnsi" w:cstheme="majorHAnsi"/>
        </w:rPr>
        <w:t>, but excluding the reprogramming factors. Following viral production, we harvested the lentivirus-containing supernatant and concentrated it by ultracentrifugation. We functionally titrated the virus to determine the amount required to achieve a 1:1 ratio of transduced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to </w:t>
      </w:r>
      <w:proofErr w:type="spellStart"/>
      <w:r w:rsidRPr="00172BFB">
        <w:rPr>
          <w:rFonts w:asciiTheme="majorHAnsi" w:hAnsiTheme="majorHAnsi" w:cstheme="majorHAnsi"/>
        </w:rPr>
        <w:t>untransduced</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which we evaluated on day 3 post transduction. Then, we used the resulting virus amount to transduce the selected cancer cell line on day -1. </w:t>
      </w:r>
      <w:r w:rsidR="00A948FF" w:rsidRPr="00172BFB">
        <w:rPr>
          <w:rFonts w:asciiTheme="majorHAnsi" w:hAnsiTheme="majorHAnsi" w:cstheme="majorHAnsi"/>
        </w:rPr>
        <w:t xml:space="preserve">After </w:t>
      </w:r>
      <w:r w:rsidRPr="00172BFB">
        <w:rPr>
          <w:rFonts w:asciiTheme="majorHAnsi" w:hAnsiTheme="majorHAnsi" w:cstheme="majorHAnsi"/>
        </w:rPr>
        <w:t xml:space="preserve">24 h, we collected the cells and implanted them subcutaneously to establish tumors. This strategy ensured that transduced cells reprogrammed into cDC1-like cells </w:t>
      </w:r>
      <w:r w:rsidRPr="00172BFB">
        <w:rPr>
          <w:rFonts w:asciiTheme="majorHAnsi" w:hAnsiTheme="majorHAnsi" w:cstheme="majorHAnsi"/>
          <w:i/>
          <w:iCs/>
        </w:rPr>
        <w:t>in vivo</w:t>
      </w:r>
      <w:r w:rsidRPr="00172BFB">
        <w:rPr>
          <w:rFonts w:asciiTheme="majorHAnsi" w:hAnsiTheme="majorHAnsi" w:cstheme="majorHAnsi"/>
        </w:rPr>
        <w:t>, within the TME. At indicated time points post</w:t>
      </w:r>
      <w:r w:rsidR="00A948FF" w:rsidRPr="00172BFB">
        <w:rPr>
          <w:rFonts w:asciiTheme="majorHAnsi" w:hAnsiTheme="majorHAnsi" w:cstheme="majorHAnsi"/>
        </w:rPr>
        <w:t xml:space="preserve"> </w:t>
      </w:r>
      <w:r w:rsidRPr="00172BFB">
        <w:rPr>
          <w:rFonts w:asciiTheme="majorHAnsi" w:hAnsiTheme="majorHAnsi" w:cstheme="majorHAnsi"/>
        </w:rPr>
        <w:t xml:space="preserve">engraftment, we </w:t>
      </w:r>
      <w:proofErr w:type="gramStart"/>
      <w:r w:rsidRPr="00172BFB">
        <w:rPr>
          <w:rFonts w:asciiTheme="majorHAnsi" w:hAnsiTheme="majorHAnsi" w:cstheme="majorHAnsi"/>
        </w:rPr>
        <w:t>excised</w:t>
      </w:r>
      <w:proofErr w:type="gramEnd"/>
      <w:r w:rsidRPr="00172BFB">
        <w:rPr>
          <w:rFonts w:asciiTheme="majorHAnsi" w:hAnsiTheme="majorHAnsi" w:cstheme="majorHAnsi"/>
        </w:rPr>
        <w:t xml:space="preserve"> and processed tumors for downstream analyses, including flow cytometry of dissociated tumor cells, to quantify </w:t>
      </w:r>
      <w:r w:rsidRPr="00172BFB">
        <w:rPr>
          <w:rFonts w:asciiTheme="majorHAnsi" w:hAnsiTheme="majorHAnsi" w:cstheme="majorHAnsi"/>
          <w:i/>
          <w:iCs/>
        </w:rPr>
        <w:t>in vivo</w:t>
      </w:r>
      <w:r w:rsidRPr="00172BFB">
        <w:rPr>
          <w:rFonts w:asciiTheme="majorHAnsi" w:hAnsiTheme="majorHAnsi" w:cstheme="majorHAnsi"/>
        </w:rPr>
        <w:t xml:space="preserve"> reprogramming efficiency, or immunofluorescence staining of cryopreserved tumor sections to characterize changes in the TME.</w:t>
      </w:r>
    </w:p>
    <w:p w14:paraId="17A00F6D" w14:textId="77777777" w:rsidR="004D2710" w:rsidRPr="00172BFB" w:rsidRDefault="004D2710" w:rsidP="00172BFB">
      <w:pPr>
        <w:ind w:left="142"/>
        <w:rPr>
          <w:rFonts w:asciiTheme="majorHAnsi" w:hAnsiTheme="majorHAnsi" w:cstheme="majorHAnsi"/>
        </w:rPr>
      </w:pPr>
    </w:p>
    <w:p w14:paraId="727C9433" w14:textId="6E3D6201" w:rsidR="004D2710" w:rsidRPr="00172BFB" w:rsidRDefault="00172BFB" w:rsidP="00172BFB">
      <w:pPr>
        <w:ind w:left="142"/>
        <w:rPr>
          <w:rFonts w:asciiTheme="majorHAnsi" w:hAnsiTheme="majorHAnsi" w:cstheme="majorHAnsi"/>
        </w:rPr>
      </w:pPr>
      <w:r w:rsidRPr="00172BFB">
        <w:rPr>
          <w:rFonts w:asciiTheme="majorHAnsi" w:hAnsiTheme="majorHAnsi" w:cstheme="majorHAnsi"/>
        </w:rPr>
        <w:t>First, to ensure the production of high lentiviral titers, we monitored HEK 293T cells before transfection, targeting to reach 70</w:t>
      </w:r>
      <w:r w:rsidR="00A0689E" w:rsidRPr="00172BFB">
        <w:rPr>
          <w:rFonts w:asciiTheme="majorHAnsi" w:hAnsiTheme="majorHAnsi" w:cstheme="majorHAnsi"/>
        </w:rPr>
        <w:t>–</w:t>
      </w:r>
      <w:r w:rsidRPr="00172BFB">
        <w:rPr>
          <w:rFonts w:asciiTheme="majorHAnsi" w:hAnsiTheme="majorHAnsi" w:cstheme="majorHAnsi"/>
        </w:rPr>
        <w:t xml:space="preserve">80% confluency and 24 h later, we assessed the transfection efficiency through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expression by fluorescence microscopy (</w:t>
      </w:r>
      <w:r w:rsidRPr="00172BFB">
        <w:rPr>
          <w:rFonts w:asciiTheme="majorHAnsi" w:hAnsiTheme="majorHAnsi" w:cstheme="majorHAnsi"/>
          <w:b/>
        </w:rPr>
        <w:t>Figure 2A</w:t>
      </w:r>
      <w:r w:rsidRPr="00172BFB">
        <w:rPr>
          <w:rFonts w:asciiTheme="majorHAnsi" w:hAnsiTheme="majorHAnsi" w:cstheme="majorHAnsi"/>
        </w:rPr>
        <w:t>). Next, we collected virus-containing medium 48</w:t>
      </w:r>
      <w:r w:rsidR="00A0689E" w:rsidRPr="00172BFB">
        <w:rPr>
          <w:rFonts w:asciiTheme="majorHAnsi" w:hAnsiTheme="majorHAnsi" w:cstheme="majorHAnsi"/>
        </w:rPr>
        <w:t xml:space="preserve"> h</w:t>
      </w:r>
      <w:r w:rsidRPr="00172BFB">
        <w:rPr>
          <w:rFonts w:asciiTheme="majorHAnsi" w:hAnsiTheme="majorHAnsi" w:cstheme="majorHAnsi"/>
        </w:rPr>
        <w:t xml:space="preserve"> and 60 h post</w:t>
      </w:r>
      <w:r w:rsidR="00A0689E" w:rsidRPr="00172BFB">
        <w:rPr>
          <w:rFonts w:asciiTheme="majorHAnsi" w:hAnsiTheme="majorHAnsi" w:cstheme="majorHAnsi"/>
        </w:rPr>
        <w:t xml:space="preserve"> </w:t>
      </w:r>
      <w:r w:rsidRPr="00172BFB">
        <w:rPr>
          <w:rFonts w:asciiTheme="majorHAnsi" w:hAnsiTheme="majorHAnsi" w:cstheme="majorHAnsi"/>
        </w:rPr>
        <w:t xml:space="preserve">transfection, ultracentrifuged it, and </w:t>
      </w:r>
      <w:proofErr w:type="gramStart"/>
      <w:r w:rsidRPr="00172BFB">
        <w:rPr>
          <w:rFonts w:asciiTheme="majorHAnsi" w:hAnsiTheme="majorHAnsi" w:cstheme="majorHAnsi"/>
        </w:rPr>
        <w:t>stored</w:t>
      </w:r>
      <w:proofErr w:type="gramEnd"/>
      <w:r w:rsidRPr="00172BFB">
        <w:rPr>
          <w:rFonts w:asciiTheme="majorHAnsi" w:hAnsiTheme="majorHAnsi" w:cstheme="majorHAnsi"/>
        </w:rPr>
        <w:t xml:space="preserve"> in aliquots at -80 °C (</w:t>
      </w:r>
      <w:r w:rsidRPr="00172BFB">
        <w:rPr>
          <w:rFonts w:asciiTheme="majorHAnsi" w:hAnsiTheme="majorHAnsi" w:cstheme="majorHAnsi"/>
          <w:b/>
        </w:rPr>
        <w:t>Figure 2B</w:t>
      </w:r>
      <w:r w:rsidRPr="00172BFB">
        <w:rPr>
          <w:rFonts w:asciiTheme="majorHAnsi" w:hAnsiTheme="majorHAnsi" w:cstheme="majorHAnsi"/>
        </w:rPr>
        <w:t xml:space="preserve">). Then, we determined the optimal viral amount required to achieve a 1:1 ratio of </w:t>
      </w:r>
      <w:proofErr w:type="spellStart"/>
      <w:r w:rsidR="00426477" w:rsidRPr="00172BFB">
        <w:rPr>
          <w:rFonts w:asciiTheme="majorHAnsi" w:hAnsiTheme="majorHAnsi" w:cstheme="majorHAnsi"/>
        </w:rPr>
        <w:t>e</w:t>
      </w:r>
      <w:r w:rsidRPr="00172BFB">
        <w:rPr>
          <w:rFonts w:asciiTheme="majorHAnsi" w:hAnsiTheme="majorHAnsi" w:cstheme="majorHAnsi"/>
        </w:rPr>
        <w:t>GFP</w:t>
      </w:r>
      <w:proofErr w:type="spellEnd"/>
      <w:r w:rsidRPr="00172BFB">
        <w:rPr>
          <w:rFonts w:asciiTheme="majorHAnsi" w:hAnsiTheme="majorHAnsi" w:cstheme="majorHAnsi"/>
        </w:rPr>
        <w:t xml:space="preserve">⁺ to </w:t>
      </w:r>
      <w:proofErr w:type="spellStart"/>
      <w:r w:rsidR="00426477" w:rsidRPr="00172BFB">
        <w:rPr>
          <w:rFonts w:asciiTheme="majorHAnsi" w:hAnsiTheme="majorHAnsi" w:cstheme="majorHAnsi"/>
        </w:rPr>
        <w:t>e</w:t>
      </w:r>
      <w:r w:rsidRPr="00172BFB">
        <w:rPr>
          <w:rFonts w:asciiTheme="majorHAnsi" w:hAnsiTheme="majorHAnsi" w:cstheme="majorHAnsi"/>
        </w:rPr>
        <w:t>GFP</w:t>
      </w:r>
      <w:proofErr w:type="spellEnd"/>
      <w:r w:rsidRPr="00172BFB">
        <w:rPr>
          <w:rFonts w:asciiTheme="majorHAnsi" w:hAnsiTheme="majorHAnsi" w:cstheme="majorHAnsi"/>
        </w:rPr>
        <w:t>⁻ cells in YUMM1.7 melanoma cells. We seeded 10</w:t>
      </w:r>
      <w:r w:rsidRPr="00172BFB">
        <w:rPr>
          <w:rFonts w:asciiTheme="majorHAnsi" w:hAnsiTheme="majorHAnsi" w:cstheme="majorHAnsi"/>
          <w:vertAlign w:val="superscript"/>
        </w:rPr>
        <w:t>5</w:t>
      </w:r>
      <w:r w:rsidRPr="00172BFB">
        <w:rPr>
          <w:rFonts w:asciiTheme="majorHAnsi" w:hAnsiTheme="majorHAnsi" w:cstheme="majorHAnsi"/>
        </w:rPr>
        <w:t xml:space="preserve"> YUMM1.7 cells per well in a 6-well plate, transduced the cells with increasing volumes of lentivirus, and replaced the virus-containing supernatant with fresh DMEM/F12 complete media after 24 h (</w:t>
      </w:r>
      <w:r w:rsidRPr="00172BFB">
        <w:rPr>
          <w:rFonts w:asciiTheme="majorHAnsi" w:hAnsiTheme="majorHAnsi" w:cstheme="majorHAnsi"/>
          <w:b/>
        </w:rPr>
        <w:t>Figure 2C</w:t>
      </w:r>
      <w:r w:rsidRPr="00172BFB">
        <w:rPr>
          <w:rFonts w:asciiTheme="majorHAnsi" w:hAnsiTheme="majorHAnsi" w:cstheme="majorHAnsi"/>
        </w:rPr>
        <w:t xml:space="preserve">). On day 3, we assessed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expression by fluorescence microscopy, before proceeding to quantify </w:t>
      </w:r>
      <w:r w:rsidR="00426477" w:rsidRPr="00172BFB">
        <w:rPr>
          <w:rFonts w:asciiTheme="majorHAnsi" w:hAnsiTheme="majorHAnsi" w:cstheme="majorHAnsi"/>
        </w:rPr>
        <w:t xml:space="preserve">the </w:t>
      </w:r>
      <w:r w:rsidRPr="00172BFB">
        <w:rPr>
          <w:rFonts w:asciiTheme="majorHAnsi" w:hAnsiTheme="majorHAnsi" w:cstheme="majorHAnsi"/>
        </w:rPr>
        <w:t>precise percentage</w:t>
      </w:r>
      <w:r w:rsidR="00426477" w:rsidRPr="00172BFB">
        <w:rPr>
          <w:rFonts w:asciiTheme="majorHAnsi" w:hAnsiTheme="majorHAnsi" w:cstheme="majorHAnsi"/>
        </w:rPr>
        <w:t xml:space="preserve">s </w:t>
      </w:r>
      <w:r w:rsidRPr="00172BFB">
        <w:rPr>
          <w:rFonts w:asciiTheme="majorHAnsi" w:hAnsiTheme="majorHAnsi" w:cstheme="majorHAnsi"/>
        </w:rPr>
        <w:t xml:space="preserve">of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by flow cytometry (</w:t>
      </w:r>
      <w:r w:rsidRPr="00172BFB">
        <w:rPr>
          <w:rFonts w:asciiTheme="majorHAnsi" w:hAnsiTheme="majorHAnsi" w:cstheme="majorHAnsi"/>
          <w:b/>
        </w:rPr>
        <w:t>Figure 2C</w:t>
      </w:r>
      <w:r w:rsidRPr="00172BFB">
        <w:rPr>
          <w:rFonts w:asciiTheme="majorHAnsi" w:hAnsiTheme="majorHAnsi" w:cstheme="majorHAnsi"/>
        </w:rPr>
        <w:t xml:space="preserve">). To quantify the ratio of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to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we gated in live, single cells to exclude dead cells and doublets (</w:t>
      </w:r>
      <w:r w:rsidRPr="00172BFB">
        <w:rPr>
          <w:rFonts w:asciiTheme="majorHAnsi" w:hAnsiTheme="majorHAnsi" w:cstheme="majorHAnsi"/>
          <w:b/>
        </w:rPr>
        <w:t>Figure 2D</w:t>
      </w:r>
      <w:r w:rsidRPr="00172BFB">
        <w:rPr>
          <w:rFonts w:asciiTheme="majorHAnsi" w:hAnsiTheme="majorHAnsi" w:cstheme="majorHAnsi"/>
        </w:rPr>
        <w:t>). The optimal volume of the produced lentivirus batch was determined both for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and the control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virus as 2 µL per 10</w:t>
      </w:r>
      <w:r w:rsidRPr="00172BFB">
        <w:rPr>
          <w:rFonts w:asciiTheme="majorHAnsi" w:hAnsiTheme="majorHAnsi" w:cstheme="majorHAnsi"/>
          <w:vertAlign w:val="superscript"/>
        </w:rPr>
        <w:t>5</w:t>
      </w:r>
      <w:r w:rsidRPr="00172BFB">
        <w:rPr>
          <w:rFonts w:asciiTheme="majorHAnsi" w:hAnsiTheme="majorHAnsi" w:cstheme="majorHAnsi"/>
        </w:rPr>
        <w:t xml:space="preserve"> YUMM1.7 cells, resulting in 50.0 ± 0.3% and 63.0 ± 0.9%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respectively (</w:t>
      </w:r>
      <w:r w:rsidRPr="00172BFB">
        <w:rPr>
          <w:rFonts w:asciiTheme="majorHAnsi" w:hAnsiTheme="majorHAnsi" w:cstheme="majorHAnsi"/>
          <w:b/>
        </w:rPr>
        <w:t>Figure 2E</w:t>
      </w:r>
      <w:r w:rsidRPr="00172BFB">
        <w:rPr>
          <w:rFonts w:asciiTheme="majorHAnsi" w:hAnsiTheme="majorHAnsi" w:cstheme="majorHAnsi"/>
        </w:rPr>
        <w:t>).</w:t>
      </w:r>
    </w:p>
    <w:p w14:paraId="304E4CEF" w14:textId="77777777" w:rsidR="004D2710" w:rsidRPr="00172BFB" w:rsidRDefault="004D2710" w:rsidP="00172BFB">
      <w:pPr>
        <w:ind w:left="142"/>
        <w:rPr>
          <w:rFonts w:asciiTheme="majorHAnsi" w:hAnsiTheme="majorHAnsi" w:cstheme="majorHAnsi"/>
        </w:rPr>
      </w:pPr>
    </w:p>
    <w:p w14:paraId="46EA2F96" w14:textId="4446FCF1"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Next, to evaluate </w:t>
      </w:r>
      <w:r w:rsidRPr="00172BFB">
        <w:rPr>
          <w:rFonts w:asciiTheme="majorHAnsi" w:hAnsiTheme="majorHAnsi" w:cstheme="majorHAnsi"/>
          <w:i/>
          <w:iCs/>
        </w:rPr>
        <w:t>in vivo</w:t>
      </w:r>
      <w:r w:rsidRPr="00172BFB">
        <w:rPr>
          <w:rFonts w:asciiTheme="majorHAnsi" w:hAnsiTheme="majorHAnsi" w:cstheme="majorHAnsi"/>
        </w:rPr>
        <w:t xml:space="preserve"> reprogramming efficiency, we generated a fluorescently labelled (</w:t>
      </w:r>
      <w:proofErr w:type="spellStart"/>
      <w:r w:rsidRPr="00172BFB">
        <w:rPr>
          <w:rFonts w:asciiTheme="majorHAnsi" w:hAnsiTheme="majorHAnsi" w:cstheme="majorHAnsi"/>
        </w:rPr>
        <w:t>mCherry</w:t>
      </w:r>
      <w:proofErr w:type="spellEnd"/>
      <w:r w:rsidRPr="00172BFB">
        <w:rPr>
          <w:rFonts w:asciiTheme="majorHAnsi" w:hAnsiTheme="majorHAnsi" w:cstheme="majorHAnsi"/>
          <w:vertAlign w:val="superscript"/>
        </w:rPr>
        <w:t>+</w:t>
      </w:r>
      <w:r w:rsidRPr="00172BFB">
        <w:rPr>
          <w:rFonts w:asciiTheme="majorHAnsi" w:hAnsiTheme="majorHAnsi" w:cstheme="majorHAnsi"/>
        </w:rPr>
        <w:t>) cancer cell line (YUMM1.7-mCherry). This ensured that we could discriminate between cancer cells and stromal or immune cells</w:t>
      </w:r>
      <w:r w:rsidR="003D642A" w:rsidRPr="00172BFB">
        <w:rPr>
          <w:rFonts w:asciiTheme="majorHAnsi" w:hAnsiTheme="majorHAnsi" w:cstheme="majorHAnsi"/>
        </w:rPr>
        <w:t xml:space="preserve"> by gating in live </w:t>
      </w:r>
      <w:proofErr w:type="spellStart"/>
      <w:r w:rsidR="003D642A" w:rsidRPr="00172BFB">
        <w:rPr>
          <w:rFonts w:asciiTheme="majorHAnsi" w:hAnsiTheme="majorHAnsi" w:cstheme="majorHAnsi"/>
        </w:rPr>
        <w:t>mCherry</w:t>
      </w:r>
      <w:proofErr w:type="spellEnd"/>
      <w:r w:rsidR="003D642A" w:rsidRPr="00172BFB">
        <w:rPr>
          <w:rFonts w:asciiTheme="majorHAnsi" w:hAnsiTheme="majorHAnsi" w:cstheme="majorHAnsi"/>
          <w:vertAlign w:val="superscript"/>
        </w:rPr>
        <w:t>+</w:t>
      </w:r>
      <w:r w:rsidR="003D642A" w:rsidRPr="00172BFB">
        <w:rPr>
          <w:rFonts w:asciiTheme="majorHAnsi" w:hAnsiTheme="majorHAnsi" w:cstheme="majorHAnsi"/>
        </w:rPr>
        <w:t xml:space="preserve"> cells in the flow cytometry analysis</w:t>
      </w:r>
      <w:r w:rsidRPr="00172BFB">
        <w:rPr>
          <w:rFonts w:asciiTheme="majorHAnsi" w:hAnsiTheme="majorHAnsi" w:cstheme="majorHAnsi"/>
        </w:rPr>
        <w:t xml:space="preserve"> (</w:t>
      </w:r>
      <w:r w:rsidRPr="00172BFB">
        <w:rPr>
          <w:rFonts w:asciiTheme="majorHAnsi" w:hAnsiTheme="majorHAnsi" w:cstheme="majorHAnsi"/>
          <w:b/>
        </w:rPr>
        <w:t>Figure 3</w:t>
      </w:r>
      <w:proofErr w:type="gramStart"/>
      <w:r w:rsidRPr="00172BFB">
        <w:rPr>
          <w:rFonts w:asciiTheme="majorHAnsi" w:hAnsiTheme="majorHAnsi" w:cstheme="majorHAnsi"/>
          <w:b/>
        </w:rPr>
        <w:t>A,B</w:t>
      </w:r>
      <w:proofErr w:type="gramEnd"/>
      <w:r w:rsidRPr="00172BFB">
        <w:rPr>
          <w:rFonts w:asciiTheme="majorHAnsi" w:hAnsiTheme="majorHAnsi" w:cstheme="majorHAnsi"/>
        </w:rPr>
        <w:t>). We then transduced YUMM1.7-mCherry cells with 2 µL of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or control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virus per 10</w:t>
      </w:r>
      <w:r w:rsidRPr="00172BFB">
        <w:rPr>
          <w:rFonts w:asciiTheme="majorHAnsi" w:hAnsiTheme="majorHAnsi" w:cstheme="majorHAnsi"/>
          <w:vertAlign w:val="superscript"/>
        </w:rPr>
        <w:t>5</w:t>
      </w:r>
      <w:r w:rsidRPr="00172BFB">
        <w:rPr>
          <w:rFonts w:asciiTheme="majorHAnsi" w:hAnsiTheme="majorHAnsi" w:cstheme="majorHAnsi"/>
        </w:rPr>
        <w:t xml:space="preserve"> cells to achieve a 1:1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to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ratio. We subcutaneously implanted 1.6</w:t>
      </w:r>
      <w:r w:rsidR="007169DE" w:rsidRPr="00172BFB">
        <w:rPr>
          <w:rFonts w:asciiTheme="majorHAnsi" w:hAnsiTheme="majorHAnsi" w:cstheme="majorHAnsi"/>
        </w:rPr>
        <w:t xml:space="preserve"> × </w:t>
      </w:r>
      <w:r w:rsidRPr="00172BFB">
        <w:rPr>
          <w:rFonts w:asciiTheme="majorHAnsi" w:hAnsiTheme="majorHAnsi" w:cstheme="majorHAnsi"/>
        </w:rPr>
        <w:t>10</w:t>
      </w:r>
      <w:r w:rsidRPr="00172BFB">
        <w:rPr>
          <w:rFonts w:asciiTheme="majorHAnsi" w:hAnsiTheme="majorHAnsi" w:cstheme="majorHAnsi"/>
          <w:vertAlign w:val="superscript"/>
        </w:rPr>
        <w:t>6</w:t>
      </w:r>
      <w:r w:rsidRPr="00172BFB">
        <w:rPr>
          <w:rFonts w:asciiTheme="majorHAnsi" w:hAnsiTheme="majorHAnsi" w:cstheme="majorHAnsi"/>
        </w:rPr>
        <w:t xml:space="preserve"> cells per tumor in CD45.1 mice and kept an aliquot of cells to culture </w:t>
      </w:r>
      <w:r w:rsidRPr="00172BFB">
        <w:rPr>
          <w:rFonts w:asciiTheme="majorHAnsi" w:hAnsiTheme="majorHAnsi" w:cstheme="majorHAnsi"/>
          <w:i/>
          <w:iCs/>
        </w:rPr>
        <w:t>in vitro</w:t>
      </w:r>
      <w:r w:rsidRPr="00172BFB">
        <w:rPr>
          <w:rFonts w:asciiTheme="majorHAnsi" w:hAnsiTheme="majorHAnsi" w:cstheme="majorHAnsi"/>
        </w:rPr>
        <w:t xml:space="preserve"> for comparison. We evaluated reprogramming efficiency by flow cytometry, gating live </w:t>
      </w:r>
      <w:proofErr w:type="spellStart"/>
      <w:r w:rsidRPr="00172BFB">
        <w:rPr>
          <w:rFonts w:asciiTheme="majorHAnsi" w:hAnsiTheme="majorHAnsi" w:cstheme="majorHAnsi"/>
        </w:rPr>
        <w:t>mCherry</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and CD45.1</w:t>
      </w:r>
      <w:r w:rsidRPr="00172BFB">
        <w:rPr>
          <w:rFonts w:asciiTheme="majorHAnsi" w:hAnsiTheme="majorHAnsi" w:cstheme="majorHAnsi"/>
          <w:vertAlign w:val="superscript"/>
        </w:rPr>
        <w:t>-</w:t>
      </w:r>
      <w:r w:rsidRPr="00172BFB">
        <w:rPr>
          <w:rFonts w:asciiTheme="majorHAnsi" w:hAnsiTheme="majorHAnsi" w:cstheme="majorHAnsi"/>
        </w:rPr>
        <w:t xml:space="preserve"> cells to exclude host immune cells that have engulfed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or </w:t>
      </w:r>
      <w:proofErr w:type="spellStart"/>
      <w:r w:rsidRPr="00172BFB">
        <w:rPr>
          <w:rFonts w:asciiTheme="majorHAnsi" w:hAnsiTheme="majorHAnsi" w:cstheme="majorHAnsi"/>
        </w:rPr>
        <w:t>mCherry</w:t>
      </w:r>
      <w:proofErr w:type="spellEnd"/>
      <w:r w:rsidRPr="00172BFB">
        <w:rPr>
          <w:rFonts w:asciiTheme="majorHAnsi" w:hAnsiTheme="majorHAnsi" w:cstheme="majorHAnsi"/>
        </w:rPr>
        <w:t xml:space="preserve"> (</w:t>
      </w:r>
      <w:r w:rsidRPr="00172BFB">
        <w:rPr>
          <w:rFonts w:asciiTheme="majorHAnsi" w:hAnsiTheme="majorHAnsi" w:cstheme="majorHAnsi"/>
          <w:b/>
        </w:rPr>
        <w:t>Figure 3B</w:t>
      </w:r>
      <w:r w:rsidRPr="00172BFB">
        <w:rPr>
          <w:rFonts w:asciiTheme="majorHAnsi" w:hAnsiTheme="majorHAnsi" w:cstheme="majorHAnsi"/>
        </w:rPr>
        <w:t xml:space="preserve">). From days 1 to 9, we observed the gradual acquisition of CD45.2 and/or MHC-II expression, marking partially reprogrammed </w:t>
      </w:r>
      <w:r w:rsidR="008D350D" w:rsidRPr="00172BFB">
        <w:rPr>
          <w:rFonts w:asciiTheme="majorHAnsi" w:hAnsiTheme="majorHAnsi" w:cstheme="majorHAnsi"/>
        </w:rPr>
        <w:t>cDC1-like cells</w:t>
      </w:r>
      <w:r w:rsidRPr="00172BFB">
        <w:rPr>
          <w:rFonts w:asciiTheme="majorHAnsi" w:hAnsiTheme="majorHAnsi" w:cstheme="majorHAnsi"/>
        </w:rPr>
        <w:t xml:space="preserve"> (CD45.2</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or </w:t>
      </w:r>
      <w:r w:rsidRPr="00172BFB">
        <w:rPr>
          <w:rFonts w:asciiTheme="majorHAnsi" w:hAnsiTheme="majorHAnsi" w:cstheme="majorHAnsi"/>
        </w:rPr>
        <w:lastRenderedPageBreak/>
        <w:t>CD45.2</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and </w:t>
      </w:r>
      <w:r w:rsidR="008D350D" w:rsidRPr="00172BFB">
        <w:rPr>
          <w:rFonts w:asciiTheme="majorHAnsi" w:hAnsiTheme="majorHAnsi" w:cstheme="majorHAnsi"/>
        </w:rPr>
        <w:t xml:space="preserve">fully </w:t>
      </w:r>
      <w:r w:rsidRPr="00172BFB">
        <w:rPr>
          <w:rFonts w:asciiTheme="majorHAnsi" w:hAnsiTheme="majorHAnsi" w:cstheme="majorHAnsi"/>
        </w:rPr>
        <w:t xml:space="preserve">reprogrammed </w:t>
      </w:r>
      <w:r w:rsidR="008D350D" w:rsidRPr="00172BFB">
        <w:rPr>
          <w:rFonts w:asciiTheme="majorHAnsi" w:hAnsiTheme="majorHAnsi" w:cstheme="majorHAnsi"/>
        </w:rPr>
        <w:t>cDC1-like cells</w:t>
      </w:r>
      <w:r w:rsidRPr="00172BFB">
        <w:rPr>
          <w:rFonts w:asciiTheme="majorHAnsi" w:hAnsiTheme="majorHAnsi" w:cstheme="majorHAnsi"/>
        </w:rPr>
        <w:t xml:space="preserve">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w:t>
      </w:r>
      <w:r w:rsidRPr="00172BFB">
        <w:rPr>
          <w:rFonts w:asciiTheme="majorHAnsi" w:hAnsiTheme="majorHAnsi" w:cstheme="majorHAnsi"/>
          <w:b/>
        </w:rPr>
        <w:t>Figure 3C</w:t>
      </w:r>
      <w:r w:rsidRPr="00172BFB">
        <w:rPr>
          <w:rFonts w:asciiTheme="majorHAnsi" w:hAnsiTheme="majorHAnsi" w:cstheme="majorHAnsi"/>
        </w:rPr>
        <w:t xml:space="preserve">). We validated that reprogramming of mouse cancer cells </w:t>
      </w:r>
      <w:r w:rsidRPr="00172BFB">
        <w:rPr>
          <w:rFonts w:asciiTheme="majorHAnsi" w:hAnsiTheme="majorHAnsi" w:cstheme="majorHAnsi"/>
          <w:i/>
          <w:iCs/>
        </w:rPr>
        <w:t>in vivo</w:t>
      </w:r>
      <w:r w:rsidRPr="00172BFB">
        <w:rPr>
          <w:rFonts w:asciiTheme="majorHAnsi" w:hAnsiTheme="majorHAnsi" w:cstheme="majorHAnsi"/>
        </w:rPr>
        <w:t xml:space="preserve"> resulted in higher percentages of </w:t>
      </w:r>
      <w:r w:rsidR="008D350D" w:rsidRPr="00172BFB">
        <w:rPr>
          <w:rFonts w:asciiTheme="majorHAnsi" w:hAnsiTheme="majorHAnsi" w:cstheme="majorHAnsi"/>
        </w:rPr>
        <w:t>cDC1-like cells</w:t>
      </w:r>
      <w:r w:rsidRPr="00172BFB">
        <w:rPr>
          <w:rFonts w:asciiTheme="majorHAnsi" w:hAnsiTheme="majorHAnsi" w:cstheme="majorHAnsi"/>
        </w:rPr>
        <w:t xml:space="preserve"> at day 9 compared to </w:t>
      </w:r>
      <w:r w:rsidRPr="00172BFB">
        <w:rPr>
          <w:rFonts w:asciiTheme="majorHAnsi" w:hAnsiTheme="majorHAnsi" w:cstheme="majorHAnsi"/>
          <w:i/>
          <w:iCs/>
        </w:rPr>
        <w:t>in vitro</w:t>
      </w:r>
      <w:r w:rsidRPr="00172BFB">
        <w:rPr>
          <w:rFonts w:asciiTheme="majorHAnsi" w:hAnsiTheme="majorHAnsi" w:cstheme="majorHAnsi"/>
        </w:rPr>
        <w:t xml:space="preserve"> conditions (9.54 ± 1.54%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w:t>
      </w:r>
      <w:r w:rsidRPr="00172BFB">
        <w:rPr>
          <w:rFonts w:asciiTheme="majorHAnsi" w:hAnsiTheme="majorHAnsi" w:cstheme="majorHAnsi"/>
          <w:i/>
          <w:iCs/>
        </w:rPr>
        <w:t>in vivo</w:t>
      </w:r>
      <w:r w:rsidRPr="00172BFB">
        <w:rPr>
          <w:rFonts w:asciiTheme="majorHAnsi" w:hAnsiTheme="majorHAnsi" w:cstheme="majorHAnsi"/>
        </w:rPr>
        <w:t xml:space="preserve"> vs. 4.72 ± 1.1 %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w:t>
      </w:r>
      <w:r w:rsidRPr="00172BFB">
        <w:rPr>
          <w:rFonts w:asciiTheme="majorHAnsi" w:hAnsiTheme="majorHAnsi" w:cstheme="majorHAnsi"/>
          <w:i/>
          <w:iCs/>
        </w:rPr>
        <w:t>in vitro</w:t>
      </w:r>
      <w:r w:rsidRPr="00172BFB">
        <w:rPr>
          <w:rFonts w:asciiTheme="majorHAnsi" w:hAnsiTheme="majorHAnsi" w:cstheme="majorHAnsi"/>
        </w:rPr>
        <w:t>, P</w:t>
      </w:r>
      <w:r w:rsidR="007169DE" w:rsidRPr="00172BFB">
        <w:rPr>
          <w:rFonts w:asciiTheme="majorHAnsi" w:hAnsiTheme="majorHAnsi" w:cstheme="majorHAnsi"/>
        </w:rPr>
        <w:t xml:space="preserve"> </w:t>
      </w:r>
      <w:r w:rsidRPr="00172BFB">
        <w:rPr>
          <w:rFonts w:asciiTheme="majorHAnsi" w:hAnsiTheme="majorHAnsi" w:cstheme="majorHAnsi"/>
        </w:rPr>
        <w:t>=</w:t>
      </w:r>
      <w:r w:rsidR="007169DE" w:rsidRPr="00172BFB">
        <w:rPr>
          <w:rFonts w:asciiTheme="majorHAnsi" w:hAnsiTheme="majorHAnsi" w:cstheme="majorHAnsi"/>
        </w:rPr>
        <w:t xml:space="preserve"> </w:t>
      </w:r>
      <w:r w:rsidRPr="00172BFB">
        <w:rPr>
          <w:rFonts w:asciiTheme="majorHAnsi" w:hAnsiTheme="majorHAnsi" w:cstheme="majorHAnsi"/>
        </w:rPr>
        <w:t xml:space="preserve">0.018). The kinetics of reprogramming were also accelerated as we observed a higher percentage of </w:t>
      </w:r>
      <w:r w:rsidR="008D350D" w:rsidRPr="00172BFB">
        <w:rPr>
          <w:rFonts w:asciiTheme="majorHAnsi" w:hAnsiTheme="majorHAnsi" w:cstheme="majorHAnsi"/>
        </w:rPr>
        <w:t>cDC1-like cells</w:t>
      </w:r>
      <w:r w:rsidRPr="00172BFB">
        <w:rPr>
          <w:rFonts w:asciiTheme="majorHAnsi" w:hAnsiTheme="majorHAnsi" w:cstheme="majorHAnsi"/>
        </w:rPr>
        <w:t xml:space="preserve"> as early as day 4 (8.7 ± 3.3%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w:t>
      </w:r>
      <w:r w:rsidRPr="00172BFB">
        <w:rPr>
          <w:rFonts w:asciiTheme="majorHAnsi" w:hAnsiTheme="majorHAnsi" w:cstheme="majorHAnsi"/>
          <w:i/>
          <w:iCs/>
        </w:rPr>
        <w:t>in vivo</w:t>
      </w:r>
      <w:r w:rsidRPr="00172BFB">
        <w:rPr>
          <w:rFonts w:asciiTheme="majorHAnsi" w:hAnsiTheme="majorHAnsi" w:cstheme="majorHAnsi"/>
        </w:rPr>
        <w:t xml:space="preserve"> vs. 0.3 ± 0.1 %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w:t>
      </w:r>
      <w:r w:rsidRPr="00172BFB">
        <w:rPr>
          <w:rFonts w:asciiTheme="majorHAnsi" w:hAnsiTheme="majorHAnsi" w:cstheme="majorHAnsi"/>
          <w:i/>
          <w:iCs/>
        </w:rPr>
        <w:t>in vitro</w:t>
      </w:r>
      <w:r w:rsidRPr="00172BFB">
        <w:rPr>
          <w:rFonts w:asciiTheme="majorHAnsi" w:hAnsiTheme="majorHAnsi" w:cstheme="majorHAnsi"/>
        </w:rPr>
        <w:t>, P</w:t>
      </w:r>
      <w:r w:rsidR="007169DE" w:rsidRPr="00172BFB">
        <w:rPr>
          <w:rFonts w:asciiTheme="majorHAnsi" w:hAnsiTheme="majorHAnsi" w:cstheme="majorHAnsi"/>
        </w:rPr>
        <w:t xml:space="preserve"> </w:t>
      </w:r>
      <w:r w:rsidRPr="00172BFB">
        <w:rPr>
          <w:rFonts w:asciiTheme="majorHAnsi" w:hAnsiTheme="majorHAnsi" w:cstheme="majorHAnsi"/>
        </w:rPr>
        <w:t>=</w:t>
      </w:r>
      <w:r w:rsidR="007169DE" w:rsidRPr="00172BFB">
        <w:rPr>
          <w:rFonts w:asciiTheme="majorHAnsi" w:hAnsiTheme="majorHAnsi" w:cstheme="majorHAnsi"/>
        </w:rPr>
        <w:t xml:space="preserve"> </w:t>
      </w:r>
      <w:r w:rsidRPr="00172BFB">
        <w:rPr>
          <w:rFonts w:asciiTheme="majorHAnsi" w:hAnsiTheme="majorHAnsi" w:cstheme="majorHAnsi"/>
        </w:rPr>
        <w:t>0.05), indicating that the presence of environmental cues promote faster and more efficient reprogramming towards cDC1-like cells</w:t>
      </w:r>
      <w:r w:rsidRPr="00172BFB">
        <w:rPr>
          <w:rFonts w:asciiTheme="majorHAnsi" w:hAnsiTheme="majorHAnsi" w:cstheme="majorHAnsi"/>
          <w:vertAlign w:val="superscript"/>
        </w:rPr>
        <w:t>19</w:t>
      </w:r>
      <w:r w:rsidRPr="00172BFB">
        <w:rPr>
          <w:rFonts w:asciiTheme="majorHAnsi" w:hAnsiTheme="majorHAnsi" w:cstheme="majorHAnsi"/>
        </w:rPr>
        <w:t xml:space="preserve">. While </w:t>
      </w:r>
      <w:r w:rsidRPr="00172BFB">
        <w:rPr>
          <w:rFonts w:asciiTheme="majorHAnsi" w:hAnsiTheme="majorHAnsi" w:cstheme="majorHAnsi"/>
          <w:i/>
          <w:iCs/>
        </w:rPr>
        <w:t>in vitro</w:t>
      </w:r>
      <w:r w:rsidRPr="00172BFB">
        <w:rPr>
          <w:rFonts w:asciiTheme="majorHAnsi" w:hAnsiTheme="majorHAnsi" w:cstheme="majorHAnsi"/>
        </w:rPr>
        <w:t xml:space="preserve"> reprogrammed </w:t>
      </w:r>
      <w:r w:rsidR="008D350D" w:rsidRPr="00172BFB">
        <w:rPr>
          <w:rFonts w:asciiTheme="majorHAnsi" w:hAnsiTheme="majorHAnsi" w:cstheme="majorHAnsi"/>
        </w:rPr>
        <w:t>cDC1-like cells</w:t>
      </w:r>
      <w:r w:rsidRPr="00172BFB">
        <w:rPr>
          <w:rFonts w:asciiTheme="majorHAnsi" w:hAnsiTheme="majorHAnsi" w:cstheme="majorHAnsi"/>
        </w:rPr>
        <w:t xml:space="preserve"> were present until day 15, </w:t>
      </w:r>
      <w:r w:rsidRPr="00172BFB">
        <w:rPr>
          <w:rFonts w:asciiTheme="majorHAnsi" w:hAnsiTheme="majorHAnsi" w:cstheme="majorHAnsi"/>
          <w:i/>
          <w:iCs/>
        </w:rPr>
        <w:t>in vivo</w:t>
      </w:r>
      <w:r w:rsidRPr="00172BFB">
        <w:rPr>
          <w:rFonts w:asciiTheme="majorHAnsi" w:hAnsiTheme="majorHAnsi" w:cstheme="majorHAnsi"/>
        </w:rPr>
        <w:t xml:space="preserve"> cDC1-like cells persisted for 9 days, but were undetected by day 15, suggesting depletion from the TME by the host immune system (</w:t>
      </w:r>
      <w:r w:rsidRPr="00172BFB">
        <w:rPr>
          <w:rFonts w:asciiTheme="majorHAnsi" w:hAnsiTheme="majorHAnsi" w:cstheme="majorHAnsi"/>
          <w:b/>
        </w:rPr>
        <w:t>Figure 3C</w:t>
      </w:r>
      <w:r w:rsidRPr="00172BFB">
        <w:rPr>
          <w:rFonts w:asciiTheme="majorHAnsi" w:hAnsiTheme="majorHAnsi" w:cstheme="majorHAnsi"/>
        </w:rPr>
        <w:t>).</w:t>
      </w:r>
    </w:p>
    <w:p w14:paraId="21306144" w14:textId="77777777" w:rsidR="004D2710" w:rsidRPr="00172BFB" w:rsidRDefault="004D2710" w:rsidP="00172BFB">
      <w:pPr>
        <w:ind w:left="142"/>
        <w:rPr>
          <w:rFonts w:asciiTheme="majorHAnsi" w:hAnsiTheme="majorHAnsi" w:cstheme="majorHAnsi"/>
        </w:rPr>
      </w:pPr>
    </w:p>
    <w:p w14:paraId="58102406" w14:textId="5A21E08A"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Lastly, we aimed to characterize early changes of the TME </w:t>
      </w:r>
      <w:proofErr w:type="gramStart"/>
      <w:r w:rsidRPr="00172BFB">
        <w:rPr>
          <w:rFonts w:asciiTheme="majorHAnsi" w:hAnsiTheme="majorHAnsi" w:cstheme="majorHAnsi"/>
        </w:rPr>
        <w:t>as a result of</w:t>
      </w:r>
      <w:proofErr w:type="gramEnd"/>
      <w:r w:rsidRPr="00172BFB">
        <w:rPr>
          <w:rFonts w:asciiTheme="majorHAnsi" w:hAnsiTheme="majorHAnsi" w:cstheme="majorHAnsi"/>
        </w:rPr>
        <w:t xml:space="preserve"> </w:t>
      </w:r>
      <w:r w:rsidRPr="00172BFB">
        <w:rPr>
          <w:rFonts w:asciiTheme="majorHAnsi" w:hAnsiTheme="majorHAnsi" w:cstheme="majorHAnsi"/>
          <w:i/>
          <w:iCs/>
        </w:rPr>
        <w:t>in vivo</w:t>
      </w:r>
      <w:r w:rsidRPr="00172BFB">
        <w:rPr>
          <w:rFonts w:asciiTheme="majorHAnsi" w:hAnsiTheme="majorHAnsi" w:cstheme="majorHAnsi"/>
        </w:rPr>
        <w:t xml:space="preserve"> cDC1 reprogramming in the first 9 days. We performed immunofluorescence staining of cryopreserved and sectioned tumor tissues from both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and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tumors after 3 and 9 days </w:t>
      </w:r>
      <w:proofErr w:type="gramStart"/>
      <w:r w:rsidRPr="00172BFB">
        <w:rPr>
          <w:rFonts w:asciiTheme="majorHAnsi" w:hAnsiTheme="majorHAnsi" w:cstheme="majorHAnsi"/>
        </w:rPr>
        <w:t xml:space="preserve">of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reprogramming, focusing on the infiltration of immune cells marked by the pan-hematopoietic marker CD45. Notably, cDC1-like cells recruited significantly more CD45 cells to the TME readily on day 3, compared to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tumors (49.6 ± 17.0 vs. 8.0 ± 5.8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mean fluorescence intensity of CD45 staining per tumor area; </w:t>
      </w:r>
      <w:r w:rsidRPr="00172BFB">
        <w:rPr>
          <w:rFonts w:asciiTheme="majorHAnsi" w:hAnsiTheme="majorHAnsi" w:cstheme="majorHAnsi"/>
          <w:b/>
        </w:rPr>
        <w:t>Figure 4</w:t>
      </w:r>
      <w:proofErr w:type="gramStart"/>
      <w:r w:rsidRPr="00172BFB">
        <w:rPr>
          <w:rFonts w:asciiTheme="majorHAnsi" w:hAnsiTheme="majorHAnsi" w:cstheme="majorHAnsi"/>
          <w:b/>
        </w:rPr>
        <w:t>A,B</w:t>
      </w:r>
      <w:proofErr w:type="gramEnd"/>
      <w:r w:rsidRPr="00172BFB">
        <w:rPr>
          <w:rFonts w:asciiTheme="majorHAnsi" w:hAnsiTheme="majorHAnsi" w:cstheme="majorHAnsi"/>
        </w:rPr>
        <w:t xml:space="preserve">). Interestingly, we detected TLS within the TME of tumors after 9 days </w:t>
      </w:r>
      <w:proofErr w:type="gramStart"/>
      <w:r w:rsidRPr="00172BFB">
        <w:rPr>
          <w:rFonts w:asciiTheme="majorHAnsi" w:hAnsiTheme="majorHAnsi" w:cstheme="majorHAnsi"/>
        </w:rPr>
        <w:t xml:space="preserve">of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reprogramming. This suggests that cDC1-like cells can rapidly remodel the TME from an “immune-cold” to an “immune-hot” environment within 3 days, which then subsequently leads to TLS formation on day 9.</w:t>
      </w:r>
    </w:p>
    <w:p w14:paraId="7E42EE77" w14:textId="77777777" w:rsidR="004D2710" w:rsidRPr="00172BFB" w:rsidRDefault="004D2710" w:rsidP="00172BFB">
      <w:pPr>
        <w:ind w:left="142"/>
        <w:rPr>
          <w:rFonts w:asciiTheme="majorHAnsi" w:hAnsiTheme="majorHAnsi" w:cstheme="majorHAnsi"/>
        </w:rPr>
      </w:pPr>
    </w:p>
    <w:p w14:paraId="68C347D6"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FIGURE AND TABLE LEGENDS:</w:t>
      </w:r>
      <w:r w:rsidRPr="00172BFB">
        <w:rPr>
          <w:rFonts w:asciiTheme="majorHAnsi" w:hAnsiTheme="majorHAnsi" w:cstheme="majorHAnsi"/>
        </w:rPr>
        <w:t xml:space="preserve"> </w:t>
      </w:r>
    </w:p>
    <w:p w14:paraId="26A7B948" w14:textId="77777777" w:rsidR="004D2710" w:rsidRPr="00172BFB" w:rsidRDefault="004D2710" w:rsidP="00172BFB">
      <w:pPr>
        <w:ind w:left="142"/>
        <w:rPr>
          <w:rFonts w:asciiTheme="majorHAnsi" w:hAnsiTheme="majorHAnsi" w:cstheme="majorHAnsi"/>
        </w:rPr>
      </w:pPr>
    </w:p>
    <w:p w14:paraId="2560CCEE" w14:textId="3A014596" w:rsidR="004D2710" w:rsidRPr="00172BFB" w:rsidRDefault="00172BFB" w:rsidP="00172BFB">
      <w:pPr>
        <w:ind w:left="142"/>
        <w:rPr>
          <w:rFonts w:asciiTheme="majorHAnsi" w:hAnsiTheme="majorHAnsi" w:cstheme="majorHAnsi"/>
        </w:rPr>
      </w:pPr>
      <w:r w:rsidRPr="00172BFB">
        <w:rPr>
          <w:rFonts w:asciiTheme="majorHAnsi" w:hAnsiTheme="majorHAnsi" w:cstheme="majorHAnsi"/>
          <w:b/>
        </w:rPr>
        <w:t>Figure 1</w:t>
      </w:r>
      <w:r w:rsidR="000E2066" w:rsidRPr="00172BFB">
        <w:rPr>
          <w:rFonts w:asciiTheme="majorHAnsi" w:hAnsiTheme="majorHAnsi" w:cstheme="majorHAnsi"/>
          <w:b/>
        </w:rPr>
        <w:t>:</w:t>
      </w:r>
      <w:r w:rsidRPr="00172BFB">
        <w:rPr>
          <w:rFonts w:asciiTheme="majorHAnsi" w:hAnsiTheme="majorHAnsi" w:cstheme="majorHAnsi"/>
          <w:b/>
        </w:rPr>
        <w:t xml:space="preserve"> Protocol overview to generate cDC1-like cells </w:t>
      </w:r>
      <w:proofErr w:type="gramStart"/>
      <w:r w:rsidRPr="00172BFB">
        <w:rPr>
          <w:rFonts w:asciiTheme="majorHAnsi" w:hAnsiTheme="majorHAnsi" w:cstheme="majorHAnsi"/>
          <w:b/>
        </w:rPr>
        <w:t xml:space="preserve">by </w:t>
      </w:r>
      <w:r w:rsidRPr="00172BFB">
        <w:rPr>
          <w:rFonts w:asciiTheme="majorHAnsi" w:hAnsiTheme="majorHAnsi" w:cstheme="majorHAnsi"/>
          <w:b/>
          <w:i/>
          <w:iCs/>
        </w:rPr>
        <w:t>in</w:t>
      </w:r>
      <w:proofErr w:type="gramEnd"/>
      <w:r w:rsidRPr="00172BFB">
        <w:rPr>
          <w:rFonts w:asciiTheme="majorHAnsi" w:hAnsiTheme="majorHAnsi" w:cstheme="majorHAnsi"/>
          <w:b/>
          <w:i/>
          <w:iCs/>
        </w:rPr>
        <w:t xml:space="preserve"> vivo</w:t>
      </w:r>
      <w:r w:rsidRPr="00172BFB">
        <w:rPr>
          <w:rFonts w:asciiTheme="majorHAnsi" w:hAnsiTheme="majorHAnsi" w:cstheme="majorHAnsi"/>
          <w:b/>
        </w:rPr>
        <w:t xml:space="preserve"> reprogramming of cancer cells.</w:t>
      </w:r>
      <w:r w:rsidRPr="00172BFB">
        <w:rPr>
          <w:rFonts w:asciiTheme="majorHAnsi" w:hAnsiTheme="majorHAnsi" w:cstheme="majorHAnsi"/>
        </w:rPr>
        <w:t xml:space="preserve"> Lentiviral vectors SFFV-PIB-IRES-</w:t>
      </w:r>
      <w:proofErr w:type="spellStart"/>
      <w:r w:rsidRPr="00172BFB">
        <w:rPr>
          <w:rFonts w:asciiTheme="majorHAnsi" w:hAnsiTheme="majorHAnsi" w:cstheme="majorHAnsi"/>
        </w:rPr>
        <w:t>eGFP</w:t>
      </w:r>
      <w:proofErr w:type="spellEnd"/>
      <w:r w:rsidR="00522F04" w:rsidRPr="00172BFB">
        <w:rPr>
          <w:rFonts w:asciiTheme="majorHAnsi" w:hAnsiTheme="majorHAnsi" w:cstheme="majorHAnsi"/>
        </w:rPr>
        <w:t>—</w:t>
      </w:r>
      <w:r w:rsidRPr="00172BFB">
        <w:rPr>
          <w:rFonts w:asciiTheme="majorHAnsi" w:hAnsiTheme="majorHAnsi" w:cstheme="majorHAnsi"/>
        </w:rPr>
        <w:t xml:space="preserve">encoding PU.1, IRF8, and BATF3 in a polycistronic cassette under the control of the spleen focus-forming virus promoter (SFFV) and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after an internal ribosome entry site (IRES) to track transduced cells by flow cytometry and fluorescence </w:t>
      </w:r>
      <w:r w:rsidR="00522F04" w:rsidRPr="00172BFB">
        <w:rPr>
          <w:rFonts w:asciiTheme="majorHAnsi" w:hAnsiTheme="majorHAnsi" w:cstheme="majorHAnsi"/>
        </w:rPr>
        <w:t>microscopy—</w:t>
      </w:r>
      <w:r w:rsidRPr="00172BFB">
        <w:rPr>
          <w:rFonts w:asciiTheme="majorHAnsi" w:hAnsiTheme="majorHAnsi" w:cstheme="majorHAnsi"/>
        </w:rPr>
        <w:t xml:space="preserve">are produced in the HEK 293T packaging cell line. Then, lentiviral vectors are ultracentrifuged and functionally titrated to determine the amount of virus required for transducing cancer cells in a ratio of 1:1 transduced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to </w:t>
      </w:r>
      <w:proofErr w:type="spellStart"/>
      <w:r w:rsidRPr="00172BFB">
        <w:rPr>
          <w:rFonts w:asciiTheme="majorHAnsi" w:hAnsiTheme="majorHAnsi" w:cstheme="majorHAnsi"/>
        </w:rPr>
        <w:t>untransduced</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For </w:t>
      </w:r>
      <w:r w:rsidRPr="00172BFB">
        <w:rPr>
          <w:rFonts w:asciiTheme="majorHAnsi" w:hAnsiTheme="majorHAnsi" w:cstheme="majorHAnsi"/>
          <w:i/>
          <w:iCs/>
        </w:rPr>
        <w:t xml:space="preserve">in vivo </w:t>
      </w:r>
      <w:r w:rsidRPr="00172BFB">
        <w:rPr>
          <w:rFonts w:asciiTheme="majorHAnsi" w:hAnsiTheme="majorHAnsi" w:cstheme="majorHAnsi"/>
        </w:rPr>
        <w:t xml:space="preserve">reprogramming experiments, cancer cells are plated with the optimal amount of lentivirus on day -1. The next day, this 1:1 mix of transduced GFP⁺ and </w:t>
      </w:r>
      <w:proofErr w:type="spellStart"/>
      <w:r w:rsidRPr="00172BFB">
        <w:rPr>
          <w:rFonts w:asciiTheme="majorHAnsi" w:hAnsiTheme="majorHAnsi" w:cstheme="majorHAnsi"/>
        </w:rPr>
        <w:t>untransduced</w:t>
      </w:r>
      <w:proofErr w:type="spellEnd"/>
      <w:r w:rsidRPr="00172BFB">
        <w:rPr>
          <w:rFonts w:asciiTheme="majorHAnsi" w:hAnsiTheme="majorHAnsi" w:cstheme="majorHAnsi"/>
        </w:rPr>
        <w:t xml:space="preserve"> GFP⁻ cells is washed and collected for subcutaneous tumor establishment in mice. Parallel </w:t>
      </w:r>
      <w:r w:rsidRPr="00172BFB">
        <w:rPr>
          <w:rFonts w:asciiTheme="majorHAnsi" w:hAnsiTheme="majorHAnsi" w:cstheme="majorHAnsi"/>
          <w:i/>
          <w:iCs/>
        </w:rPr>
        <w:t>in vitro</w:t>
      </w:r>
      <w:r w:rsidRPr="00172BFB">
        <w:rPr>
          <w:rFonts w:asciiTheme="majorHAnsi" w:hAnsiTheme="majorHAnsi" w:cstheme="majorHAnsi"/>
        </w:rPr>
        <w:t xml:space="preserve"> cultures are maintained to validate transduction on day 3 by flow cytometry. Animals are monitored every 2</w:t>
      </w:r>
      <w:r w:rsidR="00522F04" w:rsidRPr="00172BFB">
        <w:rPr>
          <w:rFonts w:asciiTheme="majorHAnsi" w:hAnsiTheme="majorHAnsi" w:cstheme="majorHAnsi"/>
        </w:rPr>
        <w:t>–</w:t>
      </w:r>
      <w:r w:rsidRPr="00172BFB">
        <w:rPr>
          <w:rFonts w:asciiTheme="majorHAnsi" w:hAnsiTheme="majorHAnsi" w:cstheme="majorHAnsi"/>
        </w:rPr>
        <w:t xml:space="preserve">3 days for tumor growth and survival. Tumors are collected at defined time points, dissociated and stained for surface marker expression for flow cytometry analysis. Alternatively, whole tissues are fixed, cryopreserved, and sectioned for immunofluorescence staining and confocal microscopy analysis. </w:t>
      </w:r>
      <w:r w:rsidRPr="00172BFB">
        <w:rPr>
          <w:rFonts w:asciiTheme="majorHAnsi" w:hAnsiTheme="majorHAnsi" w:cstheme="majorHAnsi"/>
          <w:i/>
          <w:iCs/>
        </w:rPr>
        <w:t>In vivo</w:t>
      </w:r>
      <w:r w:rsidRPr="00172BFB">
        <w:rPr>
          <w:rFonts w:asciiTheme="majorHAnsi" w:hAnsiTheme="majorHAnsi" w:cstheme="majorHAnsi"/>
        </w:rPr>
        <w:t xml:space="preserve"> reprogramming efficiency is evaluated by flow cytometry analysis, while changes in the tumor microenvironment are characterized by confocal imaging.</w:t>
      </w:r>
    </w:p>
    <w:p w14:paraId="0DA27BD0" w14:textId="77777777" w:rsidR="004D2710" w:rsidRPr="00172BFB" w:rsidRDefault="004D2710" w:rsidP="00172BFB">
      <w:pPr>
        <w:ind w:left="142"/>
        <w:rPr>
          <w:rFonts w:asciiTheme="majorHAnsi" w:hAnsiTheme="majorHAnsi" w:cstheme="majorHAnsi"/>
        </w:rPr>
      </w:pPr>
    </w:p>
    <w:p w14:paraId="6D5CD193" w14:textId="2CA37573" w:rsidR="004D2710" w:rsidRPr="00172BFB" w:rsidRDefault="00172BFB" w:rsidP="00172BFB">
      <w:pPr>
        <w:ind w:left="142"/>
        <w:rPr>
          <w:rFonts w:asciiTheme="majorHAnsi" w:hAnsiTheme="majorHAnsi" w:cstheme="majorHAnsi"/>
          <w:b/>
        </w:rPr>
      </w:pPr>
      <w:r w:rsidRPr="00172BFB">
        <w:rPr>
          <w:rFonts w:asciiTheme="majorHAnsi" w:hAnsiTheme="majorHAnsi" w:cstheme="majorHAnsi"/>
          <w:b/>
        </w:rPr>
        <w:t>Figure 2</w:t>
      </w:r>
      <w:r w:rsidR="000E2066" w:rsidRPr="00172BFB">
        <w:rPr>
          <w:rFonts w:asciiTheme="majorHAnsi" w:hAnsiTheme="majorHAnsi" w:cstheme="majorHAnsi"/>
          <w:b/>
        </w:rPr>
        <w:t>:</w:t>
      </w:r>
      <w:r w:rsidRPr="00172BFB">
        <w:rPr>
          <w:rFonts w:asciiTheme="majorHAnsi" w:hAnsiTheme="majorHAnsi" w:cstheme="majorHAnsi"/>
          <w:b/>
        </w:rPr>
        <w:t xml:space="preserve"> Production and functional titration of lentivirus </w:t>
      </w:r>
      <w:proofErr w:type="gramStart"/>
      <w:r w:rsidRPr="00172BFB">
        <w:rPr>
          <w:rFonts w:asciiTheme="majorHAnsi" w:hAnsiTheme="majorHAnsi" w:cstheme="majorHAnsi"/>
          <w:b/>
        </w:rPr>
        <w:t xml:space="preserve">for </w:t>
      </w:r>
      <w:r w:rsidRPr="00172BFB">
        <w:rPr>
          <w:rFonts w:asciiTheme="majorHAnsi" w:hAnsiTheme="majorHAnsi" w:cstheme="majorHAnsi"/>
          <w:b/>
          <w:i/>
          <w:iCs/>
        </w:rPr>
        <w:t>in</w:t>
      </w:r>
      <w:proofErr w:type="gramEnd"/>
      <w:r w:rsidRPr="00172BFB">
        <w:rPr>
          <w:rFonts w:asciiTheme="majorHAnsi" w:hAnsiTheme="majorHAnsi" w:cstheme="majorHAnsi"/>
          <w:b/>
          <w:i/>
          <w:iCs/>
        </w:rPr>
        <w:t xml:space="preserve"> vivo</w:t>
      </w:r>
      <w:r w:rsidRPr="00172BFB">
        <w:rPr>
          <w:rFonts w:asciiTheme="majorHAnsi" w:hAnsiTheme="majorHAnsi" w:cstheme="majorHAnsi"/>
          <w:b/>
        </w:rPr>
        <w:t xml:space="preserve"> cDC1 reprogramming. (A)</w:t>
      </w:r>
      <w:r w:rsidRPr="00172BFB">
        <w:rPr>
          <w:rFonts w:asciiTheme="majorHAnsi" w:hAnsiTheme="majorHAnsi" w:cstheme="majorHAnsi"/>
        </w:rPr>
        <w:t xml:space="preserve"> When HEK 293T cells reach ~70</w:t>
      </w:r>
      <w:r w:rsidR="000E2066" w:rsidRPr="00172BFB">
        <w:rPr>
          <w:rFonts w:asciiTheme="majorHAnsi" w:hAnsiTheme="majorHAnsi" w:cstheme="majorHAnsi"/>
        </w:rPr>
        <w:t>–</w:t>
      </w:r>
      <w:r w:rsidRPr="00172BFB">
        <w:rPr>
          <w:rFonts w:asciiTheme="majorHAnsi" w:hAnsiTheme="majorHAnsi" w:cstheme="majorHAnsi"/>
        </w:rPr>
        <w:t xml:space="preserve">80% confluency, they are transfected with a mixture containing 10 </w:t>
      </w:r>
      <w:proofErr w:type="spellStart"/>
      <w:r w:rsidRPr="00172BFB">
        <w:rPr>
          <w:rFonts w:asciiTheme="majorHAnsi" w:hAnsiTheme="majorHAnsi" w:cstheme="majorHAnsi"/>
        </w:rPr>
        <w:t>μg</w:t>
      </w:r>
      <w:proofErr w:type="spellEnd"/>
      <w:r w:rsidRPr="00172BFB">
        <w:rPr>
          <w:rFonts w:asciiTheme="majorHAnsi" w:hAnsiTheme="majorHAnsi" w:cstheme="majorHAnsi"/>
        </w:rPr>
        <w:t xml:space="preserve"> of transfer plasmid either SFFV-PIB-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or empty lentiviral vector control </w:t>
      </w:r>
      <w:r w:rsidRPr="00172BFB">
        <w:rPr>
          <w:rFonts w:asciiTheme="majorHAnsi" w:hAnsiTheme="majorHAnsi" w:cstheme="majorHAnsi"/>
        </w:rPr>
        <w:lastRenderedPageBreak/>
        <w:t>SFFV-</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along with 7.5 </w:t>
      </w:r>
      <w:proofErr w:type="spellStart"/>
      <w:r w:rsidRPr="00172BFB">
        <w:rPr>
          <w:rFonts w:asciiTheme="majorHAnsi" w:hAnsiTheme="majorHAnsi" w:cstheme="majorHAnsi"/>
        </w:rPr>
        <w:t>μg</w:t>
      </w:r>
      <w:proofErr w:type="spellEnd"/>
      <w:r w:rsidRPr="00172BFB">
        <w:rPr>
          <w:rFonts w:asciiTheme="majorHAnsi" w:hAnsiTheme="majorHAnsi" w:cstheme="majorHAnsi"/>
        </w:rPr>
        <w:t xml:space="preserve"> </w:t>
      </w:r>
      <w:r w:rsidR="000E2066" w:rsidRPr="00172BFB">
        <w:rPr>
          <w:rFonts w:asciiTheme="majorHAnsi" w:hAnsiTheme="majorHAnsi" w:cstheme="majorHAnsi"/>
        </w:rPr>
        <w:t xml:space="preserve">of </w:t>
      </w:r>
      <w:r w:rsidRPr="00172BFB">
        <w:rPr>
          <w:rFonts w:asciiTheme="majorHAnsi" w:hAnsiTheme="majorHAnsi" w:cstheme="majorHAnsi"/>
        </w:rPr>
        <w:t>psPAX2, and 2.5</w:t>
      </w:r>
      <w:r w:rsidR="000E2066" w:rsidRPr="00172BFB">
        <w:rPr>
          <w:rFonts w:asciiTheme="majorHAnsi" w:hAnsiTheme="majorHAnsi" w:cstheme="majorHAnsi"/>
        </w:rPr>
        <w:t xml:space="preserve"> </w:t>
      </w:r>
      <w:proofErr w:type="spellStart"/>
      <w:r w:rsidRPr="00172BFB">
        <w:rPr>
          <w:rFonts w:asciiTheme="majorHAnsi" w:hAnsiTheme="majorHAnsi" w:cstheme="majorHAnsi"/>
        </w:rPr>
        <w:t>μg</w:t>
      </w:r>
      <w:proofErr w:type="spellEnd"/>
      <w:r w:rsidRPr="00172BFB">
        <w:rPr>
          <w:rFonts w:asciiTheme="majorHAnsi" w:hAnsiTheme="majorHAnsi" w:cstheme="majorHAnsi"/>
        </w:rPr>
        <w:t xml:space="preserve"> </w:t>
      </w:r>
      <w:r w:rsidR="000E2066" w:rsidRPr="00172BFB">
        <w:rPr>
          <w:rFonts w:asciiTheme="majorHAnsi" w:hAnsiTheme="majorHAnsi" w:cstheme="majorHAnsi"/>
        </w:rPr>
        <w:t xml:space="preserve">of </w:t>
      </w:r>
      <w:r w:rsidRPr="00172BFB">
        <w:rPr>
          <w:rFonts w:asciiTheme="majorHAnsi" w:hAnsiTheme="majorHAnsi" w:cstheme="majorHAnsi"/>
        </w:rPr>
        <w:t xml:space="preserve">mPD2.G and 60 µL </w:t>
      </w:r>
      <w:r w:rsidR="000E2066" w:rsidRPr="00172BFB">
        <w:rPr>
          <w:rFonts w:asciiTheme="majorHAnsi" w:hAnsiTheme="majorHAnsi" w:cstheme="majorHAnsi"/>
        </w:rPr>
        <w:t xml:space="preserve">of </w:t>
      </w:r>
      <w:r w:rsidRPr="00172BFB">
        <w:rPr>
          <w:rFonts w:asciiTheme="majorHAnsi" w:hAnsiTheme="majorHAnsi" w:cstheme="majorHAnsi"/>
        </w:rPr>
        <w:t xml:space="preserve">1 mg/mL PEI. Brightfield and fluorescence microscopy images of HEK 293T cells showing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expression 24 h post</w:t>
      </w:r>
      <w:r w:rsidR="000E2066" w:rsidRPr="00172BFB">
        <w:rPr>
          <w:rFonts w:asciiTheme="majorHAnsi" w:hAnsiTheme="majorHAnsi" w:cstheme="majorHAnsi"/>
        </w:rPr>
        <w:t xml:space="preserve"> </w:t>
      </w:r>
      <w:r w:rsidRPr="00172BFB">
        <w:rPr>
          <w:rFonts w:asciiTheme="majorHAnsi" w:hAnsiTheme="majorHAnsi" w:cstheme="majorHAnsi"/>
        </w:rPr>
        <w:t xml:space="preserve">transfection, indicating successful plasmid delivery. Scale bars </w:t>
      </w:r>
      <w:r w:rsidR="000E2066" w:rsidRPr="00172BFB">
        <w:rPr>
          <w:rFonts w:asciiTheme="majorHAnsi" w:hAnsiTheme="majorHAnsi" w:cstheme="majorHAnsi"/>
        </w:rPr>
        <w:t>=</w:t>
      </w:r>
      <w:r w:rsidRPr="00172BFB">
        <w:rPr>
          <w:rFonts w:asciiTheme="majorHAnsi" w:hAnsiTheme="majorHAnsi" w:cstheme="majorHAnsi"/>
        </w:rPr>
        <w:t xml:space="preserve"> 200 µm. </w:t>
      </w:r>
      <w:r w:rsidRPr="00172BFB">
        <w:rPr>
          <w:rFonts w:asciiTheme="majorHAnsi" w:hAnsiTheme="majorHAnsi" w:cstheme="majorHAnsi"/>
          <w:b/>
        </w:rPr>
        <w:t>(B)</w:t>
      </w:r>
      <w:r w:rsidRPr="00172BFB">
        <w:rPr>
          <w:rFonts w:asciiTheme="majorHAnsi" w:hAnsiTheme="majorHAnsi" w:cstheme="majorHAnsi"/>
        </w:rPr>
        <w:t xml:space="preserve"> Schematic representation of the ultracentrifugation workflow to concentrate lentivirus. The lentivirus-containing supernatant of HEK 293T cells is collected 48</w:t>
      </w:r>
      <w:r w:rsidR="00181AF8" w:rsidRPr="00172BFB">
        <w:rPr>
          <w:rFonts w:asciiTheme="majorHAnsi" w:hAnsiTheme="majorHAnsi" w:cstheme="majorHAnsi"/>
        </w:rPr>
        <w:t xml:space="preserve"> h</w:t>
      </w:r>
      <w:r w:rsidRPr="00172BFB">
        <w:rPr>
          <w:rFonts w:asciiTheme="majorHAnsi" w:hAnsiTheme="majorHAnsi" w:cstheme="majorHAnsi"/>
        </w:rPr>
        <w:t xml:space="preserve"> and 60 h post</w:t>
      </w:r>
      <w:r w:rsidR="00181AF8" w:rsidRPr="00172BFB">
        <w:rPr>
          <w:rFonts w:asciiTheme="majorHAnsi" w:hAnsiTheme="majorHAnsi" w:cstheme="majorHAnsi"/>
        </w:rPr>
        <w:t xml:space="preserve"> </w:t>
      </w:r>
      <w:r w:rsidRPr="00172BFB">
        <w:rPr>
          <w:rFonts w:asciiTheme="majorHAnsi" w:hAnsiTheme="majorHAnsi" w:cstheme="majorHAnsi"/>
        </w:rPr>
        <w:t>transfection, filtered through 0.45</w:t>
      </w:r>
      <w:r w:rsidR="00181AF8" w:rsidRPr="00172BFB">
        <w:rPr>
          <w:rFonts w:asciiTheme="majorHAnsi" w:hAnsiTheme="majorHAnsi" w:cstheme="majorHAnsi"/>
        </w:rPr>
        <w:t xml:space="preserve"> µm</w:t>
      </w:r>
      <w:r w:rsidRPr="00172BFB">
        <w:rPr>
          <w:rFonts w:asciiTheme="majorHAnsi" w:hAnsiTheme="majorHAnsi" w:cstheme="majorHAnsi"/>
        </w:rPr>
        <w:t xml:space="preserve"> low-protein binding PES filter, and 37</w:t>
      </w:r>
      <w:r w:rsidRPr="00172BFB">
        <w:rPr>
          <w:rFonts w:asciiTheme="majorHAnsi" w:hAnsiTheme="majorHAnsi" w:cstheme="majorHAnsi"/>
          <w:i/>
        </w:rPr>
        <w:t xml:space="preserve"> </w:t>
      </w:r>
      <w:r w:rsidRPr="00172BFB">
        <w:rPr>
          <w:rFonts w:asciiTheme="majorHAnsi" w:hAnsiTheme="majorHAnsi" w:cstheme="majorHAnsi"/>
        </w:rPr>
        <w:t>g</w:t>
      </w:r>
      <w:r w:rsidRPr="00172BFB">
        <w:rPr>
          <w:rFonts w:asciiTheme="majorHAnsi" w:hAnsiTheme="majorHAnsi" w:cstheme="majorHAnsi"/>
          <w:i/>
        </w:rPr>
        <w:t xml:space="preserve"> </w:t>
      </w:r>
      <w:r w:rsidRPr="00172BFB">
        <w:rPr>
          <w:rFonts w:asciiTheme="majorHAnsi" w:hAnsiTheme="majorHAnsi" w:cstheme="majorHAnsi"/>
        </w:rPr>
        <w:t xml:space="preserve">are weighed in Open-Top </w:t>
      </w:r>
      <w:proofErr w:type="spellStart"/>
      <w:r w:rsidRPr="00172BFB">
        <w:rPr>
          <w:rFonts w:asciiTheme="majorHAnsi" w:hAnsiTheme="majorHAnsi" w:cstheme="majorHAnsi"/>
        </w:rPr>
        <w:t>Thinwall</w:t>
      </w:r>
      <w:proofErr w:type="spellEnd"/>
      <w:r w:rsidRPr="00172BFB">
        <w:rPr>
          <w:rFonts w:asciiTheme="majorHAnsi" w:hAnsiTheme="majorHAnsi" w:cstheme="majorHAnsi"/>
        </w:rPr>
        <w:t xml:space="preserve"> Polypropylene Tubes using a bench scale. Tubes are ultracentrifuged in a</w:t>
      </w:r>
      <w:r w:rsidR="00181AF8" w:rsidRPr="00172BFB">
        <w:rPr>
          <w:rFonts w:asciiTheme="majorHAnsi" w:hAnsiTheme="majorHAnsi" w:cstheme="majorHAnsi"/>
        </w:rPr>
        <w:t xml:space="preserve"> </w:t>
      </w:r>
      <w:r w:rsidRPr="00172BFB">
        <w:rPr>
          <w:rFonts w:asciiTheme="majorHAnsi" w:hAnsiTheme="majorHAnsi" w:cstheme="majorHAnsi"/>
        </w:rPr>
        <w:t xml:space="preserve">Swinging-Bucket Rotor, the supernatant is aspirated, and the pellet dried for 5 min. Pellets are then resuspended in ice-cold DMEM containing HEPES and incubated overnight before aliquoting and storing at -80 °C. </w:t>
      </w:r>
      <w:r w:rsidRPr="00172BFB">
        <w:rPr>
          <w:rFonts w:asciiTheme="majorHAnsi" w:hAnsiTheme="majorHAnsi" w:cstheme="majorHAnsi"/>
          <w:b/>
        </w:rPr>
        <w:t>(C)</w:t>
      </w:r>
      <w:r w:rsidRPr="00172BFB">
        <w:rPr>
          <w:rFonts w:asciiTheme="majorHAnsi" w:hAnsiTheme="majorHAnsi" w:cstheme="majorHAnsi"/>
        </w:rPr>
        <w:t xml:space="preserve"> Experimental strategy of the functional titration to determine the optimal viral dose for achieving a 1:1 ratio of GFP⁺ to GFP⁻ cells. Brightfield and fluorescence microscopy images showing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expression in YUMM1.7 melanoma cells, 72 h after transduction, indicating successful delivery of the reprogramming factors and </w:t>
      </w:r>
      <w:proofErr w:type="spellStart"/>
      <w:r w:rsidRPr="00172BFB">
        <w:rPr>
          <w:rFonts w:asciiTheme="majorHAnsi" w:hAnsiTheme="majorHAnsi" w:cstheme="majorHAnsi"/>
        </w:rPr>
        <w:t>eGFP</w:t>
      </w:r>
      <w:proofErr w:type="spellEnd"/>
      <w:r w:rsidRPr="00172BFB">
        <w:rPr>
          <w:rFonts w:asciiTheme="majorHAnsi" w:hAnsiTheme="majorHAnsi" w:cstheme="majorHAnsi"/>
        </w:rPr>
        <w:t>. Scale bars</w:t>
      </w:r>
      <w:r w:rsidR="008D350D" w:rsidRPr="00172BFB">
        <w:rPr>
          <w:rFonts w:asciiTheme="majorHAnsi" w:hAnsiTheme="majorHAnsi" w:cstheme="majorHAnsi"/>
        </w:rPr>
        <w:t xml:space="preserve"> </w:t>
      </w:r>
      <w:r w:rsidR="00181AF8" w:rsidRPr="00172BFB">
        <w:rPr>
          <w:rFonts w:asciiTheme="majorHAnsi" w:hAnsiTheme="majorHAnsi" w:cstheme="majorHAnsi"/>
        </w:rPr>
        <w:t>=</w:t>
      </w:r>
      <w:r w:rsidRPr="00172BFB">
        <w:rPr>
          <w:rFonts w:asciiTheme="majorHAnsi" w:hAnsiTheme="majorHAnsi" w:cstheme="majorHAnsi"/>
        </w:rPr>
        <w:t xml:space="preserve"> 100</w:t>
      </w:r>
      <w:r w:rsidR="00181AF8" w:rsidRPr="00172BFB">
        <w:rPr>
          <w:rFonts w:asciiTheme="majorHAnsi" w:hAnsiTheme="majorHAnsi" w:cstheme="majorHAnsi"/>
        </w:rPr>
        <w:t xml:space="preserve"> </w:t>
      </w:r>
      <w:r w:rsidRPr="00172BFB">
        <w:rPr>
          <w:rFonts w:asciiTheme="majorHAnsi" w:hAnsiTheme="majorHAnsi" w:cstheme="majorHAnsi"/>
        </w:rPr>
        <w:t xml:space="preserve">µm. </w:t>
      </w:r>
      <w:r w:rsidRPr="00172BFB">
        <w:rPr>
          <w:rFonts w:asciiTheme="majorHAnsi" w:hAnsiTheme="majorHAnsi" w:cstheme="majorHAnsi"/>
          <w:b/>
        </w:rPr>
        <w:t>(D)</w:t>
      </w:r>
      <w:r w:rsidRPr="00172BFB">
        <w:rPr>
          <w:rFonts w:asciiTheme="majorHAnsi" w:hAnsiTheme="majorHAnsi" w:cstheme="majorHAnsi"/>
        </w:rPr>
        <w:t xml:space="preserve"> Representative flow cytometry plots showing gating strategy to quantify the ratio of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Live cells were gated for viability dye negative population (DAPI) followed by doublet exclusion. </w:t>
      </w:r>
      <w:r w:rsidRPr="00172BFB">
        <w:rPr>
          <w:rFonts w:asciiTheme="majorHAnsi" w:hAnsiTheme="majorHAnsi" w:cstheme="majorHAnsi"/>
          <w:b/>
        </w:rPr>
        <w:t>(E)</w:t>
      </w:r>
      <w:r w:rsidRPr="00172BFB">
        <w:rPr>
          <w:rFonts w:asciiTheme="majorHAnsi" w:hAnsiTheme="majorHAnsi" w:cstheme="majorHAnsi"/>
        </w:rPr>
        <w:t xml:space="preserve"> Flow cytometry quantification of transduction efficiency with increasing viral doses to determine the optimal volume for achieving 1:1 GFP⁺/GFP⁻ cells. For both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and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lentivirus, 2 µL volume per 10</w:t>
      </w:r>
      <w:r w:rsidRPr="00172BFB">
        <w:rPr>
          <w:rFonts w:asciiTheme="majorHAnsi" w:hAnsiTheme="majorHAnsi" w:cstheme="majorHAnsi"/>
          <w:vertAlign w:val="superscript"/>
        </w:rPr>
        <w:t xml:space="preserve">5 </w:t>
      </w:r>
      <w:r w:rsidRPr="00172BFB">
        <w:rPr>
          <w:rFonts w:asciiTheme="majorHAnsi" w:hAnsiTheme="majorHAnsi" w:cstheme="majorHAnsi"/>
        </w:rPr>
        <w:t>cells achieved the desired ratio.</w:t>
      </w:r>
      <w:r w:rsidR="000145B3" w:rsidRPr="00172BFB">
        <w:rPr>
          <w:rFonts w:asciiTheme="majorHAnsi" w:hAnsiTheme="majorHAnsi" w:cstheme="majorHAnsi"/>
        </w:rPr>
        <w:t xml:space="preserve"> Abbreviations: cDC1</w:t>
      </w:r>
      <w:r w:rsidR="00756BFF" w:rsidRPr="00172BFB">
        <w:rPr>
          <w:rFonts w:asciiTheme="majorHAnsi" w:hAnsiTheme="majorHAnsi" w:cstheme="majorHAnsi"/>
        </w:rPr>
        <w:t>s</w:t>
      </w:r>
      <w:r w:rsidR="000145B3" w:rsidRPr="00172BFB">
        <w:rPr>
          <w:rFonts w:asciiTheme="majorHAnsi" w:hAnsiTheme="majorHAnsi" w:cstheme="majorHAnsi"/>
        </w:rPr>
        <w:t xml:space="preserve"> = </w:t>
      </w:r>
      <w:r w:rsidR="00756BFF" w:rsidRPr="00172BFB">
        <w:rPr>
          <w:rFonts w:asciiTheme="majorHAnsi" w:hAnsiTheme="majorHAnsi" w:cstheme="majorHAnsi"/>
        </w:rPr>
        <w:t xml:space="preserve">type 1 conventional dendritic cells; </w:t>
      </w:r>
      <w:r w:rsidR="000145B3" w:rsidRPr="00172BFB">
        <w:rPr>
          <w:rFonts w:asciiTheme="majorHAnsi" w:hAnsiTheme="majorHAnsi" w:cstheme="majorHAnsi"/>
        </w:rPr>
        <w:t>DAPI = 4’,6-diamidino-2-phenylindole</w:t>
      </w:r>
      <w:r w:rsidR="00F21155" w:rsidRPr="00172BFB">
        <w:rPr>
          <w:rFonts w:asciiTheme="majorHAnsi" w:hAnsiTheme="majorHAnsi" w:cstheme="majorHAnsi"/>
        </w:rPr>
        <w:t xml:space="preserve">; PIB = PU.1, IRF8, and BATF3; PEI = </w:t>
      </w:r>
      <w:proofErr w:type="spellStart"/>
      <w:r w:rsidR="00EB5994" w:rsidRPr="00172BFB">
        <w:rPr>
          <w:rFonts w:asciiTheme="majorHAnsi" w:hAnsiTheme="majorHAnsi" w:cstheme="majorHAnsi"/>
        </w:rPr>
        <w:t>polyethylenimine</w:t>
      </w:r>
      <w:proofErr w:type="spellEnd"/>
      <w:r w:rsidR="00EB5994" w:rsidRPr="00172BFB">
        <w:rPr>
          <w:rFonts w:asciiTheme="majorHAnsi" w:hAnsiTheme="majorHAnsi" w:cstheme="majorHAnsi"/>
        </w:rPr>
        <w:t>.</w:t>
      </w:r>
    </w:p>
    <w:p w14:paraId="1CE0F25C" w14:textId="77777777" w:rsidR="004D2710" w:rsidRPr="00172BFB" w:rsidRDefault="004D2710" w:rsidP="00172BFB">
      <w:pPr>
        <w:ind w:left="142"/>
        <w:rPr>
          <w:rFonts w:asciiTheme="majorHAnsi" w:hAnsiTheme="majorHAnsi" w:cstheme="majorHAnsi"/>
        </w:rPr>
      </w:pPr>
    </w:p>
    <w:p w14:paraId="30E04597" w14:textId="523B3F73" w:rsidR="00AF2449" w:rsidRPr="00172BFB" w:rsidRDefault="00172BFB" w:rsidP="00172BFB">
      <w:pPr>
        <w:ind w:left="142"/>
        <w:rPr>
          <w:rFonts w:asciiTheme="majorHAnsi" w:hAnsiTheme="majorHAnsi" w:cstheme="majorHAnsi"/>
          <w:b/>
        </w:rPr>
      </w:pPr>
      <w:r w:rsidRPr="00172BFB">
        <w:rPr>
          <w:rFonts w:asciiTheme="majorHAnsi" w:hAnsiTheme="majorHAnsi" w:cstheme="majorHAnsi"/>
          <w:b/>
        </w:rPr>
        <w:t>Figure 3</w:t>
      </w:r>
      <w:r w:rsidR="007A6449" w:rsidRPr="00172BFB">
        <w:rPr>
          <w:rFonts w:asciiTheme="majorHAnsi" w:hAnsiTheme="majorHAnsi" w:cstheme="majorHAnsi"/>
          <w:b/>
        </w:rPr>
        <w:t>:</w:t>
      </w:r>
      <w:r w:rsidRPr="00172BFB">
        <w:rPr>
          <w:rFonts w:asciiTheme="majorHAnsi" w:hAnsiTheme="majorHAnsi" w:cstheme="majorHAnsi"/>
          <w:b/>
        </w:rPr>
        <w:t xml:space="preserve"> Assessing </w:t>
      </w:r>
      <w:r w:rsidRPr="00172BFB">
        <w:rPr>
          <w:rFonts w:asciiTheme="majorHAnsi" w:hAnsiTheme="majorHAnsi" w:cstheme="majorHAnsi"/>
          <w:b/>
          <w:i/>
          <w:iCs/>
        </w:rPr>
        <w:t>in vivo</w:t>
      </w:r>
      <w:r w:rsidRPr="00172BFB">
        <w:rPr>
          <w:rFonts w:asciiTheme="majorHAnsi" w:hAnsiTheme="majorHAnsi" w:cstheme="majorHAnsi"/>
          <w:b/>
        </w:rPr>
        <w:t xml:space="preserve"> cDC1 reprogramming efficiency. (A)</w:t>
      </w:r>
      <w:r w:rsidRPr="00172BFB">
        <w:rPr>
          <w:rFonts w:asciiTheme="majorHAnsi" w:hAnsiTheme="majorHAnsi" w:cstheme="majorHAnsi"/>
        </w:rPr>
        <w:t xml:space="preserve"> Schematic representation of the experimental workflow for evaluating in vivo cDC1 reprogramming efficiency. Cancer cells are initially transduced with a lentivirus expressing </w:t>
      </w:r>
      <w:proofErr w:type="spellStart"/>
      <w:r w:rsidRPr="00172BFB">
        <w:rPr>
          <w:rFonts w:asciiTheme="majorHAnsi" w:hAnsiTheme="majorHAnsi" w:cstheme="majorHAnsi"/>
        </w:rPr>
        <w:t>mCherry</w:t>
      </w:r>
      <w:proofErr w:type="spellEnd"/>
      <w:r w:rsidRPr="00172BFB">
        <w:rPr>
          <w:rFonts w:asciiTheme="majorHAnsi" w:hAnsiTheme="majorHAnsi" w:cstheme="majorHAnsi"/>
        </w:rPr>
        <w:t xml:space="preserve"> to generate a fluorescently labeled cell line (YUMM1.7-mCherry), followed by transduction with the optimized dose of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lentivirus on day -1. Cells are then injected </w:t>
      </w:r>
      <w:r w:rsidR="008D350D" w:rsidRPr="00172BFB">
        <w:rPr>
          <w:rFonts w:asciiTheme="majorHAnsi" w:hAnsiTheme="majorHAnsi" w:cstheme="majorHAnsi"/>
        </w:rPr>
        <w:t xml:space="preserve">subcutaneously </w:t>
      </w:r>
      <w:r w:rsidRPr="00172BFB">
        <w:rPr>
          <w:rFonts w:asciiTheme="majorHAnsi" w:hAnsiTheme="majorHAnsi" w:cstheme="majorHAnsi"/>
        </w:rPr>
        <w:t xml:space="preserve">with a 1:1 ratio of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on day 0 to establish tumors in CD45.1 mice and allow PIB-transduced cells to reprogram into cDC1-like cells within the TME. Tumors are then isolated at indicated time points, dissociated, and stained for CD45.1, CD45.2, and MHC-II using flow cytometry. This allows for the exclusion of CD45.1 host immune cells to quantify </w:t>
      </w:r>
      <w:r w:rsidRPr="00172BFB">
        <w:rPr>
          <w:rFonts w:asciiTheme="majorHAnsi" w:hAnsiTheme="majorHAnsi" w:cstheme="majorHAnsi"/>
          <w:i/>
          <w:iCs/>
        </w:rPr>
        <w:t>in vivo</w:t>
      </w:r>
      <w:r w:rsidRPr="00172BFB">
        <w:rPr>
          <w:rFonts w:asciiTheme="majorHAnsi" w:hAnsiTheme="majorHAnsi" w:cstheme="majorHAnsi"/>
        </w:rPr>
        <w:t xml:space="preserve"> cDC1 reprogramming efficiency by expression of CD45.2 and MHC-II. Parallel </w:t>
      </w:r>
      <w:r w:rsidRPr="00172BFB">
        <w:rPr>
          <w:rFonts w:asciiTheme="majorHAnsi" w:hAnsiTheme="majorHAnsi" w:cstheme="majorHAnsi"/>
          <w:i/>
          <w:iCs/>
        </w:rPr>
        <w:t>in vitro</w:t>
      </w:r>
      <w:r w:rsidRPr="00172BFB">
        <w:rPr>
          <w:rFonts w:asciiTheme="majorHAnsi" w:hAnsiTheme="majorHAnsi" w:cstheme="majorHAnsi"/>
        </w:rPr>
        <w:t xml:space="preserve"> cultures are kept throughout the time points as a comparison to </w:t>
      </w:r>
      <w:r w:rsidRPr="00172BFB">
        <w:rPr>
          <w:rFonts w:asciiTheme="majorHAnsi" w:hAnsiTheme="majorHAnsi" w:cstheme="majorHAnsi"/>
          <w:i/>
          <w:iCs/>
        </w:rPr>
        <w:t>in vivo</w:t>
      </w:r>
      <w:r w:rsidRPr="00172BFB">
        <w:rPr>
          <w:rFonts w:asciiTheme="majorHAnsi" w:hAnsiTheme="majorHAnsi" w:cstheme="majorHAnsi"/>
        </w:rPr>
        <w:t xml:space="preserve"> reprogramming. </w:t>
      </w:r>
      <w:r w:rsidRPr="00172BFB">
        <w:rPr>
          <w:rFonts w:asciiTheme="majorHAnsi" w:hAnsiTheme="majorHAnsi" w:cstheme="majorHAnsi"/>
          <w:b/>
        </w:rPr>
        <w:t>(B)</w:t>
      </w:r>
      <w:r w:rsidRPr="00172BFB">
        <w:rPr>
          <w:rFonts w:asciiTheme="majorHAnsi" w:hAnsiTheme="majorHAnsi" w:cstheme="majorHAnsi"/>
        </w:rPr>
        <w:t xml:space="preserve"> Representative flow cytometry plots illustrating the gating strategy on day 9. Cells were gated on </w:t>
      </w:r>
      <w:proofErr w:type="spellStart"/>
      <w:r w:rsidRPr="00172BFB">
        <w:rPr>
          <w:rFonts w:asciiTheme="majorHAnsi" w:hAnsiTheme="majorHAnsi" w:cstheme="majorHAnsi"/>
        </w:rPr>
        <w:t>mCherry</w:t>
      </w:r>
      <w:proofErr w:type="spellEnd"/>
      <w:r w:rsidRPr="00172BFB">
        <w:rPr>
          <w:rFonts w:asciiTheme="majorHAnsi" w:hAnsiTheme="majorHAnsi" w:cstheme="majorHAnsi"/>
        </w:rPr>
        <w:t>⁺ and GFP</w:t>
      </w:r>
      <w:r w:rsidRPr="00172BFB">
        <w:rPr>
          <w:rFonts w:asciiTheme="majorHAnsi" w:hAnsiTheme="majorHAnsi" w:cstheme="majorHAnsi"/>
          <w:vertAlign w:val="superscript"/>
        </w:rPr>
        <w:t xml:space="preserve">+ </w:t>
      </w:r>
      <w:r w:rsidRPr="00172BFB">
        <w:rPr>
          <w:rFonts w:asciiTheme="majorHAnsi" w:hAnsiTheme="majorHAnsi" w:cstheme="majorHAnsi"/>
        </w:rPr>
        <w:t>to identify successfully transduced cancer cells. Host immune cells were excluded by gating out CD45.1</w:t>
      </w:r>
      <w:r w:rsidRPr="00172BFB">
        <w:rPr>
          <w:rFonts w:asciiTheme="majorHAnsi" w:hAnsiTheme="majorHAnsi" w:cstheme="majorHAnsi"/>
          <w:vertAlign w:val="superscript"/>
        </w:rPr>
        <w:t>+</w:t>
      </w:r>
      <w:r w:rsidRPr="00172BFB">
        <w:rPr>
          <w:rFonts w:asciiTheme="majorHAnsi" w:hAnsiTheme="majorHAnsi" w:cstheme="majorHAnsi"/>
        </w:rPr>
        <w:t xml:space="preserve"> cells. </w:t>
      </w:r>
      <w:r w:rsidRPr="00172BFB">
        <w:rPr>
          <w:rFonts w:asciiTheme="majorHAnsi" w:hAnsiTheme="majorHAnsi" w:cstheme="majorHAnsi"/>
          <w:b/>
        </w:rPr>
        <w:t>(C)</w:t>
      </w:r>
      <w:r w:rsidRPr="00172BFB">
        <w:rPr>
          <w:rFonts w:asciiTheme="majorHAnsi" w:hAnsiTheme="majorHAnsi" w:cstheme="majorHAnsi"/>
        </w:rPr>
        <w:t xml:space="preserve"> Quantification of </w:t>
      </w:r>
      <w:r w:rsidRPr="00172BFB">
        <w:rPr>
          <w:rFonts w:asciiTheme="majorHAnsi" w:hAnsiTheme="majorHAnsi" w:cstheme="majorHAnsi"/>
          <w:i/>
          <w:iCs/>
        </w:rPr>
        <w:t>in vivo</w:t>
      </w:r>
      <w:r w:rsidRPr="00172BFB">
        <w:rPr>
          <w:rFonts w:asciiTheme="majorHAnsi" w:hAnsiTheme="majorHAnsi" w:cstheme="majorHAnsi"/>
        </w:rPr>
        <w:t xml:space="preserve"> reprogramming efficiency (left) of YUMM1.7-mCherry cells by flow cytometry as the percentage of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cells (completely reprogrammed) and CD45.2</w:t>
      </w:r>
      <w:r w:rsidRPr="00172BFB">
        <w:rPr>
          <w:rFonts w:asciiTheme="majorHAnsi" w:hAnsiTheme="majorHAnsi" w:cstheme="majorHAnsi"/>
          <w:vertAlign w:val="superscript"/>
        </w:rPr>
        <w:t>+</w:t>
      </w:r>
      <w:r w:rsidRPr="00172BFB">
        <w:rPr>
          <w:rFonts w:asciiTheme="majorHAnsi" w:hAnsiTheme="majorHAnsi" w:cstheme="majorHAnsi"/>
        </w:rPr>
        <w:t xml:space="preserve"> HLA-DR</w:t>
      </w:r>
      <w:r w:rsidRPr="00172BFB">
        <w:rPr>
          <w:rFonts w:asciiTheme="majorHAnsi" w:hAnsiTheme="majorHAnsi" w:cstheme="majorHAnsi"/>
          <w:vertAlign w:val="superscript"/>
        </w:rPr>
        <w:t>–</w:t>
      </w:r>
      <w:r w:rsidRPr="00172BFB">
        <w:rPr>
          <w:rFonts w:asciiTheme="majorHAnsi" w:hAnsiTheme="majorHAnsi" w:cstheme="majorHAnsi"/>
        </w:rPr>
        <w:t xml:space="preserve"> or CD45.2</w:t>
      </w:r>
      <w:r w:rsidRPr="00172BFB">
        <w:rPr>
          <w:rFonts w:asciiTheme="majorHAnsi" w:hAnsiTheme="majorHAnsi" w:cstheme="majorHAnsi"/>
          <w:vertAlign w:val="superscript"/>
        </w:rPr>
        <w:t>–</w:t>
      </w:r>
      <w:r w:rsidRPr="00172BFB">
        <w:rPr>
          <w:rFonts w:asciiTheme="majorHAnsi" w:hAnsiTheme="majorHAnsi" w:cstheme="majorHAnsi"/>
        </w:rPr>
        <w:t xml:space="preserve"> HLA-DR</w:t>
      </w:r>
      <w:r w:rsidRPr="00172BFB">
        <w:rPr>
          <w:rFonts w:asciiTheme="majorHAnsi" w:hAnsiTheme="majorHAnsi" w:cstheme="majorHAnsi"/>
          <w:vertAlign w:val="superscript"/>
        </w:rPr>
        <w:t>+</w:t>
      </w:r>
      <w:r w:rsidRPr="00172BFB">
        <w:rPr>
          <w:rFonts w:asciiTheme="majorHAnsi" w:hAnsiTheme="majorHAnsi" w:cstheme="majorHAnsi"/>
        </w:rPr>
        <w:t xml:space="preserve"> </w:t>
      </w:r>
      <w:r w:rsidR="008D350D" w:rsidRPr="00172BFB">
        <w:rPr>
          <w:rFonts w:asciiTheme="majorHAnsi" w:hAnsiTheme="majorHAnsi" w:cstheme="majorHAnsi"/>
        </w:rPr>
        <w:t xml:space="preserve">cDC1-like </w:t>
      </w:r>
      <w:r w:rsidRPr="00172BFB">
        <w:rPr>
          <w:rFonts w:asciiTheme="majorHAnsi" w:hAnsiTheme="majorHAnsi" w:cstheme="majorHAnsi"/>
        </w:rPr>
        <w:t>cells (</w:t>
      </w:r>
      <w:r w:rsidR="008D350D" w:rsidRPr="00172BFB">
        <w:rPr>
          <w:rFonts w:asciiTheme="majorHAnsi" w:hAnsiTheme="majorHAnsi" w:cstheme="majorHAnsi"/>
        </w:rPr>
        <w:t>fully</w:t>
      </w:r>
      <w:r w:rsidRPr="00172BFB">
        <w:rPr>
          <w:rFonts w:asciiTheme="majorHAnsi" w:hAnsiTheme="majorHAnsi" w:cstheme="majorHAnsi"/>
        </w:rPr>
        <w:t xml:space="preserve"> reprogrammed) gated within </w:t>
      </w:r>
      <w:proofErr w:type="spellStart"/>
      <w:r w:rsidRPr="00172BFB">
        <w:rPr>
          <w:rFonts w:asciiTheme="majorHAnsi" w:hAnsiTheme="majorHAnsi" w:cstheme="majorHAnsi"/>
        </w:rPr>
        <w:t>eGFP</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w:t>
      </w:r>
      <w:proofErr w:type="spellStart"/>
      <w:r w:rsidRPr="00172BFB">
        <w:rPr>
          <w:rFonts w:asciiTheme="majorHAnsi" w:hAnsiTheme="majorHAnsi" w:cstheme="majorHAnsi"/>
        </w:rPr>
        <w:t>mCherry</w:t>
      </w:r>
      <w:proofErr w:type="spellEnd"/>
      <w:r w:rsidRPr="00172BFB">
        <w:rPr>
          <w:rFonts w:asciiTheme="majorHAnsi" w:hAnsiTheme="majorHAnsi" w:cstheme="majorHAnsi"/>
          <w:vertAlign w:val="superscript"/>
        </w:rPr>
        <w:t>+</w:t>
      </w:r>
      <w:r w:rsidRPr="00172BFB">
        <w:rPr>
          <w:rFonts w:asciiTheme="majorHAnsi" w:hAnsiTheme="majorHAnsi" w:cstheme="majorHAnsi"/>
        </w:rPr>
        <w:t xml:space="preserve"> cells. Representative flow cytometry plots (right) showing the gradual acquisition of CD45.2 and MHC-II expression in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-transduced YUMM1.7-mCherry cells throughout the indicated time points. </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-transduced YUMM1.7-mCherry cells were used as a control and </w:t>
      </w:r>
      <w:r w:rsidRPr="00172BFB">
        <w:rPr>
          <w:rFonts w:asciiTheme="majorHAnsi" w:hAnsiTheme="majorHAnsi" w:cstheme="majorHAnsi"/>
          <w:i/>
          <w:iCs/>
        </w:rPr>
        <w:t>in vitro</w:t>
      </w:r>
      <w:r w:rsidRPr="00172BFB">
        <w:rPr>
          <w:rFonts w:asciiTheme="majorHAnsi" w:hAnsiTheme="majorHAnsi" w:cstheme="majorHAnsi"/>
        </w:rPr>
        <w:t xml:space="preserve"> reprogram</w:t>
      </w:r>
      <w:r w:rsidR="001D2F42" w:rsidRPr="00172BFB">
        <w:rPr>
          <w:rFonts w:asciiTheme="majorHAnsi" w:hAnsiTheme="majorHAnsi" w:cstheme="majorHAnsi"/>
        </w:rPr>
        <w:t xml:space="preserve">med cDC1-like </w:t>
      </w:r>
      <w:r w:rsidRPr="00172BFB">
        <w:rPr>
          <w:rFonts w:asciiTheme="majorHAnsi" w:hAnsiTheme="majorHAnsi" w:cstheme="majorHAnsi"/>
        </w:rPr>
        <w:t>cells were used for comparison. Data in (</w:t>
      </w:r>
      <w:r w:rsidRPr="00172BFB">
        <w:rPr>
          <w:rFonts w:asciiTheme="majorHAnsi" w:hAnsiTheme="majorHAnsi" w:cstheme="majorHAnsi"/>
          <w:b/>
          <w:bCs/>
        </w:rPr>
        <w:t>C</w:t>
      </w:r>
      <w:r w:rsidRPr="00172BFB">
        <w:rPr>
          <w:rFonts w:asciiTheme="majorHAnsi" w:hAnsiTheme="majorHAnsi" w:cstheme="majorHAnsi"/>
        </w:rPr>
        <w:t>) indicate mean ± SD of 3</w:t>
      </w:r>
      <w:r w:rsidR="00AF2449" w:rsidRPr="00172BFB">
        <w:rPr>
          <w:rFonts w:asciiTheme="majorHAnsi" w:hAnsiTheme="majorHAnsi" w:cstheme="majorHAnsi"/>
        </w:rPr>
        <w:t>–</w:t>
      </w:r>
      <w:r w:rsidRPr="00172BFB">
        <w:rPr>
          <w:rFonts w:asciiTheme="majorHAnsi" w:hAnsiTheme="majorHAnsi" w:cstheme="majorHAnsi"/>
        </w:rPr>
        <w:t>5 biological replicate experiments. Statistical analysis in (</w:t>
      </w:r>
      <w:r w:rsidRPr="00172BFB">
        <w:rPr>
          <w:rFonts w:asciiTheme="majorHAnsi" w:hAnsiTheme="majorHAnsi" w:cstheme="majorHAnsi"/>
          <w:b/>
          <w:bCs/>
        </w:rPr>
        <w:t>C</w:t>
      </w:r>
      <w:r w:rsidRPr="00172BFB">
        <w:rPr>
          <w:rFonts w:asciiTheme="majorHAnsi" w:hAnsiTheme="majorHAnsi" w:cstheme="majorHAnsi"/>
        </w:rPr>
        <w:t>) was performed for CD45</w:t>
      </w:r>
      <w:r w:rsidRPr="00172BFB">
        <w:rPr>
          <w:rFonts w:asciiTheme="majorHAnsi" w:hAnsiTheme="majorHAnsi" w:cstheme="majorHAnsi"/>
          <w:vertAlign w:val="superscript"/>
        </w:rPr>
        <w:t>+</w:t>
      </w:r>
      <w:r w:rsidRPr="00172BFB">
        <w:rPr>
          <w:rFonts w:asciiTheme="majorHAnsi" w:hAnsiTheme="majorHAnsi" w:cstheme="majorHAnsi"/>
        </w:rPr>
        <w:t xml:space="preserve"> MHC-II</w:t>
      </w:r>
      <w:r w:rsidRPr="00172BFB">
        <w:rPr>
          <w:rFonts w:asciiTheme="majorHAnsi" w:hAnsiTheme="majorHAnsi" w:cstheme="majorHAnsi"/>
          <w:vertAlign w:val="superscript"/>
        </w:rPr>
        <w:t>+</w:t>
      </w:r>
      <w:r w:rsidRPr="00172BFB">
        <w:rPr>
          <w:rFonts w:asciiTheme="majorHAnsi" w:hAnsiTheme="majorHAnsi" w:cstheme="majorHAnsi"/>
        </w:rPr>
        <w:t xml:space="preserve"> cells using the Mann-Whitney test. *P &lt; 0.05.</w:t>
      </w:r>
      <w:r w:rsidR="00AF2449" w:rsidRPr="00172BFB">
        <w:rPr>
          <w:rFonts w:asciiTheme="majorHAnsi" w:hAnsiTheme="majorHAnsi" w:cstheme="majorHAnsi"/>
        </w:rPr>
        <w:t xml:space="preserve"> Abbreviations: cDC1s = type 1 conventional dendritic cells; PIB = PU.1, IRF8, and BATF3; TME = tumor microenvironment.</w:t>
      </w:r>
    </w:p>
    <w:p w14:paraId="10C11E70" w14:textId="77777777" w:rsidR="004D2710" w:rsidRPr="00172BFB" w:rsidRDefault="004D2710" w:rsidP="00172BFB">
      <w:pPr>
        <w:ind w:left="142"/>
        <w:rPr>
          <w:rFonts w:asciiTheme="majorHAnsi" w:hAnsiTheme="majorHAnsi" w:cstheme="majorHAnsi"/>
        </w:rPr>
      </w:pPr>
    </w:p>
    <w:p w14:paraId="743F3CAC" w14:textId="45FE12FE" w:rsidR="004D2710" w:rsidRPr="00172BFB" w:rsidRDefault="00172BFB" w:rsidP="00172BFB">
      <w:pPr>
        <w:ind w:left="142"/>
        <w:rPr>
          <w:rFonts w:asciiTheme="majorHAnsi" w:hAnsiTheme="majorHAnsi" w:cstheme="majorHAnsi"/>
          <w:b/>
        </w:rPr>
      </w:pPr>
      <w:r w:rsidRPr="00172BFB">
        <w:rPr>
          <w:rFonts w:asciiTheme="majorHAnsi" w:hAnsiTheme="majorHAnsi" w:cstheme="majorHAnsi"/>
          <w:b/>
        </w:rPr>
        <w:t>Figure 4</w:t>
      </w:r>
      <w:r w:rsidR="00580169" w:rsidRPr="00172BFB">
        <w:rPr>
          <w:rFonts w:asciiTheme="majorHAnsi" w:hAnsiTheme="majorHAnsi" w:cstheme="majorHAnsi"/>
          <w:b/>
        </w:rPr>
        <w:t xml:space="preserve">: </w:t>
      </w:r>
      <w:r w:rsidRPr="00172BFB">
        <w:rPr>
          <w:rFonts w:asciiTheme="majorHAnsi" w:hAnsiTheme="majorHAnsi" w:cstheme="majorHAnsi"/>
          <w:b/>
        </w:rPr>
        <w:t xml:space="preserve">Analyzing immune infiltration in the tumor microenvironment </w:t>
      </w:r>
      <w:proofErr w:type="gramStart"/>
      <w:r w:rsidRPr="00172BFB">
        <w:rPr>
          <w:rFonts w:asciiTheme="majorHAnsi" w:hAnsiTheme="majorHAnsi" w:cstheme="majorHAnsi"/>
          <w:b/>
        </w:rPr>
        <w:t xml:space="preserve">following </w:t>
      </w:r>
      <w:r w:rsidRPr="00172BFB">
        <w:rPr>
          <w:rFonts w:asciiTheme="majorHAnsi" w:hAnsiTheme="majorHAnsi" w:cstheme="majorHAnsi"/>
          <w:b/>
          <w:i/>
          <w:iCs/>
        </w:rPr>
        <w:t>in</w:t>
      </w:r>
      <w:proofErr w:type="gramEnd"/>
      <w:r w:rsidRPr="00172BFB">
        <w:rPr>
          <w:rFonts w:asciiTheme="majorHAnsi" w:hAnsiTheme="majorHAnsi" w:cstheme="majorHAnsi"/>
          <w:b/>
          <w:i/>
          <w:iCs/>
        </w:rPr>
        <w:t xml:space="preserve"> vivo</w:t>
      </w:r>
      <w:r w:rsidRPr="00172BFB">
        <w:rPr>
          <w:rFonts w:asciiTheme="majorHAnsi" w:hAnsiTheme="majorHAnsi" w:cstheme="majorHAnsi"/>
          <w:b/>
        </w:rPr>
        <w:t xml:space="preserve"> cDC1 reprogramming. (A) </w:t>
      </w:r>
      <w:r w:rsidRPr="00172BFB">
        <w:rPr>
          <w:rFonts w:asciiTheme="majorHAnsi" w:hAnsiTheme="majorHAnsi" w:cstheme="majorHAnsi"/>
        </w:rPr>
        <w:t>Representative confocal images showing CD45</w:t>
      </w:r>
      <w:r w:rsidRPr="00172BFB">
        <w:rPr>
          <w:rFonts w:asciiTheme="majorHAnsi" w:hAnsiTheme="majorHAnsi" w:cstheme="majorHAnsi"/>
          <w:vertAlign w:val="superscript"/>
        </w:rPr>
        <w:t>+</w:t>
      </w:r>
      <w:r w:rsidRPr="00172BFB">
        <w:rPr>
          <w:rFonts w:asciiTheme="majorHAnsi" w:hAnsiTheme="majorHAnsi" w:cstheme="majorHAnsi"/>
        </w:rPr>
        <w:t xml:space="preserve"> cells in YUMM1.7 tumors after subcutaneous implantation of PIB-</w:t>
      </w:r>
      <w:proofErr w:type="spellStart"/>
      <w:r w:rsidRPr="00172BFB">
        <w:rPr>
          <w:rFonts w:asciiTheme="majorHAnsi" w:hAnsiTheme="majorHAnsi" w:cstheme="majorHAnsi"/>
        </w:rPr>
        <w:t>eGFP</w:t>
      </w:r>
      <w:proofErr w:type="spellEnd"/>
      <w:r w:rsidRPr="00172BFB">
        <w:rPr>
          <w:rFonts w:asciiTheme="majorHAnsi" w:hAnsiTheme="majorHAnsi" w:cstheme="majorHAnsi"/>
        </w:rPr>
        <w:t xml:space="preserve">– or control </w:t>
      </w:r>
      <w:proofErr w:type="spellStart"/>
      <w:r w:rsidRPr="00172BFB">
        <w:rPr>
          <w:rFonts w:asciiTheme="majorHAnsi" w:hAnsiTheme="majorHAnsi" w:cstheme="majorHAnsi"/>
        </w:rPr>
        <w:t>eGFP</w:t>
      </w:r>
      <w:proofErr w:type="spellEnd"/>
      <w:r w:rsidRPr="00172BFB">
        <w:rPr>
          <w:rFonts w:asciiTheme="majorHAnsi" w:hAnsiTheme="majorHAnsi" w:cstheme="majorHAnsi"/>
        </w:rPr>
        <w:t>–transduced cells (1:1 ratio of transduced to parental cells) on day</w:t>
      </w:r>
      <w:r w:rsidR="00B0677D" w:rsidRPr="00172BFB">
        <w:rPr>
          <w:rFonts w:asciiTheme="majorHAnsi" w:hAnsiTheme="majorHAnsi" w:cstheme="majorHAnsi"/>
        </w:rPr>
        <w:t>s</w:t>
      </w:r>
      <w:r w:rsidRPr="00172BFB">
        <w:rPr>
          <w:rFonts w:asciiTheme="majorHAnsi" w:hAnsiTheme="majorHAnsi" w:cstheme="majorHAnsi"/>
        </w:rPr>
        <w:t xml:space="preserve"> 3 and 9. Scale bars </w:t>
      </w:r>
      <w:r w:rsidR="00B0677D" w:rsidRPr="00172BFB">
        <w:rPr>
          <w:rFonts w:asciiTheme="majorHAnsi" w:hAnsiTheme="majorHAnsi" w:cstheme="majorHAnsi"/>
        </w:rPr>
        <w:t>=</w:t>
      </w:r>
      <w:r w:rsidRPr="00172BFB">
        <w:rPr>
          <w:rFonts w:asciiTheme="majorHAnsi" w:hAnsiTheme="majorHAnsi" w:cstheme="majorHAnsi"/>
        </w:rPr>
        <w:t xml:space="preserve"> 500 µm. </w:t>
      </w:r>
      <w:r w:rsidRPr="00172BFB">
        <w:rPr>
          <w:rFonts w:asciiTheme="majorHAnsi" w:hAnsiTheme="majorHAnsi" w:cstheme="majorHAnsi"/>
          <w:b/>
        </w:rPr>
        <w:t xml:space="preserve">(B) </w:t>
      </w:r>
      <w:r w:rsidRPr="00172BFB">
        <w:rPr>
          <w:rFonts w:asciiTheme="majorHAnsi" w:hAnsiTheme="majorHAnsi" w:cstheme="majorHAnsi"/>
        </w:rPr>
        <w:t>Quantification of the MFI</w:t>
      </w:r>
      <w:r w:rsidR="002C07CE" w:rsidRPr="00172BFB">
        <w:rPr>
          <w:rFonts w:asciiTheme="majorHAnsi" w:hAnsiTheme="majorHAnsi" w:cstheme="majorHAnsi"/>
        </w:rPr>
        <w:t xml:space="preserve"> </w:t>
      </w:r>
      <w:r w:rsidRPr="00172BFB">
        <w:rPr>
          <w:rFonts w:asciiTheme="majorHAnsi" w:hAnsiTheme="majorHAnsi" w:cstheme="majorHAnsi"/>
        </w:rPr>
        <w:t xml:space="preserve">for CD45 staining in PIB-treated and control </w:t>
      </w:r>
      <w:proofErr w:type="spellStart"/>
      <w:r w:rsidRPr="00172BFB">
        <w:rPr>
          <w:rFonts w:asciiTheme="majorHAnsi" w:hAnsiTheme="majorHAnsi" w:cstheme="majorHAnsi"/>
        </w:rPr>
        <w:t>eGFP</w:t>
      </w:r>
      <w:proofErr w:type="spellEnd"/>
      <w:r w:rsidRPr="00172BFB">
        <w:rPr>
          <w:rFonts w:asciiTheme="majorHAnsi" w:hAnsiTheme="majorHAnsi" w:cstheme="majorHAnsi"/>
        </w:rPr>
        <w:t>-transduced YUMM1.7 tumors on day</w:t>
      </w:r>
      <w:r w:rsidR="00B0677D" w:rsidRPr="00172BFB">
        <w:rPr>
          <w:rFonts w:asciiTheme="majorHAnsi" w:hAnsiTheme="majorHAnsi" w:cstheme="majorHAnsi"/>
        </w:rPr>
        <w:t>s</w:t>
      </w:r>
      <w:r w:rsidRPr="00172BFB">
        <w:rPr>
          <w:rFonts w:asciiTheme="majorHAnsi" w:hAnsiTheme="majorHAnsi" w:cstheme="majorHAnsi"/>
        </w:rPr>
        <w:t xml:space="preserve"> 3 and 9. Data in (</w:t>
      </w:r>
      <w:r w:rsidRPr="00172BFB">
        <w:rPr>
          <w:rFonts w:asciiTheme="majorHAnsi" w:hAnsiTheme="majorHAnsi" w:cstheme="majorHAnsi"/>
          <w:b/>
          <w:bCs/>
        </w:rPr>
        <w:t>B</w:t>
      </w:r>
      <w:r w:rsidRPr="00172BFB">
        <w:rPr>
          <w:rFonts w:asciiTheme="majorHAnsi" w:hAnsiTheme="majorHAnsi" w:cstheme="majorHAnsi"/>
        </w:rPr>
        <w:t>) indicate mean ± SD of 3</w:t>
      </w:r>
      <w:r w:rsidR="00B0677D" w:rsidRPr="00172BFB">
        <w:rPr>
          <w:rFonts w:asciiTheme="majorHAnsi" w:hAnsiTheme="majorHAnsi" w:cstheme="majorHAnsi"/>
        </w:rPr>
        <w:t>–</w:t>
      </w:r>
      <w:r w:rsidRPr="00172BFB">
        <w:rPr>
          <w:rFonts w:asciiTheme="majorHAnsi" w:hAnsiTheme="majorHAnsi" w:cstheme="majorHAnsi"/>
        </w:rPr>
        <w:t>6 biological replicate experiments. Statistical analysis in (</w:t>
      </w:r>
      <w:r w:rsidRPr="00172BFB">
        <w:rPr>
          <w:rFonts w:asciiTheme="majorHAnsi" w:hAnsiTheme="majorHAnsi" w:cstheme="majorHAnsi"/>
          <w:b/>
          <w:bCs/>
        </w:rPr>
        <w:t>B</w:t>
      </w:r>
      <w:r w:rsidRPr="00172BFB">
        <w:rPr>
          <w:rFonts w:asciiTheme="majorHAnsi" w:hAnsiTheme="majorHAnsi" w:cstheme="majorHAnsi"/>
        </w:rPr>
        <w:t>) was performed using the Mann–Whitney test. *P</w:t>
      </w:r>
      <w:r w:rsidR="00B0677D" w:rsidRPr="00172BFB">
        <w:rPr>
          <w:rFonts w:asciiTheme="majorHAnsi" w:hAnsiTheme="majorHAnsi" w:cstheme="majorHAnsi"/>
        </w:rPr>
        <w:t xml:space="preserve"> </w:t>
      </w:r>
      <w:r w:rsidRPr="00172BFB">
        <w:rPr>
          <w:rFonts w:asciiTheme="majorHAnsi" w:hAnsiTheme="majorHAnsi" w:cstheme="majorHAnsi"/>
        </w:rPr>
        <w:t>&lt; 0.05 and ***P</w:t>
      </w:r>
      <w:r w:rsidR="00B0677D" w:rsidRPr="00172BFB">
        <w:rPr>
          <w:rFonts w:asciiTheme="majorHAnsi" w:hAnsiTheme="majorHAnsi" w:cstheme="majorHAnsi"/>
        </w:rPr>
        <w:t xml:space="preserve"> </w:t>
      </w:r>
      <w:r w:rsidRPr="00172BFB">
        <w:rPr>
          <w:rFonts w:asciiTheme="majorHAnsi" w:hAnsiTheme="majorHAnsi" w:cstheme="majorHAnsi"/>
        </w:rPr>
        <w:t>&lt;</w:t>
      </w:r>
      <w:r w:rsidR="00B0677D" w:rsidRPr="00172BFB">
        <w:rPr>
          <w:rFonts w:asciiTheme="majorHAnsi" w:hAnsiTheme="majorHAnsi" w:cstheme="majorHAnsi"/>
        </w:rPr>
        <w:t xml:space="preserve"> </w:t>
      </w:r>
      <w:r w:rsidRPr="00172BFB">
        <w:rPr>
          <w:rFonts w:asciiTheme="majorHAnsi" w:hAnsiTheme="majorHAnsi" w:cstheme="majorHAnsi"/>
        </w:rPr>
        <w:t>0.001.</w:t>
      </w:r>
      <w:r w:rsidR="00B0677D" w:rsidRPr="00172BFB">
        <w:rPr>
          <w:rFonts w:asciiTheme="majorHAnsi" w:hAnsiTheme="majorHAnsi" w:cstheme="majorHAnsi"/>
        </w:rPr>
        <w:t xml:space="preserve"> </w:t>
      </w:r>
      <w:r w:rsidR="002C07CE" w:rsidRPr="00172BFB">
        <w:rPr>
          <w:rFonts w:asciiTheme="majorHAnsi" w:hAnsiTheme="majorHAnsi" w:cstheme="majorHAnsi"/>
        </w:rPr>
        <w:t>Abbreviations: cDC1s = type 1 conventional dendritic cells; PIB = PU.1, IRF8, and BATF3; MFI = mean fluorescence intensity.</w:t>
      </w:r>
    </w:p>
    <w:p w14:paraId="390799A8" w14:textId="77777777" w:rsidR="004D2710" w:rsidRPr="00172BFB" w:rsidRDefault="004D2710" w:rsidP="00172BFB">
      <w:pPr>
        <w:ind w:left="142"/>
        <w:rPr>
          <w:rFonts w:asciiTheme="majorHAnsi" w:hAnsiTheme="majorHAnsi" w:cstheme="majorHAnsi"/>
        </w:rPr>
      </w:pPr>
    </w:p>
    <w:p w14:paraId="739E8F94" w14:textId="77777777" w:rsidR="004D2710" w:rsidRPr="00172BFB" w:rsidRDefault="00172BFB" w:rsidP="00172BFB">
      <w:pPr>
        <w:ind w:left="142"/>
        <w:rPr>
          <w:rFonts w:asciiTheme="majorHAnsi" w:hAnsiTheme="majorHAnsi" w:cstheme="majorHAnsi"/>
          <w:b/>
        </w:rPr>
      </w:pPr>
      <w:r w:rsidRPr="00172BFB">
        <w:rPr>
          <w:rFonts w:asciiTheme="majorHAnsi" w:hAnsiTheme="majorHAnsi" w:cstheme="majorHAnsi"/>
          <w:b/>
        </w:rPr>
        <w:t xml:space="preserve">DISCUSSION: </w:t>
      </w:r>
    </w:p>
    <w:p w14:paraId="24F720E5" w14:textId="77777777" w:rsidR="004D2710" w:rsidRPr="00172BFB" w:rsidRDefault="004D2710" w:rsidP="00172BFB">
      <w:pPr>
        <w:ind w:left="142"/>
        <w:rPr>
          <w:rFonts w:asciiTheme="majorHAnsi" w:hAnsiTheme="majorHAnsi" w:cstheme="majorHAnsi"/>
        </w:rPr>
      </w:pPr>
    </w:p>
    <w:p w14:paraId="37B5BBE5" w14:textId="7F7D0070"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In this protocol, we describe a tractable method to generate cDC1-like cells based on </w:t>
      </w:r>
      <w:r w:rsidRPr="00172BFB">
        <w:rPr>
          <w:rFonts w:asciiTheme="majorHAnsi" w:hAnsiTheme="majorHAnsi" w:cstheme="majorHAnsi"/>
          <w:i/>
          <w:iCs/>
        </w:rPr>
        <w:t>in vivo</w:t>
      </w:r>
      <w:r w:rsidRPr="00172BFB">
        <w:rPr>
          <w:rFonts w:asciiTheme="majorHAnsi" w:hAnsiTheme="majorHAnsi" w:cstheme="majorHAnsi"/>
        </w:rPr>
        <w:t xml:space="preserve"> reprogramming of cancer cells from solid tumors. Our results demonstrate that the overexpression of PU.1, IRF8, and BATF3 drives the gradual acquisition of a cDC1 phenotype in the TME until day 9, whereafter cDC1-like cells are depleted from tumors. Ultimately, this leads to an increase in the infiltration of CD45 cells into the TME by day 3, causing the remodeling of an “immune-cold” TME to become “immune-hot”.</w:t>
      </w:r>
    </w:p>
    <w:p w14:paraId="716BC7D2" w14:textId="77777777" w:rsidR="00355949" w:rsidRPr="00172BFB" w:rsidRDefault="00355949" w:rsidP="00172BFB">
      <w:pPr>
        <w:ind w:left="142"/>
        <w:rPr>
          <w:rFonts w:asciiTheme="majorHAnsi" w:hAnsiTheme="majorHAnsi" w:cstheme="majorHAnsi"/>
        </w:rPr>
      </w:pPr>
    </w:p>
    <w:p w14:paraId="51F61DB3" w14:textId="520F266B" w:rsidR="004D2710" w:rsidRPr="00172BFB" w:rsidRDefault="00172BFB" w:rsidP="00172BFB">
      <w:pPr>
        <w:ind w:left="142"/>
        <w:rPr>
          <w:rFonts w:asciiTheme="majorHAnsi" w:hAnsiTheme="majorHAnsi" w:cstheme="majorHAnsi"/>
        </w:rPr>
      </w:pPr>
      <w:r w:rsidRPr="00172BFB">
        <w:rPr>
          <w:rFonts w:asciiTheme="majorHAnsi" w:hAnsiTheme="majorHAnsi" w:cstheme="majorHAnsi"/>
        </w:rPr>
        <w:t>Current protocols to generate cDC1 include enrichment of autologous DCs from peripheral blood, differentiation from CD34</w:t>
      </w:r>
      <w:r w:rsidRPr="00172BFB">
        <w:rPr>
          <w:rFonts w:asciiTheme="majorHAnsi" w:hAnsiTheme="majorHAnsi" w:cstheme="majorHAnsi"/>
          <w:vertAlign w:val="superscript"/>
        </w:rPr>
        <w:t>+</w:t>
      </w:r>
      <w:r w:rsidRPr="00172BFB">
        <w:rPr>
          <w:rFonts w:asciiTheme="majorHAnsi" w:hAnsiTheme="majorHAnsi" w:cstheme="majorHAnsi"/>
        </w:rPr>
        <w:t xml:space="preserve"> hematopoietic progenitor cells, or differentiation from pluripotent stem cells</w:t>
      </w:r>
      <w:r w:rsidRPr="00172BFB">
        <w:rPr>
          <w:rFonts w:asciiTheme="majorHAnsi" w:hAnsiTheme="majorHAnsi" w:cstheme="majorHAnsi"/>
          <w:i/>
          <w:vertAlign w:val="superscript"/>
        </w:rPr>
        <w:t>14–19</w:t>
      </w:r>
      <w:r w:rsidRPr="00172BFB">
        <w:rPr>
          <w:rFonts w:asciiTheme="majorHAnsi" w:hAnsiTheme="majorHAnsi" w:cstheme="majorHAnsi"/>
        </w:rPr>
        <w:t xml:space="preserve">. However, these methods present limiting factors: insufficient maturation, reduced antigen presentation and cytokine/chemokine production capacity </w:t>
      </w:r>
      <w:r w:rsidRPr="00172BFB">
        <w:rPr>
          <w:rFonts w:asciiTheme="majorHAnsi" w:hAnsiTheme="majorHAnsi" w:cstheme="majorHAnsi"/>
          <w:i/>
          <w:iCs/>
        </w:rPr>
        <w:t>in vivo</w:t>
      </w:r>
      <w:r w:rsidRPr="00172BFB">
        <w:rPr>
          <w:rFonts w:asciiTheme="majorHAnsi" w:hAnsiTheme="majorHAnsi" w:cstheme="majorHAnsi"/>
        </w:rPr>
        <w:t>, susceptibility to immunosuppression, high DC heterogeneity, and low numbers of generated cells</w:t>
      </w:r>
      <w:r w:rsidRPr="00172BFB">
        <w:rPr>
          <w:rFonts w:asciiTheme="majorHAnsi" w:hAnsiTheme="majorHAnsi" w:cstheme="majorHAnsi"/>
          <w:i/>
          <w:vertAlign w:val="superscript"/>
        </w:rPr>
        <w:t>7</w:t>
      </w:r>
      <w:r w:rsidRPr="00172BFB">
        <w:rPr>
          <w:rFonts w:asciiTheme="majorHAnsi" w:hAnsiTheme="majorHAnsi" w:cstheme="majorHAnsi"/>
        </w:rPr>
        <w:t xml:space="preserve">. Here, we provide a protocol that allows the scalable generation of cDC1-like cells </w:t>
      </w:r>
      <w:r w:rsidRPr="00172BFB">
        <w:rPr>
          <w:rFonts w:asciiTheme="majorHAnsi" w:hAnsiTheme="majorHAnsi" w:cstheme="majorHAnsi"/>
          <w:i/>
          <w:iCs/>
        </w:rPr>
        <w:t>in vivo</w:t>
      </w:r>
      <w:r w:rsidRPr="00172BFB">
        <w:rPr>
          <w:rFonts w:asciiTheme="majorHAnsi" w:hAnsiTheme="majorHAnsi" w:cstheme="majorHAnsi"/>
        </w:rPr>
        <w:t xml:space="preserve"> for functional and mechanistic studies. </w:t>
      </w:r>
    </w:p>
    <w:p w14:paraId="69DE503D" w14:textId="77777777" w:rsidR="004D2710" w:rsidRPr="00172BFB" w:rsidRDefault="004D2710" w:rsidP="00172BFB">
      <w:pPr>
        <w:ind w:left="142"/>
        <w:rPr>
          <w:rFonts w:asciiTheme="majorHAnsi" w:hAnsiTheme="majorHAnsi" w:cstheme="majorHAnsi"/>
        </w:rPr>
      </w:pPr>
    </w:p>
    <w:p w14:paraId="10B929CD" w14:textId="70B5F942"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With this method, we tested whether the expression of the transcription factor combination PU.1, IRF8, and BATF3 was sufficient to drive </w:t>
      </w:r>
      <w:r w:rsidRPr="00172BFB">
        <w:rPr>
          <w:rFonts w:asciiTheme="majorHAnsi" w:hAnsiTheme="majorHAnsi" w:cstheme="majorHAnsi"/>
          <w:i/>
          <w:iCs/>
        </w:rPr>
        <w:t>in vivo</w:t>
      </w:r>
      <w:r w:rsidRPr="00172BFB">
        <w:rPr>
          <w:rFonts w:asciiTheme="majorHAnsi" w:hAnsiTheme="majorHAnsi" w:cstheme="majorHAnsi"/>
        </w:rPr>
        <w:t xml:space="preserve"> reprogramming. This protocol enables precise control over delivery efficiency, as varying the dose of genetically modified cells implanted directly influences treatment efficacy. We have previously shown that 2% </w:t>
      </w:r>
      <w:proofErr w:type="gramStart"/>
      <w:r w:rsidRPr="00172BFB">
        <w:rPr>
          <w:rFonts w:asciiTheme="majorHAnsi" w:hAnsiTheme="majorHAnsi" w:cstheme="majorHAnsi"/>
        </w:rPr>
        <w:t>transduced</w:t>
      </w:r>
      <w:proofErr w:type="gramEnd"/>
      <w:r w:rsidRPr="00172BFB">
        <w:rPr>
          <w:rFonts w:asciiTheme="majorHAnsi" w:hAnsiTheme="majorHAnsi" w:cstheme="majorHAnsi"/>
        </w:rPr>
        <w:t xml:space="preserve"> cells, which correspond to 0.15% CD45</w:t>
      </w:r>
      <w:r w:rsidRPr="00172BFB">
        <w:rPr>
          <w:rFonts w:asciiTheme="majorHAnsi" w:hAnsiTheme="majorHAnsi" w:cstheme="majorHAnsi"/>
          <w:vertAlign w:val="superscript"/>
        </w:rPr>
        <w:t>+</w:t>
      </w:r>
      <w:r w:rsidRPr="00172BFB">
        <w:rPr>
          <w:rFonts w:asciiTheme="majorHAnsi" w:hAnsiTheme="majorHAnsi" w:cstheme="majorHAnsi"/>
        </w:rPr>
        <w:t xml:space="preserve"> and MHC-II</w:t>
      </w:r>
      <w:r w:rsidRPr="00172BFB">
        <w:rPr>
          <w:rFonts w:asciiTheme="majorHAnsi" w:hAnsiTheme="majorHAnsi" w:cstheme="majorHAnsi"/>
          <w:vertAlign w:val="superscript"/>
        </w:rPr>
        <w:t>+</w:t>
      </w:r>
      <w:r w:rsidRPr="00172BFB">
        <w:rPr>
          <w:rFonts w:asciiTheme="majorHAnsi" w:hAnsiTheme="majorHAnsi" w:cstheme="majorHAnsi"/>
        </w:rPr>
        <w:t xml:space="preserve"> </w:t>
      </w:r>
      <w:r w:rsidR="001D2F42" w:rsidRPr="00172BFB">
        <w:rPr>
          <w:rFonts w:asciiTheme="majorHAnsi" w:hAnsiTheme="majorHAnsi" w:cstheme="majorHAnsi"/>
        </w:rPr>
        <w:t xml:space="preserve">cDC1-like </w:t>
      </w:r>
      <w:r w:rsidRPr="00172BFB">
        <w:rPr>
          <w:rFonts w:asciiTheme="majorHAnsi" w:hAnsiTheme="majorHAnsi" w:cstheme="majorHAnsi"/>
        </w:rPr>
        <w:t>cells, are sufficient to elicit anti-tumor immunity</w:t>
      </w:r>
      <w:r w:rsidRPr="00172BFB">
        <w:rPr>
          <w:rFonts w:asciiTheme="majorHAnsi" w:hAnsiTheme="majorHAnsi" w:cstheme="majorHAnsi"/>
          <w:i/>
          <w:vertAlign w:val="superscript"/>
        </w:rPr>
        <w:t>20</w:t>
      </w:r>
      <w:r w:rsidRPr="00172BFB">
        <w:rPr>
          <w:rFonts w:asciiTheme="majorHAnsi" w:hAnsiTheme="majorHAnsi" w:cstheme="majorHAnsi"/>
        </w:rPr>
        <w:t>. Furthermore, the rapid immune infiltration observed on day 3 suggests that partially reprogrammed c</w:t>
      </w:r>
      <w:r w:rsidR="001D2F42" w:rsidRPr="00172BFB">
        <w:rPr>
          <w:rFonts w:asciiTheme="majorHAnsi" w:hAnsiTheme="majorHAnsi" w:cstheme="majorHAnsi"/>
        </w:rPr>
        <w:t>DC1-like c</w:t>
      </w:r>
      <w:r w:rsidRPr="00172BFB">
        <w:rPr>
          <w:rFonts w:asciiTheme="majorHAnsi" w:hAnsiTheme="majorHAnsi" w:cstheme="majorHAnsi"/>
        </w:rPr>
        <w:t xml:space="preserve">ells are functionally active </w:t>
      </w:r>
      <w:r w:rsidRPr="00172BFB">
        <w:rPr>
          <w:rFonts w:asciiTheme="majorHAnsi" w:hAnsiTheme="majorHAnsi" w:cstheme="majorHAnsi"/>
          <w:i/>
          <w:iCs/>
        </w:rPr>
        <w:t>in vivo</w:t>
      </w:r>
      <w:r w:rsidRPr="00172BFB">
        <w:rPr>
          <w:rFonts w:asciiTheme="majorHAnsi" w:hAnsiTheme="majorHAnsi" w:cstheme="majorHAnsi"/>
        </w:rPr>
        <w:t xml:space="preserve">, as there is no substantial increase in fully reprogrammed </w:t>
      </w:r>
      <w:r w:rsidR="001D2F42" w:rsidRPr="00172BFB">
        <w:rPr>
          <w:rFonts w:asciiTheme="majorHAnsi" w:hAnsiTheme="majorHAnsi" w:cstheme="majorHAnsi"/>
        </w:rPr>
        <w:t xml:space="preserve">cDC1-like </w:t>
      </w:r>
      <w:r w:rsidRPr="00172BFB">
        <w:rPr>
          <w:rFonts w:asciiTheme="majorHAnsi" w:hAnsiTheme="majorHAnsi" w:cstheme="majorHAnsi"/>
        </w:rPr>
        <w:t xml:space="preserve">cells at </w:t>
      </w:r>
      <w:proofErr w:type="gramStart"/>
      <w:r w:rsidRPr="00172BFB">
        <w:rPr>
          <w:rFonts w:asciiTheme="majorHAnsi" w:hAnsiTheme="majorHAnsi" w:cstheme="majorHAnsi"/>
        </w:rPr>
        <w:t>this time</w:t>
      </w:r>
      <w:proofErr w:type="gramEnd"/>
      <w:r w:rsidRPr="00172BFB">
        <w:rPr>
          <w:rFonts w:asciiTheme="majorHAnsi" w:hAnsiTheme="majorHAnsi" w:cstheme="majorHAnsi"/>
        </w:rPr>
        <w:t xml:space="preserve"> point. In the future, it will be interesting to unravel the functional role of partially versus fully reprogrammed </w:t>
      </w:r>
      <w:r w:rsidR="001D2F42" w:rsidRPr="00172BFB">
        <w:rPr>
          <w:rFonts w:asciiTheme="majorHAnsi" w:hAnsiTheme="majorHAnsi" w:cstheme="majorHAnsi"/>
        </w:rPr>
        <w:t xml:space="preserve">cDC1-like </w:t>
      </w:r>
      <w:r w:rsidRPr="00172BFB">
        <w:rPr>
          <w:rFonts w:asciiTheme="majorHAnsi" w:hAnsiTheme="majorHAnsi" w:cstheme="majorHAnsi"/>
        </w:rPr>
        <w:t>cells in anti-tumor efficacy using modified vectors containing a suicide gene to induce cell death in selected cell populations at defined time points</w:t>
      </w:r>
      <w:r w:rsidRPr="00172BFB">
        <w:rPr>
          <w:rFonts w:asciiTheme="majorHAnsi" w:hAnsiTheme="majorHAnsi" w:cstheme="majorHAnsi"/>
          <w:i/>
          <w:vertAlign w:val="superscript"/>
        </w:rPr>
        <w:t>24</w:t>
      </w:r>
      <w:r w:rsidRPr="00172BFB">
        <w:rPr>
          <w:rFonts w:asciiTheme="majorHAnsi" w:hAnsiTheme="majorHAnsi" w:cstheme="majorHAnsi"/>
        </w:rPr>
        <w:t>. This protocol can further be used to explore the combination with epigenetic adjuvants, which can increase reprogramming efficiency</w:t>
      </w:r>
      <w:r w:rsidRPr="00172BFB">
        <w:rPr>
          <w:rFonts w:asciiTheme="majorHAnsi" w:hAnsiTheme="majorHAnsi" w:cstheme="majorHAnsi"/>
          <w:i/>
          <w:vertAlign w:val="superscript"/>
        </w:rPr>
        <w:t>25</w:t>
      </w:r>
      <w:r w:rsidRPr="00172BFB">
        <w:rPr>
          <w:rFonts w:asciiTheme="majorHAnsi" w:hAnsiTheme="majorHAnsi" w:cstheme="majorHAnsi"/>
        </w:rPr>
        <w:t xml:space="preserve">. Finally, this method could also be adapted to generate other DC subtypes </w:t>
      </w:r>
      <w:r w:rsidRPr="00172BFB">
        <w:rPr>
          <w:rFonts w:asciiTheme="majorHAnsi" w:hAnsiTheme="majorHAnsi" w:cstheme="majorHAnsi"/>
          <w:i/>
          <w:iCs/>
        </w:rPr>
        <w:t>in vivo</w:t>
      </w:r>
      <w:r w:rsidRPr="00172BFB">
        <w:rPr>
          <w:rFonts w:asciiTheme="majorHAnsi" w:hAnsiTheme="majorHAnsi" w:cstheme="majorHAnsi"/>
        </w:rPr>
        <w:t xml:space="preserve">, launching different types of immune responses, </w:t>
      </w:r>
      <w:r w:rsidR="00355949" w:rsidRPr="00172BFB">
        <w:rPr>
          <w:rFonts w:asciiTheme="majorHAnsi" w:hAnsiTheme="majorHAnsi" w:cstheme="majorHAnsi"/>
        </w:rPr>
        <w:t>for example</w:t>
      </w:r>
      <w:r w:rsidRPr="00172BFB">
        <w:rPr>
          <w:rFonts w:asciiTheme="majorHAnsi" w:hAnsiTheme="majorHAnsi" w:cstheme="majorHAnsi"/>
        </w:rPr>
        <w:t>, anti-viral or tolerogenic responses</w:t>
      </w:r>
      <w:r w:rsidRPr="00172BFB">
        <w:rPr>
          <w:rFonts w:asciiTheme="majorHAnsi" w:hAnsiTheme="majorHAnsi" w:cstheme="majorHAnsi"/>
          <w:i/>
          <w:vertAlign w:val="superscript"/>
        </w:rPr>
        <w:t>14</w:t>
      </w:r>
      <w:r w:rsidRPr="00172BFB">
        <w:rPr>
          <w:rFonts w:asciiTheme="majorHAnsi" w:hAnsiTheme="majorHAnsi" w:cstheme="majorHAnsi"/>
        </w:rPr>
        <w:t xml:space="preserve">. In addition, we can </w:t>
      </w:r>
      <w:proofErr w:type="gramStart"/>
      <w:r w:rsidRPr="00172BFB">
        <w:rPr>
          <w:rFonts w:asciiTheme="majorHAnsi" w:hAnsiTheme="majorHAnsi" w:cstheme="majorHAnsi"/>
        </w:rPr>
        <w:t xml:space="preserve">harness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reprogramming as a platform to perform barcoded screens for transcription factor combinations to generate diverse immune cell types. This possibility could </w:t>
      </w:r>
      <w:r w:rsidRPr="00172BFB">
        <w:rPr>
          <w:rFonts w:asciiTheme="majorHAnsi" w:hAnsiTheme="majorHAnsi" w:cstheme="majorHAnsi"/>
        </w:rPr>
        <w:lastRenderedPageBreak/>
        <w:t xml:space="preserve">increase the flexibility of treatments by leveraging diverse functional properties of specific immune </w:t>
      </w:r>
      <w:proofErr w:type="gramStart"/>
      <w:r w:rsidRPr="00172BFB">
        <w:rPr>
          <w:rFonts w:asciiTheme="majorHAnsi" w:hAnsiTheme="majorHAnsi" w:cstheme="majorHAnsi"/>
        </w:rPr>
        <w:t>subsets</w:t>
      </w:r>
      <w:proofErr w:type="gramEnd"/>
      <w:r w:rsidRPr="00172BFB">
        <w:rPr>
          <w:rFonts w:asciiTheme="majorHAnsi" w:hAnsiTheme="majorHAnsi" w:cstheme="majorHAnsi"/>
        </w:rPr>
        <w:t xml:space="preserve">. </w:t>
      </w:r>
    </w:p>
    <w:p w14:paraId="2A8557B2" w14:textId="77777777" w:rsidR="004D2710" w:rsidRPr="00172BFB" w:rsidRDefault="004D2710" w:rsidP="00172BFB">
      <w:pPr>
        <w:ind w:left="142"/>
        <w:rPr>
          <w:rFonts w:asciiTheme="majorHAnsi" w:hAnsiTheme="majorHAnsi" w:cstheme="majorHAnsi"/>
        </w:rPr>
      </w:pPr>
    </w:p>
    <w:p w14:paraId="5882004F" w14:textId="28FF0CCA"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In our previous study, we demonstrated that the immunosuppressive </w:t>
      </w:r>
      <w:r w:rsidRPr="00172BFB">
        <w:rPr>
          <w:rFonts w:asciiTheme="majorHAnsi" w:hAnsiTheme="majorHAnsi" w:cstheme="majorHAnsi"/>
          <w:i/>
          <w:iCs/>
        </w:rPr>
        <w:t>in vivo</w:t>
      </w:r>
      <w:r w:rsidRPr="00172BFB">
        <w:rPr>
          <w:rFonts w:asciiTheme="majorHAnsi" w:hAnsiTheme="majorHAnsi" w:cstheme="majorHAnsi"/>
        </w:rPr>
        <w:t xml:space="preserve"> environment does not hinder the reprogramming of human cancer cells into immunogenic cDC1s</w:t>
      </w:r>
      <w:r w:rsidRPr="00172BFB">
        <w:rPr>
          <w:rFonts w:asciiTheme="majorHAnsi" w:hAnsiTheme="majorHAnsi" w:cstheme="majorHAnsi"/>
          <w:i/>
          <w:vertAlign w:val="superscript"/>
        </w:rPr>
        <w:t>20</w:t>
      </w:r>
      <w:r w:rsidRPr="00172BFB">
        <w:rPr>
          <w:rFonts w:asciiTheme="majorHAnsi" w:hAnsiTheme="majorHAnsi" w:cstheme="majorHAnsi"/>
        </w:rPr>
        <w:t xml:space="preserve">. In this article, we show that in mice, reprogramming is more rapid and efficient </w:t>
      </w:r>
      <w:r w:rsidRPr="00172BFB">
        <w:rPr>
          <w:rFonts w:asciiTheme="majorHAnsi" w:hAnsiTheme="majorHAnsi" w:cstheme="majorHAnsi"/>
          <w:i/>
          <w:iCs/>
        </w:rPr>
        <w:t>in vivo</w:t>
      </w:r>
      <w:r w:rsidRPr="00172BFB">
        <w:rPr>
          <w:rFonts w:asciiTheme="majorHAnsi" w:hAnsiTheme="majorHAnsi" w:cstheme="majorHAnsi"/>
        </w:rPr>
        <w:t xml:space="preserve"> than </w:t>
      </w:r>
      <w:r w:rsidRPr="00172BFB">
        <w:rPr>
          <w:rFonts w:asciiTheme="majorHAnsi" w:hAnsiTheme="majorHAnsi" w:cstheme="majorHAnsi"/>
          <w:i/>
          <w:iCs/>
        </w:rPr>
        <w:t>in vitro</w:t>
      </w:r>
      <w:r w:rsidRPr="00172BFB">
        <w:rPr>
          <w:rFonts w:asciiTheme="majorHAnsi" w:hAnsiTheme="majorHAnsi" w:cstheme="majorHAnsi"/>
        </w:rPr>
        <w:t xml:space="preserve">, suggesting that the enhanced reprogramming observed </w:t>
      </w:r>
      <w:r w:rsidRPr="00172BFB">
        <w:rPr>
          <w:rFonts w:asciiTheme="majorHAnsi" w:hAnsiTheme="majorHAnsi" w:cstheme="majorHAnsi"/>
          <w:i/>
          <w:iCs/>
        </w:rPr>
        <w:t>in vivo</w:t>
      </w:r>
      <w:r w:rsidRPr="00172BFB">
        <w:rPr>
          <w:rFonts w:asciiTheme="majorHAnsi" w:hAnsiTheme="majorHAnsi" w:cstheme="majorHAnsi"/>
        </w:rPr>
        <w:t xml:space="preserve"> is a conserved phenomenon across both species. However, one of the limitations of this method is the lack of </w:t>
      </w:r>
      <w:proofErr w:type="gramStart"/>
      <w:r w:rsidRPr="00172BFB">
        <w:rPr>
          <w:rFonts w:asciiTheme="majorHAnsi" w:hAnsiTheme="majorHAnsi" w:cstheme="majorHAnsi"/>
        </w:rPr>
        <w:t xml:space="preserve">the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environment during initial vector delivery; thus, it cannot discern whether environmental cues impact </w:t>
      </w:r>
      <w:r w:rsidRPr="00172BFB">
        <w:rPr>
          <w:rFonts w:asciiTheme="majorHAnsi" w:hAnsiTheme="majorHAnsi" w:cstheme="majorHAnsi"/>
          <w:i/>
          <w:iCs/>
        </w:rPr>
        <w:t>in vivo</w:t>
      </w:r>
      <w:r w:rsidRPr="00172BFB">
        <w:rPr>
          <w:rFonts w:asciiTheme="majorHAnsi" w:hAnsiTheme="majorHAnsi" w:cstheme="majorHAnsi"/>
        </w:rPr>
        <w:t xml:space="preserve"> delivery efficiency. This should be determined in situ by comparing different </w:t>
      </w:r>
      <w:proofErr w:type="gramStart"/>
      <w:r w:rsidRPr="00172BFB">
        <w:rPr>
          <w:rFonts w:asciiTheme="majorHAnsi" w:hAnsiTheme="majorHAnsi" w:cstheme="majorHAnsi"/>
        </w:rPr>
        <w:t>moieties</w:t>
      </w:r>
      <w:proofErr w:type="gramEnd"/>
      <w:r w:rsidRPr="00172BFB">
        <w:rPr>
          <w:rFonts w:asciiTheme="majorHAnsi" w:hAnsiTheme="majorHAnsi" w:cstheme="majorHAnsi"/>
        </w:rPr>
        <w:t xml:space="preserve">. Adenoviral vectors, which we have identified to be more efficient than lentiviral vectors for </w:t>
      </w:r>
      <w:r w:rsidRPr="00172BFB">
        <w:rPr>
          <w:rFonts w:asciiTheme="majorHAnsi" w:hAnsiTheme="majorHAnsi" w:cstheme="majorHAnsi"/>
          <w:i/>
          <w:iCs/>
        </w:rPr>
        <w:t>in situ</w:t>
      </w:r>
      <w:r w:rsidRPr="00172BFB">
        <w:rPr>
          <w:rFonts w:asciiTheme="majorHAnsi" w:hAnsiTheme="majorHAnsi" w:cstheme="majorHAnsi"/>
        </w:rPr>
        <w:t xml:space="preserve"> delivery</w:t>
      </w:r>
      <w:r w:rsidRPr="00172BFB">
        <w:rPr>
          <w:rFonts w:asciiTheme="majorHAnsi" w:hAnsiTheme="majorHAnsi" w:cstheme="majorHAnsi"/>
          <w:i/>
          <w:vertAlign w:val="superscript"/>
        </w:rPr>
        <w:t>20</w:t>
      </w:r>
      <w:r w:rsidRPr="00172BFB">
        <w:rPr>
          <w:rFonts w:asciiTheme="majorHAnsi" w:hAnsiTheme="majorHAnsi" w:cstheme="majorHAnsi"/>
          <w:vertAlign w:val="superscript"/>
        </w:rPr>
        <w:t xml:space="preserve"> </w:t>
      </w:r>
      <w:r w:rsidRPr="00172BFB">
        <w:rPr>
          <w:rFonts w:asciiTheme="majorHAnsi" w:hAnsiTheme="majorHAnsi" w:cstheme="majorHAnsi"/>
        </w:rPr>
        <w:t>could be compared to non-viral moieties such as linear, circular, and self-amplifying RNAs or small molecule cocktails</w:t>
      </w:r>
      <w:r w:rsidRPr="00172BFB">
        <w:rPr>
          <w:rFonts w:asciiTheme="majorHAnsi" w:hAnsiTheme="majorHAnsi" w:cstheme="majorHAnsi"/>
          <w:i/>
          <w:vertAlign w:val="superscript"/>
        </w:rPr>
        <w:t>26,27</w:t>
      </w:r>
      <w:r w:rsidRPr="00172BFB">
        <w:rPr>
          <w:rFonts w:asciiTheme="majorHAnsi" w:hAnsiTheme="majorHAnsi" w:cstheme="majorHAnsi"/>
        </w:rPr>
        <w:t>.</w:t>
      </w:r>
    </w:p>
    <w:p w14:paraId="0E52BCD4" w14:textId="77777777" w:rsidR="004D2710" w:rsidRPr="00172BFB" w:rsidRDefault="004D2710" w:rsidP="00172BFB">
      <w:pPr>
        <w:ind w:left="142"/>
        <w:rPr>
          <w:rFonts w:asciiTheme="majorHAnsi" w:hAnsiTheme="majorHAnsi" w:cstheme="majorHAnsi"/>
        </w:rPr>
      </w:pPr>
    </w:p>
    <w:p w14:paraId="1722DA99" w14:textId="5CFCCD8C" w:rsidR="004D2710" w:rsidRPr="00172BFB" w:rsidRDefault="00172BFB" w:rsidP="00172BFB">
      <w:pPr>
        <w:ind w:left="142"/>
        <w:rPr>
          <w:rFonts w:asciiTheme="majorHAnsi" w:hAnsiTheme="majorHAnsi" w:cstheme="majorHAnsi"/>
        </w:rPr>
      </w:pPr>
      <w:r w:rsidRPr="00172BFB">
        <w:rPr>
          <w:rFonts w:asciiTheme="majorHAnsi" w:hAnsiTheme="majorHAnsi" w:cstheme="majorHAnsi"/>
        </w:rPr>
        <w:t>We have previously shown that cDC1 reprogramming endows cancer cells with pro-inflammatory cytokine and lymphocyte-recruiting chemokine secretion and professional antigen processing and presentation on MHC-I and MHC-II in melanoma models</w:t>
      </w:r>
      <w:r w:rsidRPr="00172BFB">
        <w:rPr>
          <w:rFonts w:asciiTheme="majorHAnsi" w:hAnsiTheme="majorHAnsi" w:cstheme="majorHAnsi"/>
          <w:i/>
          <w:vertAlign w:val="superscript"/>
        </w:rPr>
        <w:t>23,28</w:t>
      </w:r>
      <w:r w:rsidRPr="00172BFB">
        <w:rPr>
          <w:rFonts w:asciiTheme="majorHAnsi" w:hAnsiTheme="majorHAnsi" w:cstheme="majorHAnsi"/>
        </w:rPr>
        <w:t>. This results in remodeling of the TME from an "immune-cold" to an "immune-hot" state by inducing TLS formation, which increases the infiltration of cytotoxic effector T cells, NK cells, and B cells, and reduces immunosuppressive populations such as regulatory and exhausted T cells</w:t>
      </w:r>
      <w:r w:rsidRPr="00172BFB">
        <w:rPr>
          <w:rFonts w:asciiTheme="majorHAnsi" w:hAnsiTheme="majorHAnsi" w:cstheme="majorHAnsi"/>
          <w:i/>
          <w:vertAlign w:val="superscript"/>
        </w:rPr>
        <w:t>20</w:t>
      </w:r>
      <w:r w:rsidRPr="00172BFB">
        <w:rPr>
          <w:rFonts w:asciiTheme="majorHAnsi" w:hAnsiTheme="majorHAnsi" w:cstheme="majorHAnsi"/>
        </w:rPr>
        <w:t>. In patients, positive responses to immunotherapy have been linked to the presence of TLS within tumors, where sustained T and B cell priming against tumor antigens generates tumor-specific antibody responses</w:t>
      </w:r>
      <w:r w:rsidRPr="00172BFB">
        <w:rPr>
          <w:rFonts w:asciiTheme="majorHAnsi" w:hAnsiTheme="majorHAnsi" w:cstheme="majorHAnsi"/>
          <w:i/>
          <w:vertAlign w:val="superscript"/>
        </w:rPr>
        <w:t>2</w:t>
      </w:r>
      <w:r w:rsidR="001D2F42" w:rsidRPr="00172BFB">
        <w:rPr>
          <w:rFonts w:asciiTheme="majorHAnsi" w:hAnsiTheme="majorHAnsi" w:cstheme="majorHAnsi"/>
          <w:i/>
          <w:vertAlign w:val="superscript"/>
        </w:rPr>
        <w:t>9,</w:t>
      </w:r>
      <w:r w:rsidRPr="00172BFB">
        <w:rPr>
          <w:rFonts w:asciiTheme="majorHAnsi" w:hAnsiTheme="majorHAnsi" w:cstheme="majorHAnsi"/>
          <w:i/>
          <w:vertAlign w:val="superscript"/>
        </w:rPr>
        <w:t>30</w:t>
      </w:r>
      <w:r w:rsidRPr="00172BFB">
        <w:rPr>
          <w:rFonts w:asciiTheme="majorHAnsi" w:hAnsiTheme="majorHAnsi" w:cstheme="majorHAnsi"/>
        </w:rPr>
        <w:t xml:space="preserve">. In the future, we envision employing this tractable </w:t>
      </w:r>
      <w:r w:rsidRPr="00172BFB">
        <w:rPr>
          <w:rFonts w:asciiTheme="majorHAnsi" w:hAnsiTheme="majorHAnsi" w:cstheme="majorHAnsi"/>
          <w:i/>
          <w:iCs/>
        </w:rPr>
        <w:t>in vivo</w:t>
      </w:r>
      <w:r w:rsidRPr="00172BFB">
        <w:rPr>
          <w:rFonts w:asciiTheme="majorHAnsi" w:hAnsiTheme="majorHAnsi" w:cstheme="majorHAnsi"/>
        </w:rPr>
        <w:t xml:space="preserve"> cDC1 reprogramming protocol to unravel the mechanisms of induced TLS neogenesis, TME remodeling and anti-tumor immunity across different cancer types and characterize whether the production of tumor-specific antibodies is stimulated. </w:t>
      </w:r>
    </w:p>
    <w:p w14:paraId="2F28E14C" w14:textId="77777777" w:rsidR="004D2710" w:rsidRPr="00172BFB" w:rsidRDefault="004D2710" w:rsidP="00172BFB">
      <w:pPr>
        <w:ind w:left="142"/>
        <w:rPr>
          <w:rFonts w:asciiTheme="majorHAnsi" w:hAnsiTheme="majorHAnsi" w:cstheme="majorHAnsi"/>
        </w:rPr>
      </w:pPr>
    </w:p>
    <w:p w14:paraId="4E57DF8C" w14:textId="1A0B68EA" w:rsidR="004D2710"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We have previously observed synergism </w:t>
      </w:r>
      <w:proofErr w:type="gramStart"/>
      <w:r w:rsidRPr="00172BFB">
        <w:rPr>
          <w:rFonts w:asciiTheme="majorHAnsi" w:hAnsiTheme="majorHAnsi" w:cstheme="majorHAnsi"/>
        </w:rPr>
        <w:t xml:space="preserve">between </w:t>
      </w:r>
      <w:r w:rsidRPr="00172BFB">
        <w:rPr>
          <w:rFonts w:asciiTheme="majorHAnsi" w:hAnsiTheme="majorHAnsi" w:cstheme="majorHAnsi"/>
          <w:i/>
          <w:iCs/>
        </w:rPr>
        <w:t>in</w:t>
      </w:r>
      <w:proofErr w:type="gramEnd"/>
      <w:r w:rsidRPr="00172BFB">
        <w:rPr>
          <w:rFonts w:asciiTheme="majorHAnsi" w:hAnsiTheme="majorHAnsi" w:cstheme="majorHAnsi"/>
          <w:i/>
          <w:iCs/>
        </w:rPr>
        <w:t xml:space="preserve"> vivo</w:t>
      </w:r>
      <w:r w:rsidRPr="00172BFB">
        <w:rPr>
          <w:rFonts w:asciiTheme="majorHAnsi" w:hAnsiTheme="majorHAnsi" w:cstheme="majorHAnsi"/>
        </w:rPr>
        <w:t xml:space="preserve"> cDC1 reprogramming and ICB with anti-PD-1 or anti-CTLA-4</w:t>
      </w:r>
      <w:r w:rsidRPr="00172BFB">
        <w:rPr>
          <w:rFonts w:asciiTheme="majorHAnsi" w:hAnsiTheme="majorHAnsi" w:cstheme="majorHAnsi"/>
          <w:i/>
          <w:vertAlign w:val="superscript"/>
        </w:rPr>
        <w:t>20</w:t>
      </w:r>
      <w:r w:rsidRPr="00172BFB">
        <w:rPr>
          <w:rFonts w:asciiTheme="majorHAnsi" w:hAnsiTheme="majorHAnsi" w:cstheme="majorHAnsi"/>
        </w:rPr>
        <w:t>. This suggests that the “immune-hot” TME created by cDC1 reprogramming could provide a favorable environment for possible combinations with other immunotherapies such as ACT including T cell receptor</w:t>
      </w:r>
      <w:r w:rsidR="001D2F42" w:rsidRPr="00172BFB">
        <w:rPr>
          <w:rFonts w:asciiTheme="majorHAnsi" w:hAnsiTheme="majorHAnsi" w:cstheme="majorHAnsi"/>
        </w:rPr>
        <w:t xml:space="preserve"> (TCR)</w:t>
      </w:r>
      <w:r w:rsidRPr="00172BFB">
        <w:rPr>
          <w:rFonts w:asciiTheme="majorHAnsi" w:hAnsiTheme="majorHAnsi" w:cstheme="majorHAnsi"/>
        </w:rPr>
        <w:t>-T cells, chimeric antigen receptor</w:t>
      </w:r>
      <w:r w:rsidR="001D2F42" w:rsidRPr="00172BFB">
        <w:rPr>
          <w:rFonts w:asciiTheme="majorHAnsi" w:hAnsiTheme="majorHAnsi" w:cstheme="majorHAnsi"/>
        </w:rPr>
        <w:t xml:space="preserve"> (CAR)</w:t>
      </w:r>
      <w:r w:rsidRPr="00172BFB">
        <w:rPr>
          <w:rFonts w:asciiTheme="majorHAnsi" w:hAnsiTheme="majorHAnsi" w:cstheme="majorHAnsi"/>
        </w:rPr>
        <w:t>-T cells, or tumor-infiltrating lymphocytes</w:t>
      </w:r>
      <w:r w:rsidR="001D2F42" w:rsidRPr="00172BFB">
        <w:rPr>
          <w:rFonts w:asciiTheme="majorHAnsi" w:hAnsiTheme="majorHAnsi" w:cstheme="majorHAnsi"/>
        </w:rPr>
        <w:t xml:space="preserve"> (TILs)</w:t>
      </w:r>
      <w:r w:rsidRPr="00172BFB">
        <w:rPr>
          <w:rFonts w:asciiTheme="majorHAnsi" w:hAnsiTheme="majorHAnsi" w:cstheme="majorHAnsi"/>
        </w:rPr>
        <w:t xml:space="preserve">. Another advantage of this method is the possibility to perform large unbiased combinatorial or CRISPR screens, in which immunological receptors, cytokines, chemokines, or lymphotoxins could be overexpressed or depleted in cDC1-like cells in resistant tumor types, thus unraveling the role of distinct pathways in enhancing cDC1-mediated immunity.  In conclusion, the current protocol provides a valuable resource for a broad scientific community, since </w:t>
      </w:r>
      <w:r w:rsidRPr="00172BFB">
        <w:rPr>
          <w:rFonts w:asciiTheme="majorHAnsi" w:hAnsiTheme="majorHAnsi" w:cstheme="majorHAnsi"/>
          <w:i/>
          <w:iCs/>
        </w:rPr>
        <w:t>in vivo</w:t>
      </w:r>
      <w:r w:rsidRPr="00172BFB">
        <w:rPr>
          <w:rFonts w:asciiTheme="majorHAnsi" w:hAnsiTheme="majorHAnsi" w:cstheme="majorHAnsi"/>
        </w:rPr>
        <w:t xml:space="preserve"> cDC1 reprogramming is a flexible and powerful platform for mechanistic studies and therapeutic innovation in cancer immunotherapy.</w:t>
      </w:r>
    </w:p>
    <w:p w14:paraId="1C27EDE1" w14:textId="77777777" w:rsidR="004D2710" w:rsidRPr="00172BFB" w:rsidRDefault="004D2710" w:rsidP="00172BFB">
      <w:pPr>
        <w:ind w:left="142"/>
        <w:rPr>
          <w:rFonts w:asciiTheme="majorHAnsi" w:hAnsiTheme="majorHAnsi" w:cstheme="majorHAnsi"/>
        </w:rPr>
      </w:pPr>
    </w:p>
    <w:p w14:paraId="42DD996B" w14:textId="77777777" w:rsidR="004D2710" w:rsidRPr="00172BFB" w:rsidRDefault="00172BFB" w:rsidP="00172BFB">
      <w:pPr>
        <w:ind w:left="142"/>
        <w:rPr>
          <w:rFonts w:asciiTheme="majorHAnsi" w:hAnsiTheme="majorHAnsi" w:cstheme="majorHAnsi"/>
          <w:b/>
        </w:rPr>
      </w:pPr>
      <w:r w:rsidRPr="00172BFB">
        <w:rPr>
          <w:rFonts w:asciiTheme="majorHAnsi" w:hAnsiTheme="majorHAnsi" w:cstheme="majorHAnsi"/>
          <w:b/>
        </w:rPr>
        <w:t xml:space="preserve">ACKNOWLEDGMENTS: </w:t>
      </w:r>
    </w:p>
    <w:p w14:paraId="003E061F" w14:textId="77777777" w:rsidR="004D2710" w:rsidRPr="00172BFB" w:rsidRDefault="00172BFB" w:rsidP="00172BFB">
      <w:pPr>
        <w:ind w:left="142"/>
        <w:rPr>
          <w:rFonts w:asciiTheme="majorHAnsi" w:hAnsiTheme="majorHAnsi" w:cstheme="majorHAnsi"/>
        </w:rPr>
      </w:pPr>
      <w:r w:rsidRPr="00172BFB">
        <w:rPr>
          <w:rFonts w:asciiTheme="majorHAnsi" w:hAnsiTheme="majorHAnsi" w:cstheme="majorHAnsi"/>
        </w:rPr>
        <w:t>We thank Mariana Lopes and Camille Chatelain, members of the Cell Reprogramming in Hematopoiesis and Immunity Laboratory, for editing and proofreading the manuscript.</w:t>
      </w:r>
    </w:p>
    <w:p w14:paraId="3EE26383" w14:textId="77777777" w:rsidR="00351D06" w:rsidRPr="00172BFB" w:rsidRDefault="00172BFB" w:rsidP="00172BFB">
      <w:pPr>
        <w:ind w:left="142"/>
        <w:rPr>
          <w:rFonts w:asciiTheme="majorHAnsi" w:hAnsiTheme="majorHAnsi" w:cstheme="majorHAnsi"/>
        </w:rPr>
      </w:pPr>
      <w:r w:rsidRPr="00172BFB">
        <w:rPr>
          <w:rFonts w:asciiTheme="majorHAnsi" w:hAnsiTheme="majorHAnsi" w:cstheme="majorHAnsi"/>
        </w:rPr>
        <w:t xml:space="preserve">This study was accomplished within the context of the National ATMP Research School funded </w:t>
      </w:r>
      <w:r w:rsidRPr="00172BFB">
        <w:rPr>
          <w:rFonts w:asciiTheme="majorHAnsi" w:hAnsiTheme="majorHAnsi" w:cstheme="majorHAnsi"/>
        </w:rPr>
        <w:lastRenderedPageBreak/>
        <w:t xml:space="preserve">by the Swedish Research Council. The projects discussed here were co-funded by the European Research Council under the European Union’s Horizon 2020 research and innovation program (866448-TrojanDC and 101189370), Novo Nordisk </w:t>
      </w:r>
      <w:proofErr w:type="spellStart"/>
      <w:r w:rsidRPr="00172BFB">
        <w:rPr>
          <w:rFonts w:asciiTheme="majorHAnsi" w:hAnsiTheme="majorHAnsi" w:cstheme="majorHAnsi"/>
        </w:rPr>
        <w:t>Fonden</w:t>
      </w:r>
      <w:proofErr w:type="spellEnd"/>
      <w:r w:rsidRPr="00172BFB">
        <w:rPr>
          <w:rFonts w:asciiTheme="majorHAnsi" w:hAnsiTheme="majorHAnsi" w:cstheme="majorHAnsi"/>
        </w:rPr>
        <w:t xml:space="preserve"> (NNF22C0079466), European Innovation Council (101130218-RESYNC), </w:t>
      </w:r>
      <w:proofErr w:type="spellStart"/>
      <w:r w:rsidRPr="00172BFB">
        <w:rPr>
          <w:rFonts w:asciiTheme="majorHAnsi" w:hAnsiTheme="majorHAnsi" w:cstheme="majorHAnsi"/>
        </w:rPr>
        <w:t>Cancerfonden</w:t>
      </w:r>
      <w:proofErr w:type="spellEnd"/>
      <w:r w:rsidRPr="00172BFB">
        <w:rPr>
          <w:rFonts w:asciiTheme="majorHAnsi" w:hAnsiTheme="majorHAnsi" w:cstheme="majorHAnsi"/>
        </w:rPr>
        <w:t xml:space="preserve"> (23 2932 </w:t>
      </w:r>
      <w:proofErr w:type="spellStart"/>
      <w:r w:rsidRPr="00172BFB">
        <w:rPr>
          <w:rFonts w:asciiTheme="majorHAnsi" w:hAnsiTheme="majorHAnsi" w:cstheme="majorHAnsi"/>
        </w:rPr>
        <w:t>Pj</w:t>
      </w:r>
      <w:proofErr w:type="spellEnd"/>
      <w:r w:rsidRPr="00172BFB">
        <w:rPr>
          <w:rFonts w:asciiTheme="majorHAnsi" w:hAnsiTheme="majorHAnsi" w:cstheme="majorHAnsi"/>
        </w:rPr>
        <w:t>), the Swedish Research Council (2020-00615), Swedish Innovation Agency (</w:t>
      </w:r>
      <w:r w:rsidRPr="00172BFB">
        <w:rPr>
          <w:rFonts w:asciiTheme="majorHAnsi" w:eastAsia="Helvetica Neue" w:hAnsiTheme="majorHAnsi" w:cstheme="majorHAnsi"/>
        </w:rPr>
        <w:t>2024-02178</w:t>
      </w:r>
      <w:r w:rsidRPr="00172BFB">
        <w:rPr>
          <w:rFonts w:asciiTheme="majorHAnsi" w:hAnsiTheme="majorHAnsi" w:cstheme="majorHAnsi"/>
        </w:rPr>
        <w:t xml:space="preserve">), ALF (44410), FCT (2022.02338.PTDC), and Plano de </w:t>
      </w:r>
      <w:proofErr w:type="spellStart"/>
      <w:r w:rsidRPr="00172BFB">
        <w:rPr>
          <w:rFonts w:asciiTheme="majorHAnsi" w:hAnsiTheme="majorHAnsi" w:cstheme="majorHAnsi"/>
        </w:rPr>
        <w:t>Recuperação</w:t>
      </w:r>
      <w:proofErr w:type="spellEnd"/>
      <w:r w:rsidRPr="00172BFB">
        <w:rPr>
          <w:rFonts w:asciiTheme="majorHAnsi" w:hAnsiTheme="majorHAnsi" w:cstheme="majorHAnsi"/>
        </w:rPr>
        <w:t xml:space="preserve"> e </w:t>
      </w:r>
      <w:proofErr w:type="spellStart"/>
      <w:r w:rsidRPr="00172BFB">
        <w:rPr>
          <w:rFonts w:asciiTheme="majorHAnsi" w:hAnsiTheme="majorHAnsi" w:cstheme="majorHAnsi"/>
        </w:rPr>
        <w:t>Resiliência</w:t>
      </w:r>
      <w:proofErr w:type="spellEnd"/>
      <w:r w:rsidRPr="00172BFB">
        <w:rPr>
          <w:rFonts w:asciiTheme="majorHAnsi" w:hAnsiTheme="majorHAnsi" w:cstheme="majorHAnsi"/>
        </w:rPr>
        <w:t xml:space="preserve"> de Portugal </w:t>
      </w:r>
      <w:proofErr w:type="spellStart"/>
      <w:r w:rsidRPr="00172BFB">
        <w:rPr>
          <w:rFonts w:asciiTheme="majorHAnsi" w:hAnsiTheme="majorHAnsi" w:cstheme="majorHAnsi"/>
        </w:rPr>
        <w:t>pelo</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fundo</w:t>
      </w:r>
      <w:proofErr w:type="spellEnd"/>
      <w:r w:rsidRPr="00172BFB">
        <w:rPr>
          <w:rFonts w:asciiTheme="majorHAnsi" w:hAnsiTheme="majorHAnsi" w:cstheme="majorHAnsi"/>
        </w:rPr>
        <w:t xml:space="preserve"> </w:t>
      </w:r>
      <w:proofErr w:type="spellStart"/>
      <w:r w:rsidRPr="00172BFB">
        <w:rPr>
          <w:rFonts w:asciiTheme="majorHAnsi" w:hAnsiTheme="majorHAnsi" w:cstheme="majorHAnsi"/>
        </w:rPr>
        <w:t>NextGenerationEU</w:t>
      </w:r>
      <w:proofErr w:type="spellEnd"/>
      <w:r w:rsidRPr="00172BFB">
        <w:rPr>
          <w:rFonts w:asciiTheme="majorHAnsi" w:hAnsiTheme="majorHAnsi" w:cstheme="majorHAnsi"/>
        </w:rPr>
        <w:t xml:space="preserve"> (C644865576-00000005). The Knut and Alice Wallenberg Foundation, the Medical Faculty at Lund University, and Region </w:t>
      </w:r>
      <w:proofErr w:type="spellStart"/>
      <w:r w:rsidRPr="00172BFB">
        <w:rPr>
          <w:rFonts w:asciiTheme="majorHAnsi" w:hAnsiTheme="majorHAnsi" w:cstheme="majorHAnsi"/>
        </w:rPr>
        <w:t>Skåne</w:t>
      </w:r>
      <w:proofErr w:type="spellEnd"/>
      <w:r w:rsidRPr="00172BFB">
        <w:rPr>
          <w:rFonts w:asciiTheme="majorHAnsi" w:hAnsiTheme="majorHAnsi" w:cstheme="majorHAnsi"/>
        </w:rPr>
        <w:t xml:space="preserve"> are acknowledged for generous financial support.</w:t>
      </w:r>
    </w:p>
    <w:p w14:paraId="283DFB41" w14:textId="510EC683" w:rsidR="00D178E2" w:rsidRPr="00172BFB" w:rsidRDefault="00D178E2" w:rsidP="00172BFB">
      <w:pPr>
        <w:ind w:left="142"/>
        <w:rPr>
          <w:rFonts w:asciiTheme="majorHAnsi" w:hAnsiTheme="majorHAnsi" w:cstheme="majorHAnsi"/>
          <w:b/>
        </w:rPr>
      </w:pPr>
      <w:r w:rsidRPr="00172BFB">
        <w:rPr>
          <w:rFonts w:asciiTheme="majorHAnsi" w:hAnsiTheme="majorHAnsi" w:cstheme="majorHAnsi"/>
          <w:b/>
        </w:rPr>
        <w:t>MATERIALS AVAILABLITY:</w:t>
      </w:r>
    </w:p>
    <w:p w14:paraId="2483E274" w14:textId="4B8AD5EE" w:rsidR="00D178E2" w:rsidRPr="00172BFB" w:rsidRDefault="00D178E2" w:rsidP="00172BFB">
      <w:pPr>
        <w:pBdr>
          <w:top w:val="nil"/>
          <w:left w:val="nil"/>
          <w:bottom w:val="nil"/>
          <w:right w:val="nil"/>
          <w:between w:val="nil"/>
        </w:pBdr>
        <w:ind w:left="142"/>
        <w:rPr>
          <w:rFonts w:asciiTheme="majorHAnsi" w:hAnsiTheme="majorHAnsi" w:cstheme="majorHAnsi"/>
          <w:bCs/>
        </w:rPr>
      </w:pPr>
      <w:r w:rsidRPr="00172BFB">
        <w:rPr>
          <w:rFonts w:asciiTheme="majorHAnsi" w:hAnsiTheme="majorHAnsi" w:cstheme="majorHAnsi"/>
          <w:bCs/>
        </w:rPr>
        <w:t>Constructs and vectors used for reprogramming are available from Asgard Therapeutics under a material transfer agreement with the company. All other data needed to evaluate the conclusions in the paper are present in the main text or the supplementary materials.</w:t>
      </w:r>
    </w:p>
    <w:p w14:paraId="0EE6F814" w14:textId="77777777" w:rsidR="00D178E2" w:rsidRPr="00172BFB" w:rsidRDefault="00D178E2" w:rsidP="00172BFB">
      <w:pPr>
        <w:pBdr>
          <w:top w:val="nil"/>
          <w:left w:val="nil"/>
          <w:bottom w:val="nil"/>
          <w:right w:val="nil"/>
          <w:between w:val="nil"/>
        </w:pBdr>
        <w:ind w:left="142"/>
        <w:rPr>
          <w:rFonts w:asciiTheme="majorHAnsi" w:hAnsiTheme="majorHAnsi" w:cstheme="majorHAnsi"/>
          <w:b/>
        </w:rPr>
      </w:pPr>
    </w:p>
    <w:p w14:paraId="4EF5C4D5" w14:textId="77777777" w:rsidR="004D2710" w:rsidRPr="00172BFB" w:rsidRDefault="00172BFB" w:rsidP="00172BFB">
      <w:pPr>
        <w:pBdr>
          <w:top w:val="nil"/>
          <w:left w:val="nil"/>
          <w:bottom w:val="nil"/>
          <w:right w:val="nil"/>
          <w:between w:val="nil"/>
        </w:pBdr>
        <w:ind w:left="142"/>
        <w:rPr>
          <w:rFonts w:asciiTheme="majorHAnsi" w:hAnsiTheme="majorHAnsi" w:cstheme="majorHAnsi"/>
          <w:b/>
        </w:rPr>
      </w:pPr>
      <w:r w:rsidRPr="00172BFB">
        <w:rPr>
          <w:rFonts w:asciiTheme="majorHAnsi" w:hAnsiTheme="majorHAnsi" w:cstheme="majorHAnsi"/>
          <w:b/>
        </w:rPr>
        <w:t xml:space="preserve">DISCLOSURES: </w:t>
      </w:r>
    </w:p>
    <w:p w14:paraId="4B8F7309" w14:textId="77777777" w:rsidR="004D2710" w:rsidRPr="00172BFB" w:rsidRDefault="00172BFB" w:rsidP="00172BFB">
      <w:pPr>
        <w:pBdr>
          <w:top w:val="nil"/>
          <w:left w:val="nil"/>
          <w:bottom w:val="nil"/>
          <w:right w:val="nil"/>
          <w:between w:val="nil"/>
        </w:pBdr>
        <w:ind w:left="142"/>
        <w:rPr>
          <w:rFonts w:asciiTheme="majorHAnsi" w:hAnsiTheme="majorHAnsi" w:cstheme="majorHAnsi"/>
        </w:rPr>
      </w:pPr>
      <w:r w:rsidRPr="00172BFB">
        <w:rPr>
          <w:rFonts w:asciiTheme="majorHAnsi" w:hAnsiTheme="majorHAnsi" w:cstheme="majorHAnsi"/>
        </w:rPr>
        <w:t>C.-F.P. has equity interest and serve in management positions at Asgard Therapeutics AB, which develops cancer immunotherapies based on in vivo DC reprogramming technologies. C.-</w:t>
      </w:r>
      <w:proofErr w:type="gramStart"/>
      <w:r w:rsidRPr="00172BFB">
        <w:rPr>
          <w:rFonts w:asciiTheme="majorHAnsi" w:hAnsiTheme="majorHAnsi" w:cstheme="majorHAnsi"/>
        </w:rPr>
        <w:t>F.P</w:t>
      </w:r>
      <w:proofErr w:type="gramEnd"/>
      <w:r w:rsidRPr="00172BFB">
        <w:rPr>
          <w:rFonts w:asciiTheme="majorHAnsi" w:hAnsiTheme="majorHAnsi" w:cstheme="majorHAnsi"/>
        </w:rPr>
        <w:t xml:space="preserve"> is an inventor on granted patents US 11,345,891, JP 7303743, and CN ZL201880005047.3 and patent applications WO 2018/185709 and WO 2022/243448 (together with E.A.) held by Asgard Therapeutics, which cover the cell-reprogramming approach described here.</w:t>
      </w:r>
    </w:p>
    <w:p w14:paraId="593CEC9F" w14:textId="77777777" w:rsidR="004D2710" w:rsidRPr="00172BFB" w:rsidRDefault="004D2710" w:rsidP="00172BFB">
      <w:pPr>
        <w:ind w:left="142"/>
        <w:rPr>
          <w:rFonts w:asciiTheme="majorHAnsi" w:hAnsiTheme="majorHAnsi" w:cstheme="majorHAnsi"/>
        </w:rPr>
      </w:pPr>
    </w:p>
    <w:p w14:paraId="114E6D20" w14:textId="77777777" w:rsidR="004D2710" w:rsidRPr="00172BFB" w:rsidRDefault="00172BFB" w:rsidP="00172BFB">
      <w:pPr>
        <w:ind w:left="142"/>
        <w:rPr>
          <w:rFonts w:asciiTheme="majorHAnsi" w:hAnsiTheme="majorHAnsi" w:cstheme="majorHAnsi"/>
          <w:b/>
        </w:rPr>
      </w:pPr>
      <w:proofErr w:type="gramStart"/>
      <w:r w:rsidRPr="00172BFB">
        <w:rPr>
          <w:rFonts w:asciiTheme="majorHAnsi" w:hAnsiTheme="majorHAnsi" w:cstheme="majorHAnsi"/>
          <w:b/>
        </w:rPr>
        <w:t>REFERENCES</w:t>
      </w:r>
      <w:proofErr w:type="gramEnd"/>
      <w:r w:rsidRPr="00172BFB">
        <w:rPr>
          <w:rFonts w:asciiTheme="majorHAnsi" w:hAnsiTheme="majorHAnsi" w:cstheme="majorHAnsi"/>
          <w:b/>
        </w:rPr>
        <w:t>:</w:t>
      </w:r>
      <w:r w:rsidRPr="00172BFB">
        <w:rPr>
          <w:rFonts w:asciiTheme="majorHAnsi" w:hAnsiTheme="majorHAnsi" w:cstheme="majorHAnsi"/>
        </w:rPr>
        <w:t xml:space="preserve"> </w:t>
      </w:r>
    </w:p>
    <w:p w14:paraId="08BD248B" w14:textId="77777777" w:rsidR="004D2710" w:rsidRPr="00172BFB" w:rsidRDefault="004D2710" w:rsidP="00172BFB">
      <w:pPr>
        <w:ind w:left="142"/>
        <w:rPr>
          <w:rFonts w:asciiTheme="majorHAnsi" w:hAnsiTheme="majorHAnsi" w:cstheme="majorHAnsi"/>
        </w:rPr>
      </w:pPr>
    </w:p>
    <w:p w14:paraId="3455A48A"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Oliveira, G., Wu, C. J. Dynamics and specificities of T cells in cancer immunotherapy. </w:t>
      </w:r>
      <w:r w:rsidRPr="00BD3AFC">
        <w:rPr>
          <w:rFonts w:asciiTheme="majorHAnsi" w:eastAsia="Times New Roman" w:hAnsiTheme="majorHAnsi" w:cstheme="majorHAnsi"/>
          <w:i/>
          <w:iCs/>
          <w:lang w:val="en-IN" w:eastAsia="en-IN"/>
        </w:rPr>
        <w:t>Nat Rev Cancer.</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23</w:t>
      </w:r>
      <w:r w:rsidRPr="00BD3AFC">
        <w:rPr>
          <w:rFonts w:asciiTheme="majorHAnsi" w:eastAsia="Times New Roman" w:hAnsiTheme="majorHAnsi" w:cstheme="majorHAnsi"/>
          <w:lang w:val="en-IN" w:eastAsia="en-IN"/>
        </w:rPr>
        <w:t xml:space="preserve"> (5), 295–316 (2023).</w:t>
      </w:r>
    </w:p>
    <w:p w14:paraId="549602DF"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Larkin, J. et al. Five-year survival with combined nivolumab and ipilimumab in advanced melanoma. </w:t>
      </w:r>
      <w:r w:rsidRPr="00BD3AFC">
        <w:rPr>
          <w:rFonts w:asciiTheme="majorHAnsi" w:eastAsia="Times New Roman" w:hAnsiTheme="majorHAnsi" w:cstheme="majorHAnsi"/>
          <w:i/>
          <w:iCs/>
          <w:lang w:val="en-IN" w:eastAsia="en-IN"/>
        </w:rPr>
        <w:t>N Engl J Med.</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381</w:t>
      </w:r>
      <w:r w:rsidRPr="00BD3AFC">
        <w:rPr>
          <w:rFonts w:asciiTheme="majorHAnsi" w:eastAsia="Times New Roman" w:hAnsiTheme="majorHAnsi" w:cstheme="majorHAnsi"/>
          <w:lang w:val="en-IN" w:eastAsia="en-IN"/>
        </w:rPr>
        <w:t xml:space="preserve"> (16), 1535–1546 (2019).</w:t>
      </w:r>
    </w:p>
    <w:p w14:paraId="19F8FC75"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Adams, S. et al. Pembrolizumab monotherapy for previously untreated, PD-L1-positive, metastatic triple-negative breast cancer: cohort B of the phase II KEYNOTE-086 study. </w:t>
      </w:r>
      <w:r w:rsidRPr="00BD3AFC">
        <w:rPr>
          <w:rFonts w:asciiTheme="majorHAnsi" w:eastAsia="Times New Roman" w:hAnsiTheme="majorHAnsi" w:cstheme="majorHAnsi"/>
          <w:i/>
          <w:iCs/>
          <w:lang w:val="en-IN" w:eastAsia="en-IN"/>
        </w:rPr>
        <w:t>Ann Oncol.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30</w:t>
      </w:r>
      <w:r w:rsidRPr="00BD3AFC">
        <w:rPr>
          <w:rFonts w:asciiTheme="majorHAnsi" w:eastAsia="Times New Roman" w:hAnsiTheme="majorHAnsi" w:cstheme="majorHAnsi"/>
          <w:lang w:val="en-IN" w:eastAsia="en-IN"/>
        </w:rPr>
        <w:t xml:space="preserve"> (3), 405–411 (2019).</w:t>
      </w:r>
    </w:p>
    <w:p w14:paraId="7FF9C701"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Patel, M. R., </w:t>
      </w:r>
      <w:proofErr w:type="spellStart"/>
      <w:r w:rsidRPr="00BD3AFC">
        <w:rPr>
          <w:rFonts w:asciiTheme="majorHAnsi" w:eastAsia="Times New Roman" w:hAnsiTheme="majorHAnsi" w:cstheme="majorHAnsi"/>
          <w:lang w:val="en-IN" w:eastAsia="en-IN"/>
        </w:rPr>
        <w:t>Falchook</w:t>
      </w:r>
      <w:proofErr w:type="spellEnd"/>
      <w:r w:rsidRPr="00BD3AFC">
        <w:rPr>
          <w:rFonts w:asciiTheme="majorHAnsi" w:eastAsia="Times New Roman" w:hAnsiTheme="majorHAnsi" w:cstheme="majorHAnsi"/>
          <w:lang w:val="en-IN" w:eastAsia="en-IN"/>
        </w:rPr>
        <w:t>, G. S., Hamada, K., Makris, L., Bendell, J. C. A phase 2 trial of trifluridine/</w:t>
      </w:r>
      <w:proofErr w:type="spellStart"/>
      <w:r w:rsidRPr="00BD3AFC">
        <w:rPr>
          <w:rFonts w:asciiTheme="majorHAnsi" w:eastAsia="Times New Roman" w:hAnsiTheme="majorHAnsi" w:cstheme="majorHAnsi"/>
          <w:lang w:val="en-IN" w:eastAsia="en-IN"/>
        </w:rPr>
        <w:t>tipiracil</w:t>
      </w:r>
      <w:proofErr w:type="spellEnd"/>
      <w:r w:rsidRPr="00BD3AFC">
        <w:rPr>
          <w:rFonts w:asciiTheme="majorHAnsi" w:eastAsia="Times New Roman" w:hAnsiTheme="majorHAnsi" w:cstheme="majorHAnsi"/>
          <w:lang w:val="en-IN" w:eastAsia="en-IN"/>
        </w:rPr>
        <w:t xml:space="preserve"> plus nivolumab in patients with heavily pretreated microsatellite-stable metastatic colorectal cancer. </w:t>
      </w:r>
      <w:r w:rsidRPr="00BD3AFC">
        <w:rPr>
          <w:rFonts w:asciiTheme="majorHAnsi" w:eastAsia="Times New Roman" w:hAnsiTheme="majorHAnsi" w:cstheme="majorHAnsi"/>
          <w:i/>
          <w:iCs/>
          <w:lang w:val="en-IN" w:eastAsia="en-IN"/>
        </w:rPr>
        <w:t>Cancer Med.</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10</w:t>
      </w:r>
      <w:r w:rsidRPr="00BD3AFC">
        <w:rPr>
          <w:rFonts w:asciiTheme="majorHAnsi" w:eastAsia="Times New Roman" w:hAnsiTheme="majorHAnsi" w:cstheme="majorHAnsi"/>
          <w:lang w:val="en-IN" w:eastAsia="en-IN"/>
        </w:rPr>
        <w:t xml:space="preserve"> (4), 1183–1190 (2021).</w:t>
      </w:r>
    </w:p>
    <w:p w14:paraId="2C545B8A"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Reardon, D. A. et al. Randomized phase 3 study evaluating the efficacy and safety of nivolumab vs bevacizumab in patients with recurrent glioblastoma: </w:t>
      </w:r>
      <w:proofErr w:type="spellStart"/>
      <w:r w:rsidRPr="00BD3AFC">
        <w:rPr>
          <w:rFonts w:asciiTheme="majorHAnsi" w:eastAsia="Times New Roman" w:hAnsiTheme="majorHAnsi" w:cstheme="majorHAnsi"/>
          <w:lang w:val="en-IN" w:eastAsia="en-IN"/>
        </w:rPr>
        <w:t>CheckMate</w:t>
      </w:r>
      <w:proofErr w:type="spellEnd"/>
      <w:r w:rsidRPr="00BD3AFC">
        <w:rPr>
          <w:rFonts w:asciiTheme="majorHAnsi" w:eastAsia="Times New Roman" w:hAnsiTheme="majorHAnsi" w:cstheme="majorHAnsi"/>
          <w:lang w:val="en-IN" w:eastAsia="en-IN"/>
        </w:rPr>
        <w:t xml:space="preserve"> 143. </w:t>
      </w:r>
      <w:r w:rsidRPr="00BD3AFC">
        <w:rPr>
          <w:rFonts w:asciiTheme="majorHAnsi" w:eastAsia="Times New Roman" w:hAnsiTheme="majorHAnsi" w:cstheme="majorHAnsi"/>
          <w:i/>
          <w:iCs/>
          <w:lang w:val="en-IN" w:eastAsia="en-IN"/>
        </w:rPr>
        <w:t>Neuro Oncol.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19</w:t>
      </w:r>
      <w:r w:rsidRPr="00BD3AFC">
        <w:rPr>
          <w:rFonts w:asciiTheme="majorHAnsi" w:eastAsia="Times New Roman" w:hAnsiTheme="majorHAnsi" w:cstheme="majorHAnsi"/>
          <w:lang w:val="en-IN" w:eastAsia="en-IN"/>
        </w:rPr>
        <w:t xml:space="preserve"> (suppl_3), iii21–iii21 (2017).</w:t>
      </w:r>
    </w:p>
    <w:p w14:paraId="3B487F72"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Sharma, P., Hu-</w:t>
      </w:r>
      <w:proofErr w:type="spellStart"/>
      <w:r w:rsidRPr="00BD3AFC">
        <w:rPr>
          <w:rFonts w:asciiTheme="majorHAnsi" w:eastAsia="Times New Roman" w:hAnsiTheme="majorHAnsi" w:cstheme="majorHAnsi"/>
          <w:lang w:val="en-IN" w:eastAsia="en-IN"/>
        </w:rPr>
        <w:t>Lieskovan</w:t>
      </w:r>
      <w:proofErr w:type="spellEnd"/>
      <w:r w:rsidRPr="00BD3AFC">
        <w:rPr>
          <w:rFonts w:asciiTheme="majorHAnsi" w:eastAsia="Times New Roman" w:hAnsiTheme="majorHAnsi" w:cstheme="majorHAnsi"/>
          <w:lang w:val="en-IN" w:eastAsia="en-IN"/>
        </w:rPr>
        <w:t xml:space="preserve">, S., Wargo, J. A., Ribas, A. Primary, adaptive, and acquired resistance to cancer immunotherapy. </w:t>
      </w:r>
      <w:r w:rsidRPr="00BD3AFC">
        <w:rPr>
          <w:rFonts w:asciiTheme="majorHAnsi" w:eastAsia="Times New Roman" w:hAnsiTheme="majorHAnsi" w:cstheme="majorHAnsi"/>
          <w:i/>
          <w:iCs/>
          <w:lang w:val="en-IN" w:eastAsia="en-IN"/>
        </w:rPr>
        <w:t>Cell.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168</w:t>
      </w:r>
      <w:r w:rsidRPr="00BD3AFC">
        <w:rPr>
          <w:rFonts w:asciiTheme="majorHAnsi" w:eastAsia="Times New Roman" w:hAnsiTheme="majorHAnsi" w:cstheme="majorHAnsi"/>
          <w:lang w:val="en-IN" w:eastAsia="en-IN"/>
        </w:rPr>
        <w:t xml:space="preserve"> (4), 707–723 (2017).</w:t>
      </w:r>
    </w:p>
    <w:p w14:paraId="674E08BC"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Heras-Murillo, I., Adán-Barrientos, I., Galán, M., </w:t>
      </w:r>
      <w:proofErr w:type="spellStart"/>
      <w:r w:rsidRPr="00BD3AFC">
        <w:rPr>
          <w:rFonts w:asciiTheme="majorHAnsi" w:eastAsia="Times New Roman" w:hAnsiTheme="majorHAnsi" w:cstheme="majorHAnsi"/>
          <w:lang w:val="en-IN" w:eastAsia="en-IN"/>
        </w:rPr>
        <w:t>Wculek</w:t>
      </w:r>
      <w:proofErr w:type="spellEnd"/>
      <w:r w:rsidRPr="00BD3AFC">
        <w:rPr>
          <w:rFonts w:asciiTheme="majorHAnsi" w:eastAsia="Times New Roman" w:hAnsiTheme="majorHAnsi" w:cstheme="majorHAnsi"/>
          <w:lang w:val="en-IN" w:eastAsia="en-IN"/>
        </w:rPr>
        <w:t xml:space="preserve">, S. K., Sancho, D. Dendritic cells as orchestrators of anticancer immunity and immunotherapy. </w:t>
      </w:r>
      <w:r w:rsidRPr="00BD3AFC">
        <w:rPr>
          <w:rFonts w:asciiTheme="majorHAnsi" w:eastAsia="Times New Roman" w:hAnsiTheme="majorHAnsi" w:cstheme="majorHAnsi"/>
          <w:i/>
          <w:iCs/>
          <w:lang w:val="en-IN" w:eastAsia="en-IN"/>
        </w:rPr>
        <w:t>Nat Rev Clin Oncol.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21</w:t>
      </w:r>
      <w:r w:rsidRPr="00BD3AFC">
        <w:rPr>
          <w:rFonts w:asciiTheme="majorHAnsi" w:eastAsia="Times New Roman" w:hAnsiTheme="majorHAnsi" w:cstheme="majorHAnsi"/>
          <w:lang w:val="en-IN" w:eastAsia="en-IN"/>
        </w:rPr>
        <w:t xml:space="preserve"> (4), 257–277 (2024).</w:t>
      </w:r>
    </w:p>
    <w:p w14:paraId="37B209B6"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Heras-Murillo, I. et al. Immunotherapy with conventional type-1 dendritic cells induces immune memory and limits </w:t>
      </w:r>
      <w:proofErr w:type="spellStart"/>
      <w:r w:rsidRPr="00BD3AFC">
        <w:rPr>
          <w:rFonts w:asciiTheme="majorHAnsi" w:eastAsia="Times New Roman" w:hAnsiTheme="majorHAnsi" w:cstheme="majorHAnsi"/>
          <w:lang w:val="en-IN" w:eastAsia="en-IN"/>
        </w:rPr>
        <w:t>tumor</w:t>
      </w:r>
      <w:proofErr w:type="spellEnd"/>
      <w:r w:rsidRPr="00BD3AFC">
        <w:rPr>
          <w:rFonts w:asciiTheme="majorHAnsi" w:eastAsia="Times New Roman" w:hAnsiTheme="majorHAnsi" w:cstheme="majorHAnsi"/>
          <w:lang w:val="en-IN" w:eastAsia="en-IN"/>
        </w:rPr>
        <w:t xml:space="preserve"> relapse. </w:t>
      </w:r>
      <w:r w:rsidRPr="00BD3AFC">
        <w:rPr>
          <w:rFonts w:asciiTheme="majorHAnsi" w:eastAsia="Times New Roman" w:hAnsiTheme="majorHAnsi" w:cstheme="majorHAnsi"/>
          <w:i/>
          <w:iCs/>
          <w:lang w:val="en-IN" w:eastAsia="en-IN"/>
        </w:rPr>
        <w:t>Nat Commun.</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16</w:t>
      </w:r>
      <w:r w:rsidRPr="00BD3AFC">
        <w:rPr>
          <w:rFonts w:asciiTheme="majorHAnsi" w:eastAsia="Times New Roman" w:hAnsiTheme="majorHAnsi" w:cstheme="majorHAnsi"/>
          <w:lang w:val="en-IN" w:eastAsia="en-IN"/>
        </w:rPr>
        <w:t xml:space="preserve"> (1), 3369 (2025).</w:t>
      </w:r>
    </w:p>
    <w:p w14:paraId="442B56CB"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lastRenderedPageBreak/>
        <w:t xml:space="preserve">Theisen, D. J. et al. WDFY4 is required for cross-presentation in response to viral and </w:t>
      </w:r>
      <w:proofErr w:type="spellStart"/>
      <w:r w:rsidRPr="00BD3AFC">
        <w:rPr>
          <w:rFonts w:asciiTheme="majorHAnsi" w:eastAsia="Times New Roman" w:hAnsiTheme="majorHAnsi" w:cstheme="majorHAnsi"/>
          <w:lang w:val="en-IN" w:eastAsia="en-IN"/>
        </w:rPr>
        <w:t>tumor</w:t>
      </w:r>
      <w:proofErr w:type="spellEnd"/>
      <w:r w:rsidRPr="00BD3AFC">
        <w:rPr>
          <w:rFonts w:asciiTheme="majorHAnsi" w:eastAsia="Times New Roman" w:hAnsiTheme="majorHAnsi" w:cstheme="majorHAnsi"/>
          <w:lang w:val="en-IN" w:eastAsia="en-IN"/>
        </w:rPr>
        <w:t xml:space="preserve"> antigens. </w:t>
      </w:r>
      <w:r w:rsidRPr="00BD3AFC">
        <w:rPr>
          <w:rFonts w:asciiTheme="majorHAnsi" w:eastAsia="Times New Roman" w:hAnsiTheme="majorHAnsi" w:cstheme="majorHAnsi"/>
          <w:i/>
          <w:iCs/>
          <w:lang w:val="en-IN" w:eastAsia="en-IN"/>
        </w:rPr>
        <w:t>Science.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362</w:t>
      </w:r>
      <w:r w:rsidRPr="00BD3AFC">
        <w:rPr>
          <w:rFonts w:asciiTheme="majorHAnsi" w:eastAsia="Times New Roman" w:hAnsiTheme="majorHAnsi" w:cstheme="majorHAnsi"/>
          <w:lang w:val="en-IN" w:eastAsia="en-IN"/>
        </w:rPr>
        <w:t xml:space="preserve"> (6415), 694–699 (2018).</w:t>
      </w:r>
    </w:p>
    <w:p w14:paraId="4DAD951E"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Meiser, P. et al. A distinct stimulatory cDC1 subpopulation amplifies CD8+ T cell responses in </w:t>
      </w:r>
      <w:proofErr w:type="spellStart"/>
      <w:r w:rsidRPr="00BD3AFC">
        <w:rPr>
          <w:rFonts w:asciiTheme="majorHAnsi" w:eastAsia="Times New Roman" w:hAnsiTheme="majorHAnsi" w:cstheme="majorHAnsi"/>
          <w:lang w:val="en-IN" w:eastAsia="en-IN"/>
        </w:rPr>
        <w:t>tumors</w:t>
      </w:r>
      <w:proofErr w:type="spellEnd"/>
      <w:r w:rsidRPr="00BD3AFC">
        <w:rPr>
          <w:rFonts w:asciiTheme="majorHAnsi" w:eastAsia="Times New Roman" w:hAnsiTheme="majorHAnsi" w:cstheme="majorHAnsi"/>
          <w:lang w:val="en-IN" w:eastAsia="en-IN"/>
        </w:rPr>
        <w:t xml:space="preserve"> for protective anti-cancer immunity. </w:t>
      </w:r>
      <w:r w:rsidRPr="00BD3AFC">
        <w:rPr>
          <w:rFonts w:asciiTheme="majorHAnsi" w:eastAsia="Times New Roman" w:hAnsiTheme="majorHAnsi" w:cstheme="majorHAnsi"/>
          <w:i/>
          <w:iCs/>
          <w:lang w:val="en-IN" w:eastAsia="en-IN"/>
        </w:rPr>
        <w:t>Cancer Cell.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41</w:t>
      </w:r>
      <w:r w:rsidRPr="00BD3AFC">
        <w:rPr>
          <w:rFonts w:asciiTheme="majorHAnsi" w:eastAsia="Times New Roman" w:hAnsiTheme="majorHAnsi" w:cstheme="majorHAnsi"/>
          <w:lang w:val="en-IN" w:eastAsia="en-IN"/>
        </w:rPr>
        <w:t xml:space="preserve"> (8), 1498–1515.e10 (2023).</w:t>
      </w:r>
    </w:p>
    <w:p w14:paraId="173E84E8"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Spranger, S., Dai, D., Horton, B., Gajewski, T. F. </w:t>
      </w:r>
      <w:proofErr w:type="spellStart"/>
      <w:r w:rsidRPr="00BD3AFC">
        <w:rPr>
          <w:rFonts w:asciiTheme="majorHAnsi" w:eastAsia="Times New Roman" w:hAnsiTheme="majorHAnsi" w:cstheme="majorHAnsi"/>
          <w:lang w:val="en-IN" w:eastAsia="en-IN"/>
        </w:rPr>
        <w:t>Tumor</w:t>
      </w:r>
      <w:proofErr w:type="spellEnd"/>
      <w:r w:rsidRPr="00BD3AFC">
        <w:rPr>
          <w:rFonts w:asciiTheme="majorHAnsi" w:eastAsia="Times New Roman" w:hAnsiTheme="majorHAnsi" w:cstheme="majorHAnsi"/>
          <w:lang w:val="en-IN" w:eastAsia="en-IN"/>
        </w:rPr>
        <w:t xml:space="preserve">-residing Batf3 dendritic cells are required for effector T cell trafficking and adoptive T cell therapy. </w:t>
      </w:r>
      <w:r w:rsidRPr="00BD3AFC">
        <w:rPr>
          <w:rFonts w:asciiTheme="majorHAnsi" w:eastAsia="Times New Roman" w:hAnsiTheme="majorHAnsi" w:cstheme="majorHAnsi"/>
          <w:i/>
          <w:iCs/>
          <w:lang w:val="en-IN" w:eastAsia="en-IN"/>
        </w:rPr>
        <w:t>Cancer Cell.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31</w:t>
      </w:r>
      <w:r w:rsidRPr="00BD3AFC">
        <w:rPr>
          <w:rFonts w:asciiTheme="majorHAnsi" w:eastAsia="Times New Roman" w:hAnsiTheme="majorHAnsi" w:cstheme="majorHAnsi"/>
          <w:lang w:val="en-IN" w:eastAsia="en-IN"/>
        </w:rPr>
        <w:t xml:space="preserve"> (5), 711–723.e4 (2017).</w:t>
      </w:r>
    </w:p>
    <w:p w14:paraId="547D6610"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Hubert, M. et al. IFN-III is selectively produced by cDC1 and predicts good clinical outcome in breast cancer. </w:t>
      </w:r>
      <w:r w:rsidRPr="00BD3AFC">
        <w:rPr>
          <w:rFonts w:asciiTheme="majorHAnsi" w:eastAsia="Times New Roman" w:hAnsiTheme="majorHAnsi" w:cstheme="majorHAnsi"/>
          <w:i/>
          <w:iCs/>
          <w:lang w:val="en-IN" w:eastAsia="en-IN"/>
        </w:rPr>
        <w:t>Sci Immunol.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5</w:t>
      </w:r>
      <w:r w:rsidRPr="00BD3AFC">
        <w:rPr>
          <w:rFonts w:asciiTheme="majorHAnsi" w:eastAsia="Times New Roman" w:hAnsiTheme="majorHAnsi" w:cstheme="majorHAnsi"/>
          <w:lang w:val="en-IN" w:eastAsia="en-IN"/>
        </w:rPr>
        <w:t xml:space="preserve"> (46), eaav3942 (2020).</w:t>
      </w:r>
    </w:p>
    <w:p w14:paraId="69C14CFA" w14:textId="0E137620"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Mahadevan, K. K. et al. Type I conventional dendritic cells facilitate immunotherapy in pancreatic cancer. </w:t>
      </w:r>
      <w:r w:rsidRPr="00BD3AFC">
        <w:rPr>
          <w:rFonts w:asciiTheme="majorHAnsi" w:eastAsia="Times New Roman" w:hAnsiTheme="majorHAnsi" w:cstheme="majorHAnsi"/>
          <w:i/>
          <w:iCs/>
          <w:lang w:val="en-IN" w:eastAsia="en-IN"/>
        </w:rPr>
        <w:t>Science.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384</w:t>
      </w:r>
      <w:r w:rsidRPr="00BD3AFC">
        <w:rPr>
          <w:rFonts w:asciiTheme="majorHAnsi" w:eastAsia="Times New Roman" w:hAnsiTheme="majorHAnsi" w:cstheme="majorHAnsi"/>
          <w:lang w:val="en-IN" w:eastAsia="en-IN"/>
        </w:rPr>
        <w:t xml:space="preserve"> (6703),</w:t>
      </w:r>
      <w:r w:rsidR="003B55FB" w:rsidRPr="00172BFB">
        <w:rPr>
          <w:rFonts w:asciiTheme="majorHAnsi" w:eastAsia="Times New Roman" w:hAnsiTheme="majorHAnsi" w:cstheme="majorHAnsi"/>
          <w:lang w:val="en-IN" w:eastAsia="en-IN"/>
        </w:rPr>
        <w:t xml:space="preserve"> eadh</w:t>
      </w:r>
      <w:r w:rsidR="006E0886" w:rsidRPr="00172BFB">
        <w:rPr>
          <w:rFonts w:asciiTheme="majorHAnsi" w:eastAsia="Times New Roman" w:hAnsiTheme="majorHAnsi" w:cstheme="majorHAnsi"/>
          <w:lang w:val="en-IN" w:eastAsia="en-IN"/>
        </w:rPr>
        <w:t>4567</w:t>
      </w:r>
      <w:r w:rsidRPr="00BD3AFC">
        <w:rPr>
          <w:rFonts w:asciiTheme="majorHAnsi" w:eastAsia="Times New Roman" w:hAnsiTheme="majorHAnsi" w:cstheme="majorHAnsi"/>
          <w:lang w:val="en-IN" w:eastAsia="en-IN"/>
        </w:rPr>
        <w:t xml:space="preserve"> (2024).</w:t>
      </w:r>
    </w:p>
    <w:p w14:paraId="37B2F281"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proofErr w:type="spellStart"/>
      <w:r w:rsidRPr="00BD3AFC">
        <w:rPr>
          <w:rFonts w:asciiTheme="majorHAnsi" w:eastAsia="Times New Roman" w:hAnsiTheme="majorHAnsi" w:cstheme="majorHAnsi"/>
          <w:lang w:val="en-IN" w:eastAsia="en-IN"/>
        </w:rPr>
        <w:t>Ascic</w:t>
      </w:r>
      <w:proofErr w:type="spellEnd"/>
      <w:r w:rsidRPr="00BD3AFC">
        <w:rPr>
          <w:rFonts w:asciiTheme="majorHAnsi" w:eastAsia="Times New Roman" w:hAnsiTheme="majorHAnsi" w:cstheme="majorHAnsi"/>
          <w:lang w:val="en-IN" w:eastAsia="en-IN"/>
        </w:rPr>
        <w:t xml:space="preserve">, E., Pereira, C.-F. Transcription factor–mediated reprogramming to antigen-presenting cells. </w:t>
      </w:r>
      <w:r w:rsidRPr="00BD3AFC">
        <w:rPr>
          <w:rFonts w:asciiTheme="majorHAnsi" w:eastAsia="Times New Roman" w:hAnsiTheme="majorHAnsi" w:cstheme="majorHAnsi"/>
          <w:i/>
          <w:iCs/>
          <w:lang w:val="en-IN" w:eastAsia="en-IN"/>
        </w:rPr>
        <w:t xml:space="preserve">Curr </w:t>
      </w:r>
      <w:proofErr w:type="spellStart"/>
      <w:r w:rsidRPr="00BD3AFC">
        <w:rPr>
          <w:rFonts w:asciiTheme="majorHAnsi" w:eastAsia="Times New Roman" w:hAnsiTheme="majorHAnsi" w:cstheme="majorHAnsi"/>
          <w:i/>
          <w:iCs/>
          <w:lang w:val="en-IN" w:eastAsia="en-IN"/>
        </w:rPr>
        <w:t>Opin</w:t>
      </w:r>
      <w:proofErr w:type="spellEnd"/>
      <w:r w:rsidRPr="00BD3AFC">
        <w:rPr>
          <w:rFonts w:asciiTheme="majorHAnsi" w:eastAsia="Times New Roman" w:hAnsiTheme="majorHAnsi" w:cstheme="majorHAnsi"/>
          <w:i/>
          <w:iCs/>
          <w:lang w:val="en-IN" w:eastAsia="en-IN"/>
        </w:rPr>
        <w:t xml:space="preserve"> Genet Dev.</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90</w:t>
      </w:r>
      <w:r w:rsidRPr="00BD3AFC">
        <w:rPr>
          <w:rFonts w:asciiTheme="majorHAnsi" w:eastAsia="Times New Roman" w:hAnsiTheme="majorHAnsi" w:cstheme="majorHAnsi"/>
          <w:lang w:val="en-IN" w:eastAsia="en-IN"/>
        </w:rPr>
        <w:t>, 102300 (2025).</w:t>
      </w:r>
    </w:p>
    <w:p w14:paraId="670E16FA"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Silk, K. M. et al. Cross-presentation of tumour antigens by human induced pluripotent stem cell-derived CD141+ XCR1+ dendritic cells. </w:t>
      </w:r>
      <w:r w:rsidRPr="00BD3AFC">
        <w:rPr>
          <w:rFonts w:asciiTheme="majorHAnsi" w:eastAsia="Times New Roman" w:hAnsiTheme="majorHAnsi" w:cstheme="majorHAnsi"/>
          <w:i/>
          <w:iCs/>
          <w:lang w:val="en-IN" w:eastAsia="en-IN"/>
        </w:rPr>
        <w:t>Gene Ther.</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19</w:t>
      </w:r>
      <w:r w:rsidRPr="00BD3AFC">
        <w:rPr>
          <w:rFonts w:asciiTheme="majorHAnsi" w:eastAsia="Times New Roman" w:hAnsiTheme="majorHAnsi" w:cstheme="majorHAnsi"/>
          <w:lang w:val="en-IN" w:eastAsia="en-IN"/>
        </w:rPr>
        <w:t xml:space="preserve"> (10), 1035–1040 (2012).</w:t>
      </w:r>
    </w:p>
    <w:p w14:paraId="2294660A" w14:textId="1456909E"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Nair, S., Archer, G. E., Tedder, T. F. Isolation and generation of human dendritic cells. </w:t>
      </w:r>
      <w:r w:rsidRPr="00BD3AFC">
        <w:rPr>
          <w:rFonts w:asciiTheme="majorHAnsi" w:eastAsia="Times New Roman" w:hAnsiTheme="majorHAnsi" w:cstheme="majorHAnsi"/>
          <w:i/>
          <w:iCs/>
          <w:lang w:val="en-IN" w:eastAsia="en-IN"/>
        </w:rPr>
        <w:t xml:space="preserve">Curr </w:t>
      </w:r>
      <w:proofErr w:type="spellStart"/>
      <w:r w:rsidRPr="00BD3AFC">
        <w:rPr>
          <w:rFonts w:asciiTheme="majorHAnsi" w:eastAsia="Times New Roman" w:hAnsiTheme="majorHAnsi" w:cstheme="majorHAnsi"/>
          <w:i/>
          <w:iCs/>
          <w:lang w:val="en-IN" w:eastAsia="en-IN"/>
        </w:rPr>
        <w:t>Protoc</w:t>
      </w:r>
      <w:proofErr w:type="spellEnd"/>
      <w:r w:rsidRPr="00BD3AFC">
        <w:rPr>
          <w:rFonts w:asciiTheme="majorHAnsi" w:eastAsia="Times New Roman" w:hAnsiTheme="majorHAnsi" w:cstheme="majorHAnsi"/>
          <w:i/>
          <w:iCs/>
          <w:lang w:val="en-IN" w:eastAsia="en-IN"/>
        </w:rPr>
        <w:t xml:space="preserve"> Immunol.</w:t>
      </w:r>
      <w:r w:rsidRPr="00BD3AFC">
        <w:rPr>
          <w:rFonts w:asciiTheme="majorHAnsi" w:eastAsia="Times New Roman" w:hAnsiTheme="majorHAnsi" w:cstheme="majorHAnsi"/>
          <w:lang w:val="en-IN" w:eastAsia="en-IN"/>
        </w:rPr>
        <w:t xml:space="preserve"> </w:t>
      </w:r>
      <w:r w:rsidR="000B58BA" w:rsidRPr="00172BFB">
        <w:rPr>
          <w:rFonts w:asciiTheme="majorHAnsi" w:eastAsia="Times New Roman" w:hAnsiTheme="majorHAnsi" w:cstheme="majorHAnsi"/>
          <w:lang w:val="en-IN" w:eastAsia="en-IN"/>
        </w:rPr>
        <w:t>Chapter 7: 7.32.1–7.32.23</w:t>
      </w:r>
      <w:r w:rsidRPr="00BD3AFC">
        <w:rPr>
          <w:rFonts w:asciiTheme="majorHAnsi" w:eastAsia="Times New Roman" w:hAnsiTheme="majorHAnsi" w:cstheme="majorHAnsi"/>
          <w:lang w:val="en-IN" w:eastAsia="en-IN"/>
        </w:rPr>
        <w:t xml:space="preserve"> (2012).</w:t>
      </w:r>
    </w:p>
    <w:p w14:paraId="321B52B8"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Makino, K. et al. Generation of </w:t>
      </w:r>
      <w:proofErr w:type="spellStart"/>
      <w:r w:rsidRPr="00BD3AFC">
        <w:rPr>
          <w:rFonts w:asciiTheme="majorHAnsi" w:eastAsia="Times New Roman" w:hAnsiTheme="majorHAnsi" w:cstheme="majorHAnsi"/>
          <w:lang w:val="en-IN" w:eastAsia="en-IN"/>
        </w:rPr>
        <w:t>cDC</w:t>
      </w:r>
      <w:proofErr w:type="spellEnd"/>
      <w:r w:rsidRPr="00BD3AFC">
        <w:rPr>
          <w:rFonts w:asciiTheme="majorHAnsi" w:eastAsia="Times New Roman" w:hAnsiTheme="majorHAnsi" w:cstheme="majorHAnsi"/>
          <w:lang w:val="en-IN" w:eastAsia="en-IN"/>
        </w:rPr>
        <w:t xml:space="preserve">-like cells from human induced pluripotent stem cells via Notch </w:t>
      </w:r>
      <w:proofErr w:type="spellStart"/>
      <w:r w:rsidRPr="00BD3AFC">
        <w:rPr>
          <w:rFonts w:asciiTheme="majorHAnsi" w:eastAsia="Times New Roman" w:hAnsiTheme="majorHAnsi" w:cstheme="majorHAnsi"/>
          <w:lang w:val="en-IN" w:eastAsia="en-IN"/>
        </w:rPr>
        <w:t>signaling</w:t>
      </w:r>
      <w:proofErr w:type="spellEnd"/>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i/>
          <w:iCs/>
          <w:lang w:val="en-IN" w:eastAsia="en-IN"/>
        </w:rPr>
        <w:t xml:space="preserve">J </w:t>
      </w:r>
      <w:proofErr w:type="spellStart"/>
      <w:r w:rsidRPr="00BD3AFC">
        <w:rPr>
          <w:rFonts w:asciiTheme="majorHAnsi" w:eastAsia="Times New Roman" w:hAnsiTheme="majorHAnsi" w:cstheme="majorHAnsi"/>
          <w:i/>
          <w:iCs/>
          <w:lang w:val="en-IN" w:eastAsia="en-IN"/>
        </w:rPr>
        <w:t>Immunother</w:t>
      </w:r>
      <w:proofErr w:type="spellEnd"/>
      <w:r w:rsidRPr="00BD3AFC">
        <w:rPr>
          <w:rFonts w:asciiTheme="majorHAnsi" w:eastAsia="Times New Roman" w:hAnsiTheme="majorHAnsi" w:cstheme="majorHAnsi"/>
          <w:i/>
          <w:iCs/>
          <w:lang w:val="en-IN" w:eastAsia="en-IN"/>
        </w:rPr>
        <w:t xml:space="preserve"> Cancer.</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10</w:t>
      </w:r>
      <w:r w:rsidRPr="00BD3AFC">
        <w:rPr>
          <w:rFonts w:asciiTheme="majorHAnsi" w:eastAsia="Times New Roman" w:hAnsiTheme="majorHAnsi" w:cstheme="majorHAnsi"/>
          <w:lang w:val="en-IN" w:eastAsia="en-IN"/>
        </w:rPr>
        <w:t xml:space="preserve"> (1), e003827 (2022).</w:t>
      </w:r>
    </w:p>
    <w:p w14:paraId="5D412273"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Balan, S. et al. Large-scale human dendritic cell differentiation revealing Notch-dependent lineage bifurcation and heterogeneity. </w:t>
      </w:r>
      <w:r w:rsidRPr="00BD3AFC">
        <w:rPr>
          <w:rFonts w:asciiTheme="majorHAnsi" w:eastAsia="Times New Roman" w:hAnsiTheme="majorHAnsi" w:cstheme="majorHAnsi"/>
          <w:i/>
          <w:iCs/>
          <w:lang w:val="en-IN" w:eastAsia="en-IN"/>
        </w:rPr>
        <w:t>Cell Rep.</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24</w:t>
      </w:r>
      <w:r w:rsidRPr="00BD3AFC">
        <w:rPr>
          <w:rFonts w:asciiTheme="majorHAnsi" w:eastAsia="Times New Roman" w:hAnsiTheme="majorHAnsi" w:cstheme="majorHAnsi"/>
          <w:lang w:val="en-IN" w:eastAsia="en-IN"/>
        </w:rPr>
        <w:t xml:space="preserve"> (7), 1902–1915.e6 (2018).</w:t>
      </w:r>
    </w:p>
    <w:p w14:paraId="26D38C2A"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Kirkling, M. E. et al. Notch </w:t>
      </w:r>
      <w:proofErr w:type="spellStart"/>
      <w:r w:rsidRPr="00BD3AFC">
        <w:rPr>
          <w:rFonts w:asciiTheme="majorHAnsi" w:eastAsia="Times New Roman" w:hAnsiTheme="majorHAnsi" w:cstheme="majorHAnsi"/>
          <w:lang w:val="en-IN" w:eastAsia="en-IN"/>
        </w:rPr>
        <w:t>signaling</w:t>
      </w:r>
      <w:proofErr w:type="spellEnd"/>
      <w:r w:rsidRPr="00BD3AFC">
        <w:rPr>
          <w:rFonts w:asciiTheme="majorHAnsi" w:eastAsia="Times New Roman" w:hAnsiTheme="majorHAnsi" w:cstheme="majorHAnsi"/>
          <w:lang w:val="en-IN" w:eastAsia="en-IN"/>
        </w:rPr>
        <w:t xml:space="preserve"> facilitates in vitro generation of cross-presenting classical dendritic cells. </w:t>
      </w:r>
      <w:r w:rsidRPr="00BD3AFC">
        <w:rPr>
          <w:rFonts w:asciiTheme="majorHAnsi" w:eastAsia="Times New Roman" w:hAnsiTheme="majorHAnsi" w:cstheme="majorHAnsi"/>
          <w:i/>
          <w:iCs/>
          <w:lang w:val="en-IN" w:eastAsia="en-IN"/>
        </w:rPr>
        <w:t>Cell Rep.</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23</w:t>
      </w:r>
      <w:r w:rsidRPr="00BD3AFC">
        <w:rPr>
          <w:rFonts w:asciiTheme="majorHAnsi" w:eastAsia="Times New Roman" w:hAnsiTheme="majorHAnsi" w:cstheme="majorHAnsi"/>
          <w:lang w:val="en-IN" w:eastAsia="en-IN"/>
        </w:rPr>
        <w:t xml:space="preserve"> (12), 3658–3672.e6 (2018).</w:t>
      </w:r>
    </w:p>
    <w:p w14:paraId="1CB500CD" w14:textId="797A0411"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proofErr w:type="spellStart"/>
      <w:r w:rsidRPr="00BD3AFC">
        <w:rPr>
          <w:rFonts w:asciiTheme="majorHAnsi" w:eastAsia="Times New Roman" w:hAnsiTheme="majorHAnsi" w:cstheme="majorHAnsi"/>
          <w:lang w:val="en-IN" w:eastAsia="en-IN"/>
        </w:rPr>
        <w:t>Ascic</w:t>
      </w:r>
      <w:proofErr w:type="spellEnd"/>
      <w:r w:rsidRPr="00BD3AFC">
        <w:rPr>
          <w:rFonts w:asciiTheme="majorHAnsi" w:eastAsia="Times New Roman" w:hAnsiTheme="majorHAnsi" w:cstheme="majorHAnsi"/>
          <w:lang w:val="en-IN" w:eastAsia="en-IN"/>
        </w:rPr>
        <w:t xml:space="preserve">, E. et al. In vivo dendritic cell reprogramming for cancer immunotherapy. </w:t>
      </w:r>
      <w:r w:rsidRPr="00BD3AFC">
        <w:rPr>
          <w:rFonts w:asciiTheme="majorHAnsi" w:eastAsia="Times New Roman" w:hAnsiTheme="majorHAnsi" w:cstheme="majorHAnsi"/>
          <w:i/>
          <w:iCs/>
          <w:lang w:val="en-IN" w:eastAsia="en-IN"/>
        </w:rPr>
        <w:t>Science.</w:t>
      </w:r>
      <w:r w:rsidR="00001CBD" w:rsidRPr="00172BFB">
        <w:rPr>
          <w:rFonts w:asciiTheme="majorHAnsi" w:eastAsia="Times New Roman" w:hAnsiTheme="majorHAnsi" w:cstheme="majorHAnsi"/>
          <w:lang w:val="en-IN" w:eastAsia="en-IN"/>
        </w:rPr>
        <w:t xml:space="preserve"> </w:t>
      </w:r>
      <w:r w:rsidR="00FA2349" w:rsidRPr="00172BFB">
        <w:rPr>
          <w:rFonts w:asciiTheme="majorHAnsi" w:eastAsia="Times New Roman" w:hAnsiTheme="majorHAnsi" w:cstheme="majorHAnsi"/>
          <w:b/>
          <w:bCs/>
          <w:lang w:val="en-IN" w:eastAsia="en-IN"/>
        </w:rPr>
        <w:t>386</w:t>
      </w:r>
      <w:r w:rsidR="00FA2349" w:rsidRPr="00172BFB">
        <w:rPr>
          <w:rFonts w:asciiTheme="majorHAnsi" w:eastAsia="Times New Roman" w:hAnsiTheme="majorHAnsi" w:cstheme="majorHAnsi"/>
          <w:lang w:val="en-IN" w:eastAsia="en-IN"/>
        </w:rPr>
        <w:t xml:space="preserve"> (6719), eadn9083</w:t>
      </w:r>
      <w:r w:rsidRPr="00BD3AFC">
        <w:rPr>
          <w:rFonts w:asciiTheme="majorHAnsi" w:eastAsia="Times New Roman" w:hAnsiTheme="majorHAnsi" w:cstheme="majorHAnsi"/>
          <w:lang w:val="en-IN" w:eastAsia="en-IN"/>
        </w:rPr>
        <w:t xml:space="preserve"> (2024).</w:t>
      </w:r>
    </w:p>
    <w:p w14:paraId="66EC6E45"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Rosa, F. F. et al. Direct reprogramming of fibroblasts into antigen-presenting dendritic cells. </w:t>
      </w:r>
      <w:r w:rsidRPr="00BD3AFC">
        <w:rPr>
          <w:rFonts w:asciiTheme="majorHAnsi" w:eastAsia="Times New Roman" w:hAnsiTheme="majorHAnsi" w:cstheme="majorHAnsi"/>
          <w:i/>
          <w:iCs/>
          <w:lang w:val="en-IN" w:eastAsia="en-IN"/>
        </w:rPr>
        <w:t>Sci Immunol.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w:t>
      </w:r>
      <w:r w:rsidRPr="00BD3AFC">
        <w:rPr>
          <w:rFonts w:asciiTheme="majorHAnsi" w:eastAsia="Times New Roman" w:hAnsiTheme="majorHAnsi" w:cstheme="majorHAnsi"/>
          <w:lang w:val="en-IN" w:eastAsia="en-IN"/>
        </w:rPr>
        <w:t xml:space="preserve"> (30), 1–16 (2018).</w:t>
      </w:r>
    </w:p>
    <w:p w14:paraId="174F36F1"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Rosa, F. F. et al. Single-cell transcriptional profiling informs efficient reprogramming of human somatic cells to cross-presenting dendritic cells. </w:t>
      </w:r>
      <w:r w:rsidRPr="00BD3AFC">
        <w:rPr>
          <w:rFonts w:asciiTheme="majorHAnsi" w:eastAsia="Times New Roman" w:hAnsiTheme="majorHAnsi" w:cstheme="majorHAnsi"/>
          <w:i/>
          <w:iCs/>
          <w:lang w:val="en-IN" w:eastAsia="en-IN"/>
        </w:rPr>
        <w:t>Sci Immunol.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7</w:t>
      </w:r>
      <w:r w:rsidRPr="00BD3AFC">
        <w:rPr>
          <w:rFonts w:asciiTheme="majorHAnsi" w:eastAsia="Times New Roman" w:hAnsiTheme="majorHAnsi" w:cstheme="majorHAnsi"/>
          <w:lang w:val="en-IN" w:eastAsia="en-IN"/>
        </w:rPr>
        <w:t xml:space="preserve"> (69), eabg5539 (2022).</w:t>
      </w:r>
    </w:p>
    <w:p w14:paraId="54FB8847"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proofErr w:type="spellStart"/>
      <w:r w:rsidRPr="00BD3AFC">
        <w:rPr>
          <w:rFonts w:asciiTheme="majorHAnsi" w:eastAsia="Times New Roman" w:hAnsiTheme="majorHAnsi" w:cstheme="majorHAnsi"/>
          <w:lang w:val="en-IN" w:eastAsia="en-IN"/>
        </w:rPr>
        <w:t>Zimmermannova</w:t>
      </w:r>
      <w:proofErr w:type="spellEnd"/>
      <w:r w:rsidRPr="00BD3AFC">
        <w:rPr>
          <w:rFonts w:asciiTheme="majorHAnsi" w:eastAsia="Times New Roman" w:hAnsiTheme="majorHAnsi" w:cstheme="majorHAnsi"/>
          <w:lang w:val="en-IN" w:eastAsia="en-IN"/>
        </w:rPr>
        <w:t xml:space="preserve">, O. et al. Restoring </w:t>
      </w:r>
      <w:proofErr w:type="spellStart"/>
      <w:r w:rsidRPr="00BD3AFC">
        <w:rPr>
          <w:rFonts w:asciiTheme="majorHAnsi" w:eastAsia="Times New Roman" w:hAnsiTheme="majorHAnsi" w:cstheme="majorHAnsi"/>
          <w:lang w:val="en-IN" w:eastAsia="en-IN"/>
        </w:rPr>
        <w:t>tumor</w:t>
      </w:r>
      <w:proofErr w:type="spellEnd"/>
      <w:r w:rsidRPr="00BD3AFC">
        <w:rPr>
          <w:rFonts w:asciiTheme="majorHAnsi" w:eastAsia="Times New Roman" w:hAnsiTheme="majorHAnsi" w:cstheme="majorHAnsi"/>
          <w:lang w:val="en-IN" w:eastAsia="en-IN"/>
        </w:rPr>
        <w:t xml:space="preserve"> immunogenicity with dendritic cell reprogramming. </w:t>
      </w:r>
      <w:r w:rsidRPr="00BD3AFC">
        <w:rPr>
          <w:rFonts w:asciiTheme="majorHAnsi" w:eastAsia="Times New Roman" w:hAnsiTheme="majorHAnsi" w:cstheme="majorHAnsi"/>
          <w:i/>
          <w:iCs/>
          <w:lang w:val="en-IN" w:eastAsia="en-IN"/>
        </w:rPr>
        <w:t>Sci Immunol.</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8</w:t>
      </w:r>
      <w:r w:rsidRPr="00BD3AFC">
        <w:rPr>
          <w:rFonts w:asciiTheme="majorHAnsi" w:eastAsia="Times New Roman" w:hAnsiTheme="majorHAnsi" w:cstheme="majorHAnsi"/>
          <w:lang w:val="en-IN" w:eastAsia="en-IN"/>
        </w:rPr>
        <w:t xml:space="preserve"> (85), eadd4817 (2023).</w:t>
      </w:r>
    </w:p>
    <w:p w14:paraId="50A7E5A2"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Bouquet, L. et al. RapaCaspase-9-based suicide gene applied to the safety of IL-1RAP CAR-T cells. </w:t>
      </w:r>
      <w:r w:rsidRPr="00BD3AFC">
        <w:rPr>
          <w:rFonts w:asciiTheme="majorHAnsi" w:eastAsia="Times New Roman" w:hAnsiTheme="majorHAnsi" w:cstheme="majorHAnsi"/>
          <w:i/>
          <w:iCs/>
          <w:lang w:val="en-IN" w:eastAsia="en-IN"/>
        </w:rPr>
        <w:t>Gene Ther.</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30</w:t>
      </w:r>
      <w:r w:rsidRPr="00BD3AFC">
        <w:rPr>
          <w:rFonts w:asciiTheme="majorHAnsi" w:eastAsia="Times New Roman" w:hAnsiTheme="majorHAnsi" w:cstheme="majorHAnsi"/>
          <w:lang w:val="en-IN" w:eastAsia="en-IN"/>
        </w:rPr>
        <w:t xml:space="preserve"> (9), 706–713 (2023).</w:t>
      </w:r>
    </w:p>
    <w:p w14:paraId="54214986"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Huangfu, D. et al. Induction of pluripotent stem cells from primary human fibroblasts with only Oct4 and Sox2. </w:t>
      </w:r>
      <w:r w:rsidRPr="00BD3AFC">
        <w:rPr>
          <w:rFonts w:asciiTheme="majorHAnsi" w:eastAsia="Times New Roman" w:hAnsiTheme="majorHAnsi" w:cstheme="majorHAnsi"/>
          <w:i/>
          <w:iCs/>
          <w:lang w:val="en-IN" w:eastAsia="en-IN"/>
        </w:rPr>
        <w:t xml:space="preserve">Nat </w:t>
      </w:r>
      <w:proofErr w:type="spellStart"/>
      <w:r w:rsidRPr="00BD3AFC">
        <w:rPr>
          <w:rFonts w:asciiTheme="majorHAnsi" w:eastAsia="Times New Roman" w:hAnsiTheme="majorHAnsi" w:cstheme="majorHAnsi"/>
          <w:i/>
          <w:iCs/>
          <w:lang w:val="en-IN" w:eastAsia="en-IN"/>
        </w:rPr>
        <w:t>Biotechnol</w:t>
      </w:r>
      <w:proofErr w:type="spellEnd"/>
      <w:r w:rsidRPr="00BD3AFC">
        <w:rPr>
          <w:rFonts w:asciiTheme="majorHAnsi" w:eastAsia="Times New Roman" w:hAnsiTheme="majorHAnsi" w:cstheme="majorHAnsi"/>
          <w:i/>
          <w:iCs/>
          <w:lang w:val="en-IN" w:eastAsia="en-IN"/>
        </w:rPr>
        <w:t>.</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26</w:t>
      </w:r>
      <w:r w:rsidRPr="00BD3AFC">
        <w:rPr>
          <w:rFonts w:asciiTheme="majorHAnsi" w:eastAsia="Times New Roman" w:hAnsiTheme="majorHAnsi" w:cstheme="majorHAnsi"/>
          <w:lang w:val="en-IN" w:eastAsia="en-IN"/>
        </w:rPr>
        <w:t xml:space="preserve"> (11), 1269–1275 (2008).</w:t>
      </w:r>
    </w:p>
    <w:p w14:paraId="1C0E7312"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Rojas, L. A. et al. Personalized RNA neoantigen vaccines stimulate T cells in pancreatic cancer. </w:t>
      </w:r>
      <w:r w:rsidRPr="00BD3AFC">
        <w:rPr>
          <w:rFonts w:asciiTheme="majorHAnsi" w:eastAsia="Times New Roman" w:hAnsiTheme="majorHAnsi" w:cstheme="majorHAnsi"/>
          <w:i/>
          <w:iCs/>
          <w:lang w:val="en-IN" w:eastAsia="en-IN"/>
        </w:rPr>
        <w:t>Nature.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618</w:t>
      </w:r>
      <w:r w:rsidRPr="00BD3AFC">
        <w:rPr>
          <w:rFonts w:asciiTheme="majorHAnsi" w:eastAsia="Times New Roman" w:hAnsiTheme="majorHAnsi" w:cstheme="majorHAnsi"/>
          <w:lang w:val="en-IN" w:eastAsia="en-IN"/>
        </w:rPr>
        <w:t xml:space="preserve"> (7963), 144–150 (2023).</w:t>
      </w:r>
    </w:p>
    <w:p w14:paraId="716147C3"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Guan, J. et al. Chemical reprogramming of human somatic cells to pluripotent stem cells. </w:t>
      </w:r>
      <w:r w:rsidRPr="00BD3AFC">
        <w:rPr>
          <w:rFonts w:asciiTheme="majorHAnsi" w:eastAsia="Times New Roman" w:hAnsiTheme="majorHAnsi" w:cstheme="majorHAnsi"/>
          <w:i/>
          <w:iCs/>
          <w:lang w:val="en-IN" w:eastAsia="en-IN"/>
        </w:rPr>
        <w:t>Nature.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605</w:t>
      </w:r>
      <w:r w:rsidRPr="00BD3AFC">
        <w:rPr>
          <w:rFonts w:asciiTheme="majorHAnsi" w:eastAsia="Times New Roman" w:hAnsiTheme="majorHAnsi" w:cstheme="majorHAnsi"/>
          <w:lang w:val="en-IN" w:eastAsia="en-IN"/>
        </w:rPr>
        <w:t xml:space="preserve"> (7909), 325–331 (2022).</w:t>
      </w:r>
    </w:p>
    <w:p w14:paraId="3C0AF5F5" w14:textId="71278C22"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t xml:space="preserve">Ferreira, A. G., </w:t>
      </w:r>
      <w:proofErr w:type="spellStart"/>
      <w:r w:rsidRPr="00BD3AFC">
        <w:rPr>
          <w:rFonts w:asciiTheme="majorHAnsi" w:eastAsia="Times New Roman" w:hAnsiTheme="majorHAnsi" w:cstheme="majorHAnsi"/>
          <w:lang w:val="en-IN" w:eastAsia="en-IN"/>
        </w:rPr>
        <w:t>Zimmermannova</w:t>
      </w:r>
      <w:proofErr w:type="spellEnd"/>
      <w:r w:rsidRPr="00BD3AFC">
        <w:rPr>
          <w:rFonts w:asciiTheme="majorHAnsi" w:eastAsia="Times New Roman" w:hAnsiTheme="majorHAnsi" w:cstheme="majorHAnsi"/>
          <w:lang w:val="en-IN" w:eastAsia="en-IN"/>
        </w:rPr>
        <w:t xml:space="preserve">, O., Kurochkin, I., </w:t>
      </w:r>
      <w:proofErr w:type="spellStart"/>
      <w:r w:rsidRPr="00BD3AFC">
        <w:rPr>
          <w:rFonts w:asciiTheme="majorHAnsi" w:eastAsia="Times New Roman" w:hAnsiTheme="majorHAnsi" w:cstheme="majorHAnsi"/>
          <w:lang w:val="en-IN" w:eastAsia="en-IN"/>
        </w:rPr>
        <w:t>Ascic</w:t>
      </w:r>
      <w:proofErr w:type="spellEnd"/>
      <w:r w:rsidRPr="00BD3AFC">
        <w:rPr>
          <w:rFonts w:asciiTheme="majorHAnsi" w:eastAsia="Times New Roman" w:hAnsiTheme="majorHAnsi" w:cstheme="majorHAnsi"/>
          <w:lang w:val="en-IN" w:eastAsia="en-IN"/>
        </w:rPr>
        <w:t xml:space="preserve">, E., Åkerström, F., Pereira, C. F. Reprogramming cancer cells to antigen-presenting cells. </w:t>
      </w:r>
      <w:r w:rsidRPr="00BD3AFC">
        <w:rPr>
          <w:rFonts w:asciiTheme="majorHAnsi" w:eastAsia="Times New Roman" w:hAnsiTheme="majorHAnsi" w:cstheme="majorHAnsi"/>
          <w:i/>
          <w:iCs/>
          <w:lang w:val="en-IN" w:eastAsia="en-IN"/>
        </w:rPr>
        <w:t>Bio</w:t>
      </w:r>
      <w:r w:rsidR="00DB166C" w:rsidRPr="00172BFB">
        <w:rPr>
          <w:rFonts w:asciiTheme="majorHAnsi" w:eastAsia="Times New Roman" w:hAnsiTheme="majorHAnsi" w:cstheme="majorHAnsi"/>
          <w:i/>
          <w:iCs/>
          <w:lang w:val="en-IN" w:eastAsia="en-IN"/>
        </w:rPr>
        <w:t xml:space="preserve"> </w:t>
      </w:r>
      <w:proofErr w:type="spellStart"/>
      <w:r w:rsidR="00DB166C" w:rsidRPr="00172BFB">
        <w:rPr>
          <w:rFonts w:asciiTheme="majorHAnsi" w:eastAsia="Times New Roman" w:hAnsiTheme="majorHAnsi" w:cstheme="majorHAnsi"/>
          <w:i/>
          <w:iCs/>
          <w:lang w:val="en-IN" w:eastAsia="en-IN"/>
        </w:rPr>
        <w:t>P</w:t>
      </w:r>
      <w:r w:rsidRPr="00BD3AFC">
        <w:rPr>
          <w:rFonts w:asciiTheme="majorHAnsi" w:eastAsia="Times New Roman" w:hAnsiTheme="majorHAnsi" w:cstheme="majorHAnsi"/>
          <w:i/>
          <w:iCs/>
          <w:lang w:val="en-IN" w:eastAsia="en-IN"/>
        </w:rPr>
        <w:t>rotoc</w:t>
      </w:r>
      <w:proofErr w:type="spellEnd"/>
      <w:r w:rsidRPr="00BD3AFC">
        <w:rPr>
          <w:rFonts w:asciiTheme="majorHAnsi" w:eastAsia="Times New Roman" w:hAnsiTheme="majorHAnsi" w:cstheme="majorHAnsi"/>
          <w:i/>
          <w:iCs/>
          <w:lang w:val="en-IN" w:eastAsia="en-IN"/>
        </w:rPr>
        <w:t>.</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13</w:t>
      </w:r>
      <w:r w:rsidRPr="00BD3AFC">
        <w:rPr>
          <w:rFonts w:asciiTheme="majorHAnsi" w:eastAsia="Times New Roman" w:hAnsiTheme="majorHAnsi" w:cstheme="majorHAnsi"/>
          <w:lang w:val="en-IN" w:eastAsia="en-IN"/>
        </w:rPr>
        <w:t xml:space="preserve"> (22), 1–25 (2023).</w:t>
      </w:r>
    </w:p>
    <w:p w14:paraId="0B8A840F"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proofErr w:type="spellStart"/>
      <w:r w:rsidRPr="00BD3AFC">
        <w:rPr>
          <w:rFonts w:asciiTheme="majorHAnsi" w:eastAsia="Times New Roman" w:hAnsiTheme="majorHAnsi" w:cstheme="majorHAnsi"/>
          <w:lang w:val="en-IN" w:eastAsia="en-IN"/>
        </w:rPr>
        <w:t>Cabrita</w:t>
      </w:r>
      <w:proofErr w:type="spellEnd"/>
      <w:r w:rsidRPr="00BD3AFC">
        <w:rPr>
          <w:rFonts w:asciiTheme="majorHAnsi" w:eastAsia="Times New Roman" w:hAnsiTheme="majorHAnsi" w:cstheme="majorHAnsi"/>
          <w:lang w:val="en-IN" w:eastAsia="en-IN"/>
        </w:rPr>
        <w:t xml:space="preserve">, R. et al. Tertiary lymphoid structures improve immunotherapy and survival in melanoma. </w:t>
      </w:r>
      <w:r w:rsidRPr="00BD3AFC">
        <w:rPr>
          <w:rFonts w:asciiTheme="majorHAnsi" w:eastAsia="Times New Roman" w:hAnsiTheme="majorHAnsi" w:cstheme="majorHAnsi"/>
          <w:i/>
          <w:iCs/>
          <w:lang w:val="en-IN" w:eastAsia="en-IN"/>
        </w:rPr>
        <w:t>Nature.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577</w:t>
      </w:r>
      <w:r w:rsidRPr="00BD3AFC">
        <w:rPr>
          <w:rFonts w:asciiTheme="majorHAnsi" w:eastAsia="Times New Roman" w:hAnsiTheme="majorHAnsi" w:cstheme="majorHAnsi"/>
          <w:lang w:val="en-IN" w:eastAsia="en-IN"/>
        </w:rPr>
        <w:t xml:space="preserve"> (7791), 561–565 (2020).</w:t>
      </w:r>
    </w:p>
    <w:p w14:paraId="5BF8F4EF" w14:textId="77777777" w:rsidR="00BD3AFC" w:rsidRPr="00BD3AFC" w:rsidRDefault="00BD3AFC" w:rsidP="00172BFB">
      <w:pPr>
        <w:widowControl/>
        <w:numPr>
          <w:ilvl w:val="0"/>
          <w:numId w:val="3"/>
        </w:numPr>
        <w:tabs>
          <w:tab w:val="clear" w:pos="720"/>
        </w:tabs>
        <w:ind w:left="142" w:firstLine="0"/>
        <w:rPr>
          <w:rFonts w:asciiTheme="majorHAnsi" w:eastAsia="Times New Roman" w:hAnsiTheme="majorHAnsi" w:cstheme="majorHAnsi"/>
          <w:lang w:val="en-IN" w:eastAsia="en-IN"/>
        </w:rPr>
      </w:pPr>
      <w:r w:rsidRPr="00BD3AFC">
        <w:rPr>
          <w:rFonts w:asciiTheme="majorHAnsi" w:eastAsia="Times New Roman" w:hAnsiTheme="majorHAnsi" w:cstheme="majorHAnsi"/>
          <w:lang w:val="en-IN" w:eastAsia="en-IN"/>
        </w:rPr>
        <w:lastRenderedPageBreak/>
        <w:t xml:space="preserve">Ng, K. W. et al. Antibodies against endogenous retroviruses promote lung cancer immunotherapy. </w:t>
      </w:r>
      <w:r w:rsidRPr="00BD3AFC">
        <w:rPr>
          <w:rFonts w:asciiTheme="majorHAnsi" w:eastAsia="Times New Roman" w:hAnsiTheme="majorHAnsi" w:cstheme="majorHAnsi"/>
          <w:i/>
          <w:iCs/>
          <w:lang w:val="en-IN" w:eastAsia="en-IN"/>
        </w:rPr>
        <w:t>Nature.</w:t>
      </w:r>
      <w:r w:rsidRPr="00BD3AFC">
        <w:rPr>
          <w:rFonts w:asciiTheme="majorHAnsi" w:eastAsia="Times New Roman" w:hAnsiTheme="majorHAnsi" w:cstheme="majorHAnsi"/>
          <w:lang w:val="en-IN" w:eastAsia="en-IN"/>
        </w:rPr>
        <w:t xml:space="preserve"> </w:t>
      </w:r>
      <w:r w:rsidRPr="00BD3AFC">
        <w:rPr>
          <w:rFonts w:asciiTheme="majorHAnsi" w:eastAsia="Times New Roman" w:hAnsiTheme="majorHAnsi" w:cstheme="majorHAnsi"/>
          <w:b/>
          <w:bCs/>
          <w:lang w:val="en-IN" w:eastAsia="en-IN"/>
        </w:rPr>
        <w:t>616</w:t>
      </w:r>
      <w:r w:rsidRPr="00BD3AFC">
        <w:rPr>
          <w:rFonts w:asciiTheme="majorHAnsi" w:eastAsia="Times New Roman" w:hAnsiTheme="majorHAnsi" w:cstheme="majorHAnsi"/>
          <w:lang w:val="en-IN" w:eastAsia="en-IN"/>
        </w:rPr>
        <w:t xml:space="preserve"> (7957), 563–573 (2023).</w:t>
      </w:r>
    </w:p>
    <w:p w14:paraId="0704C44C" w14:textId="70EF7F48" w:rsidR="004D2710" w:rsidRPr="00172BFB" w:rsidRDefault="004D2710" w:rsidP="00172BFB">
      <w:pPr>
        <w:ind w:left="142"/>
        <w:rPr>
          <w:rFonts w:asciiTheme="majorHAnsi" w:hAnsiTheme="majorHAnsi" w:cstheme="majorHAnsi"/>
        </w:rPr>
      </w:pPr>
    </w:p>
    <w:sectPr w:rsidR="004D2710" w:rsidRPr="00172BFB">
      <w:headerReference w:type="even" r:id="rId12"/>
      <w:headerReference w:type="default" r:id="rId13"/>
      <w:footerReference w:type="even" r:id="rId14"/>
      <w:footerReference w:type="default" r:id="rId15"/>
      <w:headerReference w:type="first" r:id="rId16"/>
      <w:pgSz w:w="12240" w:h="15840"/>
      <w:pgMar w:top="1440" w:right="1440" w:bottom="1440" w:left="1440" w:header="720" w:footer="605"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57DB1" w14:textId="77777777" w:rsidR="007C1A11" w:rsidRDefault="007C1A11">
      <w:r>
        <w:separator/>
      </w:r>
    </w:p>
  </w:endnote>
  <w:endnote w:type="continuationSeparator" w:id="0">
    <w:p w14:paraId="37119822" w14:textId="77777777" w:rsidR="007C1A11" w:rsidRDefault="007C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1AF741-130C-490D-BE5E-629A271BB12F}"/>
    <w:embedBold r:id="rId2" w:fontKey="{10D300AA-A81D-47E0-A0CE-C9640C7253DE}"/>
    <w:embedItalic r:id="rId3" w:fontKey="{D88AFB51-1600-44BB-B05F-5071979CC5F8}"/>
    <w:embedBoldItalic r:id="rId4" w:fontKey="{FDB49D89-1E46-40BE-A7C3-837999B766D8}"/>
  </w:font>
  <w:font w:name="Cambria">
    <w:panose1 w:val="02040503050406030204"/>
    <w:charset w:val="00"/>
    <w:family w:val="roman"/>
    <w:pitch w:val="variable"/>
    <w:sig w:usb0="E00006FF" w:usb1="420024FF" w:usb2="02000000" w:usb3="00000000" w:csb0="0000019F" w:csb1="00000000"/>
    <w:embedRegular r:id="rId5" w:fontKey="{0A93ED85-C19A-4E21-9D5E-16856FA76BC0}"/>
    <w:embedBold r:id="rId6" w:fontKey="{3D612EC5-DBF4-4908-ADAD-4C7C280DB066}"/>
  </w:font>
  <w:font w:name="Georgia">
    <w:panose1 w:val="02040502050405020303"/>
    <w:charset w:val="00"/>
    <w:family w:val="roman"/>
    <w:pitch w:val="variable"/>
    <w:sig w:usb0="00000287" w:usb1="00000000" w:usb2="00000000" w:usb3="00000000" w:csb0="0000009F" w:csb1="00000000"/>
    <w:embedRegular r:id="rId7" w:fontKey="{720EA0AB-CD57-40C0-A9A2-8C6D6D0FD00F}"/>
    <w:embedItalic r:id="rId8" w:fontKey="{53ECBF9B-42B0-4CD2-821C-C604B657CCC6}"/>
  </w:font>
  <w:font w:name="Segoe UI">
    <w:panose1 w:val="020B0502040204020203"/>
    <w:charset w:val="00"/>
    <w:family w:val="swiss"/>
    <w:pitch w:val="variable"/>
    <w:sig w:usb0="E4002EFF" w:usb1="C000E47F" w:usb2="00000009" w:usb3="00000000" w:csb0="000001FF" w:csb1="00000000"/>
    <w:embedRegular r:id="rId9" w:fontKey="{F76B26AF-EB94-4AC7-BAF4-1274FF5D11F7}"/>
  </w:font>
  <w:font w:name="Roboto">
    <w:charset w:val="00"/>
    <w:family w:val="auto"/>
    <w:pitch w:val="variable"/>
    <w:sig w:usb0="E0000AFF" w:usb1="5000217F" w:usb2="00000021" w:usb3="00000000" w:csb0="0000019F" w:csb1="00000000"/>
    <w:embedRegular r:id="rId10" w:fontKey="{21A88A88-5FC8-41EA-96F2-0EFD5D792215}"/>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9CD41" w14:textId="77777777" w:rsidR="004D2710" w:rsidRDefault="00172BF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63F269" w14:textId="77777777" w:rsidR="004D2710" w:rsidRDefault="004D271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3DCC" w14:textId="77777777" w:rsidR="004D2710" w:rsidRDefault="00172BF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178E2">
      <w:rPr>
        <w:noProof/>
        <w:color w:val="000000"/>
      </w:rPr>
      <w:t>1</w:t>
    </w:r>
    <w:r>
      <w:rPr>
        <w:color w:val="000000"/>
      </w:rPr>
      <w:fldChar w:fldCharType="end"/>
    </w:r>
  </w:p>
  <w:p w14:paraId="200E8C8F" w14:textId="77777777" w:rsidR="004D2710" w:rsidRDefault="004D271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BD939" w14:textId="77777777" w:rsidR="007C1A11" w:rsidRDefault="007C1A11">
      <w:r>
        <w:separator/>
      </w:r>
    </w:p>
  </w:footnote>
  <w:footnote w:type="continuationSeparator" w:id="0">
    <w:p w14:paraId="1DB7A8D9" w14:textId="77777777" w:rsidR="007C1A11" w:rsidRDefault="007C1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C0EE" w14:textId="77777777" w:rsidR="004D2710" w:rsidRDefault="004D271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4EA3C" w14:textId="77777777" w:rsidR="004D2710" w:rsidRDefault="00172BFB">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D92E9" w14:textId="7CE51CA8" w:rsidR="004D2710" w:rsidRDefault="00172BFB">
    <w:pPr>
      <w:pBdr>
        <w:top w:val="nil"/>
        <w:left w:val="nil"/>
        <w:bottom w:val="nil"/>
        <w:right w:val="nil"/>
        <w:between w:val="nil"/>
      </w:pBdr>
      <w:tabs>
        <w:tab w:val="center" w:pos="4680"/>
        <w:tab w:val="right" w:pos="9360"/>
      </w:tabs>
      <w:jc w:val="right"/>
      <w:rPr>
        <w:b/>
        <w:color w:val="1F497D"/>
        <w:sz w:val="32"/>
        <w:szCs w:val="32"/>
      </w:rPr>
    </w:pPr>
    <w:r>
      <w:rPr>
        <w:b/>
        <w:color w:val="1F497D"/>
        <w:sz w:val="32"/>
        <w:szCs w:val="32"/>
      </w:rPr>
      <w:t>Standard Manuscript Template</w:t>
    </w:r>
    <w:r>
      <w:rPr>
        <w:b/>
        <w:color w:val="1F497D"/>
        <w:sz w:val="32"/>
        <w:szCs w:val="32"/>
      </w:rPr>
      <w:br/>
    </w:r>
    <w:r>
      <w:rPr>
        <w:noProof/>
      </w:rPr>
      <mc:AlternateContent>
        <mc:Choice Requires="wpg">
          <w:drawing>
            <wp:anchor distT="0" distB="0" distL="114300" distR="114300" simplePos="0" relativeHeight="251658240" behindDoc="0" locked="0" layoutInCell="1" hidden="0" allowOverlap="1" wp14:anchorId="03AB0874" wp14:editId="536FF2AD">
              <wp:simplePos x="0" y="0"/>
              <wp:positionH relativeFrom="column">
                <wp:posOffset>50801</wp:posOffset>
              </wp:positionH>
              <wp:positionV relativeFrom="paragraph">
                <wp:posOffset>-355599</wp:posOffset>
              </wp:positionV>
              <wp:extent cx="3060065" cy="883285"/>
              <wp:effectExtent l="0" t="0" r="0" b="0"/>
              <wp:wrapSquare wrapText="bothSides" distT="0" distB="0" distL="114300" distR="114300"/>
              <wp:docPr id="7" name="Group 7"/>
              <wp:cNvGraphicFramePr/>
              <a:graphic xmlns:a="http://schemas.openxmlformats.org/drawingml/2006/main">
                <a:graphicData uri="http://schemas.microsoft.com/office/word/2010/wordprocessingGroup">
                  <wpg:wgp>
                    <wpg:cNvGrpSpPr/>
                    <wpg:grpSpPr>
                      <a:xfrm>
                        <a:off x="0" y="0"/>
                        <a:ext cx="3060065" cy="883285"/>
                        <a:chOff x="3815950" y="3338350"/>
                        <a:chExt cx="3060100" cy="1144825"/>
                      </a:xfrm>
                    </wpg:grpSpPr>
                    <wpg:grpSp>
                      <wpg:cNvPr id="926326089" name="Group 926326089"/>
                      <wpg:cNvGrpSpPr/>
                      <wpg:grpSpPr>
                        <a:xfrm>
                          <a:off x="3815968" y="3338358"/>
                          <a:ext cx="3060065" cy="883285"/>
                          <a:chOff x="3815950" y="3338350"/>
                          <a:chExt cx="3060100" cy="1144825"/>
                        </a:xfrm>
                      </wpg:grpSpPr>
                      <wps:wsp>
                        <wps:cNvPr id="271427460" name="Rectangle 271427460"/>
                        <wps:cNvSpPr/>
                        <wps:spPr>
                          <a:xfrm>
                            <a:off x="3815950" y="3338350"/>
                            <a:ext cx="3060100" cy="1144825"/>
                          </a:xfrm>
                          <a:prstGeom prst="rect">
                            <a:avLst/>
                          </a:prstGeom>
                          <a:noFill/>
                          <a:ln>
                            <a:noFill/>
                          </a:ln>
                        </wps:spPr>
                        <wps:txbx>
                          <w:txbxContent>
                            <w:p w14:paraId="08BDBAF5" w14:textId="77777777" w:rsidR="004D2710" w:rsidRDefault="004D2710">
                              <w:pPr>
                                <w:jc w:val="left"/>
                                <w:textDirection w:val="btLr"/>
                              </w:pPr>
                            </w:p>
                          </w:txbxContent>
                        </wps:txbx>
                        <wps:bodyPr spcFirstLastPara="1" wrap="square" lIns="91425" tIns="91425" rIns="91425" bIns="91425" anchor="ctr" anchorCtr="0">
                          <a:noAutofit/>
                        </wps:bodyPr>
                      </wps:wsp>
                      <wpg:grpSp>
                        <wpg:cNvPr id="1081227149" name="Group 1081227149"/>
                        <wpg:cNvGrpSpPr/>
                        <wpg:grpSpPr>
                          <a:xfrm>
                            <a:off x="3815968" y="3338358"/>
                            <a:ext cx="3060065" cy="883285"/>
                            <a:chOff x="3815950" y="3338350"/>
                            <a:chExt cx="3060100" cy="1144825"/>
                          </a:xfrm>
                        </wpg:grpSpPr>
                        <wps:wsp>
                          <wps:cNvPr id="937401067" name="Rectangle 937401067"/>
                          <wps:cNvSpPr/>
                          <wps:spPr>
                            <a:xfrm>
                              <a:off x="3815950" y="3338350"/>
                              <a:ext cx="3060100" cy="1144825"/>
                            </a:xfrm>
                            <a:prstGeom prst="rect">
                              <a:avLst/>
                            </a:prstGeom>
                            <a:noFill/>
                            <a:ln>
                              <a:noFill/>
                            </a:ln>
                          </wps:spPr>
                          <wps:txbx>
                            <w:txbxContent>
                              <w:p w14:paraId="0534E216" w14:textId="77777777" w:rsidR="004D2710" w:rsidRDefault="004D2710">
                                <w:pPr>
                                  <w:jc w:val="left"/>
                                  <w:textDirection w:val="btLr"/>
                                </w:pPr>
                              </w:p>
                            </w:txbxContent>
                          </wps:txbx>
                          <wps:bodyPr spcFirstLastPara="1" wrap="square" lIns="91425" tIns="91425" rIns="91425" bIns="91425" anchor="ctr" anchorCtr="0">
                            <a:noAutofit/>
                          </wps:bodyPr>
                        </wps:wsp>
                        <wpg:grpSp>
                          <wpg:cNvPr id="111696741" name="Group 111696741"/>
                          <wpg:cNvGrpSpPr/>
                          <wpg:grpSpPr>
                            <a:xfrm>
                              <a:off x="3815968" y="3338358"/>
                              <a:ext cx="3060065" cy="883285"/>
                              <a:chOff x="3815950" y="3338350"/>
                              <a:chExt cx="3060100" cy="1144825"/>
                            </a:xfrm>
                          </wpg:grpSpPr>
                          <wps:wsp>
                            <wps:cNvPr id="1039628147" name="Rectangle 1039628147"/>
                            <wps:cNvSpPr/>
                            <wps:spPr>
                              <a:xfrm>
                                <a:off x="3815950" y="3338350"/>
                                <a:ext cx="3060100" cy="1144825"/>
                              </a:xfrm>
                              <a:prstGeom prst="rect">
                                <a:avLst/>
                              </a:prstGeom>
                              <a:noFill/>
                              <a:ln>
                                <a:noFill/>
                              </a:ln>
                            </wps:spPr>
                            <wps:txbx>
                              <w:txbxContent>
                                <w:p w14:paraId="0F5B9FF1" w14:textId="77777777" w:rsidR="004D2710" w:rsidRDefault="004D2710">
                                  <w:pPr>
                                    <w:jc w:val="left"/>
                                    <w:textDirection w:val="btLr"/>
                                  </w:pPr>
                                </w:p>
                              </w:txbxContent>
                            </wps:txbx>
                            <wps:bodyPr spcFirstLastPara="1" wrap="square" lIns="91425" tIns="91425" rIns="91425" bIns="91425" anchor="ctr" anchorCtr="0">
                              <a:noAutofit/>
                            </wps:bodyPr>
                          </wps:wsp>
                          <wpg:grpSp>
                            <wpg:cNvPr id="1858227527" name="Group 1858227527"/>
                            <wpg:cNvGrpSpPr/>
                            <wpg:grpSpPr>
                              <a:xfrm>
                                <a:off x="3815968" y="3338358"/>
                                <a:ext cx="3060065" cy="883285"/>
                                <a:chOff x="3815950" y="3338350"/>
                                <a:chExt cx="3060100" cy="1030500"/>
                              </a:xfrm>
                            </wpg:grpSpPr>
                            <wps:wsp>
                              <wps:cNvPr id="1060839068" name="Rectangle 1060839068"/>
                              <wps:cNvSpPr/>
                              <wps:spPr>
                                <a:xfrm>
                                  <a:off x="3815950" y="3338350"/>
                                  <a:ext cx="3060100" cy="1030500"/>
                                </a:xfrm>
                                <a:prstGeom prst="rect">
                                  <a:avLst/>
                                </a:prstGeom>
                                <a:noFill/>
                                <a:ln>
                                  <a:noFill/>
                                </a:ln>
                              </wps:spPr>
                              <wps:txbx>
                                <w:txbxContent>
                                  <w:p w14:paraId="0F731E99" w14:textId="77777777" w:rsidR="004D2710" w:rsidRDefault="004D2710">
                                    <w:pPr>
                                      <w:jc w:val="left"/>
                                      <w:textDirection w:val="btLr"/>
                                    </w:pPr>
                                  </w:p>
                                </w:txbxContent>
                              </wps:txbx>
                              <wps:bodyPr spcFirstLastPara="1" wrap="square" lIns="91425" tIns="91425" rIns="91425" bIns="91425" anchor="ctr" anchorCtr="0">
                                <a:noAutofit/>
                              </wps:bodyPr>
                            </wps:wsp>
                            <wpg:grpSp>
                              <wpg:cNvPr id="84667341" name="Group 84667341"/>
                              <wpg:cNvGrpSpPr/>
                              <wpg:grpSpPr>
                                <a:xfrm>
                                  <a:off x="3815968" y="3338358"/>
                                  <a:ext cx="3060065" cy="883285"/>
                                  <a:chOff x="0" y="-937904"/>
                                  <a:chExt cx="3060065" cy="883920"/>
                                </a:xfrm>
                              </wpg:grpSpPr>
                              <wps:wsp>
                                <wps:cNvPr id="480915484" name="Rectangle 480915484"/>
                                <wps:cNvSpPr/>
                                <wps:spPr>
                                  <a:xfrm>
                                    <a:off x="0" y="-937904"/>
                                    <a:ext cx="3060050" cy="883900"/>
                                  </a:xfrm>
                                  <a:prstGeom prst="rect">
                                    <a:avLst/>
                                  </a:prstGeom>
                                  <a:noFill/>
                                  <a:ln>
                                    <a:noFill/>
                                  </a:ln>
                                </wps:spPr>
                                <wps:txbx>
                                  <w:txbxContent>
                                    <w:p w14:paraId="41525D6A" w14:textId="77777777" w:rsidR="004D2710" w:rsidRDefault="004D2710">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2" name="Shape 12"/>
                                  <pic:cNvPicPr preferRelativeResize="0"/>
                                </pic:nvPicPr>
                                <pic:blipFill rotWithShape="1">
                                  <a:blip r:embed="rId1">
                                    <a:alphaModFix/>
                                  </a:blip>
                                  <a:srcRect/>
                                  <a:stretch/>
                                </pic:blipFill>
                                <pic:spPr>
                                  <a:xfrm>
                                    <a:off x="0" y="-937904"/>
                                    <a:ext cx="2651760" cy="823520"/>
                                  </a:xfrm>
                                  <a:prstGeom prst="rect">
                                    <a:avLst/>
                                  </a:prstGeom>
                                  <a:noFill/>
                                  <a:ln>
                                    <a:noFill/>
                                  </a:ln>
                                </pic:spPr>
                              </pic:pic>
                              <wps:wsp>
                                <wps:cNvPr id="675805209" name="Rectangle 675805209"/>
                                <wps:cNvSpPr/>
                                <wps:spPr>
                                  <a:xfrm>
                                    <a:off x="1362075" y="-937904"/>
                                    <a:ext cx="1697990" cy="883920"/>
                                  </a:xfrm>
                                  <a:prstGeom prst="rect">
                                    <a:avLst/>
                                  </a:prstGeom>
                                  <a:noFill/>
                                  <a:ln>
                                    <a:noFill/>
                                  </a:ln>
                                </wps:spPr>
                                <wps:txbx>
                                  <w:txbxContent>
                                    <w:p w14:paraId="342274DE" w14:textId="77777777" w:rsidR="004D2710" w:rsidRDefault="004D2710">
                                      <w:pPr>
                                        <w:jc w:val="left"/>
                                        <w:textDirection w:val="btLr"/>
                                      </w:pPr>
                                    </w:p>
                                    <w:p w14:paraId="28EA3141" w14:textId="77777777" w:rsidR="004D2710" w:rsidRDefault="004D2710">
                                      <w:pPr>
                                        <w:jc w:val="left"/>
                                        <w:textDirection w:val="btLr"/>
                                      </w:pPr>
                                    </w:p>
                                    <w:p w14:paraId="3B7064D4" w14:textId="77777777" w:rsidR="004D2710" w:rsidRDefault="00172BFB">
                                      <w:pPr>
                                        <w:jc w:val="left"/>
                                        <w:textDirection w:val="btLr"/>
                                      </w:pPr>
                                      <w:r>
                                        <w:rPr>
                                          <w:color w:val="262626"/>
                                          <w:sz w:val="16"/>
                                        </w:rPr>
                                        <w:t>625 Massachusetts Ave, 2</w:t>
                                      </w:r>
                                      <w:r>
                                        <w:rPr>
                                          <w:color w:val="262626"/>
                                          <w:sz w:val="16"/>
                                          <w:vertAlign w:val="superscript"/>
                                        </w:rPr>
                                        <w:t>nd</w:t>
                                      </w:r>
                                      <w:r>
                                        <w:rPr>
                                          <w:color w:val="262626"/>
                                          <w:sz w:val="16"/>
                                        </w:rPr>
                                        <w:t xml:space="preserve"> Floor </w:t>
                                      </w:r>
                                      <w:r>
                                        <w:rPr>
                                          <w:color w:val="262626"/>
                                          <w:sz w:val="16"/>
                                        </w:rPr>
                                        <w:br/>
                                        <w:t xml:space="preserve">Cambridge, MA 02139 </w:t>
                                      </w:r>
                                      <w:r>
                                        <w:rPr>
                                          <w:color w:val="262626"/>
                                          <w:sz w:val="16"/>
                                        </w:rPr>
                                        <w:br/>
                                        <w:t>Ph: 617.945.9051</w:t>
                                      </w:r>
                                    </w:p>
                                    <w:p w14:paraId="61D8E72A" w14:textId="77777777" w:rsidR="004D2710" w:rsidRDefault="004D2710">
                                      <w:pPr>
                                        <w:textDirection w:val="btLr"/>
                                      </w:pPr>
                                    </w:p>
                                    <w:p w14:paraId="59292167" w14:textId="77777777" w:rsidR="004D2710" w:rsidRDefault="004D2710">
                                      <w:pPr>
                                        <w:textDirection w:val="btLr"/>
                                      </w:pPr>
                                    </w:p>
                                    <w:p w14:paraId="19F362E2" w14:textId="77777777" w:rsidR="004D2710" w:rsidRDefault="00172BFB">
                                      <w:pPr>
                                        <w:textDirection w:val="btLr"/>
                                      </w:pPr>
                                      <w:r>
                                        <w:rPr>
                                          <w:rFonts w:ascii="Times New Roman" w:eastAsia="Times New Roman" w:hAnsi="Times New Roman" w:cs="Times New Roman"/>
                                          <w:color w:val="262626"/>
                                        </w:rPr>
                                        <w:t>`</w:t>
                                      </w:r>
                                    </w:p>
                                  </w:txbxContent>
                                </wps:txbx>
                                <wps:bodyPr spcFirstLastPara="1" wrap="square" lIns="91425" tIns="45700" rIns="91425" bIns="45700" anchor="t" anchorCtr="0">
                                  <a:noAutofit/>
                                </wps:bodyPr>
                              </wps:wsp>
                            </wpg:grpSp>
                          </wpg:grpSp>
                        </wpg:grpSp>
                      </wpg:grpSp>
                    </wpg:grpSp>
                  </wpg:wgp>
                </a:graphicData>
              </a:graphic>
            </wp:anchor>
          </w:drawing>
        </mc:Choice>
        <mc:Fallback>
          <w:pict>
            <v:group w14:anchorId="03AB0874" id="Group 7" o:spid="_x0000_s1026" style="position:absolute;left:0;text-align:left;margin-left:4pt;margin-top:-28pt;width:240.95pt;height:69.55pt;z-index:251658240" coordorigin="38159,33383" coordsize="30601,1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">
              <v:group id="Group 926326089" o:spid="_x0000_s1027" style="position:absolute;left:38159;top:33383;width:30601;height:8833" coordorigin="38159,33383" coordsize="30601,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">
                <v:rect id="Rectangle 271427460" o:spid="_x0000_s1028" style="position:absolute;left:38159;top:33383;width:30601;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" filled="f" stroked="f">
                  <v:textbox inset="2.53958mm,2.53958mm,2.53958mm,2.53958mm">
                    <w:txbxContent>
                      <w:p w14:paraId="08BDBAF5" w14:textId="77777777" w:rsidR="004D2710" w:rsidRDefault="004D2710">
                        <w:pPr>
                          <w:jc w:val="left"/>
                          <w:textDirection w:val="btLr"/>
                        </w:pPr>
                      </w:p>
                    </w:txbxContent>
                  </v:textbox>
                </v:rect>
                <v:group id="Group 1081227149" o:spid="_x0000_s1029" style="position:absolute;left:38159;top:33383;width:30601;height:8833" coordorigin="38159,33383" coordsize="30601,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">
                  <v:rect id="Rectangle 937401067" o:spid="_x0000_s1030" style="position:absolute;left:38159;top:33383;width:30601;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" filled="f" stroked="f">
                    <v:textbox inset="2.53958mm,2.53958mm,2.53958mm,2.53958mm">
                      <w:txbxContent>
                        <w:p w14:paraId="0534E216" w14:textId="77777777" w:rsidR="004D2710" w:rsidRDefault="004D2710">
                          <w:pPr>
                            <w:jc w:val="left"/>
                            <w:textDirection w:val="btLr"/>
                          </w:pPr>
                        </w:p>
                      </w:txbxContent>
                    </v:textbox>
                  </v:rect>
                  <v:group id="Group 111696741" o:spid="_x0000_s1031" style="position:absolute;left:38159;top:33383;width:30601;height:8833" coordorigin="38159,33383" coordsize="30601,1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">
                    <v:rect id="Rectangle 1039628147" o:spid="_x0000_s1032" style="position:absolute;left:38159;top:33383;width:30601;height:1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" filled="f" stroked="f">
                      <v:textbox inset="2.53958mm,2.53958mm,2.53958mm,2.53958mm">
                        <w:txbxContent>
                          <w:p w14:paraId="0F5B9FF1" w14:textId="77777777" w:rsidR="004D2710" w:rsidRDefault="004D2710">
                            <w:pPr>
                              <w:jc w:val="left"/>
                              <w:textDirection w:val="btLr"/>
                            </w:pPr>
                          </w:p>
                        </w:txbxContent>
                      </v:textbox>
                    </v:rect>
                    <v:group id="Group 1858227527" o:spid="_x0000_s1033" style="position:absolute;left:38159;top:33383;width:30601;height:8833" coordorigin="38159,33383" coordsize="30601,1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">
                      <v:rect id="Rectangle 1060839068" o:spid="_x0000_s1034" style="position:absolute;left:38159;top:33383;width:30601;height:10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" filled="f" stroked="f">
                        <v:textbox inset="2.53958mm,2.53958mm,2.53958mm,2.53958mm">
                          <w:txbxContent>
                            <w:p w14:paraId="0F731E99" w14:textId="77777777" w:rsidR="004D2710" w:rsidRDefault="004D2710">
                              <w:pPr>
                                <w:jc w:val="left"/>
                                <w:textDirection w:val="btLr"/>
                              </w:pPr>
                            </w:p>
                          </w:txbxContent>
                        </v:textbox>
                      </v:rect>
                      <v:group id="Group 84667341" o:spid="_x0000_s1035" style="position:absolute;left:38159;top:33383;width:30601;height:8833" coordorigin=",-9379" coordsize="3060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">
                        <v:rect id="Rectangle 480915484" o:spid="_x0000_s1036" style="position:absolute;top:-9379;width:30600;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" filled="f" stroked="f">
                          <v:textbox inset="2.53958mm,2.53958mm,2.53958mm,2.53958mm">
                            <w:txbxContent>
                              <w:p w14:paraId="41525D6A" w14:textId="77777777" w:rsidR="004D2710" w:rsidRDefault="004D2710">
                                <w:pPr>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 o:spid="_x0000_s1037" type="#_x0000_t75" style="position:absolute;top:-9379;width:26517;height:8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">
                          <v:imagedata r:id="rId2" o:title=""/>
                        </v:shape>
                        <v:rect id="Rectangle 675805209" o:spid="_x0000_s1038" style="position:absolute;left:13620;top:-9379;width:16980;height:8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" filled="f" stroked="f">
                          <v:textbox inset="2.53958mm,1.2694mm,2.53958mm,1.2694mm">
                            <w:txbxContent>
                              <w:p w14:paraId="342274DE" w14:textId="77777777" w:rsidR="004D2710" w:rsidRDefault="004D2710">
                                <w:pPr>
                                  <w:jc w:val="left"/>
                                  <w:textDirection w:val="btLr"/>
                                </w:pPr>
                              </w:p>
                              <w:p w14:paraId="28EA3141" w14:textId="77777777" w:rsidR="004D2710" w:rsidRDefault="004D2710">
                                <w:pPr>
                                  <w:jc w:val="left"/>
                                  <w:textDirection w:val="btLr"/>
                                </w:pPr>
                              </w:p>
                              <w:p w14:paraId="3B7064D4" w14:textId="77777777" w:rsidR="004D2710" w:rsidRDefault="00172BFB">
                                <w:pPr>
                                  <w:jc w:val="left"/>
                                  <w:textDirection w:val="btLr"/>
                                </w:pPr>
                                <w:r>
                                  <w:rPr>
                                    <w:color w:val="262626"/>
                                    <w:sz w:val="16"/>
                                  </w:rPr>
                                  <w:t>625 Massachusetts Ave, 2</w:t>
                                </w:r>
                                <w:r>
                                  <w:rPr>
                                    <w:color w:val="262626"/>
                                    <w:sz w:val="16"/>
                                    <w:vertAlign w:val="superscript"/>
                                  </w:rPr>
                                  <w:t>nd</w:t>
                                </w:r>
                                <w:r>
                                  <w:rPr>
                                    <w:color w:val="262626"/>
                                    <w:sz w:val="16"/>
                                  </w:rPr>
                                  <w:t xml:space="preserve"> Floor </w:t>
                                </w:r>
                                <w:r>
                                  <w:rPr>
                                    <w:color w:val="262626"/>
                                    <w:sz w:val="16"/>
                                  </w:rPr>
                                  <w:br/>
                                  <w:t xml:space="preserve">Cambridge, MA 02139 </w:t>
                                </w:r>
                                <w:r>
                                  <w:rPr>
                                    <w:color w:val="262626"/>
                                    <w:sz w:val="16"/>
                                  </w:rPr>
                                  <w:br/>
                                  <w:t>Ph: 617.945.9051</w:t>
                                </w:r>
                              </w:p>
                              <w:p w14:paraId="61D8E72A" w14:textId="77777777" w:rsidR="004D2710" w:rsidRDefault="004D2710">
                                <w:pPr>
                                  <w:textDirection w:val="btLr"/>
                                </w:pPr>
                              </w:p>
                              <w:p w14:paraId="59292167" w14:textId="77777777" w:rsidR="004D2710" w:rsidRDefault="004D2710">
                                <w:pPr>
                                  <w:textDirection w:val="btLr"/>
                                </w:pPr>
                              </w:p>
                              <w:p w14:paraId="19F362E2" w14:textId="77777777" w:rsidR="004D2710" w:rsidRDefault="00172BFB">
                                <w:pPr>
                                  <w:textDirection w:val="btLr"/>
                                </w:pPr>
                                <w:r>
                                  <w:rPr>
                                    <w:rFonts w:ascii="Times New Roman" w:eastAsia="Times New Roman" w:hAnsi="Times New Roman" w:cs="Times New Roman"/>
                                    <w:color w:val="262626"/>
                                  </w:rPr>
                                  <w:t>`</w:t>
                                </w:r>
                              </w:p>
                            </w:txbxContent>
                          </v:textbox>
                        </v:rect>
                      </v:group>
                    </v:group>
                  </v:group>
                </v:group>
              </v:group>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4865"/>
    <w:multiLevelType w:val="multilevel"/>
    <w:tmpl w:val="0C3EF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3A2833"/>
    <w:multiLevelType w:val="multilevel"/>
    <w:tmpl w:val="BB66AAA0"/>
    <w:lvl w:ilvl="0">
      <w:start w:val="1"/>
      <w:numFmt w:val="decimal"/>
      <w:lvlText w:val="%1."/>
      <w:lvlJc w:val="right"/>
      <w:pPr>
        <w:ind w:left="720" w:hanging="360"/>
      </w:pPr>
      <w:rPr>
        <w:u w:val="none"/>
      </w:rPr>
    </w:lvl>
    <w:lvl w:ilvl="1">
      <w:start w:val="1"/>
      <w:numFmt w:val="decimal"/>
      <w:lvlText w:val="%1.%2."/>
      <w:lvlJc w:val="right"/>
      <w:pPr>
        <w:ind w:left="786" w:hanging="360"/>
      </w:pPr>
      <w:rPr>
        <w:rFonts w:ascii="Calibri" w:eastAsia="Calibri" w:hAnsi="Calibri" w:cs="Calibri"/>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672127D0"/>
    <w:multiLevelType w:val="multilevel"/>
    <w:tmpl w:val="2D06B11E"/>
    <w:lvl w:ilvl="0">
      <w:start w:val="1"/>
      <w:numFmt w:val="decimal"/>
      <w:lvlText w:val="%1."/>
      <w:lvlJc w:val="right"/>
      <w:pPr>
        <w:ind w:left="720" w:hanging="360"/>
      </w:pPr>
      <w:rPr>
        <w:u w:val="none"/>
      </w:rPr>
    </w:lvl>
    <w:lvl w:ilvl="1">
      <w:start w:val="1"/>
      <w:numFmt w:val="decimal"/>
      <w:lvlText w:val="%1.%2."/>
      <w:lvlJc w:val="right"/>
      <w:pPr>
        <w:ind w:left="927" w:hanging="360"/>
      </w:pPr>
      <w:rPr>
        <w:rFonts w:ascii="Calibri" w:eastAsia="Calibri" w:hAnsi="Calibri" w:cs="Calibri"/>
        <w:b w:val="0"/>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275716749">
    <w:abstractNumId w:val="2"/>
  </w:num>
  <w:num w:numId="2" w16cid:durableId="1769619522">
    <w:abstractNumId w:val="1"/>
  </w:num>
  <w:num w:numId="3" w16cid:durableId="498738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710"/>
    <w:rsid w:val="00001CBD"/>
    <w:rsid w:val="000145B3"/>
    <w:rsid w:val="000316B5"/>
    <w:rsid w:val="00070AC7"/>
    <w:rsid w:val="000B58BA"/>
    <w:rsid w:val="000D7710"/>
    <w:rsid w:val="000E2066"/>
    <w:rsid w:val="00172BFB"/>
    <w:rsid w:val="00181AF8"/>
    <w:rsid w:val="001D2F42"/>
    <w:rsid w:val="001E7F69"/>
    <w:rsid w:val="001F5907"/>
    <w:rsid w:val="00231463"/>
    <w:rsid w:val="002352FE"/>
    <w:rsid w:val="00277275"/>
    <w:rsid w:val="002C07CE"/>
    <w:rsid w:val="002D45E2"/>
    <w:rsid w:val="00314E19"/>
    <w:rsid w:val="00351D06"/>
    <w:rsid w:val="00355949"/>
    <w:rsid w:val="00367FF2"/>
    <w:rsid w:val="00390C93"/>
    <w:rsid w:val="00397A95"/>
    <w:rsid w:val="003B55FB"/>
    <w:rsid w:val="003D642A"/>
    <w:rsid w:val="003E5DEF"/>
    <w:rsid w:val="00411EB5"/>
    <w:rsid w:val="00426477"/>
    <w:rsid w:val="00482165"/>
    <w:rsid w:val="004A54B8"/>
    <w:rsid w:val="004B4652"/>
    <w:rsid w:val="004D2710"/>
    <w:rsid w:val="004D31FC"/>
    <w:rsid w:val="004D3ED5"/>
    <w:rsid w:val="00505FF6"/>
    <w:rsid w:val="00510DB7"/>
    <w:rsid w:val="00522F04"/>
    <w:rsid w:val="00531F46"/>
    <w:rsid w:val="005648CB"/>
    <w:rsid w:val="00574548"/>
    <w:rsid w:val="00580169"/>
    <w:rsid w:val="00597360"/>
    <w:rsid w:val="005C7C97"/>
    <w:rsid w:val="005D3006"/>
    <w:rsid w:val="005E79CC"/>
    <w:rsid w:val="006607BE"/>
    <w:rsid w:val="00663A62"/>
    <w:rsid w:val="00676386"/>
    <w:rsid w:val="006941B8"/>
    <w:rsid w:val="006A0640"/>
    <w:rsid w:val="006C5D5C"/>
    <w:rsid w:val="006E0886"/>
    <w:rsid w:val="006F20FC"/>
    <w:rsid w:val="0071073D"/>
    <w:rsid w:val="007169DE"/>
    <w:rsid w:val="00743065"/>
    <w:rsid w:val="00752A0E"/>
    <w:rsid w:val="00756BFF"/>
    <w:rsid w:val="00765EF4"/>
    <w:rsid w:val="00786CC8"/>
    <w:rsid w:val="007A2909"/>
    <w:rsid w:val="007A6449"/>
    <w:rsid w:val="007A6F6B"/>
    <w:rsid w:val="007C1A11"/>
    <w:rsid w:val="007C5330"/>
    <w:rsid w:val="00837D04"/>
    <w:rsid w:val="008D350D"/>
    <w:rsid w:val="008D67B9"/>
    <w:rsid w:val="00916927"/>
    <w:rsid w:val="00983996"/>
    <w:rsid w:val="009A74BE"/>
    <w:rsid w:val="009B5CE3"/>
    <w:rsid w:val="009D1F88"/>
    <w:rsid w:val="00A0689E"/>
    <w:rsid w:val="00A948FF"/>
    <w:rsid w:val="00AC138E"/>
    <w:rsid w:val="00AF0C38"/>
    <w:rsid w:val="00AF2449"/>
    <w:rsid w:val="00AF6AC4"/>
    <w:rsid w:val="00B0677D"/>
    <w:rsid w:val="00BD3AFC"/>
    <w:rsid w:val="00BE7698"/>
    <w:rsid w:val="00C13458"/>
    <w:rsid w:val="00C164B1"/>
    <w:rsid w:val="00C30044"/>
    <w:rsid w:val="00C73A27"/>
    <w:rsid w:val="00C86B6B"/>
    <w:rsid w:val="00CA2A39"/>
    <w:rsid w:val="00CF5F20"/>
    <w:rsid w:val="00D00984"/>
    <w:rsid w:val="00D00BD4"/>
    <w:rsid w:val="00D12D45"/>
    <w:rsid w:val="00D149B4"/>
    <w:rsid w:val="00D14EAF"/>
    <w:rsid w:val="00D178E2"/>
    <w:rsid w:val="00D9442F"/>
    <w:rsid w:val="00DB166C"/>
    <w:rsid w:val="00DB2995"/>
    <w:rsid w:val="00DB59E9"/>
    <w:rsid w:val="00E10221"/>
    <w:rsid w:val="00E30B73"/>
    <w:rsid w:val="00E808D8"/>
    <w:rsid w:val="00EB5994"/>
    <w:rsid w:val="00F21155"/>
    <w:rsid w:val="00F32101"/>
    <w:rsid w:val="00F377FB"/>
    <w:rsid w:val="00F562A7"/>
    <w:rsid w:val="00F62467"/>
    <w:rsid w:val="00FA2349"/>
    <w:rsid w:val="00FA4E2E"/>
    <w:rsid w:val="00FB11FA"/>
    <w:rsid w:val="00FB28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76978A"/>
  <w15:docId w15:val="{8E8DFEA1-E27A-264F-9CB9-F366B0D0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7CE"/>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EB1E68"/>
    <w:rPr>
      <w:color w:val="0000FF" w:themeColor="hyperlink"/>
      <w:u w:val="single"/>
    </w:rPr>
  </w:style>
  <w:style w:type="character" w:customStyle="1" w:styleId="UnresolvedMention1">
    <w:name w:val="Unresolved Mention1"/>
    <w:basedOn w:val="DefaultParagraphFont"/>
    <w:uiPriority w:val="99"/>
    <w:semiHidden/>
    <w:unhideWhenUsed/>
    <w:rsid w:val="00EB1E68"/>
    <w:rPr>
      <w:color w:val="605E5C"/>
      <w:shd w:val="clear" w:color="auto" w:fill="E1DFDD"/>
    </w:rPr>
  </w:style>
  <w:style w:type="paragraph" w:styleId="Footer">
    <w:name w:val="footer"/>
    <w:basedOn w:val="Normal"/>
    <w:link w:val="FooterChar"/>
    <w:uiPriority w:val="99"/>
    <w:unhideWhenUsed/>
    <w:rsid w:val="00C11D93"/>
    <w:pPr>
      <w:tabs>
        <w:tab w:val="center" w:pos="4680"/>
        <w:tab w:val="right" w:pos="9360"/>
      </w:tabs>
    </w:pPr>
  </w:style>
  <w:style w:type="character" w:customStyle="1" w:styleId="FooterChar">
    <w:name w:val="Footer Char"/>
    <w:basedOn w:val="DefaultParagraphFont"/>
    <w:link w:val="Footer"/>
    <w:uiPriority w:val="99"/>
    <w:rsid w:val="00C11D93"/>
  </w:style>
  <w:style w:type="paragraph" w:styleId="Revision">
    <w:name w:val="Revision"/>
    <w:hidden/>
    <w:uiPriority w:val="99"/>
    <w:semiHidden/>
    <w:rsid w:val="000B41B6"/>
    <w:pPr>
      <w:widowControl/>
      <w:jc w:val="left"/>
    </w:pPr>
  </w:style>
  <w:style w:type="paragraph" w:styleId="ListParagraph">
    <w:name w:val="List Paragraph"/>
    <w:basedOn w:val="Normal"/>
    <w:uiPriority w:val="34"/>
    <w:qFormat/>
    <w:rsid w:val="007D6BE0"/>
    <w:pPr>
      <w:widowControl/>
      <w:spacing w:after="200" w:line="276" w:lineRule="auto"/>
      <w:ind w:left="720"/>
      <w:contextualSpacing/>
      <w:jc w:val="left"/>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6755EE"/>
    <w:rPr>
      <w:color w:val="800080" w:themeColor="followedHyperlink"/>
      <w:u w:val="single"/>
    </w:rPr>
  </w:style>
  <w:style w:type="character" w:styleId="LineNumber">
    <w:name w:val="line number"/>
    <w:basedOn w:val="DefaultParagraphFont"/>
    <w:uiPriority w:val="99"/>
    <w:semiHidden/>
    <w:unhideWhenUsed/>
    <w:rsid w:val="00147CBA"/>
  </w:style>
  <w:style w:type="character" w:styleId="CommentReference">
    <w:name w:val="annotation reference"/>
    <w:basedOn w:val="DefaultParagraphFont"/>
    <w:uiPriority w:val="99"/>
    <w:semiHidden/>
    <w:unhideWhenUsed/>
    <w:rsid w:val="008B2D50"/>
    <w:rPr>
      <w:sz w:val="16"/>
      <w:szCs w:val="16"/>
    </w:rPr>
  </w:style>
  <w:style w:type="paragraph" w:styleId="CommentText">
    <w:name w:val="annotation text"/>
    <w:basedOn w:val="Normal"/>
    <w:link w:val="CommentTextChar"/>
    <w:uiPriority w:val="99"/>
    <w:unhideWhenUsed/>
    <w:rsid w:val="008B2D50"/>
    <w:rPr>
      <w:sz w:val="20"/>
      <w:szCs w:val="20"/>
    </w:rPr>
  </w:style>
  <w:style w:type="character" w:customStyle="1" w:styleId="CommentTextChar">
    <w:name w:val="Comment Text Char"/>
    <w:basedOn w:val="DefaultParagraphFont"/>
    <w:link w:val="CommentText"/>
    <w:uiPriority w:val="99"/>
    <w:rsid w:val="008B2D50"/>
    <w:rPr>
      <w:sz w:val="20"/>
      <w:szCs w:val="20"/>
    </w:rPr>
  </w:style>
  <w:style w:type="paragraph" w:styleId="CommentSubject">
    <w:name w:val="annotation subject"/>
    <w:basedOn w:val="CommentText"/>
    <w:next w:val="CommentText"/>
    <w:link w:val="CommentSubjectChar"/>
    <w:uiPriority w:val="99"/>
    <w:semiHidden/>
    <w:unhideWhenUsed/>
    <w:rsid w:val="008B2D50"/>
    <w:rPr>
      <w:b/>
      <w:bCs/>
    </w:rPr>
  </w:style>
  <w:style w:type="character" w:customStyle="1" w:styleId="CommentSubjectChar">
    <w:name w:val="Comment Subject Char"/>
    <w:basedOn w:val="CommentTextChar"/>
    <w:link w:val="CommentSubject"/>
    <w:uiPriority w:val="99"/>
    <w:semiHidden/>
    <w:rsid w:val="008B2D50"/>
    <w:rPr>
      <w:b/>
      <w:bCs/>
      <w:sz w:val="20"/>
      <w:szCs w:val="20"/>
    </w:rPr>
  </w:style>
  <w:style w:type="character" w:customStyle="1" w:styleId="cf01">
    <w:name w:val="cf01"/>
    <w:basedOn w:val="DefaultParagraphFont"/>
    <w:rsid w:val="00516914"/>
    <w:rPr>
      <w:rFonts w:ascii="Segoe UI" w:hAnsi="Segoe UI" w:cs="Segoe UI" w:hint="default"/>
      <w:sz w:val="18"/>
      <w:szCs w:val="18"/>
    </w:rPr>
  </w:style>
  <w:style w:type="paragraph" w:styleId="Bibliography">
    <w:name w:val="Bibliography"/>
    <w:basedOn w:val="Normal"/>
    <w:next w:val="Normal"/>
    <w:uiPriority w:val="37"/>
    <w:semiHidden/>
    <w:unhideWhenUsed/>
    <w:rsid w:val="00C821D3"/>
  </w:style>
  <w:style w:type="character" w:styleId="PageNumber">
    <w:name w:val="page number"/>
    <w:basedOn w:val="DefaultParagraphFont"/>
    <w:uiPriority w:val="99"/>
    <w:semiHidden/>
    <w:unhideWhenUsed/>
    <w:rsid w:val="00C821D3"/>
  </w:style>
  <w:style w:type="paragraph" w:styleId="NormalWeb">
    <w:name w:val="Normal (Web)"/>
    <w:basedOn w:val="Normal"/>
    <w:uiPriority w:val="99"/>
    <w:semiHidden/>
    <w:unhideWhenUsed/>
    <w:rsid w:val="00163851"/>
    <w:pPr>
      <w:widowControl/>
      <w:spacing w:before="100" w:beforeAutospacing="1" w:after="100" w:afterAutospacing="1"/>
      <w:jc w:val="left"/>
    </w:pPr>
    <w:rPr>
      <w:rFonts w:ascii="Times New Roman" w:eastAsia="Times New Roman" w:hAnsi="Times New Roman" w:cs="Times New Roman"/>
    </w:rPr>
  </w:style>
  <w:style w:type="character" w:styleId="PlaceholderText">
    <w:name w:val="Placeholder Text"/>
    <w:basedOn w:val="DefaultParagraphFont"/>
    <w:uiPriority w:val="99"/>
    <w:semiHidden/>
    <w:rsid w:val="003738FA"/>
    <w:rPr>
      <w:color w:val="666666"/>
    </w:rPr>
  </w:style>
  <w:style w:type="character" w:styleId="UnresolvedMention">
    <w:name w:val="Unresolved Mention"/>
    <w:basedOn w:val="DefaultParagraphFont"/>
    <w:uiPriority w:val="99"/>
    <w:semiHidden/>
    <w:unhideWhenUsed/>
    <w:rsid w:val="006A06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72267">
      <w:bodyDiv w:val="1"/>
      <w:marLeft w:val="0"/>
      <w:marRight w:val="0"/>
      <w:marTop w:val="0"/>
      <w:marBottom w:val="0"/>
      <w:divBdr>
        <w:top w:val="none" w:sz="0" w:space="0" w:color="auto"/>
        <w:left w:val="none" w:sz="0" w:space="0" w:color="auto"/>
        <w:bottom w:val="none" w:sz="0" w:space="0" w:color="auto"/>
        <w:right w:val="none" w:sz="0" w:space="0" w:color="auto"/>
      </w:divBdr>
      <w:divsChild>
        <w:div w:id="1781031239">
          <w:marLeft w:val="0"/>
          <w:marRight w:val="0"/>
          <w:marTop w:val="0"/>
          <w:marBottom w:val="0"/>
          <w:divBdr>
            <w:top w:val="none" w:sz="0" w:space="0" w:color="auto"/>
            <w:left w:val="none" w:sz="0" w:space="0" w:color="auto"/>
            <w:bottom w:val="none" w:sz="0" w:space="0" w:color="auto"/>
            <w:right w:val="none" w:sz="0" w:space="0" w:color="auto"/>
          </w:divBdr>
          <w:divsChild>
            <w:div w:id="129399929">
              <w:marLeft w:val="0"/>
              <w:marRight w:val="0"/>
              <w:marTop w:val="0"/>
              <w:marBottom w:val="0"/>
              <w:divBdr>
                <w:top w:val="none" w:sz="0" w:space="0" w:color="auto"/>
                <w:left w:val="none" w:sz="0" w:space="0" w:color="auto"/>
                <w:bottom w:val="none" w:sz="0" w:space="0" w:color="auto"/>
                <w:right w:val="none" w:sz="0" w:space="0" w:color="auto"/>
              </w:divBdr>
              <w:divsChild>
                <w:div w:id="163084196">
                  <w:marLeft w:val="0"/>
                  <w:marRight w:val="0"/>
                  <w:marTop w:val="0"/>
                  <w:marBottom w:val="0"/>
                  <w:divBdr>
                    <w:top w:val="none" w:sz="0" w:space="0" w:color="auto"/>
                    <w:left w:val="none" w:sz="0" w:space="0" w:color="auto"/>
                    <w:bottom w:val="none" w:sz="0" w:space="0" w:color="auto"/>
                    <w:right w:val="none" w:sz="0" w:space="0" w:color="auto"/>
                  </w:divBdr>
                  <w:divsChild>
                    <w:div w:id="12352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06479">
          <w:marLeft w:val="0"/>
          <w:marRight w:val="0"/>
          <w:marTop w:val="0"/>
          <w:marBottom w:val="0"/>
          <w:divBdr>
            <w:top w:val="none" w:sz="0" w:space="0" w:color="auto"/>
            <w:left w:val="none" w:sz="0" w:space="0" w:color="auto"/>
            <w:bottom w:val="none" w:sz="0" w:space="0" w:color="auto"/>
            <w:right w:val="none" w:sz="0" w:space="0" w:color="auto"/>
          </w:divBdr>
          <w:divsChild>
            <w:div w:id="1122966541">
              <w:marLeft w:val="0"/>
              <w:marRight w:val="0"/>
              <w:marTop w:val="0"/>
              <w:marBottom w:val="0"/>
              <w:divBdr>
                <w:top w:val="none" w:sz="0" w:space="0" w:color="auto"/>
                <w:left w:val="none" w:sz="0" w:space="0" w:color="auto"/>
                <w:bottom w:val="none" w:sz="0" w:space="0" w:color="auto"/>
                <w:right w:val="none" w:sz="0" w:space="0" w:color="auto"/>
              </w:divBdr>
              <w:divsChild>
                <w:div w:id="80262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47933">
      <w:bodyDiv w:val="1"/>
      <w:marLeft w:val="0"/>
      <w:marRight w:val="0"/>
      <w:marTop w:val="0"/>
      <w:marBottom w:val="0"/>
      <w:divBdr>
        <w:top w:val="none" w:sz="0" w:space="0" w:color="auto"/>
        <w:left w:val="none" w:sz="0" w:space="0" w:color="auto"/>
        <w:bottom w:val="none" w:sz="0" w:space="0" w:color="auto"/>
        <w:right w:val="none" w:sz="0" w:space="0" w:color="auto"/>
      </w:divBdr>
      <w:divsChild>
        <w:div w:id="726610403">
          <w:marLeft w:val="0"/>
          <w:marRight w:val="0"/>
          <w:marTop w:val="0"/>
          <w:marBottom w:val="0"/>
          <w:divBdr>
            <w:top w:val="none" w:sz="0" w:space="0" w:color="auto"/>
            <w:left w:val="none" w:sz="0" w:space="0" w:color="auto"/>
            <w:bottom w:val="none" w:sz="0" w:space="0" w:color="auto"/>
            <w:right w:val="none" w:sz="0" w:space="0" w:color="auto"/>
          </w:divBdr>
          <w:divsChild>
            <w:div w:id="913052988">
              <w:marLeft w:val="0"/>
              <w:marRight w:val="0"/>
              <w:marTop w:val="0"/>
              <w:marBottom w:val="0"/>
              <w:divBdr>
                <w:top w:val="none" w:sz="0" w:space="0" w:color="auto"/>
                <w:left w:val="none" w:sz="0" w:space="0" w:color="auto"/>
                <w:bottom w:val="none" w:sz="0" w:space="0" w:color="auto"/>
                <w:right w:val="none" w:sz="0" w:space="0" w:color="auto"/>
              </w:divBdr>
              <w:divsChild>
                <w:div w:id="1920939420">
                  <w:marLeft w:val="0"/>
                  <w:marRight w:val="0"/>
                  <w:marTop w:val="0"/>
                  <w:marBottom w:val="0"/>
                  <w:divBdr>
                    <w:top w:val="none" w:sz="0" w:space="0" w:color="auto"/>
                    <w:left w:val="none" w:sz="0" w:space="0" w:color="auto"/>
                    <w:bottom w:val="none" w:sz="0" w:space="0" w:color="auto"/>
                    <w:right w:val="none" w:sz="0" w:space="0" w:color="auto"/>
                  </w:divBdr>
                  <w:divsChild>
                    <w:div w:id="19111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rvin.ascic@med.lu.s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lipe.pereira@med.lu.s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a7648th-s@student.lu.se" TargetMode="External"/><Relationship Id="rId4" Type="http://schemas.openxmlformats.org/officeDocument/2006/relationships/settings" Target="settings.xml"/><Relationship Id="rId9" Type="http://schemas.openxmlformats.org/officeDocument/2006/relationships/hyperlink" Target="mailto:gaia.fontanari@med.lu.s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OfgONB+4fdLDR4XqzjlyL/vA==">CgMxLjAyDmgucmUxMGZqOWxhN3FkMg5oLnl4bmQ4NnpiMmR5NDIOaC4zb2IzMThvMHplZGMyDmgudnNhazJzdzQ4ZjU1OAByITEySTA4bnlJa3FnZTdZcDZwWVhKUDhUWnRxZjhBREVwSQ==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21</Pages>
  <Words>8644</Words>
  <Characters>47027</Characters>
  <Application>Microsoft Office Word</Application>
  <DocSecurity>0</DocSecurity>
  <Lines>887</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Jove India</dc:creator>
  <cp:lastModifiedBy>Gaia Fontanari</cp:lastModifiedBy>
  <cp:revision>78</cp:revision>
  <dcterms:created xsi:type="dcterms:W3CDTF">2025-06-20T14:07:00Z</dcterms:created>
  <dcterms:modified xsi:type="dcterms:W3CDTF">2025-06-25T19:48:00Z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3715554084b6a3f5e957734f7bc0a214320c29b962d00a0a526411b9a5528181</vt:lpwstr>
  </property>
</Properties>
</file>