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F533" w14:textId="77777777" w:rsidR="009140EE" w:rsidRPr="004D1215" w:rsidRDefault="009140EE" w:rsidP="004D1215">
      <w:pPr>
        <w:pBdr>
          <w:top w:val="nil"/>
          <w:left w:val="nil"/>
          <w:bottom w:val="nil"/>
          <w:right w:val="nil"/>
          <w:between w:val="nil"/>
        </w:pBdr>
      </w:pPr>
      <w:r w:rsidRPr="004D1215">
        <w:rPr>
          <w:b/>
        </w:rPr>
        <w:t>TITLE:</w:t>
      </w:r>
      <w:r w:rsidRPr="004D1215">
        <w:t xml:space="preserve"> </w:t>
      </w:r>
    </w:p>
    <w:p w14:paraId="7B4D600B" w14:textId="77777777" w:rsidR="009140EE" w:rsidRPr="004D1215" w:rsidRDefault="009140EE" w:rsidP="004D1215">
      <w:r w:rsidRPr="004D1215">
        <w:t>Optimized Minimally Invasive Transscleral Subretinal Injection Technique in Mouse</w:t>
      </w:r>
    </w:p>
    <w:p w14:paraId="626A80E0" w14:textId="77777777" w:rsidR="009140EE" w:rsidRPr="004D1215" w:rsidRDefault="009140EE" w:rsidP="004D1215"/>
    <w:p w14:paraId="2ADF0D62" w14:textId="77777777" w:rsidR="009140EE" w:rsidRPr="004D1215" w:rsidRDefault="009140EE" w:rsidP="004D1215">
      <w:pPr>
        <w:rPr>
          <w:b/>
        </w:rPr>
      </w:pPr>
      <w:r w:rsidRPr="004D1215">
        <w:rPr>
          <w:b/>
        </w:rPr>
        <w:t>AUTHORS AND AFFILIATIONS:</w:t>
      </w:r>
    </w:p>
    <w:p w14:paraId="4A1133AE" w14:textId="77777777" w:rsidR="009140EE" w:rsidRPr="004D1215" w:rsidRDefault="009140EE" w:rsidP="004D1215">
      <w:pPr>
        <w:rPr>
          <w:vertAlign w:val="superscript"/>
        </w:rPr>
      </w:pPr>
      <w:r w:rsidRPr="004D1215">
        <w:t>Lauren Y. Cao</w:t>
      </w:r>
      <w:r w:rsidRPr="004D1215">
        <w:rPr>
          <w:vertAlign w:val="superscript"/>
        </w:rPr>
        <w:t>1</w:t>
      </w:r>
      <w:r w:rsidRPr="004D1215">
        <w:t>, Lindsey A. Chew</w:t>
      </w:r>
      <w:r w:rsidRPr="004D1215">
        <w:rPr>
          <w:vertAlign w:val="superscript"/>
        </w:rPr>
        <w:t>1,2</w:t>
      </w:r>
      <w:r w:rsidRPr="004D1215">
        <w:t>, Stella Finkelstein</w:t>
      </w:r>
      <w:r w:rsidRPr="004D1215">
        <w:rPr>
          <w:vertAlign w:val="superscript"/>
        </w:rPr>
        <w:t>1</w:t>
      </w:r>
      <w:r w:rsidRPr="004D1215">
        <w:t>, Josh Amason</w:t>
      </w:r>
      <w:r w:rsidRPr="004D1215">
        <w:rPr>
          <w:vertAlign w:val="superscript"/>
        </w:rPr>
        <w:t>1</w:t>
      </w:r>
      <w:r w:rsidRPr="004D1215">
        <w:t>, Sushil K. Dubey</w:t>
      </w:r>
      <w:r w:rsidRPr="004D1215">
        <w:rPr>
          <w:vertAlign w:val="superscript"/>
        </w:rPr>
        <w:t>1</w:t>
      </w:r>
      <w:r w:rsidRPr="004D1215">
        <w:t>, Edward Flynn</w:t>
      </w:r>
      <w:r w:rsidRPr="004D1215">
        <w:rPr>
          <w:vertAlign w:val="superscript"/>
        </w:rPr>
        <w:t>1</w:t>
      </w:r>
      <w:r w:rsidRPr="004D1215">
        <w:t>, Vadim Y. Arshavsky</w:t>
      </w:r>
      <w:r w:rsidRPr="004D1215">
        <w:rPr>
          <w:vertAlign w:val="superscript"/>
        </w:rPr>
        <w:t>1</w:t>
      </w:r>
      <w:r w:rsidRPr="004D1215">
        <w:t>, Catherine Bowes Rickman</w:t>
      </w:r>
      <w:r w:rsidRPr="004D1215">
        <w:rPr>
          <w:vertAlign w:val="superscript"/>
        </w:rPr>
        <w:t>1,2</w:t>
      </w:r>
      <w:r w:rsidRPr="004D1215">
        <w:t>, Oleg Alekseev</w:t>
      </w:r>
      <w:r w:rsidRPr="004D1215">
        <w:rPr>
          <w:vertAlign w:val="superscript"/>
        </w:rPr>
        <w:t>1</w:t>
      </w:r>
    </w:p>
    <w:p w14:paraId="10F87434" w14:textId="77777777" w:rsidR="009140EE" w:rsidRPr="004D1215" w:rsidRDefault="009140EE" w:rsidP="004D1215"/>
    <w:p w14:paraId="268EA823" w14:textId="79386581" w:rsidR="009140EE" w:rsidRPr="004D1215" w:rsidRDefault="009140EE" w:rsidP="004D1215">
      <w:r w:rsidRPr="004D1215">
        <w:rPr>
          <w:vertAlign w:val="superscript"/>
        </w:rPr>
        <w:t>1</w:t>
      </w:r>
      <w:r w:rsidRPr="004D1215">
        <w:t>Department of Ophthalmology, Duke University School of Medicine, Durham, NC, USA </w:t>
      </w:r>
    </w:p>
    <w:p w14:paraId="49D517DD" w14:textId="45FA7A2C" w:rsidR="009140EE" w:rsidRPr="004D1215" w:rsidRDefault="009140EE" w:rsidP="004D1215">
      <w:r w:rsidRPr="004D1215">
        <w:rPr>
          <w:vertAlign w:val="superscript"/>
        </w:rPr>
        <w:t>2</w:t>
      </w:r>
      <w:r w:rsidRPr="004D1215">
        <w:t>Department of Cell Biology, Duke University School of Medicine, Durham, NC, USA</w:t>
      </w:r>
    </w:p>
    <w:p w14:paraId="0F014843" w14:textId="77777777" w:rsidR="009140EE" w:rsidRPr="004D1215" w:rsidRDefault="009140EE" w:rsidP="004D1215"/>
    <w:p w14:paraId="3F3DF70D" w14:textId="77777777" w:rsidR="009140EE" w:rsidRPr="004D1215" w:rsidRDefault="009140EE" w:rsidP="004D1215">
      <w:r w:rsidRPr="004D1215">
        <w:t>Email addresses of co-authors:</w:t>
      </w:r>
    </w:p>
    <w:p w14:paraId="473B76DA" w14:textId="77777777" w:rsidR="009140EE" w:rsidRPr="004D1215" w:rsidRDefault="009140EE" w:rsidP="004D1215">
      <w:r w:rsidRPr="004D1215">
        <w:t>Lauren Y. Cao</w:t>
      </w:r>
      <w:r w:rsidRPr="004D1215">
        <w:tab/>
      </w:r>
      <w:r w:rsidRPr="004D1215">
        <w:tab/>
      </w:r>
      <w:r w:rsidRPr="004D1215">
        <w:tab/>
        <w:t>(lauren.cao@duke.edu)</w:t>
      </w:r>
    </w:p>
    <w:p w14:paraId="4F4B6DD3" w14:textId="77777777" w:rsidR="009140EE" w:rsidRPr="004D1215" w:rsidRDefault="009140EE" w:rsidP="004D1215">
      <w:r w:rsidRPr="004D1215">
        <w:t>Lindsey A. Chew</w:t>
      </w:r>
      <w:r w:rsidRPr="004D1215">
        <w:tab/>
      </w:r>
      <w:r w:rsidRPr="004D1215">
        <w:tab/>
        <w:t>(lindsey.chew@duke.edu)</w:t>
      </w:r>
    </w:p>
    <w:p w14:paraId="1BC10F52" w14:textId="77777777" w:rsidR="009140EE" w:rsidRPr="004D1215" w:rsidRDefault="009140EE" w:rsidP="004D1215">
      <w:r w:rsidRPr="004D1215">
        <w:t>Stella Finkelstein</w:t>
      </w:r>
      <w:r w:rsidRPr="004D1215">
        <w:tab/>
      </w:r>
      <w:r w:rsidRPr="004D1215">
        <w:tab/>
        <w:t>(stella.finkelstein@duke.edu)</w:t>
      </w:r>
    </w:p>
    <w:p w14:paraId="58758432" w14:textId="77777777" w:rsidR="009140EE" w:rsidRPr="004D1215" w:rsidRDefault="009140EE" w:rsidP="004D1215">
      <w:r w:rsidRPr="004D1215">
        <w:t>Josh Amason</w:t>
      </w:r>
      <w:r w:rsidRPr="004D1215">
        <w:tab/>
      </w:r>
      <w:r w:rsidRPr="004D1215">
        <w:tab/>
      </w:r>
      <w:r w:rsidRPr="004D1215">
        <w:tab/>
        <w:t>(joshua.amason@duke.edu)</w:t>
      </w:r>
    </w:p>
    <w:p w14:paraId="2F5D4FFA" w14:textId="77777777" w:rsidR="009140EE" w:rsidRPr="004D1215" w:rsidRDefault="009140EE" w:rsidP="004D1215">
      <w:r w:rsidRPr="004D1215">
        <w:t>Sushil K. Dubey</w:t>
      </w:r>
      <w:r w:rsidRPr="004D1215">
        <w:tab/>
      </w:r>
      <w:r w:rsidRPr="004D1215">
        <w:tab/>
        <w:t>(sushil.dubey@duke.edu)</w:t>
      </w:r>
    </w:p>
    <w:p w14:paraId="29D1ED2F" w14:textId="77777777" w:rsidR="009140EE" w:rsidRPr="004D1215" w:rsidRDefault="009140EE" w:rsidP="004D1215">
      <w:r w:rsidRPr="004D1215">
        <w:t>Edward Flynn</w:t>
      </w:r>
      <w:r w:rsidRPr="004D1215">
        <w:tab/>
      </w:r>
      <w:r w:rsidRPr="004D1215">
        <w:tab/>
      </w:r>
      <w:r w:rsidRPr="004D1215">
        <w:tab/>
        <w:t>(edward.flynn@duke.edu)</w:t>
      </w:r>
    </w:p>
    <w:p w14:paraId="7584E2DC" w14:textId="77777777" w:rsidR="009140EE" w:rsidRPr="004D1215" w:rsidRDefault="009140EE" w:rsidP="004D1215">
      <w:pPr>
        <w:rPr>
          <w:vertAlign w:val="subscript"/>
        </w:rPr>
      </w:pPr>
      <w:r w:rsidRPr="004D1215">
        <w:t>Vadim Y. Arshavsky</w:t>
      </w:r>
      <w:r w:rsidRPr="004D1215">
        <w:tab/>
      </w:r>
      <w:r w:rsidRPr="004D1215">
        <w:tab/>
        <w:t>(vadim.arshavsky@duke.edu)</w:t>
      </w:r>
    </w:p>
    <w:p w14:paraId="06001A5F" w14:textId="77777777" w:rsidR="009140EE" w:rsidRPr="004D1215" w:rsidRDefault="009140EE" w:rsidP="004D1215">
      <w:r w:rsidRPr="004D1215">
        <w:t>Catherine Bowes Rickman</w:t>
      </w:r>
      <w:r w:rsidRPr="004D1215">
        <w:tab/>
        <w:t>(bowes007@duke.edu)</w:t>
      </w:r>
    </w:p>
    <w:p w14:paraId="4D005925" w14:textId="77777777" w:rsidR="009140EE" w:rsidRPr="004D1215" w:rsidRDefault="009140EE" w:rsidP="004D1215"/>
    <w:p w14:paraId="2168C7D8" w14:textId="77777777" w:rsidR="009140EE" w:rsidRPr="004D1215" w:rsidRDefault="009140EE" w:rsidP="004D1215">
      <w:r w:rsidRPr="004D1215">
        <w:t>Corresponding author:</w:t>
      </w:r>
    </w:p>
    <w:p w14:paraId="4BC7766B" w14:textId="77777777" w:rsidR="009140EE" w:rsidRPr="004D1215" w:rsidRDefault="009140EE" w:rsidP="004D1215">
      <w:r w:rsidRPr="004D1215">
        <w:t>Oleg Alekseev</w:t>
      </w:r>
      <w:r w:rsidRPr="004D1215">
        <w:tab/>
      </w:r>
      <w:r w:rsidRPr="004D1215">
        <w:tab/>
      </w:r>
      <w:r w:rsidRPr="004D1215">
        <w:tab/>
        <w:t xml:space="preserve">(oleg.alekseev@duke.edu) </w:t>
      </w:r>
    </w:p>
    <w:p w14:paraId="3E16D59E" w14:textId="77777777" w:rsidR="009140EE" w:rsidRPr="004D1215" w:rsidRDefault="009140EE" w:rsidP="004D1215">
      <w:pPr>
        <w:pBdr>
          <w:top w:val="nil"/>
          <w:left w:val="nil"/>
          <w:bottom w:val="nil"/>
          <w:right w:val="nil"/>
          <w:between w:val="nil"/>
        </w:pBdr>
      </w:pPr>
    </w:p>
    <w:p w14:paraId="0D0DD3B6" w14:textId="77777777" w:rsidR="009140EE" w:rsidRPr="004D1215" w:rsidRDefault="009140EE" w:rsidP="004D1215">
      <w:r w:rsidRPr="004D1215">
        <w:rPr>
          <w:b/>
        </w:rPr>
        <w:t>SUMMARY:</w:t>
      </w:r>
    </w:p>
    <w:p w14:paraId="667FA144" w14:textId="77777777" w:rsidR="009140EE" w:rsidRPr="004D1215" w:rsidRDefault="009140EE" w:rsidP="004D1215">
      <w:r w:rsidRPr="004D1215">
        <w:t>Subretinal injections are an indispensable technique for preclinical development of therapeutics for photoreceptor and RPE diseases. We describe an optimized transscleral subretinal injection technique in mice that improves intraoperative success rates and minimizes retinal damage.</w:t>
      </w:r>
    </w:p>
    <w:p w14:paraId="495A97BA" w14:textId="77777777" w:rsidR="009140EE" w:rsidRPr="004D1215" w:rsidRDefault="009140EE" w:rsidP="004D1215"/>
    <w:p w14:paraId="337B953C" w14:textId="77777777" w:rsidR="009140EE" w:rsidRPr="004D1215" w:rsidRDefault="009140EE" w:rsidP="004D1215">
      <w:r w:rsidRPr="004D1215">
        <w:rPr>
          <w:b/>
        </w:rPr>
        <w:t>ABSTRACT:</w:t>
      </w:r>
    </w:p>
    <w:p w14:paraId="2718F065" w14:textId="507ED654" w:rsidR="009140EE" w:rsidRPr="004D1215" w:rsidRDefault="009140EE" w:rsidP="004D1215">
      <w:r w:rsidRPr="004D1215">
        <w:t xml:space="preserve">The conventional method of material delivery to the subretinal space in the mouse involves dual perforation of the neural retina, which causes extensive surgical damage. This leads to variability in the subsequent outcome measures of the visual function, such as electroretinogram (ERG) recordings or behavioral vision assays, which </w:t>
      </w:r>
      <w:r w:rsidR="004D1215" w:rsidRPr="004D1215">
        <w:t>confound</w:t>
      </w:r>
      <w:r w:rsidRPr="004D1215">
        <w:t xml:space="preserve"> efficacy assessments of experimental therapeutics. To overcome these barriers, we optimized a transscleral minimally invasive subretinal injection technique in mice. In this technique, the superior fornix is accessed using a custom-made tungsten wire eyelid speculum to perform conjunctival peritomy and tenotomy. A pinpoint sclerotomy is made using a diamond knife without penetrating the retina, through which a fine glass needle is carefully inserted at a shallow angle. The payload is delivered to the subretinal space using a microinjection pump. Optical coherence tomography (OCT) is used to assess the size and position of the subretinal bleb immediately following injection. We compared the outcomes of this technique to the conventional transretinal method performed using a spring-loaded syringe with a 33G needle sclerotomy. ERG recordings indicated excellent preservation of retinal function in </w:t>
      </w:r>
      <w:proofErr w:type="spellStart"/>
      <w:r w:rsidRPr="004D1215">
        <w:t>transsclerally</w:t>
      </w:r>
      <w:proofErr w:type="spellEnd"/>
      <w:r w:rsidRPr="004D1215">
        <w:t xml:space="preserve">-injected mice, comparable to that of </w:t>
      </w:r>
      <w:proofErr w:type="spellStart"/>
      <w:r w:rsidRPr="004D1215">
        <w:t>uninjected</w:t>
      </w:r>
      <w:proofErr w:type="spellEnd"/>
      <w:r w:rsidRPr="004D1215">
        <w:t xml:space="preserve"> control mice. In contrast, an appreciable ERG signal reduction was observed in the conventionally </w:t>
      </w:r>
      <w:r w:rsidRPr="004D1215">
        <w:lastRenderedPageBreak/>
        <w:t xml:space="preserve">injected cohorts. </w:t>
      </w:r>
      <w:r w:rsidRPr="004D1215">
        <w:rPr>
          <w:bCs/>
        </w:rPr>
        <w:t xml:space="preserve">In summary, we have optimized a </w:t>
      </w:r>
      <w:r w:rsidRPr="004D1215">
        <w:t xml:space="preserve">minimally invasive </w:t>
      </w:r>
      <w:r w:rsidRPr="004D1215">
        <w:rPr>
          <w:bCs/>
        </w:rPr>
        <w:t>technique for subretinal injection in mice</w:t>
      </w:r>
      <w:r w:rsidRPr="004D1215">
        <w:t>. We demonstrate that this technique is a robust and efficient method for gene therapy administration that minimizes anatomic damage to the retina and has minimal impact on retinal function. This method lowers the threshold for the development of therapies targeting both the retinal pigmented epithelium and photoreceptors to treat a wide range of retinal and macular diseases.</w:t>
      </w:r>
    </w:p>
    <w:p w14:paraId="02CB251E" w14:textId="77777777" w:rsidR="009140EE" w:rsidRPr="004D1215" w:rsidRDefault="009140EE" w:rsidP="004D1215"/>
    <w:p w14:paraId="465B9BE2" w14:textId="77777777" w:rsidR="009140EE" w:rsidRPr="004D1215" w:rsidRDefault="009140EE" w:rsidP="004D1215">
      <w:r w:rsidRPr="004D1215">
        <w:rPr>
          <w:b/>
        </w:rPr>
        <w:t>INTRODUCTION:</w:t>
      </w:r>
    </w:p>
    <w:p w14:paraId="4377F87B" w14:textId="60EF3EB1" w:rsidR="009140EE" w:rsidRPr="004D1215" w:rsidRDefault="009140EE" w:rsidP="004D1215">
      <w:r w:rsidRPr="004D1215">
        <w:t>Subretinal injection is an ocular surgical procedure in which material is delivered to the potential space between the retina and the retinal pigmented epithelium (RPE). Compared to other methods of drug delivery to the posterior segment, such as intravitreal or suprachoroidal injections, subretinal injections achieve the most immediate access to both the photoreceptors and the RPE. For delivery of viral gene therapy particles, subretinal injection achieves much higher rates of photoreceptor and RPE transduction, which allows for lower viral titers and reduced risk of viral toxicity</w:t>
      </w:r>
      <w:r w:rsidRPr="004D1215">
        <w:rPr>
          <w:vertAlign w:val="superscript"/>
        </w:rPr>
        <w:t>1</w:t>
      </w:r>
      <w:r w:rsidRPr="004D1215">
        <w:t>. Additionally, the subretinal space is anatomically confined, limiting the systemic spread of viral particles and lowering the risk of immune responses</w:t>
      </w:r>
      <w:r w:rsidRPr="004D1215">
        <w:rPr>
          <w:vertAlign w:val="superscript"/>
        </w:rPr>
        <w:t>2</w:t>
      </w:r>
      <w:r w:rsidRPr="004D1215">
        <w:t xml:space="preserve">. In humans, the safety profile of subretinal injections is very favorable, with retinal structure and function recovering to baseline levels within </w:t>
      </w:r>
      <w:proofErr w:type="gramStart"/>
      <w:r w:rsidRPr="004D1215">
        <w:t>1 month</w:t>
      </w:r>
      <w:proofErr w:type="gramEnd"/>
      <w:r w:rsidRPr="004D1215">
        <w:t xml:space="preserve"> post-injection</w:t>
      </w:r>
      <w:r w:rsidRPr="004D1215">
        <w:rPr>
          <w:vertAlign w:val="superscript"/>
        </w:rPr>
        <w:t>3,4</w:t>
      </w:r>
      <w:r w:rsidRPr="004D1215">
        <w:t xml:space="preserve">. Subretinal injections are used in </w:t>
      </w:r>
      <w:proofErr w:type="gramStart"/>
      <w:r w:rsidRPr="004D1215">
        <w:t>a number of</w:t>
      </w:r>
      <w:proofErr w:type="gramEnd"/>
      <w:r w:rsidRPr="004D1215">
        <w:t xml:space="preserve"> applications, such as stem cell transplantation and small molecule drug delivery</w:t>
      </w:r>
      <w:r w:rsidRPr="004D1215">
        <w:rPr>
          <w:vertAlign w:val="superscript"/>
        </w:rPr>
        <w:t>2</w:t>
      </w:r>
      <w:r w:rsidRPr="004D1215">
        <w:t>, with their most common use being the delivery of viral vectors for gene therapy treatments of retinal diseases. The relatively low viral titers, minimal systemic exposure, and high rate and specificity of transduction associated with subretinal injections have made them an indispensable technique in the retina field. Subretinal injections are successfully used in patients for the treatment of inherited retinal disorders, including retinitis pigmentosa and Leber congenital amaurosis</w:t>
      </w:r>
      <w:r w:rsidRPr="004D1215">
        <w:rPr>
          <w:vertAlign w:val="superscript"/>
        </w:rPr>
        <w:t>5,6</w:t>
      </w:r>
      <w:r w:rsidRPr="004D1215">
        <w:t>.</w:t>
      </w:r>
    </w:p>
    <w:p w14:paraId="6C846D2F" w14:textId="77777777" w:rsidR="009140EE" w:rsidRPr="004D1215" w:rsidRDefault="009140EE" w:rsidP="004D1215"/>
    <w:p w14:paraId="2F5D907F" w14:textId="5BECAC81" w:rsidR="009140EE" w:rsidRPr="004D1215" w:rsidRDefault="009140EE" w:rsidP="004D1215">
      <w:r w:rsidRPr="004D1215">
        <w:t xml:space="preserve">Given its importance to the field, the ability to perform subretinal injections in mice is crucial for </w:t>
      </w:r>
      <w:proofErr w:type="gramStart"/>
      <w:r w:rsidRPr="004D1215">
        <w:t>preclinical</w:t>
      </w:r>
      <w:proofErr w:type="gramEnd"/>
      <w:r w:rsidRPr="004D1215">
        <w:t xml:space="preserve"> studies investigating therapies for inherited retinal diseases. However, current methods for mouse subretinal injections have high failure rates and often cause surgical damage to the retina, which may limit the reliability and consistency of functional outcome measures. Conventionally, subretinal injections in rodents are performed </w:t>
      </w:r>
      <w:proofErr w:type="spellStart"/>
      <w:r w:rsidRPr="004D1215">
        <w:t>transretinally</w:t>
      </w:r>
      <w:proofErr w:type="spellEnd"/>
      <w:r w:rsidRPr="004D1215">
        <w:t xml:space="preserve">, such that the needle penetrates the anterior retina, passes by the lens, and enters the subretinal space </w:t>
      </w:r>
      <w:proofErr w:type="gramStart"/>
      <w:r w:rsidRPr="004D1215">
        <w:t>as a result of</w:t>
      </w:r>
      <w:proofErr w:type="gramEnd"/>
      <w:r w:rsidRPr="004D1215">
        <w:t xml:space="preserve"> a second penetration of the retina</w:t>
      </w:r>
      <w:r w:rsidRPr="004D1215">
        <w:rPr>
          <w:vertAlign w:val="superscript"/>
        </w:rPr>
        <w:t>7,8</w:t>
      </w:r>
      <w:r w:rsidRPr="004D1215">
        <w:t xml:space="preserve"> (</w:t>
      </w:r>
      <w:r w:rsidRPr="004D1215">
        <w:rPr>
          <w:b/>
          <w:bCs/>
        </w:rPr>
        <w:t>Figure 1A</w:t>
      </w:r>
      <w:r w:rsidRPr="004D1215">
        <w:t xml:space="preserve">). While relatively easy to perform, this procedure introduces marked inconsistency in experimental outcomes due to the variable extent of surgical damage. This is particularly limiting for studies utilizing behavioral and functional vision outcome measures. In addition, </w:t>
      </w:r>
      <w:proofErr w:type="gramStart"/>
      <w:r w:rsidRPr="004D1215">
        <w:t>the crystalline</w:t>
      </w:r>
      <w:proofErr w:type="gramEnd"/>
      <w:r w:rsidRPr="004D1215">
        <w:t xml:space="preserve"> lens is disproportionately large in mice compared to humans; this significantly increases the risk of damage to the lens during transretinal </w:t>
      </w:r>
      <w:proofErr w:type="gramStart"/>
      <w:r w:rsidRPr="004D1215">
        <w:t>injection</w:t>
      </w:r>
      <w:proofErr w:type="gramEnd"/>
      <w:r w:rsidRPr="004D1215">
        <w:t>, rendering the animal unusable for functional vision assessments</w:t>
      </w:r>
      <w:r w:rsidRPr="004D1215">
        <w:rPr>
          <w:vertAlign w:val="superscript"/>
        </w:rPr>
        <w:t>4</w:t>
      </w:r>
      <w:r w:rsidRPr="004D1215">
        <w:t>.</w:t>
      </w:r>
    </w:p>
    <w:p w14:paraId="337D2BAF" w14:textId="77777777" w:rsidR="009140EE" w:rsidRPr="004D1215" w:rsidRDefault="009140EE" w:rsidP="004D1215"/>
    <w:p w14:paraId="6401A05B" w14:textId="24883D48" w:rsidR="009140EE" w:rsidRPr="004D1215" w:rsidRDefault="009140EE" w:rsidP="004D1215">
      <w:r w:rsidRPr="004D1215">
        <w:t>An alternative option is the transscleral injection route, which avoids these issues by accessing the subretinal space using a posterior approach, where the needle penetrates the sclera, choroid, Bruch’s membrane, and the RPE</w:t>
      </w:r>
      <w:r w:rsidRPr="004D1215">
        <w:rPr>
          <w:vertAlign w:val="superscript"/>
        </w:rPr>
        <w:t>4,9</w:t>
      </w:r>
      <w:r w:rsidRPr="004D1215">
        <w:t xml:space="preserve"> (</w:t>
      </w:r>
      <w:r w:rsidRPr="004D1215">
        <w:rPr>
          <w:b/>
          <w:bCs/>
        </w:rPr>
        <w:t>Figure 1B</w:t>
      </w:r>
      <w:r w:rsidRPr="004D1215">
        <w:t>). This approach minimizes retinal damage by completely avoiding retinal penetration. It is also associated with reduced reflux of injected material from the subretinal space</w:t>
      </w:r>
      <w:r w:rsidRPr="004D1215">
        <w:rPr>
          <w:vertAlign w:val="superscript"/>
        </w:rPr>
        <w:t>10</w:t>
      </w:r>
      <w:r w:rsidRPr="004D1215">
        <w:t xml:space="preserve">, which allows for more consistent results and smaller </w:t>
      </w:r>
      <w:r w:rsidRPr="004D1215">
        <w:lastRenderedPageBreak/>
        <w:t>experimental cohorts. Although the technique for transscleral subretinal injection in mice has been previously described in the literature, its widespread adoption remains limited by its technical difficulty, which can impede the success rate</w:t>
      </w:r>
      <w:r w:rsidRPr="004D1215">
        <w:rPr>
          <w:vertAlign w:val="superscript"/>
        </w:rPr>
        <w:t>4</w:t>
      </w:r>
      <w:r w:rsidRPr="004D1215">
        <w:t>. Here, we describe several improvements to the transscleral injection procedure, which make it easier and faster to perform, reduce the experimental variability, and improve injection success rates. These improvements include the development of a mouse eyelid speculum, preoperative administration of atropine, creation of a pinpoint sclerotomy using a diamond knife, and optimization of needle size and injection approach. This technique achieves excellent viral transduction coverage of photoreceptors and the RPE, without causing any surgical impact detectable by ERG.</w:t>
      </w:r>
    </w:p>
    <w:p w14:paraId="2D719D59" w14:textId="77777777" w:rsidR="009140EE" w:rsidRPr="004D1215" w:rsidRDefault="009140EE" w:rsidP="004D1215">
      <w:pPr>
        <w:rPr>
          <w:b/>
        </w:rPr>
      </w:pPr>
    </w:p>
    <w:p w14:paraId="7AAE3473" w14:textId="77777777" w:rsidR="009140EE" w:rsidRPr="004D1215" w:rsidRDefault="009140EE" w:rsidP="004D1215">
      <w:r w:rsidRPr="004D1215">
        <w:rPr>
          <w:b/>
        </w:rPr>
        <w:t>PROTOCOL:</w:t>
      </w:r>
    </w:p>
    <w:p w14:paraId="081F06CF" w14:textId="77777777" w:rsidR="009140EE" w:rsidRPr="004D1215" w:rsidRDefault="009140EE" w:rsidP="004D1215">
      <w:r w:rsidRPr="004D1215">
        <w:t>All experiments were performed in accordance with the Duke University Institutional Animal Care and Use Committee and the Association for Research in Vision and Ophthalmology Statement for the Use of Animals in Ophthalmic and Vision Research.</w:t>
      </w:r>
    </w:p>
    <w:p w14:paraId="2954DD63" w14:textId="77777777" w:rsidR="009140EE" w:rsidRPr="004D1215" w:rsidRDefault="009140EE" w:rsidP="004D1215"/>
    <w:p w14:paraId="779145ED" w14:textId="2B5A2282" w:rsidR="004D1215" w:rsidRPr="003D4E69" w:rsidRDefault="004D1215" w:rsidP="004D1215">
      <w:pPr>
        <w:pStyle w:val="ListParagraph"/>
        <w:widowControl w:val="0"/>
        <w:numPr>
          <w:ilvl w:val="0"/>
          <w:numId w:val="14"/>
        </w:numPr>
        <w:spacing w:after="0" w:line="240" w:lineRule="auto"/>
        <w:ind w:left="0" w:firstLine="0"/>
        <w:contextualSpacing w:val="0"/>
        <w:jc w:val="both"/>
        <w:rPr>
          <w:rFonts w:ascii="Calibri" w:hAnsi="Calibri" w:cs="Calibri"/>
          <w:b/>
          <w:bCs/>
          <w:sz w:val="24"/>
          <w:szCs w:val="24"/>
          <w:highlight w:val="yellow"/>
        </w:rPr>
      </w:pPr>
      <w:r w:rsidRPr="003D4E69">
        <w:rPr>
          <w:rFonts w:ascii="Calibri" w:hAnsi="Calibri" w:cs="Calibri"/>
          <w:b/>
          <w:bCs/>
          <w:sz w:val="24"/>
          <w:szCs w:val="24"/>
          <w:highlight w:val="yellow"/>
        </w:rPr>
        <w:t>Animal preparation</w:t>
      </w:r>
    </w:p>
    <w:p w14:paraId="1ED08400" w14:textId="77777777" w:rsidR="004D1215" w:rsidRPr="003D4E69" w:rsidRDefault="004D1215"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37BDDC8F" w14:textId="6E311DEE" w:rsidR="009140EE" w:rsidRPr="003D4E69" w:rsidRDefault="009140EE" w:rsidP="004D1215">
      <w:pPr>
        <w:pStyle w:val="ListParagraph"/>
        <w:widowControl w:val="0"/>
        <w:numPr>
          <w:ilvl w:val="1"/>
          <w:numId w:val="14"/>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Administer an intraperitoneal injection of 1 mg/kg of atropine (in a total volume of 50 µL) 30 min prior to performing the subretinal injection. This step greatly increases success rates by preventing potentially lethal oculocardiac and oculorespiratory reflexes triggered by transient intraocular pressure elevation during the injection</w:t>
      </w:r>
      <w:r w:rsidRPr="003D4E69">
        <w:rPr>
          <w:rFonts w:ascii="Calibri" w:hAnsi="Calibri" w:cs="Calibri"/>
          <w:sz w:val="24"/>
          <w:szCs w:val="24"/>
          <w:highlight w:val="yellow"/>
          <w:vertAlign w:val="superscript"/>
        </w:rPr>
        <w:t>11,12</w:t>
      </w:r>
      <w:r w:rsidRPr="003D4E69">
        <w:rPr>
          <w:rFonts w:ascii="Calibri" w:hAnsi="Calibri" w:cs="Calibri"/>
          <w:sz w:val="24"/>
          <w:szCs w:val="24"/>
          <w:highlight w:val="yellow"/>
        </w:rPr>
        <w:t xml:space="preserve">. </w:t>
      </w:r>
    </w:p>
    <w:p w14:paraId="09C31944"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1CAD0BD7" w14:textId="13016DCE"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r w:rsidRPr="003D4E69">
        <w:rPr>
          <w:rFonts w:ascii="Calibri" w:hAnsi="Calibri" w:cs="Calibri"/>
          <w:sz w:val="24"/>
          <w:szCs w:val="24"/>
          <w:highlight w:val="yellow"/>
        </w:rPr>
        <w:t>NOTE: Our atropine dosage is optimized for C57BL/6 mice and may need to be adjusted for other mouse strains. We have not observed any appreciable sex or age differences in atropine dosing.</w:t>
      </w:r>
    </w:p>
    <w:p w14:paraId="35ABEB2E"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1F6A26C5" w14:textId="1599F520" w:rsidR="009140EE" w:rsidRPr="003D4E69" w:rsidRDefault="009140EE" w:rsidP="004D1215">
      <w:pPr>
        <w:pStyle w:val="ListParagraph"/>
        <w:widowControl w:val="0"/>
        <w:numPr>
          <w:ilvl w:val="1"/>
          <w:numId w:val="14"/>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 xml:space="preserve">During the entire procedure, keep the mouse on a warm surface to maximize animal comfort and reduce cold cataract development. </w:t>
      </w:r>
    </w:p>
    <w:p w14:paraId="465E0BFD"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20FEBA22" w14:textId="0B41F2D6" w:rsidR="009140EE" w:rsidRPr="003D4E69" w:rsidRDefault="009140EE" w:rsidP="004D1215">
      <w:pPr>
        <w:pStyle w:val="ListParagraph"/>
        <w:widowControl w:val="0"/>
        <w:numPr>
          <w:ilvl w:val="1"/>
          <w:numId w:val="14"/>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Anesthetize mouse using 2% inhaled isoflurane in oxygen (2 L/min) until recumbency is observed and animal is no longer responsive to toe-pinch. Apply a drop of 0.5% proparacaine to the eye for topical anesthesia.</w:t>
      </w:r>
    </w:p>
    <w:p w14:paraId="6737804B"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5741A432" w14:textId="0F8CE494" w:rsidR="009140EE" w:rsidRPr="003D4E69" w:rsidRDefault="009140EE" w:rsidP="004D1215">
      <w:pPr>
        <w:pStyle w:val="ListParagraph"/>
        <w:widowControl w:val="0"/>
        <w:numPr>
          <w:ilvl w:val="1"/>
          <w:numId w:val="14"/>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Apply a drop of the mixture of 0.2% cyclopentolate and 1% phenylephrine to the eye to dilate the pupil for postoperative imaging of the subretinal bleb by OCT. Phenylephrine also serves to reduce intraoperative bleeding by constricting superficial blood vessels</w:t>
      </w:r>
      <w:r w:rsidRPr="003D4E69">
        <w:rPr>
          <w:rFonts w:ascii="Calibri" w:hAnsi="Calibri" w:cs="Calibri"/>
          <w:sz w:val="24"/>
          <w:szCs w:val="24"/>
          <w:highlight w:val="yellow"/>
          <w:vertAlign w:val="superscript"/>
        </w:rPr>
        <w:t>13</w:t>
      </w:r>
      <w:r w:rsidRPr="003D4E69">
        <w:rPr>
          <w:rFonts w:ascii="Calibri" w:hAnsi="Calibri" w:cs="Calibri"/>
          <w:sz w:val="24"/>
          <w:szCs w:val="24"/>
          <w:highlight w:val="yellow"/>
        </w:rPr>
        <w:t>.</w:t>
      </w:r>
    </w:p>
    <w:p w14:paraId="2625B623" w14:textId="77777777" w:rsidR="004D1215" w:rsidRPr="003D4E69" w:rsidRDefault="004D1215" w:rsidP="004D1215">
      <w:pPr>
        <w:rPr>
          <w:highlight w:val="yellow"/>
        </w:rPr>
      </w:pPr>
    </w:p>
    <w:p w14:paraId="0C450209" w14:textId="67F18E84" w:rsidR="009140EE" w:rsidRPr="003D4E69" w:rsidRDefault="004D1215" w:rsidP="004D1215">
      <w:pPr>
        <w:pStyle w:val="ListParagraph"/>
        <w:widowControl w:val="0"/>
        <w:spacing w:after="0" w:line="240" w:lineRule="auto"/>
        <w:ind w:left="0"/>
        <w:contextualSpacing w:val="0"/>
        <w:jc w:val="both"/>
        <w:rPr>
          <w:rFonts w:ascii="Calibri" w:hAnsi="Calibri" w:cs="Calibri"/>
          <w:b/>
          <w:bCs/>
          <w:sz w:val="24"/>
          <w:szCs w:val="24"/>
          <w:highlight w:val="yellow"/>
        </w:rPr>
      </w:pPr>
      <w:r w:rsidRPr="003D4E69">
        <w:rPr>
          <w:rFonts w:ascii="Calibri" w:hAnsi="Calibri" w:cs="Calibri"/>
          <w:sz w:val="24"/>
          <w:szCs w:val="24"/>
          <w:highlight w:val="yellow"/>
        </w:rPr>
        <w:t xml:space="preserve">2. </w:t>
      </w:r>
      <w:r w:rsidRPr="003D4E69">
        <w:rPr>
          <w:rFonts w:ascii="Calibri" w:hAnsi="Calibri" w:cs="Calibri"/>
          <w:sz w:val="24"/>
          <w:szCs w:val="24"/>
          <w:highlight w:val="yellow"/>
        </w:rPr>
        <w:tab/>
      </w:r>
      <w:r w:rsidRPr="003D4E69">
        <w:rPr>
          <w:rFonts w:ascii="Calibri" w:hAnsi="Calibri" w:cs="Calibri"/>
          <w:b/>
          <w:bCs/>
          <w:sz w:val="24"/>
          <w:szCs w:val="24"/>
          <w:highlight w:val="yellow"/>
        </w:rPr>
        <w:t xml:space="preserve"> Lateral canthotomy </w:t>
      </w:r>
    </w:p>
    <w:p w14:paraId="20332677" w14:textId="77777777" w:rsidR="004D1215" w:rsidRPr="003D4E69" w:rsidRDefault="004D1215" w:rsidP="004D1215">
      <w:pPr>
        <w:pStyle w:val="ListParagraph"/>
        <w:widowControl w:val="0"/>
        <w:spacing w:after="0" w:line="240" w:lineRule="auto"/>
        <w:ind w:left="0"/>
        <w:contextualSpacing w:val="0"/>
        <w:jc w:val="both"/>
        <w:rPr>
          <w:rFonts w:ascii="Calibri" w:hAnsi="Calibri" w:cs="Calibri"/>
          <w:b/>
          <w:bCs/>
          <w:sz w:val="24"/>
          <w:szCs w:val="24"/>
          <w:highlight w:val="yellow"/>
        </w:rPr>
      </w:pPr>
    </w:p>
    <w:p w14:paraId="4E6BCE03" w14:textId="5F3849E2" w:rsidR="009140EE" w:rsidRPr="003D4E69" w:rsidRDefault="009140EE" w:rsidP="004D1215">
      <w:pPr>
        <w:pStyle w:val="ListParagraph"/>
        <w:widowControl w:val="0"/>
        <w:numPr>
          <w:ilvl w:val="1"/>
          <w:numId w:val="16"/>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Prior to starting the procedure, load a glass microneedle with the desired volume of solution to be injected. Attach the needle to the microinjector, with compensation pressure set at 5 hectopascals (</w:t>
      </w:r>
      <w:proofErr w:type="spellStart"/>
      <w:r w:rsidRPr="003D4E69">
        <w:rPr>
          <w:rFonts w:ascii="Calibri" w:hAnsi="Calibri" w:cs="Calibri"/>
          <w:sz w:val="24"/>
          <w:szCs w:val="24"/>
          <w:highlight w:val="yellow"/>
        </w:rPr>
        <w:t>hPa</w:t>
      </w:r>
      <w:proofErr w:type="spellEnd"/>
      <w:r w:rsidRPr="003D4E69">
        <w:rPr>
          <w:rFonts w:ascii="Calibri" w:hAnsi="Calibri" w:cs="Calibri"/>
          <w:sz w:val="24"/>
          <w:szCs w:val="24"/>
          <w:highlight w:val="yellow"/>
        </w:rPr>
        <w:t>) to counteract capillary action. We typically use 1 µL volumes for subretinal injections.</w:t>
      </w:r>
    </w:p>
    <w:p w14:paraId="18CB3284"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465DBB3C" w14:textId="28DADC0E" w:rsidR="009140EE" w:rsidRPr="003D4E69" w:rsidRDefault="009140EE" w:rsidP="004D1215">
      <w:pPr>
        <w:pStyle w:val="ListParagraph"/>
        <w:widowControl w:val="0"/>
        <w:numPr>
          <w:ilvl w:val="1"/>
          <w:numId w:val="16"/>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 xml:space="preserve">Place the mouse under a dissecting stereomicroscope. Use 20x magnification for steps </w:t>
      </w:r>
      <w:r w:rsidR="004332ED" w:rsidRPr="003D4E69">
        <w:rPr>
          <w:rFonts w:ascii="Calibri" w:hAnsi="Calibri" w:cs="Calibri"/>
          <w:sz w:val="24"/>
          <w:szCs w:val="24"/>
          <w:highlight w:val="yellow"/>
        </w:rPr>
        <w:lastRenderedPageBreak/>
        <w:t>2.3</w:t>
      </w:r>
      <w:r w:rsidRPr="003D4E69">
        <w:rPr>
          <w:rFonts w:ascii="Calibri" w:hAnsi="Calibri" w:cs="Calibri"/>
          <w:sz w:val="24"/>
          <w:szCs w:val="24"/>
          <w:highlight w:val="yellow"/>
        </w:rPr>
        <w:t>-</w:t>
      </w:r>
      <w:r w:rsidR="004332ED" w:rsidRPr="003D4E69">
        <w:rPr>
          <w:rFonts w:ascii="Calibri" w:hAnsi="Calibri" w:cs="Calibri"/>
          <w:sz w:val="24"/>
          <w:szCs w:val="24"/>
          <w:highlight w:val="yellow"/>
        </w:rPr>
        <w:t>2.6</w:t>
      </w:r>
      <w:r w:rsidRPr="003D4E69">
        <w:rPr>
          <w:rFonts w:ascii="Calibri" w:hAnsi="Calibri" w:cs="Calibri"/>
          <w:sz w:val="24"/>
          <w:szCs w:val="24"/>
          <w:highlight w:val="yellow"/>
        </w:rPr>
        <w:t xml:space="preserve"> and 50x magnification for steps </w:t>
      </w:r>
      <w:r w:rsidR="004332ED" w:rsidRPr="003D4E69">
        <w:rPr>
          <w:rFonts w:ascii="Calibri" w:hAnsi="Calibri" w:cs="Calibri"/>
          <w:sz w:val="24"/>
          <w:szCs w:val="24"/>
          <w:highlight w:val="yellow"/>
        </w:rPr>
        <w:t>2.7</w:t>
      </w:r>
      <w:r w:rsidRPr="003D4E69">
        <w:rPr>
          <w:rFonts w:ascii="Calibri" w:hAnsi="Calibri" w:cs="Calibri"/>
          <w:sz w:val="24"/>
          <w:szCs w:val="24"/>
          <w:highlight w:val="yellow"/>
        </w:rPr>
        <w:t>-</w:t>
      </w:r>
      <w:r w:rsidR="004332ED" w:rsidRPr="003D4E69">
        <w:rPr>
          <w:rFonts w:ascii="Calibri" w:hAnsi="Calibri" w:cs="Calibri"/>
          <w:sz w:val="24"/>
          <w:szCs w:val="24"/>
          <w:highlight w:val="yellow"/>
        </w:rPr>
        <w:t>3.5</w:t>
      </w:r>
      <w:r w:rsidRPr="003D4E69">
        <w:rPr>
          <w:rFonts w:ascii="Calibri" w:hAnsi="Calibri" w:cs="Calibri"/>
          <w:sz w:val="24"/>
          <w:szCs w:val="24"/>
          <w:highlight w:val="yellow"/>
        </w:rPr>
        <w:t>.</w:t>
      </w:r>
    </w:p>
    <w:p w14:paraId="14E4B900"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259A046D" w14:textId="5918569C" w:rsidR="009140EE" w:rsidRPr="003D4E69" w:rsidRDefault="009140EE" w:rsidP="004D1215">
      <w:pPr>
        <w:pStyle w:val="ListParagraph"/>
        <w:widowControl w:val="0"/>
        <w:numPr>
          <w:ilvl w:val="1"/>
          <w:numId w:val="16"/>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 xml:space="preserve">For young mice, perform lateral canthotomy prior to the procedure, </w:t>
      </w:r>
      <w:proofErr w:type="gramStart"/>
      <w:r w:rsidRPr="003D4E69">
        <w:rPr>
          <w:rFonts w:ascii="Calibri" w:hAnsi="Calibri" w:cs="Calibri"/>
          <w:sz w:val="24"/>
          <w:szCs w:val="24"/>
          <w:highlight w:val="yellow"/>
        </w:rPr>
        <w:t>in order to</w:t>
      </w:r>
      <w:proofErr w:type="gramEnd"/>
      <w:r w:rsidRPr="003D4E69">
        <w:rPr>
          <w:rFonts w:ascii="Calibri" w:hAnsi="Calibri" w:cs="Calibri"/>
          <w:sz w:val="24"/>
          <w:szCs w:val="24"/>
          <w:highlight w:val="yellow"/>
        </w:rPr>
        <w:t xml:space="preserve"> provide ample access and visualization of the surgical site.</w:t>
      </w:r>
    </w:p>
    <w:p w14:paraId="20A891C1"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7DEC6FE0" w14:textId="3FAFE62E" w:rsidR="009140EE" w:rsidRPr="003D4E69" w:rsidRDefault="009140EE" w:rsidP="004D1215">
      <w:pPr>
        <w:pStyle w:val="ListParagraph"/>
        <w:widowControl w:val="0"/>
        <w:numPr>
          <w:ilvl w:val="1"/>
          <w:numId w:val="16"/>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Expose the superior fornix with the help of a custom-made miniature wire-speculum (</w:t>
      </w:r>
      <w:r w:rsidRPr="003D4E69">
        <w:rPr>
          <w:rFonts w:ascii="Calibri" w:hAnsi="Calibri" w:cs="Calibri"/>
          <w:b/>
          <w:bCs/>
          <w:sz w:val="24"/>
          <w:szCs w:val="24"/>
          <w:highlight w:val="yellow"/>
        </w:rPr>
        <w:t>Figure 1C</w:t>
      </w:r>
      <w:r w:rsidRPr="003D4E69">
        <w:rPr>
          <w:rFonts w:ascii="Calibri" w:hAnsi="Calibri" w:cs="Calibri"/>
          <w:sz w:val="24"/>
          <w:szCs w:val="24"/>
          <w:highlight w:val="yellow"/>
        </w:rPr>
        <w:t>). Immobilize the speculum to allow hands-free upper eyelid retraction.</w:t>
      </w:r>
    </w:p>
    <w:p w14:paraId="728CF19D"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241DFD03" w14:textId="63F1F09A" w:rsidR="009140EE" w:rsidRPr="003D4E69" w:rsidRDefault="009140EE" w:rsidP="004D1215">
      <w:pPr>
        <w:pStyle w:val="ListParagraph"/>
        <w:widowControl w:val="0"/>
        <w:numPr>
          <w:ilvl w:val="1"/>
          <w:numId w:val="16"/>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 xml:space="preserve">Using angled Vannas scissors, perform a </w:t>
      </w:r>
      <w:proofErr w:type="spellStart"/>
      <w:r w:rsidRPr="003D4E69">
        <w:rPr>
          <w:rFonts w:ascii="Calibri" w:hAnsi="Calibri" w:cs="Calibri"/>
          <w:sz w:val="24"/>
          <w:szCs w:val="24"/>
          <w:highlight w:val="yellow"/>
        </w:rPr>
        <w:t>paralimbal</w:t>
      </w:r>
      <w:proofErr w:type="spellEnd"/>
      <w:r w:rsidRPr="003D4E69">
        <w:rPr>
          <w:rFonts w:ascii="Calibri" w:hAnsi="Calibri" w:cs="Calibri"/>
          <w:sz w:val="24"/>
          <w:szCs w:val="24"/>
          <w:highlight w:val="yellow"/>
        </w:rPr>
        <w:t xml:space="preserve"> incision (~1 mm posterior to the limbus) in the superior conjunctiva and Tenon's capsule to expose the superior 3-4 clock hours of the sclera. Take care to avoid puncturing the retro-orbital venous sinus. Remove any remnants of Tenon’s capsule overlying the intended injection site carefully but thoroughly.</w:t>
      </w:r>
    </w:p>
    <w:p w14:paraId="2D802200"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27A51F89" w14:textId="5E6CDF04" w:rsidR="009140EE" w:rsidRPr="003D4E69" w:rsidRDefault="009140EE" w:rsidP="004D1215">
      <w:pPr>
        <w:pStyle w:val="ListParagraph"/>
        <w:widowControl w:val="0"/>
        <w:numPr>
          <w:ilvl w:val="1"/>
          <w:numId w:val="16"/>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 xml:space="preserve">Grasp the anterior edge of the conjunctival peritomy and tenotomy with locking toothed forceps and </w:t>
      </w:r>
      <w:proofErr w:type="spellStart"/>
      <w:r w:rsidRPr="003D4E69">
        <w:rPr>
          <w:rFonts w:ascii="Calibri" w:hAnsi="Calibri" w:cs="Calibri"/>
          <w:sz w:val="24"/>
          <w:szCs w:val="24"/>
          <w:highlight w:val="yellow"/>
        </w:rPr>
        <w:t>inferoduct</w:t>
      </w:r>
      <w:proofErr w:type="spellEnd"/>
      <w:r w:rsidRPr="003D4E69">
        <w:rPr>
          <w:rFonts w:ascii="Calibri" w:hAnsi="Calibri" w:cs="Calibri"/>
          <w:sz w:val="24"/>
          <w:szCs w:val="24"/>
          <w:highlight w:val="yellow"/>
        </w:rPr>
        <w:t xml:space="preserve"> the globe gently to expose the superior sclera. Immobilize the locked forceps to allow hands-free </w:t>
      </w:r>
      <w:proofErr w:type="spellStart"/>
      <w:r w:rsidRPr="003D4E69">
        <w:rPr>
          <w:rFonts w:ascii="Calibri" w:hAnsi="Calibri" w:cs="Calibri"/>
          <w:sz w:val="24"/>
          <w:szCs w:val="24"/>
          <w:highlight w:val="yellow"/>
        </w:rPr>
        <w:t>inferoduction</w:t>
      </w:r>
      <w:proofErr w:type="spellEnd"/>
      <w:r w:rsidRPr="003D4E69">
        <w:rPr>
          <w:rFonts w:ascii="Calibri" w:hAnsi="Calibri" w:cs="Calibri"/>
          <w:sz w:val="24"/>
          <w:szCs w:val="24"/>
          <w:highlight w:val="yellow"/>
        </w:rPr>
        <w:t>.</w:t>
      </w:r>
    </w:p>
    <w:p w14:paraId="04B793D4"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11AEE351" w14:textId="342DDFF6" w:rsidR="009140EE" w:rsidRPr="003D4E69" w:rsidRDefault="009140EE" w:rsidP="004D1215">
      <w:pPr>
        <w:pStyle w:val="ListParagraph"/>
        <w:widowControl w:val="0"/>
        <w:numPr>
          <w:ilvl w:val="1"/>
          <w:numId w:val="16"/>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Apply a drop of balanced buffered saline (BSS) immediately to the eye to prevent the bare sclera from drying. We also find the optical magnification produced by the BSS droplet to be helpful.</w:t>
      </w:r>
    </w:p>
    <w:p w14:paraId="7D534FD9"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002B253B" w14:textId="3AE35BC6" w:rsidR="009140EE" w:rsidRPr="003D4E69" w:rsidRDefault="009140EE" w:rsidP="004D1215">
      <w:pPr>
        <w:pStyle w:val="ListParagraph"/>
        <w:widowControl w:val="0"/>
        <w:numPr>
          <w:ilvl w:val="1"/>
          <w:numId w:val="16"/>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 xml:space="preserve">Using a diamond knife, make a pinpoint sclerotomy at ~12 o'clock and ~1-2 mm from the limbus. Position the blade in a tangential plane with respect to the sclera to ensure the sclerotomy is as small and shallow as possible. </w:t>
      </w:r>
    </w:p>
    <w:p w14:paraId="12400368" w14:textId="77777777" w:rsidR="009140EE" w:rsidRPr="003D4E69" w:rsidRDefault="009140EE" w:rsidP="004D1215">
      <w:pPr>
        <w:pStyle w:val="ListParagraph"/>
        <w:spacing w:after="0" w:line="240" w:lineRule="auto"/>
        <w:ind w:left="0"/>
        <w:contextualSpacing w:val="0"/>
        <w:jc w:val="both"/>
        <w:rPr>
          <w:rFonts w:ascii="Calibri" w:hAnsi="Calibri" w:cs="Calibri"/>
          <w:sz w:val="24"/>
          <w:szCs w:val="24"/>
          <w:highlight w:val="yellow"/>
        </w:rPr>
      </w:pPr>
    </w:p>
    <w:p w14:paraId="3CCF5E63"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r w:rsidRPr="003D4E69">
        <w:rPr>
          <w:rFonts w:ascii="Calibri" w:hAnsi="Calibri" w:cs="Calibri"/>
          <w:sz w:val="24"/>
          <w:szCs w:val="24"/>
          <w:highlight w:val="yellow"/>
        </w:rPr>
        <w:t>NOTE: This is done for two reasons: (1) a small sclerotomy allows for a tight fit of the glass needle, thereby reducing reflux during the injection step, and (2) a shallow sclerotomy is critical to avoid penetrating the retina. Note that a small amount of choroidal blood may appear at the sclerotomy site, which does not connote any negative implications for the outcome of the procedure.</w:t>
      </w:r>
    </w:p>
    <w:p w14:paraId="03EBCB7D" w14:textId="77777777" w:rsidR="004D1215" w:rsidRPr="003D4E69" w:rsidRDefault="004D1215"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5F1D597F" w14:textId="6A7A249C" w:rsidR="004D1215" w:rsidRPr="003D4E69" w:rsidRDefault="004D1215" w:rsidP="004D1215">
      <w:pPr>
        <w:pStyle w:val="ListParagraph"/>
        <w:widowControl w:val="0"/>
        <w:numPr>
          <w:ilvl w:val="0"/>
          <w:numId w:val="15"/>
        </w:numPr>
        <w:spacing w:after="0" w:line="240" w:lineRule="auto"/>
        <w:ind w:left="0" w:firstLine="0"/>
        <w:contextualSpacing w:val="0"/>
        <w:jc w:val="both"/>
        <w:rPr>
          <w:rFonts w:ascii="Calibri" w:hAnsi="Calibri" w:cs="Calibri"/>
          <w:b/>
          <w:bCs/>
          <w:sz w:val="24"/>
          <w:szCs w:val="24"/>
          <w:highlight w:val="yellow"/>
        </w:rPr>
      </w:pPr>
      <w:r w:rsidRPr="003D4E69">
        <w:rPr>
          <w:rFonts w:ascii="Calibri" w:hAnsi="Calibri" w:cs="Calibri"/>
          <w:b/>
          <w:bCs/>
          <w:sz w:val="24"/>
          <w:szCs w:val="24"/>
          <w:highlight w:val="yellow"/>
        </w:rPr>
        <w:t xml:space="preserve">Transscleral subretinal injection </w:t>
      </w:r>
    </w:p>
    <w:p w14:paraId="32EA3009" w14:textId="77777777" w:rsidR="004D1215" w:rsidRPr="003D4E69" w:rsidRDefault="004D1215"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073CB2A7" w14:textId="44439BE0" w:rsidR="009140EE" w:rsidRPr="003D4E69" w:rsidRDefault="009140EE" w:rsidP="004D1215">
      <w:pPr>
        <w:pStyle w:val="ListParagraph"/>
        <w:widowControl w:val="0"/>
        <w:numPr>
          <w:ilvl w:val="1"/>
          <w:numId w:val="17"/>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In preparation for injection, use a surgical sponge to gently remove all BSS from the eye surface.</w:t>
      </w:r>
    </w:p>
    <w:p w14:paraId="3E9E6066"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5CE4F794" w14:textId="19B2C29D" w:rsidR="009140EE" w:rsidRPr="003D4E69" w:rsidRDefault="009140EE" w:rsidP="004D1215">
      <w:pPr>
        <w:pStyle w:val="ListParagraph"/>
        <w:widowControl w:val="0"/>
        <w:numPr>
          <w:ilvl w:val="1"/>
          <w:numId w:val="17"/>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 xml:space="preserve">Hold the needle bevel-down at a shallow angle to the sclera and introduce the tip slowly and carefully into the sclerotomy to access the subretinal space. </w:t>
      </w:r>
      <w:proofErr w:type="gramStart"/>
      <w:r w:rsidRPr="003D4E69">
        <w:rPr>
          <w:rFonts w:ascii="Calibri" w:hAnsi="Calibri" w:cs="Calibri"/>
          <w:sz w:val="24"/>
          <w:szCs w:val="24"/>
          <w:highlight w:val="yellow"/>
        </w:rPr>
        <w:t>In order to</w:t>
      </w:r>
      <w:proofErr w:type="gramEnd"/>
      <w:r w:rsidRPr="003D4E69">
        <w:rPr>
          <w:rFonts w:ascii="Calibri" w:hAnsi="Calibri" w:cs="Calibri"/>
          <w:sz w:val="24"/>
          <w:szCs w:val="24"/>
          <w:highlight w:val="yellow"/>
        </w:rPr>
        <w:t xml:space="preserve"> avoid penetrating the retina, do this at a relatively shallow angle and just deep enough to clear the sclerotomy opening by 0.5-1 mm. </w:t>
      </w:r>
    </w:p>
    <w:p w14:paraId="56FAD064" w14:textId="77777777" w:rsidR="009140EE" w:rsidRPr="003D4E69" w:rsidRDefault="009140EE" w:rsidP="004D1215">
      <w:pPr>
        <w:pStyle w:val="ListParagraph"/>
        <w:spacing w:after="0" w:line="240" w:lineRule="auto"/>
        <w:ind w:left="0"/>
        <w:contextualSpacing w:val="0"/>
        <w:jc w:val="both"/>
        <w:rPr>
          <w:rFonts w:ascii="Calibri" w:hAnsi="Calibri" w:cs="Calibri"/>
          <w:sz w:val="24"/>
          <w:szCs w:val="24"/>
          <w:highlight w:val="yellow"/>
        </w:rPr>
      </w:pPr>
    </w:p>
    <w:p w14:paraId="6F196E2F"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r w:rsidRPr="003D4E69">
        <w:rPr>
          <w:rFonts w:ascii="Calibri" w:hAnsi="Calibri" w:cs="Calibri"/>
          <w:sz w:val="24"/>
          <w:szCs w:val="24"/>
          <w:highlight w:val="yellow"/>
        </w:rPr>
        <w:t xml:space="preserve">NOTE: The bevel of the needle is positioned downward </w:t>
      </w:r>
      <w:proofErr w:type="gramStart"/>
      <w:r w:rsidRPr="003D4E69">
        <w:rPr>
          <w:rFonts w:ascii="Calibri" w:hAnsi="Calibri" w:cs="Calibri"/>
          <w:sz w:val="24"/>
          <w:szCs w:val="24"/>
          <w:highlight w:val="yellow"/>
        </w:rPr>
        <w:t>in order to</w:t>
      </w:r>
      <w:proofErr w:type="gramEnd"/>
      <w:r w:rsidRPr="003D4E69">
        <w:rPr>
          <w:rFonts w:ascii="Calibri" w:hAnsi="Calibri" w:cs="Calibri"/>
          <w:sz w:val="24"/>
          <w:szCs w:val="24"/>
          <w:highlight w:val="yellow"/>
        </w:rPr>
        <w:t xml:space="preserve"> minimize the possibility of choroidal delivery and to reduce the probability of puncturing the retina with the advancing needle tip.</w:t>
      </w:r>
    </w:p>
    <w:p w14:paraId="3DA4E375"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79B6C602" w14:textId="1F7D13EE" w:rsidR="009140EE" w:rsidRPr="003D4E69" w:rsidRDefault="009140EE" w:rsidP="004D1215">
      <w:pPr>
        <w:pStyle w:val="ListParagraph"/>
        <w:widowControl w:val="0"/>
        <w:numPr>
          <w:ilvl w:val="1"/>
          <w:numId w:val="17"/>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 xml:space="preserve">While holding the needle in a steady position, initiate injection at 500 </w:t>
      </w:r>
      <w:proofErr w:type="spellStart"/>
      <w:r w:rsidRPr="003D4E69">
        <w:rPr>
          <w:rFonts w:ascii="Calibri" w:hAnsi="Calibri" w:cs="Calibri"/>
          <w:sz w:val="24"/>
          <w:szCs w:val="24"/>
          <w:highlight w:val="yellow"/>
        </w:rPr>
        <w:t>hPa</w:t>
      </w:r>
      <w:proofErr w:type="spellEnd"/>
      <w:r w:rsidRPr="003D4E69">
        <w:rPr>
          <w:rFonts w:ascii="Calibri" w:hAnsi="Calibri" w:cs="Calibri"/>
          <w:sz w:val="24"/>
          <w:szCs w:val="24"/>
          <w:highlight w:val="yellow"/>
        </w:rPr>
        <w:t xml:space="preserve"> using a foot-pedal and maintain uninterrupted pressure for 15 s.</w:t>
      </w:r>
    </w:p>
    <w:p w14:paraId="73D73801"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228C732E" w14:textId="1B308F40" w:rsidR="009140EE" w:rsidRPr="003D4E69" w:rsidRDefault="009140EE" w:rsidP="004D1215">
      <w:pPr>
        <w:pStyle w:val="ListParagraph"/>
        <w:widowControl w:val="0"/>
        <w:numPr>
          <w:ilvl w:val="1"/>
          <w:numId w:val="17"/>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To finish the injection, maintain injection pressure until the needle is completely removed from the sclerotomy. If the pressure is prematurely discontinued while the needle is still in the subretinal space, a large portion of the injected payload can quickly exit the eye back into the needle by capillary action.</w:t>
      </w:r>
    </w:p>
    <w:p w14:paraId="78F7FA35"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5C46C781" w14:textId="407EBB2B" w:rsidR="009140EE" w:rsidRPr="003D4E69" w:rsidRDefault="009140EE" w:rsidP="004D1215">
      <w:pPr>
        <w:pStyle w:val="ListParagraph"/>
        <w:widowControl w:val="0"/>
        <w:numPr>
          <w:ilvl w:val="1"/>
          <w:numId w:val="17"/>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Once the needle is withdrawn, notice a partial reflux of the injected solution through the sclerotomy site. This is expected, given that 1 µL volume exceeds the capacity of the subretinal space even in adult mice. Absence of reflux may indicate a failed injection due to inadvertent choroidal or intravitreal delivery.</w:t>
      </w:r>
    </w:p>
    <w:p w14:paraId="226075CF"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699446C9" w14:textId="48793B49" w:rsidR="009140EE" w:rsidRPr="003D4E69" w:rsidRDefault="009140EE" w:rsidP="004D1215">
      <w:pPr>
        <w:pStyle w:val="ListParagraph"/>
        <w:widowControl w:val="0"/>
        <w:numPr>
          <w:ilvl w:val="1"/>
          <w:numId w:val="17"/>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Remove the locking forceps and the eyelid speculum from the eye. Take care to avoid applying pressure to the globe, as it may cause further reflux of the injected solution.</w:t>
      </w:r>
    </w:p>
    <w:p w14:paraId="786C7CE2"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74FFF192" w14:textId="1554CE8C" w:rsidR="009140EE" w:rsidRPr="003D4E69" w:rsidRDefault="009140EE" w:rsidP="004D1215">
      <w:pPr>
        <w:pStyle w:val="ListParagraph"/>
        <w:widowControl w:val="0"/>
        <w:numPr>
          <w:ilvl w:val="1"/>
          <w:numId w:val="17"/>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Immediately following the injection, apply ample lubricant eye ointment to the eye to allow for visualization of the subretinal bleb by OCT</w:t>
      </w:r>
      <w:r w:rsidRPr="003D4E69">
        <w:rPr>
          <w:rFonts w:ascii="Calibri" w:hAnsi="Calibri" w:cs="Calibri"/>
          <w:sz w:val="24"/>
          <w:szCs w:val="24"/>
          <w:highlight w:val="yellow"/>
          <w:vertAlign w:val="superscript"/>
        </w:rPr>
        <w:t>14</w:t>
      </w:r>
      <w:r w:rsidRPr="003D4E69">
        <w:rPr>
          <w:rFonts w:ascii="Calibri" w:hAnsi="Calibri" w:cs="Calibri"/>
          <w:sz w:val="24"/>
          <w:szCs w:val="24"/>
          <w:highlight w:val="yellow"/>
        </w:rPr>
        <w:t>.</w:t>
      </w:r>
    </w:p>
    <w:p w14:paraId="19E35777" w14:textId="77777777" w:rsidR="009140EE" w:rsidRPr="003D4E69" w:rsidRDefault="009140EE" w:rsidP="004D1215">
      <w:pPr>
        <w:pStyle w:val="ListParagraph"/>
        <w:widowControl w:val="0"/>
        <w:spacing w:after="0" w:line="240" w:lineRule="auto"/>
        <w:ind w:left="0"/>
        <w:contextualSpacing w:val="0"/>
        <w:jc w:val="both"/>
        <w:rPr>
          <w:rFonts w:ascii="Calibri" w:hAnsi="Calibri" w:cs="Calibri"/>
          <w:sz w:val="24"/>
          <w:szCs w:val="24"/>
          <w:highlight w:val="yellow"/>
        </w:rPr>
      </w:pPr>
    </w:p>
    <w:p w14:paraId="419F3996" w14:textId="71CEB52B" w:rsidR="009140EE" w:rsidRPr="003D4E69" w:rsidRDefault="009140EE" w:rsidP="004D1215">
      <w:pPr>
        <w:pStyle w:val="ListParagraph"/>
        <w:widowControl w:val="0"/>
        <w:numPr>
          <w:ilvl w:val="1"/>
          <w:numId w:val="17"/>
        </w:numPr>
        <w:spacing w:after="0" w:line="240" w:lineRule="auto"/>
        <w:ind w:left="0" w:firstLine="0"/>
        <w:contextualSpacing w:val="0"/>
        <w:jc w:val="both"/>
        <w:rPr>
          <w:rFonts w:ascii="Calibri" w:hAnsi="Calibri" w:cs="Calibri"/>
          <w:sz w:val="24"/>
          <w:szCs w:val="24"/>
          <w:highlight w:val="yellow"/>
        </w:rPr>
      </w:pPr>
      <w:r w:rsidRPr="003D4E69">
        <w:rPr>
          <w:rFonts w:ascii="Calibri" w:hAnsi="Calibri" w:cs="Calibri"/>
          <w:sz w:val="24"/>
          <w:szCs w:val="24"/>
          <w:highlight w:val="yellow"/>
        </w:rPr>
        <w:t>Apply topical erythromycin ointment to the eye and provide general post-operative care to the animal.</w:t>
      </w:r>
    </w:p>
    <w:p w14:paraId="147102AA" w14:textId="77777777" w:rsidR="009140EE" w:rsidRPr="004D1215" w:rsidRDefault="009140EE" w:rsidP="004D1215">
      <w:pPr>
        <w:pBdr>
          <w:top w:val="nil"/>
          <w:left w:val="nil"/>
          <w:bottom w:val="nil"/>
          <w:right w:val="nil"/>
          <w:between w:val="nil"/>
        </w:pBdr>
        <w:rPr>
          <w:b/>
        </w:rPr>
      </w:pPr>
    </w:p>
    <w:p w14:paraId="4E7FFF0F" w14:textId="77777777" w:rsidR="009140EE" w:rsidRPr="004D1215" w:rsidRDefault="009140EE" w:rsidP="004D1215">
      <w:pPr>
        <w:pBdr>
          <w:top w:val="nil"/>
          <w:left w:val="nil"/>
          <w:bottom w:val="nil"/>
          <w:right w:val="nil"/>
          <w:between w:val="nil"/>
        </w:pBdr>
      </w:pPr>
      <w:r w:rsidRPr="004D1215">
        <w:rPr>
          <w:b/>
        </w:rPr>
        <w:t xml:space="preserve">RESULTS: </w:t>
      </w:r>
    </w:p>
    <w:p w14:paraId="1F68D158" w14:textId="7F15011C" w:rsidR="009140EE" w:rsidRPr="004D1215" w:rsidRDefault="009140EE" w:rsidP="004D1215">
      <w:r w:rsidRPr="004D1215">
        <w:t>A successful injection using this transscleral technique generates a subretinal bleb observable on OCT immediately following the injection procedure (</w:t>
      </w:r>
      <w:r w:rsidRPr="004D1215">
        <w:rPr>
          <w:b/>
          <w:bCs/>
        </w:rPr>
        <w:t>Figure 2A</w:t>
      </w:r>
      <w:r w:rsidRPr="004D1215">
        <w:t>). Given the technical challenge of this technique, the imaging step is indispensable for identifying successfully injected animals. For researchers who plan to use this technique for gene therapy experiments, we recommend performing practice injections with adeno-associated virus (AAV) particles encoding a fluorescent reporter gene. AAV particles injected using this technique achieve a very large transduction area of RPE (</w:t>
      </w:r>
      <w:r w:rsidRPr="004D1215">
        <w:rPr>
          <w:b/>
          <w:bCs/>
        </w:rPr>
        <w:t>Figure 2B</w:t>
      </w:r>
      <w:r w:rsidRPr="004D1215">
        <w:t>), photoreceptors (</w:t>
      </w:r>
      <w:r w:rsidRPr="004D1215">
        <w:rPr>
          <w:b/>
          <w:bCs/>
        </w:rPr>
        <w:t>Figure 2</w:t>
      </w:r>
      <w:proofErr w:type="gramStart"/>
      <w:r w:rsidRPr="004D1215">
        <w:rPr>
          <w:b/>
          <w:bCs/>
        </w:rPr>
        <w:t>C,D</w:t>
      </w:r>
      <w:proofErr w:type="gramEnd"/>
      <w:r w:rsidRPr="004D1215">
        <w:t xml:space="preserve">), or </w:t>
      </w:r>
      <w:r w:rsidR="004D1215">
        <w:t xml:space="preserve">a </w:t>
      </w:r>
      <w:r w:rsidRPr="004D1215">
        <w:t>combination thereof (</w:t>
      </w:r>
      <w:r w:rsidRPr="004D1215">
        <w:rPr>
          <w:b/>
          <w:bCs/>
        </w:rPr>
        <w:t>Figure 2</w:t>
      </w:r>
      <w:proofErr w:type="gramStart"/>
      <w:r w:rsidRPr="004D1215">
        <w:rPr>
          <w:b/>
          <w:bCs/>
        </w:rPr>
        <w:t>E,F</w:t>
      </w:r>
      <w:proofErr w:type="gramEnd"/>
      <w:r w:rsidRPr="004D1215">
        <w:t xml:space="preserve">). The transduced area typically extends from the </w:t>
      </w:r>
      <w:proofErr w:type="spellStart"/>
      <w:r w:rsidRPr="004D1215">
        <w:t>ora</w:t>
      </w:r>
      <w:proofErr w:type="spellEnd"/>
      <w:r w:rsidRPr="004D1215">
        <w:t xml:space="preserve"> serrata superiorly to beyond the optic nerve head inferiorly. As with any subretinal injection technique, the transduction efficiency is typically distributed unevenly, peaking in the area at the center of the bleb and gradually decreasing away from the center (</w:t>
      </w:r>
      <w:r w:rsidRPr="004D1215">
        <w:rPr>
          <w:b/>
          <w:bCs/>
        </w:rPr>
        <w:t>Figure 2B-G</w:t>
      </w:r>
      <w:r w:rsidRPr="004D1215">
        <w:t>).</w:t>
      </w:r>
    </w:p>
    <w:p w14:paraId="1333F038" w14:textId="77777777" w:rsidR="009140EE" w:rsidRPr="004D1215" w:rsidRDefault="009140EE" w:rsidP="004D1215"/>
    <w:p w14:paraId="4A934040" w14:textId="47C595BB" w:rsidR="009140EE" w:rsidRPr="004D1215" w:rsidRDefault="009140EE" w:rsidP="004D1215">
      <w:r w:rsidRPr="004D1215">
        <w:t>When preparing for experiments utilizing a new AAV stock, we recommend first performing an immunofluorescence-based titer-optimization study in WT mice. The ideal viral titer achieves the transduction of ~90% of the target cell population. At this multiplicity of infection, the therapeutic effect is maximized while preventing avoidable overexpression toxicity and the immune response to the viral capsids. Photoreceptor transduction can be evaluated in either retinal cross-sections (</w:t>
      </w:r>
      <w:r w:rsidRPr="004D1215">
        <w:rPr>
          <w:b/>
          <w:bCs/>
        </w:rPr>
        <w:t>Figure 3</w:t>
      </w:r>
      <w:r w:rsidRPr="004D1215">
        <w:t xml:space="preserve">) or </w:t>
      </w:r>
      <w:r w:rsidR="004D1215">
        <w:t>whole mounts</w:t>
      </w:r>
      <w:r w:rsidRPr="004D1215">
        <w:t xml:space="preserve">, whereas RPE transduction can be properly evaluated only in flat mounts. In the case of cross-sections, it is necessary to examine single confocal </w:t>
      </w:r>
      <w:r w:rsidRPr="004D1215">
        <w:rPr>
          <w:i/>
          <w:iCs/>
        </w:rPr>
        <w:t>z</w:t>
      </w:r>
      <w:r w:rsidRPr="004D1215">
        <w:t xml:space="preserve">-sections, as opposed to an image stack containing multiple layers of superimposed cell </w:t>
      </w:r>
      <w:r w:rsidRPr="004D1215">
        <w:lastRenderedPageBreak/>
        <w:t>bodies.</w:t>
      </w:r>
    </w:p>
    <w:p w14:paraId="0E14C207" w14:textId="77777777" w:rsidR="009140EE" w:rsidRPr="004D1215" w:rsidRDefault="009140EE" w:rsidP="004D1215"/>
    <w:p w14:paraId="4D6433CD" w14:textId="77777777" w:rsidR="009140EE" w:rsidRPr="004D1215" w:rsidRDefault="009140EE" w:rsidP="004D1215">
      <w:r w:rsidRPr="004D1215">
        <w:t xml:space="preserve">A major strength of this technique is that it is minimally invasive. In properly injected animals, OCT performed months after the procedure typically shows little to no surgical damage, aside from the small focal RPE defect corresponding to the injection site. This is also favorably reflected in ERG measurements of retinal function, whereby eyes injected using this technique produce responses indistinguishable from those of non-injected eyes, while eyes injected </w:t>
      </w:r>
      <w:proofErr w:type="spellStart"/>
      <w:r w:rsidRPr="004D1215">
        <w:t>transretinally</w:t>
      </w:r>
      <w:proofErr w:type="spellEnd"/>
      <w:r w:rsidRPr="004D1215">
        <w:t xml:space="preserve"> by the same surgeon display notably reduced ERGs (</w:t>
      </w:r>
      <w:r w:rsidRPr="004D1215">
        <w:rPr>
          <w:b/>
          <w:bCs/>
        </w:rPr>
        <w:t>Figure 4</w:t>
      </w:r>
      <w:r w:rsidRPr="004D1215">
        <w:t>).</w:t>
      </w:r>
    </w:p>
    <w:p w14:paraId="18240E3A" w14:textId="77777777" w:rsidR="009140EE" w:rsidRPr="004D1215" w:rsidRDefault="009140EE" w:rsidP="004D1215"/>
    <w:p w14:paraId="3A4276E0" w14:textId="77777777" w:rsidR="009140EE" w:rsidRPr="004D1215" w:rsidRDefault="009140EE" w:rsidP="004D1215">
      <w:r w:rsidRPr="004D1215">
        <w:rPr>
          <w:b/>
        </w:rPr>
        <w:t>FIGURE AND TABLE LEGENDS:</w:t>
      </w:r>
    </w:p>
    <w:p w14:paraId="22D744DF" w14:textId="1C480E3F" w:rsidR="009140EE" w:rsidRPr="004D1215" w:rsidRDefault="009140EE" w:rsidP="004D1215">
      <w:r w:rsidRPr="004D1215">
        <w:rPr>
          <w:b/>
          <w:bCs/>
        </w:rPr>
        <w:t>Figure 1:</w:t>
      </w:r>
      <w:r w:rsidRPr="004D1215">
        <w:t xml:space="preserve"> </w:t>
      </w:r>
      <w:r w:rsidRPr="004D1215">
        <w:rPr>
          <w:b/>
          <w:bCs/>
        </w:rPr>
        <w:t>Surgical setup of the transscleral subretinal injection technique.</w:t>
      </w:r>
      <w:r w:rsidRPr="004D1215">
        <w:t xml:space="preserve"> </w:t>
      </w:r>
      <w:r w:rsidR="004D1215">
        <w:t>The conventional</w:t>
      </w:r>
      <w:r w:rsidRPr="004D1215">
        <w:t xml:space="preserve"> transretinal injection approach involves (</w:t>
      </w:r>
      <w:r w:rsidRPr="004D1215">
        <w:rPr>
          <w:b/>
          <w:bCs/>
        </w:rPr>
        <w:t>A</w:t>
      </w:r>
      <w:r w:rsidRPr="004D1215">
        <w:t>)</w:t>
      </w:r>
      <w:r w:rsidRPr="004D1215">
        <w:rPr>
          <w:b/>
          <w:bCs/>
        </w:rPr>
        <w:t xml:space="preserve"> </w:t>
      </w:r>
      <w:r w:rsidRPr="004D1215">
        <w:t>two retinal perforation events, as indicated with red arrows, (</w:t>
      </w:r>
      <w:r w:rsidRPr="004D1215">
        <w:rPr>
          <w:b/>
          <w:bCs/>
        </w:rPr>
        <w:t>B</w:t>
      </w:r>
      <w:r w:rsidRPr="004D1215">
        <w:t>)</w:t>
      </w:r>
      <w:r w:rsidRPr="004D1215">
        <w:rPr>
          <w:b/>
          <w:bCs/>
        </w:rPr>
        <w:t xml:space="preserve"> </w:t>
      </w:r>
      <w:r w:rsidRPr="004D1215">
        <w:t>both of which are avoided in the transscleral technique. (</w:t>
      </w:r>
      <w:r w:rsidRPr="004D1215">
        <w:rPr>
          <w:b/>
          <w:bCs/>
        </w:rPr>
        <w:t>C</w:t>
      </w:r>
      <w:r w:rsidRPr="004D1215">
        <w:t>)</w:t>
      </w:r>
      <w:r w:rsidRPr="004D1215">
        <w:rPr>
          <w:b/>
          <w:bCs/>
        </w:rPr>
        <w:t xml:space="preserve"> </w:t>
      </w:r>
      <w:r w:rsidRPr="004D1215">
        <w:t xml:space="preserve">Murine eyelid specula used in this method are custom-made from fine tungsten wire. Photographs of a speculum visualized from three different angles are shown. </w:t>
      </w:r>
      <w:r w:rsidRPr="004D1215">
        <w:rPr>
          <w:b/>
          <w:bCs/>
        </w:rPr>
        <w:t>(D)</w:t>
      </w:r>
      <w:r w:rsidRPr="004D1215">
        <w:t xml:space="preserve"> Size comparison between a metal 34G Hamilton needle (outer tip diameter: 159 μm) and a pulled glass micropipette (outer tip diameter: 50 μm).</w:t>
      </w:r>
    </w:p>
    <w:p w14:paraId="3779DC27" w14:textId="77777777" w:rsidR="009140EE" w:rsidRPr="004D1215" w:rsidRDefault="009140EE" w:rsidP="004D1215"/>
    <w:p w14:paraId="58FFA666" w14:textId="6236F72E" w:rsidR="009140EE" w:rsidRPr="004D1215" w:rsidRDefault="009140EE" w:rsidP="004D1215">
      <w:r w:rsidRPr="004D1215">
        <w:rPr>
          <w:b/>
          <w:bCs/>
        </w:rPr>
        <w:t>Figure 2:</w:t>
      </w:r>
      <w:r w:rsidRPr="004D1215">
        <w:t xml:space="preserve"> </w:t>
      </w:r>
      <w:r w:rsidRPr="004D1215">
        <w:rPr>
          <w:b/>
          <w:bCs/>
        </w:rPr>
        <w:t>Representative data from mice injected using the transscleral injection technique.</w:t>
      </w:r>
      <w:r w:rsidRPr="004D1215">
        <w:t xml:space="preserve"> Subretinal blebs are visualized immediately post-operatively to determine the success of the injection procedure. (</w:t>
      </w:r>
      <w:r w:rsidRPr="004D1215">
        <w:rPr>
          <w:b/>
          <w:bCs/>
        </w:rPr>
        <w:t>A</w:t>
      </w:r>
      <w:r w:rsidRPr="004D1215">
        <w:t>)</w:t>
      </w:r>
      <w:r w:rsidRPr="004D1215">
        <w:rPr>
          <w:b/>
          <w:bCs/>
        </w:rPr>
        <w:t xml:space="preserve"> </w:t>
      </w:r>
      <w:r w:rsidRPr="004D1215">
        <w:t>A typical bleb size far exceeds the range of a single OCT capture screen; for visualization purposes, shown here is a small peripheral area of a large subretinal bleb. WT adult mice were injected with (</w:t>
      </w:r>
      <w:r w:rsidRPr="004D1215">
        <w:rPr>
          <w:b/>
          <w:bCs/>
        </w:rPr>
        <w:t>B</w:t>
      </w:r>
      <w:r w:rsidRPr="004D1215">
        <w:t>)</w:t>
      </w:r>
      <w:r w:rsidRPr="004D1215">
        <w:rPr>
          <w:b/>
          <w:bCs/>
        </w:rPr>
        <w:t xml:space="preserve"> </w:t>
      </w:r>
      <w:r w:rsidRPr="004D1215">
        <w:t>AAV8-Best1-GFP to target the RPE, (</w:t>
      </w:r>
      <w:proofErr w:type="gramStart"/>
      <w:r w:rsidRPr="004D1215">
        <w:rPr>
          <w:b/>
          <w:bCs/>
        </w:rPr>
        <w:t>C,D</w:t>
      </w:r>
      <w:proofErr w:type="gramEnd"/>
      <w:r w:rsidRPr="004D1215">
        <w:t>) AAV8-Rho-GFP to target rod photoreceptors, or (</w:t>
      </w:r>
      <w:proofErr w:type="gramStart"/>
      <w:r w:rsidRPr="004D1215">
        <w:rPr>
          <w:b/>
          <w:bCs/>
        </w:rPr>
        <w:t>E,F</w:t>
      </w:r>
      <w:proofErr w:type="gramEnd"/>
      <w:r w:rsidRPr="004D1215">
        <w:t>)</w:t>
      </w:r>
      <w:r w:rsidRPr="004D1215">
        <w:rPr>
          <w:b/>
          <w:bCs/>
        </w:rPr>
        <w:t xml:space="preserve"> </w:t>
      </w:r>
      <w:bookmarkStart w:id="0" w:name="_Hlk198899951"/>
      <w:r w:rsidRPr="004D1215">
        <w:t xml:space="preserve">AAV8-CAG-mCherry </w:t>
      </w:r>
      <w:bookmarkEnd w:id="0"/>
      <w:r w:rsidRPr="004D1215">
        <w:t xml:space="preserve">for generalized expression. Fluorophore expression was assessed at 3 months post-injection with </w:t>
      </w:r>
      <w:r w:rsidRPr="004D1215">
        <w:rPr>
          <w:b/>
          <w:bCs/>
        </w:rPr>
        <w:t>(B)</w:t>
      </w:r>
      <w:r w:rsidRPr="004D1215">
        <w:t xml:space="preserve"> fluorescence microscopy of flat mount RPE, </w:t>
      </w:r>
      <w:r w:rsidRPr="004D1215">
        <w:rPr>
          <w:b/>
          <w:bCs/>
        </w:rPr>
        <w:t>(</w:t>
      </w:r>
      <w:proofErr w:type="gramStart"/>
      <w:r w:rsidRPr="004D1215">
        <w:rPr>
          <w:b/>
          <w:bCs/>
        </w:rPr>
        <w:t>C,E</w:t>
      </w:r>
      <w:proofErr w:type="gramEnd"/>
      <w:r w:rsidRPr="004D1215">
        <w:rPr>
          <w:b/>
          <w:bCs/>
        </w:rPr>
        <w:t>)</w:t>
      </w:r>
      <w:r w:rsidRPr="004D1215">
        <w:t xml:space="preserve"> fluorescence microscopy of cross-sectioned retina, or</w:t>
      </w:r>
      <w:r w:rsidRPr="004D1215">
        <w:rPr>
          <w:b/>
          <w:bCs/>
        </w:rPr>
        <w:t xml:space="preserve"> (</w:t>
      </w:r>
      <w:proofErr w:type="gramStart"/>
      <w:r w:rsidRPr="004D1215">
        <w:rPr>
          <w:b/>
          <w:bCs/>
        </w:rPr>
        <w:t>D,F</w:t>
      </w:r>
      <w:proofErr w:type="gramEnd"/>
      <w:r w:rsidRPr="004D1215">
        <w:rPr>
          <w:b/>
          <w:bCs/>
        </w:rPr>
        <w:t>)</w:t>
      </w:r>
      <w:r w:rsidRPr="004D1215">
        <w:t xml:space="preserve"> fundus fluorescence photography. Circles in B and D indicate the optic nerve head. Green arrows in D and F are OCT scan markers (not shown). (</w:t>
      </w:r>
      <w:r w:rsidRPr="004D1215">
        <w:rPr>
          <w:b/>
          <w:bCs/>
        </w:rPr>
        <w:t>G</w:t>
      </w:r>
      <w:r w:rsidRPr="004D1215">
        <w:t>)</w:t>
      </w:r>
      <w:r w:rsidRPr="004D1215">
        <w:rPr>
          <w:b/>
          <w:bCs/>
        </w:rPr>
        <w:t xml:space="preserve"> </w:t>
      </w:r>
      <w:r w:rsidRPr="004D1215">
        <w:t>WT adult mice were injected with AAV8-Rho-GFP or mock-injected, and 2 mm retinal punches were collected from the injection site. Protein lysates from the punches and the remaining retinas were analyzed by Western blotting with antibodies against GFP. β-Actin served as a loading control.</w:t>
      </w:r>
    </w:p>
    <w:p w14:paraId="629F75EA" w14:textId="77777777" w:rsidR="009140EE" w:rsidRPr="004D1215" w:rsidRDefault="009140EE" w:rsidP="004D1215"/>
    <w:p w14:paraId="1A7B6A33" w14:textId="77777777" w:rsidR="009140EE" w:rsidRPr="004D1215" w:rsidRDefault="009140EE" w:rsidP="004D1215">
      <w:r w:rsidRPr="004D1215">
        <w:rPr>
          <w:b/>
          <w:bCs/>
        </w:rPr>
        <w:t>Figure 3:</w:t>
      </w:r>
      <w:r w:rsidRPr="004D1215">
        <w:t xml:space="preserve"> </w:t>
      </w:r>
      <w:r w:rsidRPr="004D1215">
        <w:rPr>
          <w:b/>
          <w:bCs/>
        </w:rPr>
        <w:t>AAV titer optimization in mice injected using the transscleral injection technique.</w:t>
      </w:r>
      <w:r w:rsidRPr="004D1215">
        <w:t xml:space="preserve"> WT adult mice were subretinally injected with undiluted AAV stock containing 1 x 10</w:t>
      </w:r>
      <w:r w:rsidRPr="004D1215">
        <w:rPr>
          <w:vertAlign w:val="superscript"/>
        </w:rPr>
        <w:t>14</w:t>
      </w:r>
      <w:r w:rsidRPr="004D1215">
        <w:t xml:space="preserve"> genome copies/mL, as well as its 1:10 and 1:100 dilutions. For evaluation of the percentage of transduced photoreceptors, retinal cross-sections from the superior mid-periphery were imaged by immunofluorescence microscopy. Based on these results, the 1:10 dilution of AAV stock was selected as the optimal viral titer. Scale bars: 100 μm.</w:t>
      </w:r>
    </w:p>
    <w:p w14:paraId="0BA5F85A" w14:textId="77777777" w:rsidR="009140EE" w:rsidRPr="004D1215" w:rsidRDefault="009140EE" w:rsidP="004D1215"/>
    <w:p w14:paraId="793555A8" w14:textId="075A33F3" w:rsidR="009140EE" w:rsidRPr="004D1215" w:rsidRDefault="009140EE" w:rsidP="004D1215">
      <w:pPr>
        <w:rPr>
          <w:b/>
          <w:bCs/>
        </w:rPr>
      </w:pPr>
      <w:r w:rsidRPr="004D1215">
        <w:rPr>
          <w:b/>
          <w:bCs/>
        </w:rPr>
        <w:t>Figure 4:</w:t>
      </w:r>
      <w:r w:rsidRPr="004D1215">
        <w:t xml:space="preserve"> </w:t>
      </w:r>
      <w:r w:rsidRPr="004D1215">
        <w:rPr>
          <w:b/>
          <w:bCs/>
        </w:rPr>
        <w:t>Transscleral injection technique does not affect ERG recordings in injected eyes.</w:t>
      </w:r>
      <w:r w:rsidRPr="004D1215">
        <w:t xml:space="preserve"> Adult WT mice were subretinally injected with equal amounts of AAV1-Best1-GFP using the technique described versus the conventional transretinal injection method employing a spring-loaded syringe following a 33G needle sclerotomy. Retinal function in injected mice and </w:t>
      </w:r>
      <w:proofErr w:type="spellStart"/>
      <w:r w:rsidRPr="004D1215">
        <w:t>uninjected</w:t>
      </w:r>
      <w:proofErr w:type="spellEnd"/>
      <w:r w:rsidRPr="004D1215">
        <w:t xml:space="preserve"> controls was assayed by measuring </w:t>
      </w:r>
      <w:r w:rsidRPr="004D1215">
        <w:rPr>
          <w:b/>
          <w:bCs/>
        </w:rPr>
        <w:t>(A)</w:t>
      </w:r>
      <w:r w:rsidRPr="004D1215">
        <w:t xml:space="preserve"> scotopic ERG a-waves and </w:t>
      </w:r>
      <w:r w:rsidRPr="004D1215">
        <w:rPr>
          <w:b/>
          <w:bCs/>
        </w:rPr>
        <w:t>(B)</w:t>
      </w:r>
      <w:r w:rsidRPr="004D1215">
        <w:t xml:space="preserve"> scotopic ERG b-waves. A </w:t>
      </w:r>
      <w:r w:rsidRPr="004D1215">
        <w:lastRenderedPageBreak/>
        <w:t xml:space="preserve">total of seven eyes were analyzed for each group. Post-hoc Tukey comparison was performed between </w:t>
      </w:r>
      <w:proofErr w:type="spellStart"/>
      <w:r w:rsidRPr="004D1215">
        <w:t>uninjected</w:t>
      </w:r>
      <w:proofErr w:type="spellEnd"/>
      <w:r w:rsidRPr="004D1215">
        <w:t xml:space="preserve"> and conventional injection </w:t>
      </w:r>
      <w:r w:rsidR="004D1215">
        <w:t>techniques, as well as between the described technique and conventional injection techniques</w:t>
      </w:r>
      <w:r w:rsidRPr="004D1215">
        <w:t>. #p &gt; 0.05, *p &lt; 0.05, **p &lt; 0.01. Error bars represent SEM.</w:t>
      </w:r>
    </w:p>
    <w:p w14:paraId="0E23FA62" w14:textId="77777777" w:rsidR="009140EE" w:rsidRPr="004D1215" w:rsidRDefault="009140EE" w:rsidP="004D1215"/>
    <w:p w14:paraId="154927E5" w14:textId="77777777" w:rsidR="009140EE" w:rsidRPr="004D1215" w:rsidRDefault="009140EE" w:rsidP="004D1215">
      <w:pPr>
        <w:rPr>
          <w:b/>
        </w:rPr>
      </w:pPr>
      <w:r w:rsidRPr="004D1215">
        <w:rPr>
          <w:b/>
        </w:rPr>
        <w:t>DISCUSSION:</w:t>
      </w:r>
    </w:p>
    <w:p w14:paraId="328C28B3" w14:textId="3AC16DFE" w:rsidR="009140EE" w:rsidRPr="004D1215" w:rsidRDefault="009140EE" w:rsidP="004D1215">
      <w:r w:rsidRPr="004D1215">
        <w:t>The technique described here introduces several improvements to the previously described transscleral injection approach</w:t>
      </w:r>
      <w:r w:rsidRPr="004D1215">
        <w:rPr>
          <w:vertAlign w:val="superscript"/>
        </w:rPr>
        <w:t>4</w:t>
      </w:r>
      <w:r w:rsidRPr="004D1215">
        <w:t xml:space="preserve">, which enhance the reliability of the procedure and further reduce surgical damage to the eye. One such improvement is the usage of a speculum to retract the upper eyelid, allowing for stable, unencumbered, and hands-free access to the eye. Commercial </w:t>
      </w:r>
      <w:proofErr w:type="gramStart"/>
      <w:r w:rsidRPr="004D1215">
        <w:t>specula are</w:t>
      </w:r>
      <w:proofErr w:type="gramEnd"/>
      <w:r w:rsidRPr="004D1215">
        <w:t xml:space="preserve"> often poorly optimized, even for adult mice, and outright unavailable for juveniles. To overcome this obstacle, we designed custom-made specula (</w:t>
      </w:r>
      <w:r w:rsidRPr="004D1215">
        <w:rPr>
          <w:b/>
          <w:bCs/>
        </w:rPr>
        <w:t>Figure 1C</w:t>
      </w:r>
      <w:r w:rsidRPr="004D1215">
        <w:t xml:space="preserve">), which we manufacture using commercially available fine tungsten wire, given its small diameter and remarkable stiffness. This improves the ease of performing the procedure, increases the success rate, and significantly reduces the time and effort spent per injection. Similarly, we use locking toothed forceps to </w:t>
      </w:r>
      <w:proofErr w:type="spellStart"/>
      <w:r w:rsidRPr="004D1215">
        <w:t>inferoduct</w:t>
      </w:r>
      <w:proofErr w:type="spellEnd"/>
      <w:r w:rsidRPr="004D1215">
        <w:t xml:space="preserve"> the globe, exposing the injection site in a stable and hands-free manner. The combination of the upper lid speculum and the locking forceps allows the surgeon to perform the sclerotomy and the injection bimanually, which is of great advantage for maximizing the success of this delicate procedure.</w:t>
      </w:r>
    </w:p>
    <w:p w14:paraId="460230D2" w14:textId="77777777" w:rsidR="009140EE" w:rsidRPr="004D1215" w:rsidRDefault="009140EE" w:rsidP="004D1215"/>
    <w:p w14:paraId="5D17C14D" w14:textId="5A57BB86" w:rsidR="009140EE" w:rsidRPr="004D1215" w:rsidRDefault="009140EE" w:rsidP="004D1215">
      <w:r w:rsidRPr="004D1215">
        <w:t>Secondly, many subretinal injection protocols use a metal needle</w:t>
      </w:r>
      <w:r w:rsidRPr="004D1215">
        <w:rPr>
          <w:vertAlign w:val="superscript"/>
        </w:rPr>
        <w:t>4,15,16</w:t>
      </w:r>
      <w:r w:rsidRPr="004D1215">
        <w:t>; however, even the finest commercially available metal needles are very large relative to the small and fragile tissues involved in this procedure. For example, a 34G Hamilton needle has an outer diameter of 159 µm, which is over 2/3 of the retinal thickness in a mouse. Instead, we use pulled glass micropipettes, which can be manufactured to have incredibly narrow tips ranging from 0.5 µm to 75 µm in diameter</w:t>
      </w:r>
      <w:r w:rsidRPr="004D1215">
        <w:rPr>
          <w:vertAlign w:val="superscript"/>
        </w:rPr>
        <w:t>17</w:t>
      </w:r>
      <w:r w:rsidRPr="004D1215">
        <w:t xml:space="preserve"> (</w:t>
      </w:r>
      <w:r w:rsidRPr="004D1215">
        <w:rPr>
          <w:b/>
          <w:bCs/>
        </w:rPr>
        <w:t>Figure 1D</w:t>
      </w:r>
      <w:r w:rsidRPr="004D1215">
        <w:t>). Our protocol uses glass needles with a 50 µm outer and a 25 µm inner tip diameter for AAV gene therapy delivery, although the diameter may need to be optimized for larger materials, such as stem cells</w:t>
      </w:r>
      <w:r w:rsidRPr="004D1215">
        <w:rPr>
          <w:vertAlign w:val="superscript"/>
        </w:rPr>
        <w:t>18</w:t>
      </w:r>
      <w:r w:rsidRPr="004D1215">
        <w:t>. The smaller needle diameter allows for the use of smaller sclerotomies, which helps to achieve larger blebs by reducing the backflow of the injected material</w:t>
      </w:r>
      <w:r w:rsidRPr="004D1215">
        <w:rPr>
          <w:vertAlign w:val="superscript"/>
        </w:rPr>
        <w:t>15</w:t>
      </w:r>
      <w:r w:rsidRPr="004D1215">
        <w:t xml:space="preserve">. While glass needles can be easily pulled in-house, most laboratories do not have the capability to ensure consistent needle tip diameter and a smooth, angled bevel. These variables are important in determining the optimal injection pressure (diameter) and surgical approach (smooth beveled tip). For these reasons, we recommend using commercially available glass needles. </w:t>
      </w:r>
    </w:p>
    <w:p w14:paraId="735F9F14" w14:textId="77777777" w:rsidR="009140EE" w:rsidRPr="004D1215" w:rsidRDefault="009140EE" w:rsidP="004D1215"/>
    <w:p w14:paraId="3666C8FD" w14:textId="69EEB903" w:rsidR="009140EE" w:rsidRPr="004D1215" w:rsidRDefault="009140EE" w:rsidP="004D1215">
      <w:r w:rsidRPr="004D1215">
        <w:t>Thirdly, the majority of existing transscleral subretinal injection methods use the needle tip to create the sclerotomy</w:t>
      </w:r>
      <w:r w:rsidRPr="004D1215">
        <w:rPr>
          <w:vertAlign w:val="superscript"/>
        </w:rPr>
        <w:t>7,8,15,16</w:t>
      </w:r>
      <w:r w:rsidRPr="004D1215">
        <w:t>; however, due to the coarseness of the needle tip, this requires appreciable force to be applied to the sclera. This greatly increases the probability of inadvertently puncturing the retina once the penetrated sclera recoils from the pressure and moves back toward the needle. Furthermore, the size of the sclerotomy created using the needle tip is excessively large, allowing for reflux of the injected solution both during injection and after removal of the needle</w:t>
      </w:r>
      <w:r w:rsidRPr="004D1215">
        <w:rPr>
          <w:vertAlign w:val="superscript"/>
        </w:rPr>
        <w:t>15</w:t>
      </w:r>
      <w:r w:rsidRPr="004D1215">
        <w:t xml:space="preserve">. Finally, reusing the needle can cause dulling of its tip, further worsening the above-mentioned issues. To avoid these challenges, we use a clinical-grade diamond knife designed for corneal refractive surgeries. </w:t>
      </w:r>
      <w:proofErr w:type="gramStart"/>
      <w:r w:rsidRPr="004D1215">
        <w:t>The incredibly</w:t>
      </w:r>
      <w:proofErr w:type="gramEnd"/>
      <w:r w:rsidRPr="004D1215">
        <w:t xml:space="preserve"> sharp, pointed tip of the diamond knife </w:t>
      </w:r>
      <w:r w:rsidRPr="004D1215">
        <w:lastRenderedPageBreak/>
        <w:t>allows the surgeon to create a pinpoint sclerotomy with a very small force exerted on the sclera. This avoids any rebound of the sclera, thereby giving the surgeon control of the depth and width of the sclerotomy. High precision sclerotomy reduces failure rates and ensures large bleb sizes by minimizing reflux during and after the injection.</w:t>
      </w:r>
    </w:p>
    <w:p w14:paraId="20395C2B" w14:textId="77777777" w:rsidR="009140EE" w:rsidRPr="004D1215" w:rsidRDefault="009140EE" w:rsidP="004D1215"/>
    <w:p w14:paraId="53919152" w14:textId="77777777" w:rsidR="009140EE" w:rsidRPr="004D1215" w:rsidRDefault="009140EE" w:rsidP="004D1215">
      <w:r w:rsidRPr="004D1215">
        <w:t>Finally, we found that the creation of an ideal subretinal bleb using the transscleral technique often induces potentially fatal oculocardiac and oculorespiratory reflexes, which are triggered by the transient elevation of intraocular pressure in response to the injection. Mediated by the parasympathetic system, the oculocardiac reflex results in bradycardia or dysrhythmia</w:t>
      </w:r>
      <w:r w:rsidRPr="004D1215">
        <w:rPr>
          <w:vertAlign w:val="superscript"/>
        </w:rPr>
        <w:t>12</w:t>
      </w:r>
      <w:r w:rsidRPr="004D1215">
        <w:t xml:space="preserve"> and the oculorespiratory reflex causes bradypnea or apnea</w:t>
      </w:r>
      <w:r w:rsidRPr="004D1215">
        <w:rPr>
          <w:vertAlign w:val="superscript"/>
        </w:rPr>
        <w:t>11</w:t>
      </w:r>
      <w:r w:rsidRPr="004D1215">
        <w:t>. The oculocardiac reflex</w:t>
      </w:r>
      <w:proofErr w:type="gramStart"/>
      <w:r w:rsidRPr="004D1215">
        <w:t>, in particular, is</w:t>
      </w:r>
      <w:proofErr w:type="gramEnd"/>
      <w:r w:rsidRPr="004D1215">
        <w:t xml:space="preserve"> well known in the clinical context of ocular trauma and extraocular muscle entrapment. Together, these two reflexes can cause the unintended death of the experimental animal immediately following the injection, particularly if the injection is performed well and a large bleb is created. Therefore, to assure the survival of experimental animals, we prophylactically suppress these reflexes by administering intraperitoneal atropine ~30 min prior to the start of the procedure. Atropine is an anticholinergic agent that suppresses the parasympathetic nervous system through its antimuscarinic activity</w:t>
      </w:r>
      <w:r w:rsidRPr="004D1215">
        <w:rPr>
          <w:vertAlign w:val="superscript"/>
        </w:rPr>
        <w:t>13</w:t>
      </w:r>
      <w:r w:rsidRPr="004D1215">
        <w:t>. By preempting the potentially lethal overaction of the efferent limb of the oculocardiac and oculorespiratory reflexes, we achieve &gt;95% survival of injected animals.</w:t>
      </w:r>
    </w:p>
    <w:p w14:paraId="1280DD5E" w14:textId="77777777" w:rsidR="009140EE" w:rsidRPr="004D1215" w:rsidRDefault="009140EE" w:rsidP="004D1215"/>
    <w:p w14:paraId="74B92C2C" w14:textId="5D4DA72D" w:rsidR="009140EE" w:rsidRPr="004D1215" w:rsidRDefault="009140EE" w:rsidP="004D1215">
      <w:r w:rsidRPr="004D1215">
        <w:t xml:space="preserve">Compared to the conventional transretinal injection method, a major drawback of the modification of the presented technique is its steeper learning curve. The greatest challenge for learners is exercising firm control of fine movements during the sclerotomy and the injection steps of the procedure. To create a pinpoint sclerotomy, the 20-30 </w:t>
      </w:r>
      <w:r w:rsidR="004D1215">
        <w:t>µm-thick sclera must be punctured without incising the nearby 200-250 µm-thick</w:t>
      </w:r>
      <w:r w:rsidRPr="004D1215">
        <w:t xml:space="preserve"> retina, which is rather challenging technically. Accessing the subretinal space with the tip of the needle is also not trivial. An angle that is too shallow or too deep may result in choroidal or intravitreal injection, respectively. Nevertheless, in our experience, a trained investigator </w:t>
      </w:r>
      <w:proofErr w:type="gramStart"/>
      <w:r w:rsidRPr="004D1215">
        <w:t>is able to</w:t>
      </w:r>
      <w:proofErr w:type="gramEnd"/>
      <w:r w:rsidRPr="004D1215">
        <w:t xml:space="preserve"> achieve success rates of approximately 90% in adult mice, 75% in p21 mice, and 50% in p14 mice, with the average of 5-7 </w:t>
      </w:r>
      <w:proofErr w:type="gramStart"/>
      <w:r w:rsidRPr="004D1215">
        <w:t>min spent</w:t>
      </w:r>
      <w:proofErr w:type="gramEnd"/>
      <w:r w:rsidRPr="004D1215">
        <w:t xml:space="preserve"> per injection. However, it is worth noting that the success rate and speed of the technique </w:t>
      </w:r>
      <w:r w:rsidR="004D1215">
        <w:t>are</w:t>
      </w:r>
      <w:r w:rsidRPr="004D1215">
        <w:t xml:space="preserve"> somewhat lower in mouse models of retinal degeneration, primarily due to the higher likelihood of penetrating the thinned atrophic retina and inadvertently depositing the payload into the vitreous cavity. This underscores the importance of validating the injection outcomes using OCT imaging. Another potential complication of the transscleral injection approach is the possibility of choroidal neovascularization developing at the injection site due to penetration of Bruch’s membrane. However, in our experience, this is an extremely rare (&lt;1%) occurrence in mice. Finally, it is worth noting that, while the technique can be carried out by a solo surgeon, its speed and success rate are tremendously improved by the participation of an assistant.</w:t>
      </w:r>
    </w:p>
    <w:p w14:paraId="7EE089B1" w14:textId="77777777" w:rsidR="009140EE" w:rsidRPr="004D1215" w:rsidRDefault="009140EE" w:rsidP="004D1215"/>
    <w:p w14:paraId="070F594B" w14:textId="77777777" w:rsidR="009140EE" w:rsidRPr="004D1215" w:rsidRDefault="009140EE" w:rsidP="004D1215">
      <w:r w:rsidRPr="004D1215">
        <w:t xml:space="preserve">Certain variables in the transscleral injection technique should be optimized for ideal outcomes by each investigator. This primarily includes the optimization of injection pressure and duration. The injection pressure should be sufficiently high to overcome the narrow diameter of the needle tip, the intraocular pressure, and the tissue resistance of the murine eye, while minimizing retinal </w:t>
      </w:r>
      <w:r w:rsidRPr="004D1215">
        <w:lastRenderedPageBreak/>
        <w:t>stretching and damage caused by high pressure and fluid flow</w:t>
      </w:r>
      <w:r w:rsidRPr="004D1215">
        <w:rPr>
          <w:vertAlign w:val="superscript"/>
        </w:rPr>
        <w:t>15</w:t>
      </w:r>
      <w:r w:rsidRPr="004D1215">
        <w:t xml:space="preserve">. The exact pressure to use may depend on needle diameter and bevel angle, viscosity of the delivered solution, mouse retinal phenotype, etc. We typically use an injection pressure of 500 </w:t>
      </w:r>
      <w:proofErr w:type="spellStart"/>
      <w:r w:rsidRPr="004D1215">
        <w:t>hPa</w:t>
      </w:r>
      <w:proofErr w:type="spellEnd"/>
      <w:r w:rsidRPr="004D1215">
        <w:t xml:space="preserve">, with the range of 400-1,000 </w:t>
      </w:r>
      <w:proofErr w:type="spellStart"/>
      <w:r w:rsidRPr="004D1215">
        <w:t>hPa</w:t>
      </w:r>
      <w:proofErr w:type="spellEnd"/>
      <w:r w:rsidRPr="004D1215">
        <w:t xml:space="preserve"> generally yielding good results. We recommend performing the injection by administering continuous pressure for 15 s to maximize the bleb size. In our experience, shorter injection times typically result in smaller subretinal blebs, whereas longer injection times do not yield larger blebs while increasing the risk of unintended surgical damage. Additionally, investigators may find it necessary to explore different pipette tip diameters and bevels to optimize outcomes</w:t>
      </w:r>
      <w:r w:rsidRPr="004D1215">
        <w:rPr>
          <w:vertAlign w:val="superscript"/>
        </w:rPr>
        <w:t>15</w:t>
      </w:r>
      <w:r w:rsidRPr="004D1215">
        <w:t xml:space="preserve">. We prefer the 30° bevel oriented downward, because it minimizes the probability of intravitreal injection. This bevel angle is </w:t>
      </w:r>
      <w:proofErr w:type="gramStart"/>
      <w:r w:rsidRPr="004D1215">
        <w:t>similar to</w:t>
      </w:r>
      <w:proofErr w:type="gramEnd"/>
      <w:r w:rsidRPr="004D1215">
        <w:t xml:space="preserve"> the shallow angle between the needle and the sclera, thereby orienting the plane of the bevel parallel to the retina. Thus, any excessive force exerted on the retina by the advancing needle is distributed along the flat surface of the bevel, reducing the probability of inadvertent puncture of the retina.</w:t>
      </w:r>
    </w:p>
    <w:p w14:paraId="72E14DD0" w14:textId="77777777" w:rsidR="009140EE" w:rsidRPr="004D1215" w:rsidRDefault="009140EE" w:rsidP="004D1215"/>
    <w:p w14:paraId="48730DE9" w14:textId="77777777" w:rsidR="009140EE" w:rsidRPr="004D1215" w:rsidRDefault="009140EE" w:rsidP="004D1215">
      <w:r w:rsidRPr="004D1215">
        <w:t>Altogether, the modifications to the transscleral subretinal injection technique allow for improved efficiency and precision of the injection procedure. In the hands of a practiced surgeon, this is a high-throughput technique that achieves superior outcomes with minimal variability.</w:t>
      </w:r>
    </w:p>
    <w:p w14:paraId="00E98C79" w14:textId="77777777" w:rsidR="009140EE" w:rsidRPr="004D1215" w:rsidRDefault="009140EE" w:rsidP="004D1215"/>
    <w:p w14:paraId="1ABEB5DB" w14:textId="77777777" w:rsidR="009140EE" w:rsidRPr="004D1215" w:rsidRDefault="009140EE" w:rsidP="004D1215">
      <w:pPr>
        <w:pBdr>
          <w:top w:val="nil"/>
          <w:left w:val="nil"/>
          <w:bottom w:val="nil"/>
          <w:right w:val="nil"/>
          <w:between w:val="nil"/>
        </w:pBdr>
      </w:pPr>
      <w:r w:rsidRPr="004D1215">
        <w:rPr>
          <w:b/>
        </w:rPr>
        <w:t xml:space="preserve">ACKNOWLEDGMENTS: </w:t>
      </w:r>
    </w:p>
    <w:p w14:paraId="2153595F" w14:textId="77777777" w:rsidR="009140EE" w:rsidRPr="004D1215" w:rsidRDefault="009140EE" w:rsidP="004D1215">
      <w:r w:rsidRPr="004D1215">
        <w:t>We thank John Flannery (University of California, Berkeley) for providing us with the AAV1-Best1-GFP virus. Funding received: NIH R01 EY031748 (CBR), NIH P30 EY005722 (to Duke University); FFB Free Family AMD Award (CBR); unrestricted grant from Research to Prevent Blindness (Duke Eye Center); FFB Translational Research Acceleration Program TA-GT-0424-0875-DUKE-TRAP (VA), NIH K08 EY033857 (OA); Duke University Physician-Scientist Strong Start Award (OA).</w:t>
      </w:r>
    </w:p>
    <w:p w14:paraId="15984314" w14:textId="77777777" w:rsidR="009140EE" w:rsidRPr="004D1215" w:rsidRDefault="009140EE" w:rsidP="004D1215">
      <w:pPr>
        <w:rPr>
          <w:b/>
        </w:rPr>
      </w:pPr>
    </w:p>
    <w:p w14:paraId="0D5222E2" w14:textId="77777777" w:rsidR="009140EE" w:rsidRPr="004D1215" w:rsidRDefault="009140EE" w:rsidP="004D1215">
      <w:pPr>
        <w:pBdr>
          <w:top w:val="nil"/>
          <w:left w:val="nil"/>
          <w:bottom w:val="nil"/>
          <w:right w:val="nil"/>
          <w:between w:val="nil"/>
        </w:pBdr>
      </w:pPr>
      <w:r w:rsidRPr="004D1215">
        <w:rPr>
          <w:b/>
        </w:rPr>
        <w:t xml:space="preserve">DISCLOSURES: </w:t>
      </w:r>
    </w:p>
    <w:p w14:paraId="2310F44F" w14:textId="77777777" w:rsidR="009140EE" w:rsidRPr="004D1215" w:rsidRDefault="009140EE" w:rsidP="004D1215">
      <w:r w:rsidRPr="004D1215">
        <w:t>The authors have nothing to disclose.</w:t>
      </w:r>
    </w:p>
    <w:p w14:paraId="5C793F5F" w14:textId="77777777" w:rsidR="009140EE" w:rsidRPr="004D1215" w:rsidRDefault="009140EE" w:rsidP="004D1215"/>
    <w:p w14:paraId="3280F857" w14:textId="77777777" w:rsidR="009140EE" w:rsidRPr="004D1215" w:rsidRDefault="009140EE" w:rsidP="004D1215">
      <w:pPr>
        <w:rPr>
          <w:b/>
        </w:rPr>
      </w:pPr>
      <w:proofErr w:type="gramStart"/>
      <w:r w:rsidRPr="004D1215">
        <w:rPr>
          <w:b/>
        </w:rPr>
        <w:t>REFERENCES</w:t>
      </w:r>
      <w:proofErr w:type="gramEnd"/>
      <w:r w:rsidRPr="004D1215">
        <w:rPr>
          <w:b/>
        </w:rPr>
        <w:t>:</w:t>
      </w:r>
    </w:p>
    <w:p w14:paraId="18C3F514" w14:textId="567111F9" w:rsidR="009140EE" w:rsidRPr="004D1215" w:rsidRDefault="009140EE" w:rsidP="004D1215">
      <w:pPr>
        <w:pStyle w:val="EndNoteBibliography"/>
        <w:rPr>
          <w:noProof w:val="0"/>
        </w:rPr>
      </w:pPr>
      <w:bookmarkStart w:id="1" w:name="_ENREF_1"/>
      <w:r w:rsidRPr="004D1215">
        <w:rPr>
          <w:noProof w:val="0"/>
        </w:rPr>
        <w:t>1.</w:t>
      </w:r>
      <w:r w:rsidRPr="004D1215">
        <w:rPr>
          <w:noProof w:val="0"/>
        </w:rPr>
        <w:tab/>
        <w:t>Trapani</w:t>
      </w:r>
      <w:r w:rsidR="004D1215">
        <w:rPr>
          <w:noProof w:val="0"/>
        </w:rPr>
        <w:t>,</w:t>
      </w:r>
      <w:r w:rsidRPr="004D1215">
        <w:rPr>
          <w:noProof w:val="0"/>
        </w:rPr>
        <w:t xml:space="preserve"> I</w:t>
      </w:r>
      <w:r w:rsidR="004D1215">
        <w:rPr>
          <w:noProof w:val="0"/>
        </w:rPr>
        <w:t>.</w:t>
      </w:r>
      <w:r w:rsidRPr="004D1215">
        <w:rPr>
          <w:noProof w:val="0"/>
        </w:rPr>
        <w:t>, Banfi</w:t>
      </w:r>
      <w:r w:rsidR="0031411A">
        <w:rPr>
          <w:noProof w:val="0"/>
        </w:rPr>
        <w:t>,</w:t>
      </w:r>
      <w:r w:rsidRPr="004D1215">
        <w:rPr>
          <w:noProof w:val="0"/>
        </w:rPr>
        <w:t xml:space="preserve"> S</w:t>
      </w:r>
      <w:r w:rsidR="0031411A">
        <w:rPr>
          <w:noProof w:val="0"/>
        </w:rPr>
        <w:t>.</w:t>
      </w:r>
      <w:r w:rsidRPr="004D1215">
        <w:rPr>
          <w:noProof w:val="0"/>
        </w:rPr>
        <w:t>, Simonelli</w:t>
      </w:r>
      <w:r w:rsidR="0031411A">
        <w:rPr>
          <w:noProof w:val="0"/>
        </w:rPr>
        <w:t>,</w:t>
      </w:r>
      <w:r w:rsidRPr="004D1215">
        <w:rPr>
          <w:noProof w:val="0"/>
        </w:rPr>
        <w:t xml:space="preserve"> F</w:t>
      </w:r>
      <w:r w:rsidR="0031411A">
        <w:rPr>
          <w:noProof w:val="0"/>
        </w:rPr>
        <w:t>.</w:t>
      </w:r>
      <w:r w:rsidRPr="004D1215">
        <w:rPr>
          <w:noProof w:val="0"/>
        </w:rPr>
        <w:t>, Surace</w:t>
      </w:r>
      <w:r w:rsidR="0031411A">
        <w:rPr>
          <w:noProof w:val="0"/>
        </w:rPr>
        <w:t>,</w:t>
      </w:r>
      <w:r w:rsidRPr="004D1215">
        <w:rPr>
          <w:noProof w:val="0"/>
        </w:rPr>
        <w:t xml:space="preserve"> E</w:t>
      </w:r>
      <w:r w:rsidR="0031411A">
        <w:rPr>
          <w:noProof w:val="0"/>
        </w:rPr>
        <w:t xml:space="preserve">. </w:t>
      </w:r>
      <w:r w:rsidRPr="004D1215">
        <w:rPr>
          <w:noProof w:val="0"/>
        </w:rPr>
        <w:t>M</w:t>
      </w:r>
      <w:r w:rsidR="0031411A">
        <w:rPr>
          <w:noProof w:val="0"/>
        </w:rPr>
        <w:t>.</w:t>
      </w:r>
      <w:r w:rsidRPr="004D1215">
        <w:rPr>
          <w:noProof w:val="0"/>
        </w:rPr>
        <w:t>, Auricchio</w:t>
      </w:r>
      <w:r w:rsidR="0031411A">
        <w:rPr>
          <w:noProof w:val="0"/>
        </w:rPr>
        <w:t>,</w:t>
      </w:r>
      <w:r w:rsidRPr="004D1215">
        <w:rPr>
          <w:noProof w:val="0"/>
        </w:rPr>
        <w:t xml:space="preserve"> A. Gene therapy of inherited retinal degenerations: prospects and challenges. </w:t>
      </w:r>
      <w:r w:rsidRPr="004D1215">
        <w:rPr>
          <w:i/>
          <w:noProof w:val="0"/>
        </w:rPr>
        <w:t>Hum Gene Ther</w:t>
      </w:r>
      <w:r w:rsidR="0031411A">
        <w:rPr>
          <w:noProof w:val="0"/>
        </w:rPr>
        <w:t xml:space="preserve">. </w:t>
      </w:r>
      <w:r w:rsidRPr="0031411A">
        <w:rPr>
          <w:b/>
          <w:bCs/>
          <w:noProof w:val="0"/>
        </w:rPr>
        <w:t>26</w:t>
      </w:r>
      <w:r w:rsidR="0031411A">
        <w:rPr>
          <w:b/>
          <w:bCs/>
          <w:noProof w:val="0"/>
        </w:rPr>
        <w:t xml:space="preserve">, </w:t>
      </w:r>
      <w:r w:rsidRPr="004D1215">
        <w:rPr>
          <w:noProof w:val="0"/>
        </w:rPr>
        <w:t>193-200</w:t>
      </w:r>
      <w:r w:rsidR="0031411A">
        <w:rPr>
          <w:noProof w:val="0"/>
        </w:rPr>
        <w:t xml:space="preserve"> (</w:t>
      </w:r>
      <w:r w:rsidR="0031411A" w:rsidRPr="004D1215">
        <w:rPr>
          <w:noProof w:val="0"/>
        </w:rPr>
        <w:t>2015</w:t>
      </w:r>
      <w:r w:rsidR="0031411A">
        <w:rPr>
          <w:noProof w:val="0"/>
        </w:rPr>
        <w:t>)</w:t>
      </w:r>
      <w:r w:rsidRPr="004D1215">
        <w:rPr>
          <w:noProof w:val="0"/>
        </w:rPr>
        <w:t>.</w:t>
      </w:r>
      <w:bookmarkEnd w:id="1"/>
    </w:p>
    <w:p w14:paraId="309DC114" w14:textId="59599045" w:rsidR="009140EE" w:rsidRPr="004D1215" w:rsidRDefault="009140EE" w:rsidP="004D1215">
      <w:pPr>
        <w:pStyle w:val="EndNoteBibliography"/>
        <w:rPr>
          <w:noProof w:val="0"/>
        </w:rPr>
      </w:pPr>
      <w:bookmarkStart w:id="2" w:name="_ENREF_2"/>
      <w:r w:rsidRPr="004D1215">
        <w:rPr>
          <w:noProof w:val="0"/>
        </w:rPr>
        <w:t>2.</w:t>
      </w:r>
      <w:r w:rsidRPr="004D1215">
        <w:rPr>
          <w:noProof w:val="0"/>
        </w:rPr>
        <w:tab/>
        <w:t>Peng</w:t>
      </w:r>
      <w:r w:rsidR="0031411A">
        <w:rPr>
          <w:noProof w:val="0"/>
        </w:rPr>
        <w:t>,</w:t>
      </w:r>
      <w:r w:rsidRPr="004D1215">
        <w:rPr>
          <w:noProof w:val="0"/>
        </w:rPr>
        <w:t xml:space="preserve"> Y</w:t>
      </w:r>
      <w:r w:rsidR="0031411A">
        <w:rPr>
          <w:noProof w:val="0"/>
        </w:rPr>
        <w:t>.</w:t>
      </w:r>
      <w:r w:rsidRPr="004D1215">
        <w:rPr>
          <w:noProof w:val="0"/>
        </w:rPr>
        <w:t>, Tang</w:t>
      </w:r>
      <w:r w:rsidR="0031411A">
        <w:rPr>
          <w:noProof w:val="0"/>
        </w:rPr>
        <w:t>,</w:t>
      </w:r>
      <w:r w:rsidRPr="004D1215">
        <w:rPr>
          <w:noProof w:val="0"/>
        </w:rPr>
        <w:t xml:space="preserve"> L</w:t>
      </w:r>
      <w:r w:rsidR="0031411A">
        <w:rPr>
          <w:noProof w:val="0"/>
        </w:rPr>
        <w:t>.</w:t>
      </w:r>
      <w:r w:rsidRPr="004D1215">
        <w:rPr>
          <w:noProof w:val="0"/>
        </w:rPr>
        <w:t>, Zhou</w:t>
      </w:r>
      <w:r w:rsidR="0031411A">
        <w:rPr>
          <w:noProof w:val="0"/>
        </w:rPr>
        <w:t>,</w:t>
      </w:r>
      <w:r w:rsidRPr="004D1215">
        <w:rPr>
          <w:noProof w:val="0"/>
        </w:rPr>
        <w:t xml:space="preserve"> Y. Subretinal Injection: A Review on the Novel Route of Therapeutic Delivery for Vitreoretinal Diseases. </w:t>
      </w:r>
      <w:r w:rsidRPr="004D1215">
        <w:rPr>
          <w:i/>
          <w:noProof w:val="0"/>
        </w:rPr>
        <w:t>Ophthalmic Res</w:t>
      </w:r>
      <w:r w:rsidR="0031411A">
        <w:rPr>
          <w:noProof w:val="0"/>
        </w:rPr>
        <w:t xml:space="preserve">. </w:t>
      </w:r>
      <w:r w:rsidRPr="0031411A">
        <w:rPr>
          <w:b/>
          <w:bCs/>
          <w:noProof w:val="0"/>
        </w:rPr>
        <w:t>58</w:t>
      </w:r>
      <w:r w:rsidR="0031411A">
        <w:rPr>
          <w:b/>
          <w:bCs/>
          <w:noProof w:val="0"/>
        </w:rPr>
        <w:t xml:space="preserve">, </w:t>
      </w:r>
      <w:r w:rsidRPr="004D1215">
        <w:rPr>
          <w:noProof w:val="0"/>
        </w:rPr>
        <w:t>217-226</w:t>
      </w:r>
      <w:r w:rsidR="0031411A">
        <w:rPr>
          <w:noProof w:val="0"/>
        </w:rPr>
        <w:t xml:space="preserve"> (</w:t>
      </w:r>
      <w:r w:rsidR="0031411A" w:rsidRPr="004D1215">
        <w:rPr>
          <w:noProof w:val="0"/>
        </w:rPr>
        <w:t>2017</w:t>
      </w:r>
      <w:r w:rsidR="0031411A">
        <w:rPr>
          <w:noProof w:val="0"/>
        </w:rPr>
        <w:t>)</w:t>
      </w:r>
      <w:r w:rsidRPr="004D1215">
        <w:rPr>
          <w:noProof w:val="0"/>
        </w:rPr>
        <w:t>.</w:t>
      </w:r>
      <w:bookmarkEnd w:id="2"/>
    </w:p>
    <w:p w14:paraId="2F04FAAD" w14:textId="070184B6" w:rsidR="009140EE" w:rsidRPr="004D1215" w:rsidRDefault="009140EE" w:rsidP="004D1215">
      <w:pPr>
        <w:pStyle w:val="EndNoteBibliography"/>
        <w:rPr>
          <w:noProof w:val="0"/>
        </w:rPr>
      </w:pPr>
      <w:bookmarkStart w:id="3" w:name="_ENREF_3"/>
      <w:r w:rsidRPr="004D1215">
        <w:rPr>
          <w:noProof w:val="0"/>
        </w:rPr>
        <w:t>3.</w:t>
      </w:r>
      <w:r w:rsidRPr="004D1215">
        <w:rPr>
          <w:noProof w:val="0"/>
        </w:rPr>
        <w:tab/>
        <w:t>Simunovic</w:t>
      </w:r>
      <w:r w:rsidR="0031411A">
        <w:rPr>
          <w:noProof w:val="0"/>
        </w:rPr>
        <w:t>,</w:t>
      </w:r>
      <w:r w:rsidRPr="004D1215">
        <w:rPr>
          <w:noProof w:val="0"/>
        </w:rPr>
        <w:t xml:space="preserve"> M</w:t>
      </w:r>
      <w:r w:rsidR="0031411A">
        <w:rPr>
          <w:noProof w:val="0"/>
        </w:rPr>
        <w:t xml:space="preserve">. </w:t>
      </w:r>
      <w:r w:rsidRPr="004D1215">
        <w:rPr>
          <w:noProof w:val="0"/>
        </w:rPr>
        <w:t>P</w:t>
      </w:r>
      <w:r w:rsidR="0031411A">
        <w:rPr>
          <w:noProof w:val="0"/>
        </w:rPr>
        <w:t>.</w:t>
      </w:r>
      <w:r w:rsidRPr="004D1215">
        <w:rPr>
          <w:noProof w:val="0"/>
        </w:rPr>
        <w:t>, Xue</w:t>
      </w:r>
      <w:r w:rsidR="0031411A">
        <w:rPr>
          <w:noProof w:val="0"/>
        </w:rPr>
        <w:t>,</w:t>
      </w:r>
      <w:r w:rsidRPr="004D1215">
        <w:rPr>
          <w:noProof w:val="0"/>
        </w:rPr>
        <w:t xml:space="preserve"> K</w:t>
      </w:r>
      <w:r w:rsidR="0031411A">
        <w:rPr>
          <w:noProof w:val="0"/>
        </w:rPr>
        <w:t>.</w:t>
      </w:r>
      <w:r w:rsidRPr="004D1215">
        <w:rPr>
          <w:noProof w:val="0"/>
        </w:rPr>
        <w:t>, Jolly</w:t>
      </w:r>
      <w:r w:rsidR="0031411A">
        <w:rPr>
          <w:noProof w:val="0"/>
        </w:rPr>
        <w:t>,</w:t>
      </w:r>
      <w:r w:rsidRPr="004D1215">
        <w:rPr>
          <w:noProof w:val="0"/>
        </w:rPr>
        <w:t xml:space="preserve"> J</w:t>
      </w:r>
      <w:r w:rsidR="0031411A">
        <w:rPr>
          <w:noProof w:val="0"/>
        </w:rPr>
        <w:t xml:space="preserve">. </w:t>
      </w:r>
      <w:r w:rsidRPr="004D1215">
        <w:rPr>
          <w:noProof w:val="0"/>
        </w:rPr>
        <w:t>K</w:t>
      </w:r>
      <w:r w:rsidR="0031411A">
        <w:rPr>
          <w:noProof w:val="0"/>
        </w:rPr>
        <w:t>.</w:t>
      </w:r>
      <w:r w:rsidRPr="004D1215">
        <w:rPr>
          <w:noProof w:val="0"/>
        </w:rPr>
        <w:t>, MacLaren</w:t>
      </w:r>
      <w:r w:rsidR="0031411A">
        <w:rPr>
          <w:noProof w:val="0"/>
        </w:rPr>
        <w:t>,</w:t>
      </w:r>
      <w:r w:rsidRPr="004D1215">
        <w:rPr>
          <w:noProof w:val="0"/>
        </w:rPr>
        <w:t xml:space="preserve"> R</w:t>
      </w:r>
      <w:r w:rsidR="0031411A">
        <w:rPr>
          <w:noProof w:val="0"/>
        </w:rPr>
        <w:t xml:space="preserve">. </w:t>
      </w:r>
      <w:r w:rsidRPr="004D1215">
        <w:rPr>
          <w:noProof w:val="0"/>
        </w:rPr>
        <w:t xml:space="preserve">E. Structural and Functional Recovery Following Limited Iatrogenic Macular Detachment for Retinal Gene Therapy. </w:t>
      </w:r>
      <w:r w:rsidRPr="004D1215">
        <w:rPr>
          <w:i/>
          <w:noProof w:val="0"/>
        </w:rPr>
        <w:t xml:space="preserve">JAMA </w:t>
      </w:r>
      <w:proofErr w:type="spellStart"/>
      <w:r w:rsidRPr="004D1215">
        <w:rPr>
          <w:i/>
          <w:noProof w:val="0"/>
        </w:rPr>
        <w:t>Ophthalmol</w:t>
      </w:r>
      <w:proofErr w:type="spellEnd"/>
      <w:r w:rsidRPr="004D1215">
        <w:rPr>
          <w:noProof w:val="0"/>
        </w:rPr>
        <w:t xml:space="preserve"> </w:t>
      </w:r>
      <w:r w:rsidRPr="0031411A">
        <w:rPr>
          <w:b/>
          <w:bCs/>
          <w:noProof w:val="0"/>
        </w:rPr>
        <w:t>135</w:t>
      </w:r>
      <w:r w:rsidR="0031411A">
        <w:rPr>
          <w:b/>
          <w:bCs/>
          <w:noProof w:val="0"/>
        </w:rPr>
        <w:t xml:space="preserve">, </w:t>
      </w:r>
      <w:r w:rsidRPr="004D1215">
        <w:rPr>
          <w:noProof w:val="0"/>
        </w:rPr>
        <w:t>234-241</w:t>
      </w:r>
      <w:r w:rsidR="0031411A">
        <w:rPr>
          <w:noProof w:val="0"/>
        </w:rPr>
        <w:t xml:space="preserve"> (</w:t>
      </w:r>
      <w:r w:rsidR="0031411A" w:rsidRPr="004D1215">
        <w:rPr>
          <w:noProof w:val="0"/>
        </w:rPr>
        <w:t>2017</w:t>
      </w:r>
      <w:r w:rsidR="0031411A">
        <w:rPr>
          <w:noProof w:val="0"/>
        </w:rPr>
        <w:t>)</w:t>
      </w:r>
      <w:r w:rsidRPr="004D1215">
        <w:rPr>
          <w:noProof w:val="0"/>
        </w:rPr>
        <w:t>.</w:t>
      </w:r>
      <w:bookmarkEnd w:id="3"/>
    </w:p>
    <w:p w14:paraId="6D119397" w14:textId="7E14A945" w:rsidR="009140EE" w:rsidRPr="004D1215" w:rsidRDefault="009140EE" w:rsidP="004D1215">
      <w:pPr>
        <w:pStyle w:val="EndNoteBibliography"/>
        <w:rPr>
          <w:noProof w:val="0"/>
        </w:rPr>
      </w:pPr>
      <w:bookmarkStart w:id="4" w:name="_ENREF_4"/>
      <w:r w:rsidRPr="004D1215">
        <w:rPr>
          <w:noProof w:val="0"/>
        </w:rPr>
        <w:t>4.</w:t>
      </w:r>
      <w:r w:rsidRPr="004D1215">
        <w:rPr>
          <w:noProof w:val="0"/>
        </w:rPr>
        <w:tab/>
        <w:t>Parikh</w:t>
      </w:r>
      <w:r w:rsidR="0031411A">
        <w:rPr>
          <w:noProof w:val="0"/>
        </w:rPr>
        <w:t>,</w:t>
      </w:r>
      <w:r w:rsidRPr="004D1215">
        <w:rPr>
          <w:noProof w:val="0"/>
        </w:rPr>
        <w:t xml:space="preserve"> S</w:t>
      </w:r>
      <w:r w:rsidR="0031411A">
        <w:rPr>
          <w:noProof w:val="0"/>
        </w:rPr>
        <w:t>. et al.</w:t>
      </w:r>
      <w:r w:rsidRPr="004D1215">
        <w:rPr>
          <w:noProof w:val="0"/>
        </w:rPr>
        <w:t xml:space="preserve"> An Alternative and Validated Injection Method for Accessing the Subretinal Space via a </w:t>
      </w:r>
      <w:proofErr w:type="spellStart"/>
      <w:r w:rsidRPr="004D1215">
        <w:rPr>
          <w:noProof w:val="0"/>
        </w:rPr>
        <w:t>Transcleral</w:t>
      </w:r>
      <w:proofErr w:type="spellEnd"/>
      <w:r w:rsidRPr="004D1215">
        <w:rPr>
          <w:noProof w:val="0"/>
        </w:rPr>
        <w:t xml:space="preserve"> Posterior Approach. </w:t>
      </w:r>
      <w:r w:rsidRPr="004D1215">
        <w:rPr>
          <w:i/>
          <w:noProof w:val="0"/>
        </w:rPr>
        <w:t>J Vis Exp</w:t>
      </w:r>
      <w:r w:rsidR="0031411A">
        <w:rPr>
          <w:i/>
          <w:noProof w:val="0"/>
        </w:rPr>
        <w:t xml:space="preserve">. </w:t>
      </w:r>
      <w:r w:rsidR="0031411A" w:rsidRPr="0031411A">
        <w:rPr>
          <w:iCs/>
          <w:noProof w:val="0"/>
        </w:rPr>
        <w:t>(118), 54808</w:t>
      </w:r>
      <w:r w:rsidRPr="004D1215">
        <w:rPr>
          <w:noProof w:val="0"/>
        </w:rPr>
        <w:t xml:space="preserve"> </w:t>
      </w:r>
      <w:r w:rsidR="0031411A">
        <w:rPr>
          <w:noProof w:val="0"/>
        </w:rPr>
        <w:t>(</w:t>
      </w:r>
      <w:r w:rsidRPr="004D1215">
        <w:rPr>
          <w:noProof w:val="0"/>
        </w:rPr>
        <w:t>2016</w:t>
      </w:r>
      <w:r w:rsidR="0031411A">
        <w:rPr>
          <w:noProof w:val="0"/>
        </w:rPr>
        <w:t>)</w:t>
      </w:r>
      <w:r w:rsidRPr="004D1215">
        <w:rPr>
          <w:noProof w:val="0"/>
        </w:rPr>
        <w:t>.</w:t>
      </w:r>
      <w:bookmarkEnd w:id="4"/>
    </w:p>
    <w:p w14:paraId="5657F267" w14:textId="2B6B9C6C" w:rsidR="009140EE" w:rsidRPr="004D1215" w:rsidRDefault="009140EE" w:rsidP="004D1215">
      <w:pPr>
        <w:pStyle w:val="EndNoteBibliography"/>
        <w:rPr>
          <w:noProof w:val="0"/>
        </w:rPr>
      </w:pPr>
      <w:bookmarkStart w:id="5" w:name="_ENREF_5"/>
      <w:r w:rsidRPr="004D1215">
        <w:rPr>
          <w:noProof w:val="0"/>
        </w:rPr>
        <w:t>5.</w:t>
      </w:r>
      <w:r w:rsidRPr="004D1215">
        <w:rPr>
          <w:noProof w:val="0"/>
        </w:rPr>
        <w:tab/>
        <w:t>Testa</w:t>
      </w:r>
      <w:r w:rsidR="0031411A">
        <w:rPr>
          <w:noProof w:val="0"/>
        </w:rPr>
        <w:t>,</w:t>
      </w:r>
      <w:r w:rsidRPr="004D1215">
        <w:rPr>
          <w:noProof w:val="0"/>
        </w:rPr>
        <w:t xml:space="preserve"> F</w:t>
      </w:r>
      <w:r w:rsidR="0031411A">
        <w:rPr>
          <w:noProof w:val="0"/>
        </w:rPr>
        <w:t>.</w:t>
      </w:r>
      <w:r w:rsidRPr="004D1215">
        <w:rPr>
          <w:noProof w:val="0"/>
        </w:rPr>
        <w:t xml:space="preserve"> et al. Three-year follow-up after unilateral subretinal delivery of adeno-associated virus in patients with Leber congenital Amaurosis type 2. </w:t>
      </w:r>
      <w:r w:rsidRPr="004D1215">
        <w:rPr>
          <w:i/>
          <w:noProof w:val="0"/>
        </w:rPr>
        <w:t>Ophthalmology</w:t>
      </w:r>
      <w:r w:rsidR="0031411A">
        <w:rPr>
          <w:noProof w:val="0"/>
        </w:rPr>
        <w:t xml:space="preserve">. </w:t>
      </w:r>
      <w:r w:rsidRPr="0031411A">
        <w:rPr>
          <w:b/>
          <w:bCs/>
          <w:noProof w:val="0"/>
        </w:rPr>
        <w:t>120</w:t>
      </w:r>
      <w:r w:rsidR="0031411A">
        <w:rPr>
          <w:b/>
          <w:bCs/>
          <w:noProof w:val="0"/>
        </w:rPr>
        <w:t xml:space="preserve">, </w:t>
      </w:r>
      <w:r w:rsidRPr="004D1215">
        <w:rPr>
          <w:noProof w:val="0"/>
        </w:rPr>
        <w:t>1283-1291</w:t>
      </w:r>
      <w:r w:rsidR="0031411A">
        <w:rPr>
          <w:noProof w:val="0"/>
        </w:rPr>
        <w:t xml:space="preserve"> (</w:t>
      </w:r>
      <w:r w:rsidR="0031411A" w:rsidRPr="004D1215">
        <w:rPr>
          <w:noProof w:val="0"/>
        </w:rPr>
        <w:t>2013</w:t>
      </w:r>
      <w:r w:rsidR="0031411A">
        <w:rPr>
          <w:noProof w:val="0"/>
        </w:rPr>
        <w:t>)</w:t>
      </w:r>
      <w:r w:rsidRPr="004D1215">
        <w:rPr>
          <w:noProof w:val="0"/>
        </w:rPr>
        <w:t>.</w:t>
      </w:r>
      <w:bookmarkEnd w:id="5"/>
    </w:p>
    <w:p w14:paraId="06FB3EA6" w14:textId="340E29D2" w:rsidR="009140EE" w:rsidRPr="004D1215" w:rsidRDefault="009140EE" w:rsidP="004D1215">
      <w:pPr>
        <w:pStyle w:val="EndNoteBibliography"/>
        <w:rPr>
          <w:noProof w:val="0"/>
        </w:rPr>
      </w:pPr>
      <w:bookmarkStart w:id="6" w:name="_ENREF_6"/>
      <w:r w:rsidRPr="004D1215">
        <w:rPr>
          <w:noProof w:val="0"/>
        </w:rPr>
        <w:t>6.</w:t>
      </w:r>
      <w:r w:rsidRPr="004D1215">
        <w:rPr>
          <w:noProof w:val="0"/>
        </w:rPr>
        <w:tab/>
        <w:t>Ghazi</w:t>
      </w:r>
      <w:r w:rsidR="0031411A">
        <w:rPr>
          <w:noProof w:val="0"/>
        </w:rPr>
        <w:t>,</w:t>
      </w:r>
      <w:r w:rsidRPr="004D1215">
        <w:rPr>
          <w:noProof w:val="0"/>
        </w:rPr>
        <w:t xml:space="preserve"> N</w:t>
      </w:r>
      <w:r w:rsidR="0031411A">
        <w:rPr>
          <w:noProof w:val="0"/>
        </w:rPr>
        <w:t xml:space="preserve">. </w:t>
      </w:r>
      <w:r w:rsidRPr="004D1215">
        <w:rPr>
          <w:noProof w:val="0"/>
        </w:rPr>
        <w:t>G</w:t>
      </w:r>
      <w:r w:rsidR="0031411A">
        <w:rPr>
          <w:noProof w:val="0"/>
        </w:rPr>
        <w:t>.</w:t>
      </w:r>
      <w:r w:rsidRPr="004D1215">
        <w:rPr>
          <w:noProof w:val="0"/>
        </w:rPr>
        <w:t xml:space="preserve"> et al. Treatment of retinitis pigmentosa due to MERTK mutations by ocular subretinal injection of adeno-associated virus gene vector: results of a phase I trial. </w:t>
      </w:r>
      <w:r w:rsidRPr="004D1215">
        <w:rPr>
          <w:i/>
          <w:noProof w:val="0"/>
        </w:rPr>
        <w:t>Hum Genet</w:t>
      </w:r>
      <w:r w:rsidR="0031411A">
        <w:rPr>
          <w:noProof w:val="0"/>
        </w:rPr>
        <w:t xml:space="preserve">. </w:t>
      </w:r>
      <w:r w:rsidRPr="0031411A">
        <w:rPr>
          <w:b/>
          <w:bCs/>
          <w:noProof w:val="0"/>
        </w:rPr>
        <w:t>135</w:t>
      </w:r>
      <w:r w:rsidR="0031411A">
        <w:rPr>
          <w:b/>
          <w:bCs/>
          <w:noProof w:val="0"/>
        </w:rPr>
        <w:t xml:space="preserve">, </w:t>
      </w:r>
      <w:r w:rsidRPr="004D1215">
        <w:rPr>
          <w:noProof w:val="0"/>
        </w:rPr>
        <w:t>327-343</w:t>
      </w:r>
      <w:r w:rsidR="0031411A">
        <w:rPr>
          <w:noProof w:val="0"/>
        </w:rPr>
        <w:t xml:space="preserve"> (</w:t>
      </w:r>
      <w:r w:rsidR="0031411A" w:rsidRPr="004D1215">
        <w:rPr>
          <w:noProof w:val="0"/>
        </w:rPr>
        <w:t>2016</w:t>
      </w:r>
      <w:r w:rsidR="0031411A">
        <w:rPr>
          <w:noProof w:val="0"/>
        </w:rPr>
        <w:t>)</w:t>
      </w:r>
      <w:r w:rsidRPr="004D1215">
        <w:rPr>
          <w:noProof w:val="0"/>
        </w:rPr>
        <w:t>.</w:t>
      </w:r>
      <w:bookmarkEnd w:id="6"/>
    </w:p>
    <w:p w14:paraId="6F9F28FD" w14:textId="49884CAA" w:rsidR="009140EE" w:rsidRPr="004D1215" w:rsidRDefault="009140EE" w:rsidP="004D1215">
      <w:pPr>
        <w:pStyle w:val="EndNoteBibliography"/>
        <w:rPr>
          <w:noProof w:val="0"/>
        </w:rPr>
      </w:pPr>
      <w:bookmarkStart w:id="7" w:name="_ENREF_7"/>
      <w:r w:rsidRPr="004D1215">
        <w:rPr>
          <w:noProof w:val="0"/>
        </w:rPr>
        <w:lastRenderedPageBreak/>
        <w:t>7.</w:t>
      </w:r>
      <w:r w:rsidRPr="004D1215">
        <w:rPr>
          <w:noProof w:val="0"/>
        </w:rPr>
        <w:tab/>
        <w:t>Bennett</w:t>
      </w:r>
      <w:r w:rsidR="0031411A">
        <w:rPr>
          <w:noProof w:val="0"/>
        </w:rPr>
        <w:t>,</w:t>
      </w:r>
      <w:r w:rsidRPr="004D1215">
        <w:rPr>
          <w:noProof w:val="0"/>
        </w:rPr>
        <w:t xml:space="preserve"> J</w:t>
      </w:r>
      <w:r w:rsidR="0031411A">
        <w:rPr>
          <w:noProof w:val="0"/>
        </w:rPr>
        <w:t>.</w:t>
      </w:r>
      <w:r w:rsidRPr="004D1215">
        <w:rPr>
          <w:noProof w:val="0"/>
        </w:rPr>
        <w:t>, Anand</w:t>
      </w:r>
      <w:r w:rsidR="0031411A">
        <w:rPr>
          <w:noProof w:val="0"/>
        </w:rPr>
        <w:t>,</w:t>
      </w:r>
      <w:r w:rsidRPr="004D1215">
        <w:rPr>
          <w:noProof w:val="0"/>
        </w:rPr>
        <w:t xml:space="preserve"> V</w:t>
      </w:r>
      <w:r w:rsidR="0031411A">
        <w:rPr>
          <w:noProof w:val="0"/>
        </w:rPr>
        <w:t>.</w:t>
      </w:r>
      <w:r w:rsidRPr="004D1215">
        <w:rPr>
          <w:noProof w:val="0"/>
        </w:rPr>
        <w:t>, Acland</w:t>
      </w:r>
      <w:r w:rsidR="0031411A">
        <w:rPr>
          <w:noProof w:val="0"/>
        </w:rPr>
        <w:t>,</w:t>
      </w:r>
      <w:r w:rsidRPr="004D1215">
        <w:rPr>
          <w:noProof w:val="0"/>
        </w:rPr>
        <w:t xml:space="preserve"> G</w:t>
      </w:r>
      <w:r w:rsidR="0031411A">
        <w:rPr>
          <w:noProof w:val="0"/>
        </w:rPr>
        <w:t xml:space="preserve">. </w:t>
      </w:r>
      <w:r w:rsidRPr="004D1215">
        <w:rPr>
          <w:noProof w:val="0"/>
        </w:rPr>
        <w:t>M</w:t>
      </w:r>
      <w:r w:rsidR="0031411A">
        <w:rPr>
          <w:noProof w:val="0"/>
        </w:rPr>
        <w:t>.</w:t>
      </w:r>
      <w:r w:rsidRPr="004D1215">
        <w:rPr>
          <w:noProof w:val="0"/>
        </w:rPr>
        <w:t>, Maguire</w:t>
      </w:r>
      <w:r w:rsidR="0031411A">
        <w:rPr>
          <w:noProof w:val="0"/>
        </w:rPr>
        <w:t>,</w:t>
      </w:r>
      <w:r w:rsidRPr="004D1215">
        <w:rPr>
          <w:noProof w:val="0"/>
        </w:rPr>
        <w:t xml:space="preserve"> A</w:t>
      </w:r>
      <w:r w:rsidR="0031411A">
        <w:rPr>
          <w:noProof w:val="0"/>
        </w:rPr>
        <w:t xml:space="preserve">. </w:t>
      </w:r>
      <w:r w:rsidRPr="004D1215">
        <w:rPr>
          <w:noProof w:val="0"/>
        </w:rPr>
        <w:t xml:space="preserve">M. Cross-species comparison of in vivo reporter gene expression after recombinant adeno-associated virus-mediated retinal transduction. </w:t>
      </w:r>
      <w:r w:rsidRPr="004D1215">
        <w:rPr>
          <w:i/>
          <w:noProof w:val="0"/>
        </w:rPr>
        <w:t xml:space="preserve">Methods </w:t>
      </w:r>
      <w:proofErr w:type="spellStart"/>
      <w:r w:rsidRPr="004D1215">
        <w:rPr>
          <w:i/>
          <w:noProof w:val="0"/>
        </w:rPr>
        <w:t>Enzymol</w:t>
      </w:r>
      <w:proofErr w:type="spellEnd"/>
      <w:r w:rsidR="0031411A">
        <w:rPr>
          <w:noProof w:val="0"/>
        </w:rPr>
        <w:t xml:space="preserve">. </w:t>
      </w:r>
      <w:r w:rsidRPr="0031411A">
        <w:rPr>
          <w:b/>
          <w:bCs/>
          <w:noProof w:val="0"/>
        </w:rPr>
        <w:t>316</w:t>
      </w:r>
      <w:r w:rsidR="0031411A">
        <w:rPr>
          <w:b/>
          <w:bCs/>
          <w:noProof w:val="0"/>
        </w:rPr>
        <w:t xml:space="preserve">, </w:t>
      </w:r>
      <w:r w:rsidRPr="004D1215">
        <w:rPr>
          <w:noProof w:val="0"/>
        </w:rPr>
        <w:t>777-789</w:t>
      </w:r>
      <w:r w:rsidR="0031411A">
        <w:rPr>
          <w:noProof w:val="0"/>
        </w:rPr>
        <w:t xml:space="preserve"> (</w:t>
      </w:r>
      <w:r w:rsidR="0031411A" w:rsidRPr="004D1215">
        <w:rPr>
          <w:noProof w:val="0"/>
        </w:rPr>
        <w:t>2000</w:t>
      </w:r>
      <w:r w:rsidR="0031411A">
        <w:rPr>
          <w:noProof w:val="0"/>
        </w:rPr>
        <w:t>)</w:t>
      </w:r>
      <w:r w:rsidRPr="004D1215">
        <w:rPr>
          <w:noProof w:val="0"/>
        </w:rPr>
        <w:t>.</w:t>
      </w:r>
      <w:bookmarkEnd w:id="7"/>
    </w:p>
    <w:p w14:paraId="47F46513" w14:textId="1108649C" w:rsidR="009140EE" w:rsidRPr="004D1215" w:rsidRDefault="009140EE" w:rsidP="004D1215">
      <w:pPr>
        <w:pStyle w:val="EndNoteBibliography"/>
        <w:rPr>
          <w:noProof w:val="0"/>
        </w:rPr>
      </w:pPr>
      <w:bookmarkStart w:id="8" w:name="_ENREF_8"/>
      <w:r w:rsidRPr="004D1215">
        <w:rPr>
          <w:noProof w:val="0"/>
        </w:rPr>
        <w:t>8.</w:t>
      </w:r>
      <w:r w:rsidRPr="004D1215">
        <w:rPr>
          <w:noProof w:val="0"/>
        </w:rPr>
        <w:tab/>
      </w:r>
      <w:proofErr w:type="spellStart"/>
      <w:r w:rsidRPr="004D1215">
        <w:rPr>
          <w:noProof w:val="0"/>
        </w:rPr>
        <w:t>Muhlfriedel</w:t>
      </w:r>
      <w:proofErr w:type="spellEnd"/>
      <w:r w:rsidR="0031411A">
        <w:rPr>
          <w:noProof w:val="0"/>
        </w:rPr>
        <w:t>,</w:t>
      </w:r>
      <w:r w:rsidRPr="004D1215">
        <w:rPr>
          <w:noProof w:val="0"/>
        </w:rPr>
        <w:t xml:space="preserve"> R</w:t>
      </w:r>
      <w:r w:rsidR="0031411A">
        <w:rPr>
          <w:noProof w:val="0"/>
        </w:rPr>
        <w:t>.</w:t>
      </w:r>
      <w:r w:rsidRPr="004D1215">
        <w:rPr>
          <w:noProof w:val="0"/>
        </w:rPr>
        <w:t>, Michalakis</w:t>
      </w:r>
      <w:r w:rsidR="0031411A">
        <w:rPr>
          <w:noProof w:val="0"/>
        </w:rPr>
        <w:t>,</w:t>
      </w:r>
      <w:r w:rsidRPr="004D1215">
        <w:rPr>
          <w:noProof w:val="0"/>
        </w:rPr>
        <w:t xml:space="preserve"> S</w:t>
      </w:r>
      <w:r w:rsidR="0031411A">
        <w:rPr>
          <w:noProof w:val="0"/>
        </w:rPr>
        <w:t>.</w:t>
      </w:r>
      <w:r w:rsidRPr="004D1215">
        <w:rPr>
          <w:noProof w:val="0"/>
        </w:rPr>
        <w:t>, Garcia Garrido</w:t>
      </w:r>
      <w:r w:rsidR="0031411A">
        <w:rPr>
          <w:noProof w:val="0"/>
        </w:rPr>
        <w:t>,</w:t>
      </w:r>
      <w:r w:rsidRPr="004D1215">
        <w:rPr>
          <w:noProof w:val="0"/>
        </w:rPr>
        <w:t xml:space="preserve"> M</w:t>
      </w:r>
      <w:r w:rsidR="0031411A">
        <w:rPr>
          <w:noProof w:val="0"/>
        </w:rPr>
        <w:t>.</w:t>
      </w:r>
      <w:r w:rsidRPr="004D1215">
        <w:rPr>
          <w:noProof w:val="0"/>
        </w:rPr>
        <w:t>, Biel</w:t>
      </w:r>
      <w:r w:rsidR="0031411A">
        <w:rPr>
          <w:noProof w:val="0"/>
        </w:rPr>
        <w:t>,</w:t>
      </w:r>
      <w:r w:rsidRPr="004D1215">
        <w:rPr>
          <w:noProof w:val="0"/>
        </w:rPr>
        <w:t xml:space="preserve"> M</w:t>
      </w:r>
      <w:r w:rsidR="0031411A">
        <w:rPr>
          <w:noProof w:val="0"/>
        </w:rPr>
        <w:t>.</w:t>
      </w:r>
      <w:r w:rsidRPr="004D1215">
        <w:rPr>
          <w:noProof w:val="0"/>
        </w:rPr>
        <w:t>, Seeliger</w:t>
      </w:r>
      <w:r w:rsidR="0031411A">
        <w:rPr>
          <w:noProof w:val="0"/>
        </w:rPr>
        <w:t>,</w:t>
      </w:r>
      <w:r w:rsidRPr="004D1215">
        <w:rPr>
          <w:noProof w:val="0"/>
        </w:rPr>
        <w:t xml:space="preserve"> M</w:t>
      </w:r>
      <w:r w:rsidR="0031411A">
        <w:rPr>
          <w:noProof w:val="0"/>
        </w:rPr>
        <w:t xml:space="preserve">. </w:t>
      </w:r>
      <w:r w:rsidRPr="004D1215">
        <w:rPr>
          <w:noProof w:val="0"/>
        </w:rPr>
        <w:t xml:space="preserve">W. Optimized technique for subretinal injections in mice. </w:t>
      </w:r>
      <w:r w:rsidRPr="004D1215">
        <w:rPr>
          <w:i/>
          <w:noProof w:val="0"/>
        </w:rPr>
        <w:t>Methods Mol Biol</w:t>
      </w:r>
      <w:r w:rsidR="0031411A">
        <w:rPr>
          <w:noProof w:val="0"/>
        </w:rPr>
        <w:t xml:space="preserve">. </w:t>
      </w:r>
      <w:r w:rsidRPr="0031411A">
        <w:rPr>
          <w:b/>
          <w:bCs/>
          <w:noProof w:val="0"/>
        </w:rPr>
        <w:t>935</w:t>
      </w:r>
      <w:r w:rsidR="0031411A">
        <w:rPr>
          <w:b/>
          <w:bCs/>
          <w:noProof w:val="0"/>
        </w:rPr>
        <w:t xml:space="preserve">, </w:t>
      </w:r>
      <w:r w:rsidRPr="004D1215">
        <w:rPr>
          <w:noProof w:val="0"/>
        </w:rPr>
        <w:t>343-349</w:t>
      </w:r>
      <w:r w:rsidR="0031411A">
        <w:rPr>
          <w:noProof w:val="0"/>
        </w:rPr>
        <w:t xml:space="preserve"> (</w:t>
      </w:r>
      <w:r w:rsidR="0031411A" w:rsidRPr="004D1215">
        <w:rPr>
          <w:noProof w:val="0"/>
        </w:rPr>
        <w:t>2013</w:t>
      </w:r>
      <w:r w:rsidR="0031411A">
        <w:rPr>
          <w:noProof w:val="0"/>
        </w:rPr>
        <w:t>)</w:t>
      </w:r>
      <w:r w:rsidRPr="004D1215">
        <w:rPr>
          <w:noProof w:val="0"/>
        </w:rPr>
        <w:t>.</w:t>
      </w:r>
      <w:bookmarkEnd w:id="8"/>
    </w:p>
    <w:p w14:paraId="05D66ACA" w14:textId="7B35566E" w:rsidR="009140EE" w:rsidRPr="004D1215" w:rsidRDefault="009140EE" w:rsidP="004D1215">
      <w:pPr>
        <w:pStyle w:val="EndNoteBibliography"/>
        <w:rPr>
          <w:noProof w:val="0"/>
        </w:rPr>
      </w:pPr>
      <w:bookmarkStart w:id="9" w:name="_ENREF_9"/>
      <w:r w:rsidRPr="004D1215">
        <w:rPr>
          <w:noProof w:val="0"/>
        </w:rPr>
        <w:t>9.</w:t>
      </w:r>
      <w:r w:rsidRPr="004D1215">
        <w:rPr>
          <w:noProof w:val="0"/>
        </w:rPr>
        <w:tab/>
      </w:r>
      <w:proofErr w:type="spellStart"/>
      <w:r w:rsidRPr="004D1215">
        <w:rPr>
          <w:noProof w:val="0"/>
        </w:rPr>
        <w:t>Hejri</w:t>
      </w:r>
      <w:proofErr w:type="spellEnd"/>
      <w:r w:rsidR="0031411A">
        <w:rPr>
          <w:noProof w:val="0"/>
        </w:rPr>
        <w:t>,</w:t>
      </w:r>
      <w:r w:rsidRPr="004D1215">
        <w:rPr>
          <w:noProof w:val="0"/>
        </w:rPr>
        <w:t xml:space="preserve"> A</w:t>
      </w:r>
      <w:r w:rsidR="0031411A">
        <w:rPr>
          <w:noProof w:val="0"/>
        </w:rPr>
        <w:t>.</w:t>
      </w:r>
      <w:r w:rsidRPr="004D1215">
        <w:rPr>
          <w:noProof w:val="0"/>
        </w:rPr>
        <w:t xml:space="preserve"> et al. A non‐surgical method for subretinal delivery by trans‐scleral microneedle injection. </w:t>
      </w:r>
      <w:proofErr w:type="spellStart"/>
      <w:r w:rsidRPr="004D1215">
        <w:rPr>
          <w:i/>
          <w:noProof w:val="0"/>
        </w:rPr>
        <w:t>Bioeng</w:t>
      </w:r>
      <w:proofErr w:type="spellEnd"/>
      <w:r w:rsidRPr="004D1215">
        <w:rPr>
          <w:i/>
          <w:noProof w:val="0"/>
        </w:rPr>
        <w:t xml:space="preserve"> </w:t>
      </w:r>
      <w:proofErr w:type="spellStart"/>
      <w:r w:rsidRPr="004D1215">
        <w:rPr>
          <w:i/>
          <w:noProof w:val="0"/>
        </w:rPr>
        <w:t>Transl</w:t>
      </w:r>
      <w:proofErr w:type="spellEnd"/>
      <w:r w:rsidRPr="004D1215">
        <w:rPr>
          <w:i/>
          <w:noProof w:val="0"/>
        </w:rPr>
        <w:t xml:space="preserve"> Med</w:t>
      </w:r>
      <w:r w:rsidR="0031411A">
        <w:rPr>
          <w:i/>
          <w:noProof w:val="0"/>
        </w:rPr>
        <w:t xml:space="preserve">. </w:t>
      </w:r>
      <w:r w:rsidR="0031411A" w:rsidRPr="0031411A">
        <w:rPr>
          <w:b/>
          <w:bCs/>
          <w:iCs/>
          <w:noProof w:val="0"/>
        </w:rPr>
        <w:t>10</w:t>
      </w:r>
      <w:r w:rsidR="0031411A" w:rsidRPr="0031411A">
        <w:rPr>
          <w:iCs/>
          <w:noProof w:val="0"/>
        </w:rPr>
        <w:t xml:space="preserve"> (3), e10755</w:t>
      </w:r>
      <w:r w:rsidRPr="004D1215">
        <w:rPr>
          <w:noProof w:val="0"/>
        </w:rPr>
        <w:t xml:space="preserve"> </w:t>
      </w:r>
      <w:r w:rsidR="0031411A">
        <w:rPr>
          <w:noProof w:val="0"/>
        </w:rPr>
        <w:t>(</w:t>
      </w:r>
      <w:r w:rsidRPr="004D1215">
        <w:rPr>
          <w:noProof w:val="0"/>
        </w:rPr>
        <w:t>2025</w:t>
      </w:r>
      <w:r w:rsidR="0031411A">
        <w:rPr>
          <w:noProof w:val="0"/>
        </w:rPr>
        <w:t>)</w:t>
      </w:r>
      <w:r w:rsidRPr="004D1215">
        <w:rPr>
          <w:noProof w:val="0"/>
        </w:rPr>
        <w:t>.</w:t>
      </w:r>
      <w:bookmarkEnd w:id="9"/>
    </w:p>
    <w:p w14:paraId="0DCB758B" w14:textId="7CDC7FAE" w:rsidR="009140EE" w:rsidRPr="004D1215" w:rsidRDefault="009140EE" w:rsidP="004D1215">
      <w:pPr>
        <w:pStyle w:val="EndNoteBibliography"/>
        <w:rPr>
          <w:noProof w:val="0"/>
        </w:rPr>
      </w:pPr>
      <w:bookmarkStart w:id="10" w:name="_ENREF_10"/>
      <w:r w:rsidRPr="004D1215">
        <w:rPr>
          <w:noProof w:val="0"/>
        </w:rPr>
        <w:t>10.</w:t>
      </w:r>
      <w:r w:rsidRPr="004D1215">
        <w:rPr>
          <w:noProof w:val="0"/>
        </w:rPr>
        <w:tab/>
        <w:t>Sastry</w:t>
      </w:r>
      <w:r w:rsidR="0031411A">
        <w:rPr>
          <w:noProof w:val="0"/>
        </w:rPr>
        <w:t>,</w:t>
      </w:r>
      <w:r w:rsidRPr="004D1215">
        <w:rPr>
          <w:noProof w:val="0"/>
        </w:rPr>
        <w:t xml:space="preserve"> A</w:t>
      </w:r>
      <w:r w:rsidR="0031411A">
        <w:rPr>
          <w:noProof w:val="0"/>
        </w:rPr>
        <w:t xml:space="preserve">. </w:t>
      </w:r>
      <w:r w:rsidRPr="004D1215">
        <w:rPr>
          <w:noProof w:val="0"/>
        </w:rPr>
        <w:t xml:space="preserve">et al. Microscope-Integrated OCT-Guided Volumetric Measurements of Subretinal Blebs Created by a Suprachoroidal Approach. </w:t>
      </w:r>
      <w:proofErr w:type="spellStart"/>
      <w:r w:rsidRPr="004D1215">
        <w:rPr>
          <w:i/>
          <w:noProof w:val="0"/>
        </w:rPr>
        <w:t>Transl</w:t>
      </w:r>
      <w:proofErr w:type="spellEnd"/>
      <w:r w:rsidRPr="004D1215">
        <w:rPr>
          <w:i/>
          <w:noProof w:val="0"/>
        </w:rPr>
        <w:t xml:space="preserve"> Vis Sci Technol</w:t>
      </w:r>
      <w:r w:rsidR="0031411A">
        <w:rPr>
          <w:noProof w:val="0"/>
        </w:rPr>
        <w:t xml:space="preserve">. </w:t>
      </w:r>
      <w:r w:rsidRPr="0031411A">
        <w:rPr>
          <w:b/>
          <w:bCs/>
          <w:noProof w:val="0"/>
        </w:rPr>
        <w:t>10</w:t>
      </w:r>
      <w:r w:rsidR="0031411A">
        <w:rPr>
          <w:b/>
          <w:bCs/>
          <w:noProof w:val="0"/>
        </w:rPr>
        <w:t xml:space="preserve">, </w:t>
      </w:r>
      <w:r w:rsidRPr="004D1215">
        <w:rPr>
          <w:noProof w:val="0"/>
        </w:rPr>
        <w:t>24</w:t>
      </w:r>
      <w:r w:rsidR="0031411A">
        <w:rPr>
          <w:noProof w:val="0"/>
        </w:rPr>
        <w:t xml:space="preserve"> (</w:t>
      </w:r>
      <w:r w:rsidR="0031411A" w:rsidRPr="004D1215">
        <w:rPr>
          <w:noProof w:val="0"/>
        </w:rPr>
        <w:t>2021</w:t>
      </w:r>
      <w:r w:rsidR="0031411A">
        <w:rPr>
          <w:noProof w:val="0"/>
        </w:rPr>
        <w:t>)</w:t>
      </w:r>
      <w:r w:rsidRPr="004D1215">
        <w:rPr>
          <w:noProof w:val="0"/>
        </w:rPr>
        <w:t>.</w:t>
      </w:r>
      <w:bookmarkEnd w:id="10"/>
    </w:p>
    <w:p w14:paraId="516904C6" w14:textId="07519E69" w:rsidR="009140EE" w:rsidRPr="004D1215" w:rsidRDefault="009140EE" w:rsidP="004D1215">
      <w:pPr>
        <w:pStyle w:val="EndNoteBibliography"/>
        <w:rPr>
          <w:noProof w:val="0"/>
        </w:rPr>
      </w:pPr>
      <w:bookmarkStart w:id="11" w:name="_ENREF_11"/>
      <w:r w:rsidRPr="004D1215">
        <w:rPr>
          <w:noProof w:val="0"/>
        </w:rPr>
        <w:t>11.</w:t>
      </w:r>
      <w:r w:rsidRPr="004D1215">
        <w:rPr>
          <w:noProof w:val="0"/>
        </w:rPr>
        <w:tab/>
        <w:t>Blanc</w:t>
      </w:r>
      <w:r w:rsidR="0031411A">
        <w:rPr>
          <w:noProof w:val="0"/>
        </w:rPr>
        <w:t>,</w:t>
      </w:r>
      <w:r w:rsidRPr="004D1215">
        <w:rPr>
          <w:noProof w:val="0"/>
        </w:rPr>
        <w:t xml:space="preserve"> V</w:t>
      </w:r>
      <w:r w:rsidR="0031411A">
        <w:rPr>
          <w:noProof w:val="0"/>
        </w:rPr>
        <w:t xml:space="preserve">. </w:t>
      </w:r>
      <w:r w:rsidRPr="004D1215">
        <w:rPr>
          <w:noProof w:val="0"/>
        </w:rPr>
        <w:t>F</w:t>
      </w:r>
      <w:r w:rsidR="0031411A">
        <w:rPr>
          <w:noProof w:val="0"/>
        </w:rPr>
        <w:t>.</w:t>
      </w:r>
      <w:r w:rsidRPr="004D1215">
        <w:rPr>
          <w:noProof w:val="0"/>
        </w:rPr>
        <w:t>, Jacob</w:t>
      </w:r>
      <w:r w:rsidR="0031411A">
        <w:rPr>
          <w:noProof w:val="0"/>
        </w:rPr>
        <w:t>,</w:t>
      </w:r>
      <w:r w:rsidRPr="004D1215">
        <w:rPr>
          <w:noProof w:val="0"/>
        </w:rPr>
        <w:t xml:space="preserve"> J</w:t>
      </w:r>
      <w:r w:rsidR="0031411A">
        <w:rPr>
          <w:noProof w:val="0"/>
        </w:rPr>
        <w:t xml:space="preserve">. </w:t>
      </w:r>
      <w:r w:rsidRPr="004D1215">
        <w:rPr>
          <w:noProof w:val="0"/>
        </w:rPr>
        <w:t>L</w:t>
      </w:r>
      <w:r w:rsidR="0031411A">
        <w:rPr>
          <w:noProof w:val="0"/>
        </w:rPr>
        <w:t>.</w:t>
      </w:r>
      <w:r w:rsidRPr="004D1215">
        <w:rPr>
          <w:noProof w:val="0"/>
        </w:rPr>
        <w:t>, Milot</w:t>
      </w:r>
      <w:r w:rsidR="0031411A">
        <w:rPr>
          <w:noProof w:val="0"/>
        </w:rPr>
        <w:t>,</w:t>
      </w:r>
      <w:r w:rsidRPr="004D1215">
        <w:rPr>
          <w:noProof w:val="0"/>
        </w:rPr>
        <w:t xml:space="preserve"> J</w:t>
      </w:r>
      <w:r w:rsidR="0031411A">
        <w:rPr>
          <w:noProof w:val="0"/>
        </w:rPr>
        <w:t>.</w:t>
      </w:r>
      <w:r w:rsidRPr="004D1215">
        <w:rPr>
          <w:noProof w:val="0"/>
        </w:rPr>
        <w:t xml:space="preserve">, </w:t>
      </w:r>
      <w:proofErr w:type="spellStart"/>
      <w:r w:rsidRPr="004D1215">
        <w:rPr>
          <w:noProof w:val="0"/>
        </w:rPr>
        <w:t>Cyrenne</w:t>
      </w:r>
      <w:proofErr w:type="spellEnd"/>
      <w:r w:rsidR="0031411A">
        <w:rPr>
          <w:noProof w:val="0"/>
        </w:rPr>
        <w:t>,</w:t>
      </w:r>
      <w:r w:rsidRPr="004D1215">
        <w:rPr>
          <w:noProof w:val="0"/>
        </w:rPr>
        <w:t xml:space="preserve"> L. The oculorespiratory reflex revisited. </w:t>
      </w:r>
      <w:r w:rsidRPr="004D1215">
        <w:rPr>
          <w:i/>
          <w:noProof w:val="0"/>
        </w:rPr>
        <w:t xml:space="preserve">Can J </w:t>
      </w:r>
      <w:proofErr w:type="spellStart"/>
      <w:r w:rsidRPr="004D1215">
        <w:rPr>
          <w:i/>
          <w:noProof w:val="0"/>
        </w:rPr>
        <w:t>Anaesth</w:t>
      </w:r>
      <w:proofErr w:type="spellEnd"/>
      <w:r w:rsidR="0031411A">
        <w:rPr>
          <w:noProof w:val="0"/>
        </w:rPr>
        <w:t xml:space="preserve">. </w:t>
      </w:r>
      <w:r w:rsidRPr="0031411A">
        <w:rPr>
          <w:b/>
          <w:bCs/>
          <w:noProof w:val="0"/>
        </w:rPr>
        <w:t>35</w:t>
      </w:r>
      <w:r w:rsidR="0031411A">
        <w:rPr>
          <w:b/>
          <w:bCs/>
          <w:noProof w:val="0"/>
        </w:rPr>
        <w:t xml:space="preserve">, </w:t>
      </w:r>
      <w:r w:rsidRPr="004D1215">
        <w:rPr>
          <w:noProof w:val="0"/>
        </w:rPr>
        <w:t>468-472</w:t>
      </w:r>
      <w:r w:rsidR="0031411A">
        <w:rPr>
          <w:noProof w:val="0"/>
        </w:rPr>
        <w:t xml:space="preserve"> (</w:t>
      </w:r>
      <w:r w:rsidR="0031411A" w:rsidRPr="004D1215">
        <w:rPr>
          <w:noProof w:val="0"/>
        </w:rPr>
        <w:t>1988</w:t>
      </w:r>
      <w:r w:rsidR="0031411A">
        <w:rPr>
          <w:noProof w:val="0"/>
        </w:rPr>
        <w:t>)</w:t>
      </w:r>
      <w:r w:rsidRPr="004D1215">
        <w:rPr>
          <w:noProof w:val="0"/>
        </w:rPr>
        <w:t>.</w:t>
      </w:r>
      <w:bookmarkEnd w:id="11"/>
    </w:p>
    <w:p w14:paraId="44E9115F" w14:textId="1CA9B96F" w:rsidR="009140EE" w:rsidRPr="004D1215" w:rsidRDefault="009140EE" w:rsidP="004D1215">
      <w:pPr>
        <w:pStyle w:val="EndNoteBibliography"/>
        <w:rPr>
          <w:noProof w:val="0"/>
        </w:rPr>
      </w:pPr>
      <w:bookmarkStart w:id="12" w:name="_ENREF_12"/>
      <w:r w:rsidRPr="004D1215">
        <w:rPr>
          <w:noProof w:val="0"/>
        </w:rPr>
        <w:t>12.</w:t>
      </w:r>
      <w:r w:rsidRPr="004D1215">
        <w:rPr>
          <w:noProof w:val="0"/>
        </w:rPr>
        <w:tab/>
        <w:t>Dewar</w:t>
      </w:r>
      <w:r w:rsidR="006F105D">
        <w:rPr>
          <w:noProof w:val="0"/>
        </w:rPr>
        <w:t>,</w:t>
      </w:r>
      <w:r w:rsidRPr="004D1215">
        <w:rPr>
          <w:noProof w:val="0"/>
        </w:rPr>
        <w:t xml:space="preserve"> K</w:t>
      </w:r>
      <w:r w:rsidR="006F105D">
        <w:rPr>
          <w:noProof w:val="0"/>
        </w:rPr>
        <w:t xml:space="preserve">. </w:t>
      </w:r>
      <w:r w:rsidRPr="004D1215">
        <w:rPr>
          <w:noProof w:val="0"/>
        </w:rPr>
        <w:t xml:space="preserve">M. The oculocardiac reflex. </w:t>
      </w:r>
      <w:r w:rsidRPr="004D1215">
        <w:rPr>
          <w:i/>
          <w:noProof w:val="0"/>
        </w:rPr>
        <w:t>Proc R Soc Med</w:t>
      </w:r>
      <w:r w:rsidR="006F105D">
        <w:rPr>
          <w:i/>
          <w:noProof w:val="0"/>
        </w:rPr>
        <w:t>.</w:t>
      </w:r>
      <w:r w:rsidRPr="004D1215">
        <w:rPr>
          <w:noProof w:val="0"/>
        </w:rPr>
        <w:t xml:space="preserve"> </w:t>
      </w:r>
      <w:r w:rsidRPr="006F105D">
        <w:rPr>
          <w:b/>
          <w:bCs/>
          <w:noProof w:val="0"/>
        </w:rPr>
        <w:t>69</w:t>
      </w:r>
      <w:r w:rsidR="006F105D">
        <w:rPr>
          <w:b/>
          <w:bCs/>
          <w:noProof w:val="0"/>
        </w:rPr>
        <w:t xml:space="preserve">, </w:t>
      </w:r>
      <w:r w:rsidRPr="004D1215">
        <w:rPr>
          <w:noProof w:val="0"/>
        </w:rPr>
        <w:t>373-374</w:t>
      </w:r>
      <w:r w:rsidR="006F105D">
        <w:rPr>
          <w:noProof w:val="0"/>
        </w:rPr>
        <w:t xml:space="preserve"> (</w:t>
      </w:r>
      <w:r w:rsidR="006F105D" w:rsidRPr="004D1215">
        <w:rPr>
          <w:noProof w:val="0"/>
        </w:rPr>
        <w:t>1976</w:t>
      </w:r>
      <w:r w:rsidR="006F105D">
        <w:rPr>
          <w:noProof w:val="0"/>
        </w:rPr>
        <w:t>)</w:t>
      </w:r>
      <w:r w:rsidRPr="004D1215">
        <w:rPr>
          <w:noProof w:val="0"/>
        </w:rPr>
        <w:t>.</w:t>
      </w:r>
      <w:bookmarkEnd w:id="12"/>
    </w:p>
    <w:p w14:paraId="3C4C4380" w14:textId="7EB77C33" w:rsidR="009140EE" w:rsidRPr="004D1215" w:rsidRDefault="009140EE" w:rsidP="004D1215">
      <w:pPr>
        <w:pStyle w:val="EndNoteBibliography"/>
        <w:rPr>
          <w:noProof w:val="0"/>
        </w:rPr>
      </w:pPr>
      <w:bookmarkStart w:id="13" w:name="_ENREF_13"/>
      <w:r w:rsidRPr="004D1215">
        <w:rPr>
          <w:noProof w:val="0"/>
        </w:rPr>
        <w:t>13.</w:t>
      </w:r>
      <w:r w:rsidRPr="004D1215">
        <w:rPr>
          <w:noProof w:val="0"/>
        </w:rPr>
        <w:tab/>
        <w:t>Katzung</w:t>
      </w:r>
      <w:r w:rsidR="006F105D">
        <w:rPr>
          <w:noProof w:val="0"/>
        </w:rPr>
        <w:t>,</w:t>
      </w:r>
      <w:r w:rsidRPr="004D1215">
        <w:rPr>
          <w:noProof w:val="0"/>
        </w:rPr>
        <w:t xml:space="preserve"> B</w:t>
      </w:r>
      <w:r w:rsidR="006F105D">
        <w:rPr>
          <w:noProof w:val="0"/>
        </w:rPr>
        <w:t xml:space="preserve">. </w:t>
      </w:r>
      <w:r w:rsidRPr="004D1215">
        <w:rPr>
          <w:noProof w:val="0"/>
        </w:rPr>
        <w:t xml:space="preserve">G. </w:t>
      </w:r>
      <w:r w:rsidRPr="004D1215">
        <w:rPr>
          <w:i/>
          <w:noProof w:val="0"/>
        </w:rPr>
        <w:t>Basic &amp; clinical pharmacology</w:t>
      </w:r>
      <w:r w:rsidRPr="004D1215">
        <w:rPr>
          <w:noProof w:val="0"/>
        </w:rPr>
        <w:t>. 9th ed. Lange Medical Books/McGraw Hill</w:t>
      </w:r>
      <w:r w:rsidR="006F105D">
        <w:rPr>
          <w:noProof w:val="0"/>
        </w:rPr>
        <w:t xml:space="preserve">, </w:t>
      </w:r>
      <w:r w:rsidR="006F105D" w:rsidRPr="004D1215">
        <w:rPr>
          <w:noProof w:val="0"/>
        </w:rPr>
        <w:t>New York</w:t>
      </w:r>
      <w:r w:rsidR="006F105D">
        <w:rPr>
          <w:noProof w:val="0"/>
        </w:rPr>
        <w:t>, USA</w:t>
      </w:r>
      <w:r w:rsidRPr="004D1215">
        <w:rPr>
          <w:noProof w:val="0"/>
        </w:rPr>
        <w:t xml:space="preserve"> </w:t>
      </w:r>
      <w:r w:rsidR="006F105D">
        <w:rPr>
          <w:noProof w:val="0"/>
        </w:rPr>
        <w:t>(</w:t>
      </w:r>
      <w:r w:rsidRPr="004D1215">
        <w:rPr>
          <w:noProof w:val="0"/>
        </w:rPr>
        <w:t>2004</w:t>
      </w:r>
      <w:r w:rsidR="006F105D">
        <w:rPr>
          <w:noProof w:val="0"/>
        </w:rPr>
        <w:t>)</w:t>
      </w:r>
      <w:r w:rsidRPr="004D1215">
        <w:rPr>
          <w:noProof w:val="0"/>
        </w:rPr>
        <w:t>.</w:t>
      </w:r>
      <w:bookmarkEnd w:id="13"/>
    </w:p>
    <w:p w14:paraId="54C6651C" w14:textId="4E7D0D18" w:rsidR="009140EE" w:rsidRPr="004D1215" w:rsidRDefault="009140EE" w:rsidP="004D1215">
      <w:pPr>
        <w:pStyle w:val="EndNoteBibliography"/>
        <w:rPr>
          <w:noProof w:val="0"/>
        </w:rPr>
      </w:pPr>
      <w:bookmarkStart w:id="14" w:name="_ENREF_14"/>
      <w:r w:rsidRPr="004D1215">
        <w:rPr>
          <w:noProof w:val="0"/>
        </w:rPr>
        <w:t>14.</w:t>
      </w:r>
      <w:r w:rsidRPr="004D1215">
        <w:rPr>
          <w:noProof w:val="0"/>
        </w:rPr>
        <w:tab/>
        <w:t>Mai</w:t>
      </w:r>
      <w:r w:rsidR="006F105D">
        <w:rPr>
          <w:noProof w:val="0"/>
        </w:rPr>
        <w:t>,</w:t>
      </w:r>
      <w:r w:rsidRPr="004D1215">
        <w:rPr>
          <w:noProof w:val="0"/>
        </w:rPr>
        <w:t xml:space="preserve"> X</w:t>
      </w:r>
      <w:r w:rsidR="006F105D">
        <w:rPr>
          <w:noProof w:val="0"/>
        </w:rPr>
        <w:t>.</w:t>
      </w:r>
      <w:r w:rsidRPr="004D1215">
        <w:rPr>
          <w:noProof w:val="0"/>
        </w:rPr>
        <w:t>, Huang</w:t>
      </w:r>
      <w:r w:rsidR="006F105D">
        <w:rPr>
          <w:noProof w:val="0"/>
        </w:rPr>
        <w:t>,</w:t>
      </w:r>
      <w:r w:rsidRPr="004D1215">
        <w:rPr>
          <w:noProof w:val="0"/>
        </w:rPr>
        <w:t xml:space="preserve"> S</w:t>
      </w:r>
      <w:r w:rsidR="006F105D">
        <w:rPr>
          <w:noProof w:val="0"/>
        </w:rPr>
        <w:t>.</w:t>
      </w:r>
      <w:r w:rsidRPr="004D1215">
        <w:rPr>
          <w:noProof w:val="0"/>
        </w:rPr>
        <w:t>, Chen</w:t>
      </w:r>
      <w:r w:rsidR="006F105D">
        <w:rPr>
          <w:noProof w:val="0"/>
        </w:rPr>
        <w:t>,</w:t>
      </w:r>
      <w:r w:rsidRPr="004D1215">
        <w:rPr>
          <w:noProof w:val="0"/>
        </w:rPr>
        <w:t xml:space="preserve"> W</w:t>
      </w:r>
      <w:r w:rsidR="006F105D">
        <w:rPr>
          <w:noProof w:val="0"/>
        </w:rPr>
        <w:t>.</w:t>
      </w:r>
      <w:r w:rsidRPr="004D1215">
        <w:rPr>
          <w:noProof w:val="0"/>
        </w:rPr>
        <w:t>, Ng</w:t>
      </w:r>
      <w:r w:rsidR="006F105D">
        <w:rPr>
          <w:noProof w:val="0"/>
        </w:rPr>
        <w:t xml:space="preserve">, </w:t>
      </w:r>
      <w:r w:rsidRPr="004D1215">
        <w:rPr>
          <w:noProof w:val="0"/>
        </w:rPr>
        <w:t>T</w:t>
      </w:r>
      <w:r w:rsidR="006F105D">
        <w:rPr>
          <w:noProof w:val="0"/>
        </w:rPr>
        <w:t xml:space="preserve">. </w:t>
      </w:r>
      <w:r w:rsidRPr="004D1215">
        <w:rPr>
          <w:noProof w:val="0"/>
        </w:rPr>
        <w:t>K</w:t>
      </w:r>
      <w:r w:rsidR="006F105D">
        <w:rPr>
          <w:noProof w:val="0"/>
        </w:rPr>
        <w:t>.</w:t>
      </w:r>
      <w:r w:rsidRPr="004D1215">
        <w:rPr>
          <w:noProof w:val="0"/>
        </w:rPr>
        <w:t>, Chen</w:t>
      </w:r>
      <w:r w:rsidR="006F105D">
        <w:rPr>
          <w:noProof w:val="0"/>
        </w:rPr>
        <w:t>,</w:t>
      </w:r>
      <w:r w:rsidRPr="004D1215">
        <w:rPr>
          <w:noProof w:val="0"/>
        </w:rPr>
        <w:t xml:space="preserve"> H. Application of Optical Coherence Tomography to a Mouse Model of Retinopathy. </w:t>
      </w:r>
      <w:r w:rsidRPr="004D1215">
        <w:rPr>
          <w:i/>
          <w:noProof w:val="0"/>
        </w:rPr>
        <w:t>J Vis Exp</w:t>
      </w:r>
      <w:r w:rsidR="006F105D">
        <w:rPr>
          <w:i/>
          <w:noProof w:val="0"/>
        </w:rPr>
        <w:t xml:space="preserve">. </w:t>
      </w:r>
      <w:r w:rsidR="006F105D" w:rsidRPr="006F105D">
        <w:rPr>
          <w:iCs/>
          <w:noProof w:val="0"/>
        </w:rPr>
        <w:t>(179), 63421</w:t>
      </w:r>
      <w:r w:rsidRPr="004D1215">
        <w:rPr>
          <w:noProof w:val="0"/>
        </w:rPr>
        <w:t xml:space="preserve"> </w:t>
      </w:r>
      <w:r w:rsidR="006F105D">
        <w:rPr>
          <w:noProof w:val="0"/>
        </w:rPr>
        <w:t>(</w:t>
      </w:r>
      <w:r w:rsidRPr="004D1215">
        <w:rPr>
          <w:noProof w:val="0"/>
        </w:rPr>
        <w:t>2022</w:t>
      </w:r>
      <w:r w:rsidR="006F105D">
        <w:rPr>
          <w:noProof w:val="0"/>
        </w:rPr>
        <w:t>)</w:t>
      </w:r>
      <w:r w:rsidRPr="004D1215">
        <w:rPr>
          <w:noProof w:val="0"/>
        </w:rPr>
        <w:t>.</w:t>
      </w:r>
      <w:bookmarkEnd w:id="14"/>
    </w:p>
    <w:p w14:paraId="5A21B451" w14:textId="52E5DD07" w:rsidR="009140EE" w:rsidRPr="004D1215" w:rsidRDefault="009140EE" w:rsidP="004D1215">
      <w:pPr>
        <w:pStyle w:val="EndNoteBibliography"/>
        <w:rPr>
          <w:noProof w:val="0"/>
        </w:rPr>
      </w:pPr>
      <w:bookmarkStart w:id="15" w:name="_ENREF_15"/>
      <w:r w:rsidRPr="004D1215">
        <w:rPr>
          <w:noProof w:val="0"/>
        </w:rPr>
        <w:t>15.</w:t>
      </w:r>
      <w:r w:rsidRPr="004D1215">
        <w:rPr>
          <w:noProof w:val="0"/>
        </w:rPr>
        <w:tab/>
      </w:r>
      <w:proofErr w:type="spellStart"/>
      <w:r w:rsidRPr="004D1215">
        <w:rPr>
          <w:noProof w:val="0"/>
        </w:rPr>
        <w:t>L'Abbate</w:t>
      </w:r>
      <w:proofErr w:type="spellEnd"/>
      <w:r w:rsidR="006F105D">
        <w:rPr>
          <w:noProof w:val="0"/>
        </w:rPr>
        <w:t>,</w:t>
      </w:r>
      <w:r w:rsidRPr="004D1215">
        <w:rPr>
          <w:noProof w:val="0"/>
        </w:rPr>
        <w:t xml:space="preserve"> D</w:t>
      </w:r>
      <w:r w:rsidR="006F105D">
        <w:rPr>
          <w:noProof w:val="0"/>
        </w:rPr>
        <w:t>.</w:t>
      </w:r>
      <w:r w:rsidRPr="004D1215">
        <w:rPr>
          <w:noProof w:val="0"/>
        </w:rPr>
        <w:t>, Prescott</w:t>
      </w:r>
      <w:r w:rsidR="006F105D">
        <w:rPr>
          <w:noProof w:val="0"/>
        </w:rPr>
        <w:t>,</w:t>
      </w:r>
      <w:r w:rsidRPr="004D1215">
        <w:rPr>
          <w:noProof w:val="0"/>
        </w:rPr>
        <w:t xml:space="preserve"> K</w:t>
      </w:r>
      <w:r w:rsidR="006F105D">
        <w:rPr>
          <w:noProof w:val="0"/>
        </w:rPr>
        <w:t>.</w:t>
      </w:r>
      <w:r w:rsidRPr="004D1215">
        <w:rPr>
          <w:noProof w:val="0"/>
        </w:rPr>
        <w:t>, Geraghty</w:t>
      </w:r>
      <w:r w:rsidR="006F105D">
        <w:rPr>
          <w:noProof w:val="0"/>
        </w:rPr>
        <w:t>,</w:t>
      </w:r>
      <w:r w:rsidRPr="004D1215">
        <w:rPr>
          <w:noProof w:val="0"/>
        </w:rPr>
        <w:t xml:space="preserve"> B</w:t>
      </w:r>
      <w:r w:rsidR="006F105D">
        <w:rPr>
          <w:noProof w:val="0"/>
        </w:rPr>
        <w:t>.</w:t>
      </w:r>
      <w:r w:rsidRPr="004D1215">
        <w:rPr>
          <w:noProof w:val="0"/>
        </w:rPr>
        <w:t>, Kearns</w:t>
      </w:r>
      <w:r w:rsidR="006F105D">
        <w:rPr>
          <w:noProof w:val="0"/>
        </w:rPr>
        <w:t>,</w:t>
      </w:r>
      <w:r w:rsidRPr="004D1215">
        <w:rPr>
          <w:noProof w:val="0"/>
        </w:rPr>
        <w:t xml:space="preserve"> V</w:t>
      </w:r>
      <w:r w:rsidR="006F105D">
        <w:rPr>
          <w:noProof w:val="0"/>
        </w:rPr>
        <w:t xml:space="preserve">. </w:t>
      </w:r>
      <w:r w:rsidRPr="004D1215">
        <w:rPr>
          <w:noProof w:val="0"/>
        </w:rPr>
        <w:t>R</w:t>
      </w:r>
      <w:r w:rsidR="006F105D">
        <w:rPr>
          <w:noProof w:val="0"/>
        </w:rPr>
        <w:t>.</w:t>
      </w:r>
      <w:r w:rsidRPr="004D1215">
        <w:rPr>
          <w:noProof w:val="0"/>
        </w:rPr>
        <w:t>, Steel</w:t>
      </w:r>
      <w:r w:rsidR="006F105D">
        <w:rPr>
          <w:noProof w:val="0"/>
        </w:rPr>
        <w:t>,</w:t>
      </w:r>
      <w:r w:rsidRPr="004D1215">
        <w:rPr>
          <w:noProof w:val="0"/>
        </w:rPr>
        <w:t xml:space="preserve"> D</w:t>
      </w:r>
      <w:r w:rsidR="006F105D">
        <w:rPr>
          <w:noProof w:val="0"/>
        </w:rPr>
        <w:t xml:space="preserve">. </w:t>
      </w:r>
      <w:r w:rsidRPr="004D1215">
        <w:rPr>
          <w:noProof w:val="0"/>
        </w:rPr>
        <w:t>H</w:t>
      </w:r>
      <w:r w:rsidR="006F105D">
        <w:rPr>
          <w:noProof w:val="0"/>
        </w:rPr>
        <w:t xml:space="preserve">. </w:t>
      </w:r>
      <w:r w:rsidRPr="004D1215">
        <w:rPr>
          <w:noProof w:val="0"/>
        </w:rPr>
        <w:t xml:space="preserve">W. Biomechanical considerations for </w:t>
      </w:r>
      <w:proofErr w:type="spellStart"/>
      <w:r w:rsidRPr="004D1215">
        <w:rPr>
          <w:noProof w:val="0"/>
        </w:rPr>
        <w:t>optimising</w:t>
      </w:r>
      <w:proofErr w:type="spellEnd"/>
      <w:r w:rsidRPr="004D1215">
        <w:rPr>
          <w:noProof w:val="0"/>
        </w:rPr>
        <w:t xml:space="preserve"> subretinal injections. </w:t>
      </w:r>
      <w:proofErr w:type="spellStart"/>
      <w:r w:rsidRPr="004D1215">
        <w:rPr>
          <w:i/>
          <w:noProof w:val="0"/>
        </w:rPr>
        <w:t>Surv</w:t>
      </w:r>
      <w:proofErr w:type="spellEnd"/>
      <w:r w:rsidRPr="004D1215">
        <w:rPr>
          <w:i/>
          <w:noProof w:val="0"/>
        </w:rPr>
        <w:t xml:space="preserve"> </w:t>
      </w:r>
      <w:proofErr w:type="spellStart"/>
      <w:r w:rsidRPr="004D1215">
        <w:rPr>
          <w:i/>
          <w:noProof w:val="0"/>
        </w:rPr>
        <w:t>Ophthalmol</w:t>
      </w:r>
      <w:proofErr w:type="spellEnd"/>
      <w:r w:rsidR="006F105D">
        <w:rPr>
          <w:noProof w:val="0"/>
        </w:rPr>
        <w:t xml:space="preserve">. </w:t>
      </w:r>
      <w:r w:rsidRPr="006F105D">
        <w:rPr>
          <w:b/>
          <w:bCs/>
          <w:noProof w:val="0"/>
        </w:rPr>
        <w:t>69</w:t>
      </w:r>
      <w:r w:rsidR="006F105D">
        <w:rPr>
          <w:b/>
          <w:bCs/>
          <w:noProof w:val="0"/>
        </w:rPr>
        <w:t xml:space="preserve">, </w:t>
      </w:r>
      <w:r w:rsidRPr="004D1215">
        <w:rPr>
          <w:noProof w:val="0"/>
        </w:rPr>
        <w:t>722-732</w:t>
      </w:r>
      <w:r w:rsidR="006F105D">
        <w:rPr>
          <w:noProof w:val="0"/>
        </w:rPr>
        <w:t xml:space="preserve"> (</w:t>
      </w:r>
      <w:r w:rsidR="006F105D" w:rsidRPr="004D1215">
        <w:rPr>
          <w:noProof w:val="0"/>
        </w:rPr>
        <w:t>2024</w:t>
      </w:r>
      <w:r w:rsidR="006F105D">
        <w:rPr>
          <w:noProof w:val="0"/>
        </w:rPr>
        <w:t>)</w:t>
      </w:r>
      <w:r w:rsidRPr="004D1215">
        <w:rPr>
          <w:noProof w:val="0"/>
        </w:rPr>
        <w:t>.</w:t>
      </w:r>
      <w:bookmarkEnd w:id="15"/>
    </w:p>
    <w:p w14:paraId="5A0F7CC3" w14:textId="18A95A86" w:rsidR="009140EE" w:rsidRPr="004D1215" w:rsidRDefault="009140EE" w:rsidP="004D1215">
      <w:pPr>
        <w:pStyle w:val="EndNoteBibliography"/>
        <w:rPr>
          <w:noProof w:val="0"/>
        </w:rPr>
      </w:pPr>
      <w:bookmarkStart w:id="16" w:name="_ENREF_16"/>
      <w:r w:rsidRPr="004D1215">
        <w:rPr>
          <w:noProof w:val="0"/>
        </w:rPr>
        <w:t>16.</w:t>
      </w:r>
      <w:r w:rsidRPr="004D1215">
        <w:rPr>
          <w:noProof w:val="0"/>
        </w:rPr>
        <w:tab/>
        <w:t>Huang</w:t>
      </w:r>
      <w:r w:rsidR="006F105D">
        <w:rPr>
          <w:noProof w:val="0"/>
        </w:rPr>
        <w:t>,</w:t>
      </w:r>
      <w:r w:rsidRPr="004D1215">
        <w:rPr>
          <w:noProof w:val="0"/>
        </w:rPr>
        <w:t xml:space="preserve"> P</w:t>
      </w:r>
      <w:r w:rsidR="006F105D">
        <w:rPr>
          <w:noProof w:val="0"/>
        </w:rPr>
        <w:t>.</w:t>
      </w:r>
      <w:r w:rsidRPr="004D1215">
        <w:rPr>
          <w:noProof w:val="0"/>
        </w:rPr>
        <w:t xml:space="preserve"> et al. Subretinal injection in mice to study retinal physiology and disease. </w:t>
      </w:r>
      <w:r w:rsidRPr="004D1215">
        <w:rPr>
          <w:i/>
          <w:noProof w:val="0"/>
        </w:rPr>
        <w:t xml:space="preserve">Nat </w:t>
      </w:r>
      <w:proofErr w:type="spellStart"/>
      <w:r w:rsidRPr="004D1215">
        <w:rPr>
          <w:i/>
          <w:noProof w:val="0"/>
        </w:rPr>
        <w:t>Protoc</w:t>
      </w:r>
      <w:proofErr w:type="spellEnd"/>
      <w:r w:rsidR="006F105D">
        <w:rPr>
          <w:noProof w:val="0"/>
        </w:rPr>
        <w:t xml:space="preserve">. </w:t>
      </w:r>
      <w:r w:rsidRPr="006F105D">
        <w:rPr>
          <w:b/>
          <w:bCs/>
          <w:noProof w:val="0"/>
        </w:rPr>
        <w:t>17</w:t>
      </w:r>
      <w:r w:rsidR="006F105D">
        <w:rPr>
          <w:b/>
          <w:bCs/>
          <w:noProof w:val="0"/>
        </w:rPr>
        <w:t xml:space="preserve">, </w:t>
      </w:r>
      <w:r w:rsidRPr="004D1215">
        <w:rPr>
          <w:noProof w:val="0"/>
        </w:rPr>
        <w:t>1468-1485</w:t>
      </w:r>
      <w:r w:rsidR="006F105D">
        <w:rPr>
          <w:noProof w:val="0"/>
        </w:rPr>
        <w:t xml:space="preserve"> (</w:t>
      </w:r>
      <w:r w:rsidR="006F105D" w:rsidRPr="004D1215">
        <w:rPr>
          <w:noProof w:val="0"/>
        </w:rPr>
        <w:t>2022</w:t>
      </w:r>
      <w:r w:rsidR="006F105D">
        <w:rPr>
          <w:noProof w:val="0"/>
        </w:rPr>
        <w:t>)</w:t>
      </w:r>
      <w:r w:rsidRPr="004D1215">
        <w:rPr>
          <w:noProof w:val="0"/>
        </w:rPr>
        <w:t>.</w:t>
      </w:r>
      <w:bookmarkEnd w:id="16"/>
    </w:p>
    <w:p w14:paraId="1F322FEA" w14:textId="11DDC985" w:rsidR="009140EE" w:rsidRPr="004D1215" w:rsidRDefault="009140EE" w:rsidP="004D1215">
      <w:pPr>
        <w:pStyle w:val="EndNoteBibliography"/>
        <w:rPr>
          <w:noProof w:val="0"/>
        </w:rPr>
      </w:pPr>
      <w:bookmarkStart w:id="17" w:name="_ENREF_17"/>
      <w:r w:rsidRPr="004D1215">
        <w:rPr>
          <w:noProof w:val="0"/>
        </w:rPr>
        <w:t>17.</w:t>
      </w:r>
      <w:r w:rsidRPr="004D1215">
        <w:rPr>
          <w:noProof w:val="0"/>
        </w:rPr>
        <w:tab/>
        <w:t>Stockslager</w:t>
      </w:r>
      <w:r w:rsidR="006F105D">
        <w:rPr>
          <w:noProof w:val="0"/>
        </w:rPr>
        <w:t>,</w:t>
      </w:r>
      <w:r w:rsidRPr="004D1215">
        <w:rPr>
          <w:noProof w:val="0"/>
        </w:rPr>
        <w:t xml:space="preserve"> M</w:t>
      </w:r>
      <w:r w:rsidR="006F105D">
        <w:rPr>
          <w:noProof w:val="0"/>
        </w:rPr>
        <w:t xml:space="preserve">. </w:t>
      </w:r>
      <w:r w:rsidRPr="004D1215">
        <w:rPr>
          <w:noProof w:val="0"/>
        </w:rPr>
        <w:t>A</w:t>
      </w:r>
      <w:r w:rsidR="006F105D">
        <w:rPr>
          <w:noProof w:val="0"/>
        </w:rPr>
        <w:t xml:space="preserve">. </w:t>
      </w:r>
      <w:r w:rsidRPr="004D1215">
        <w:rPr>
          <w:noProof w:val="0"/>
        </w:rPr>
        <w:t xml:space="preserve">et al. Optical method for automated measurement of glass micropipette tip geometry. </w:t>
      </w:r>
      <w:r w:rsidRPr="004D1215">
        <w:rPr>
          <w:i/>
          <w:noProof w:val="0"/>
        </w:rPr>
        <w:t>Precis Eng</w:t>
      </w:r>
      <w:r w:rsidR="006F105D">
        <w:rPr>
          <w:noProof w:val="0"/>
        </w:rPr>
        <w:t xml:space="preserve">. </w:t>
      </w:r>
      <w:r w:rsidRPr="006F105D">
        <w:rPr>
          <w:b/>
          <w:bCs/>
          <w:noProof w:val="0"/>
        </w:rPr>
        <w:t>46</w:t>
      </w:r>
      <w:r w:rsidR="006F105D">
        <w:rPr>
          <w:b/>
          <w:bCs/>
          <w:noProof w:val="0"/>
        </w:rPr>
        <w:t xml:space="preserve">, </w:t>
      </w:r>
      <w:r w:rsidRPr="004D1215">
        <w:rPr>
          <w:noProof w:val="0"/>
        </w:rPr>
        <w:t>88-95</w:t>
      </w:r>
      <w:r w:rsidR="006F105D">
        <w:rPr>
          <w:noProof w:val="0"/>
        </w:rPr>
        <w:t xml:space="preserve"> (</w:t>
      </w:r>
      <w:r w:rsidR="006F105D" w:rsidRPr="004D1215">
        <w:rPr>
          <w:noProof w:val="0"/>
        </w:rPr>
        <w:t>2016</w:t>
      </w:r>
      <w:r w:rsidR="006F105D">
        <w:rPr>
          <w:noProof w:val="0"/>
        </w:rPr>
        <w:t>)</w:t>
      </w:r>
      <w:r w:rsidRPr="004D1215">
        <w:rPr>
          <w:noProof w:val="0"/>
        </w:rPr>
        <w:t>.</w:t>
      </w:r>
      <w:bookmarkEnd w:id="17"/>
    </w:p>
    <w:p w14:paraId="6364ED23" w14:textId="15D5BE8D" w:rsidR="009140EE" w:rsidRPr="004D1215" w:rsidRDefault="009140EE" w:rsidP="004D1215">
      <w:pPr>
        <w:pStyle w:val="EndNoteBibliography"/>
        <w:rPr>
          <w:noProof w:val="0"/>
        </w:rPr>
      </w:pPr>
      <w:bookmarkStart w:id="18" w:name="_ENREF_18"/>
      <w:r w:rsidRPr="004D1215">
        <w:rPr>
          <w:noProof w:val="0"/>
        </w:rPr>
        <w:t>18.</w:t>
      </w:r>
      <w:r w:rsidRPr="004D1215">
        <w:rPr>
          <w:noProof w:val="0"/>
        </w:rPr>
        <w:tab/>
        <w:t>Li</w:t>
      </w:r>
      <w:r w:rsidR="006F105D">
        <w:rPr>
          <w:noProof w:val="0"/>
        </w:rPr>
        <w:t>,</w:t>
      </w:r>
      <w:r w:rsidRPr="004D1215">
        <w:rPr>
          <w:noProof w:val="0"/>
        </w:rPr>
        <w:t xml:space="preserve"> Q</w:t>
      </w:r>
      <w:r w:rsidR="006F105D">
        <w:rPr>
          <w:noProof w:val="0"/>
        </w:rPr>
        <w:t>.</w:t>
      </w:r>
      <w:r w:rsidRPr="004D1215">
        <w:rPr>
          <w:noProof w:val="0"/>
        </w:rPr>
        <w:t xml:space="preserve">, </w:t>
      </w:r>
      <w:proofErr w:type="spellStart"/>
      <w:r w:rsidRPr="004D1215">
        <w:rPr>
          <w:noProof w:val="0"/>
        </w:rPr>
        <w:t>Rycaj</w:t>
      </w:r>
      <w:proofErr w:type="spellEnd"/>
      <w:r w:rsidR="006F105D">
        <w:rPr>
          <w:noProof w:val="0"/>
        </w:rPr>
        <w:t>,</w:t>
      </w:r>
      <w:r w:rsidRPr="004D1215">
        <w:rPr>
          <w:noProof w:val="0"/>
        </w:rPr>
        <w:t xml:space="preserve"> K</w:t>
      </w:r>
      <w:r w:rsidR="006F105D">
        <w:rPr>
          <w:noProof w:val="0"/>
        </w:rPr>
        <w:t>.</w:t>
      </w:r>
      <w:r w:rsidRPr="004D1215">
        <w:rPr>
          <w:noProof w:val="0"/>
        </w:rPr>
        <w:t>, Chen</w:t>
      </w:r>
      <w:r w:rsidR="006F105D">
        <w:rPr>
          <w:noProof w:val="0"/>
        </w:rPr>
        <w:t>,</w:t>
      </w:r>
      <w:r w:rsidRPr="004D1215">
        <w:rPr>
          <w:noProof w:val="0"/>
        </w:rPr>
        <w:t xml:space="preserve"> X</w:t>
      </w:r>
      <w:r w:rsidR="006F105D">
        <w:rPr>
          <w:noProof w:val="0"/>
        </w:rPr>
        <w:t>.</w:t>
      </w:r>
      <w:r w:rsidRPr="004D1215">
        <w:rPr>
          <w:noProof w:val="0"/>
        </w:rPr>
        <w:t>, Tang</w:t>
      </w:r>
      <w:r w:rsidR="006F105D">
        <w:rPr>
          <w:noProof w:val="0"/>
        </w:rPr>
        <w:t>,</w:t>
      </w:r>
      <w:r w:rsidRPr="004D1215">
        <w:rPr>
          <w:noProof w:val="0"/>
        </w:rPr>
        <w:t xml:space="preserve"> D</w:t>
      </w:r>
      <w:r w:rsidR="006F105D">
        <w:rPr>
          <w:noProof w:val="0"/>
        </w:rPr>
        <w:t xml:space="preserve">. </w:t>
      </w:r>
      <w:r w:rsidRPr="004D1215">
        <w:rPr>
          <w:noProof w:val="0"/>
        </w:rPr>
        <w:t xml:space="preserve">G. Cancer stem cells and cell size: A causal link? </w:t>
      </w:r>
      <w:r w:rsidRPr="004D1215">
        <w:rPr>
          <w:i/>
          <w:noProof w:val="0"/>
        </w:rPr>
        <w:t>Semin Cancer Biol</w:t>
      </w:r>
      <w:r w:rsidR="006F105D">
        <w:rPr>
          <w:i/>
          <w:noProof w:val="0"/>
        </w:rPr>
        <w:t xml:space="preserve">. </w:t>
      </w:r>
      <w:r w:rsidRPr="006F105D">
        <w:rPr>
          <w:b/>
          <w:bCs/>
          <w:noProof w:val="0"/>
        </w:rPr>
        <w:t>35</w:t>
      </w:r>
      <w:r w:rsidR="006F105D">
        <w:rPr>
          <w:b/>
          <w:bCs/>
          <w:noProof w:val="0"/>
        </w:rPr>
        <w:t xml:space="preserve">, </w:t>
      </w:r>
      <w:r w:rsidRPr="004D1215">
        <w:rPr>
          <w:noProof w:val="0"/>
        </w:rPr>
        <w:t>191-199</w:t>
      </w:r>
      <w:r w:rsidR="006F105D">
        <w:rPr>
          <w:noProof w:val="0"/>
        </w:rPr>
        <w:t xml:space="preserve"> (</w:t>
      </w:r>
      <w:r w:rsidR="006F105D" w:rsidRPr="004D1215">
        <w:rPr>
          <w:noProof w:val="0"/>
        </w:rPr>
        <w:t>2015</w:t>
      </w:r>
      <w:r w:rsidR="006F105D">
        <w:rPr>
          <w:noProof w:val="0"/>
        </w:rPr>
        <w:t>)</w:t>
      </w:r>
      <w:r w:rsidRPr="004D1215">
        <w:rPr>
          <w:noProof w:val="0"/>
        </w:rPr>
        <w:t>.</w:t>
      </w:r>
      <w:bookmarkEnd w:id="18"/>
    </w:p>
    <w:p w14:paraId="31EA3C58" w14:textId="77777777" w:rsidR="009140EE" w:rsidRPr="004D1215" w:rsidRDefault="009140EE" w:rsidP="004D1215"/>
    <w:p w14:paraId="0219D3A4" w14:textId="77777777" w:rsidR="00DE55F7" w:rsidRPr="004D1215" w:rsidRDefault="00DE55F7" w:rsidP="004D1215"/>
    <w:sectPr w:rsidR="00DE55F7" w:rsidRPr="004D1215" w:rsidSect="004D1215">
      <w:headerReference w:type="even" r:id="rId7"/>
      <w:headerReference w:type="default" r:id="rId8"/>
      <w:footerReference w:type="even" r:id="rId9"/>
      <w:headerReference w:type="first" r:id="rId10"/>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AF1D" w14:textId="77777777" w:rsidR="00F01007" w:rsidRDefault="00F01007">
      <w:r>
        <w:separator/>
      </w:r>
    </w:p>
  </w:endnote>
  <w:endnote w:type="continuationSeparator" w:id="0">
    <w:p w14:paraId="2F04B4E2" w14:textId="77777777" w:rsidR="00F01007" w:rsidRDefault="00F0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8B4D" w14:textId="77777777" w:rsidR="009140EE" w:rsidRDefault="009140E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5217" w14:textId="77777777" w:rsidR="00F01007" w:rsidRDefault="00F01007">
      <w:r>
        <w:separator/>
      </w:r>
    </w:p>
  </w:footnote>
  <w:footnote w:type="continuationSeparator" w:id="0">
    <w:p w14:paraId="07CED262" w14:textId="77777777" w:rsidR="00F01007" w:rsidRDefault="00F01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6B8F" w14:textId="77777777" w:rsidR="009140EE" w:rsidRDefault="009140E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E94D" w14:textId="77777777" w:rsidR="009140EE" w:rsidRDefault="009140EE">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EAE" w14:textId="77777777" w:rsidR="009140EE" w:rsidRDefault="009140EE" w:rsidP="00D725D5">
    <w:pPr>
      <w:pBdr>
        <w:top w:val="nil"/>
        <w:left w:val="nil"/>
        <w:bottom w:val="nil"/>
        <w:right w:val="nil"/>
        <w:between w:val="nil"/>
      </w:pBdr>
      <w:tabs>
        <w:tab w:val="center" w:pos="4680"/>
        <w:tab w:val="right" w:pos="9360"/>
      </w:tabs>
      <w:ind w:right="640"/>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0CC"/>
    <w:multiLevelType w:val="hybridMultilevel"/>
    <w:tmpl w:val="A4AE46E0"/>
    <w:lvl w:ilvl="0" w:tplc="4009000F">
      <w:start w:val="3"/>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BC6DBC"/>
    <w:multiLevelType w:val="multilevel"/>
    <w:tmpl w:val="E23837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733AAB"/>
    <w:multiLevelType w:val="multilevel"/>
    <w:tmpl w:val="066241F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4E7A73"/>
    <w:multiLevelType w:val="multilevel"/>
    <w:tmpl w:val="E4DEA4D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314096">
    <w:abstractNumId w:val="4"/>
  </w:num>
  <w:num w:numId="2" w16cid:durableId="1394043523">
    <w:abstractNumId w:val="9"/>
  </w:num>
  <w:num w:numId="3" w16cid:durableId="942539251">
    <w:abstractNumId w:val="14"/>
  </w:num>
  <w:num w:numId="4" w16cid:durableId="2069112029">
    <w:abstractNumId w:val="1"/>
  </w:num>
  <w:num w:numId="5" w16cid:durableId="1115948966">
    <w:abstractNumId w:val="11"/>
  </w:num>
  <w:num w:numId="6" w16cid:durableId="1613169815">
    <w:abstractNumId w:val="13"/>
  </w:num>
  <w:num w:numId="7" w16cid:durableId="1999142371">
    <w:abstractNumId w:val="5"/>
  </w:num>
  <w:num w:numId="8" w16cid:durableId="115875846">
    <w:abstractNumId w:val="8"/>
  </w:num>
  <w:num w:numId="9" w16cid:durableId="490022369">
    <w:abstractNumId w:val="2"/>
  </w:num>
  <w:num w:numId="10" w16cid:durableId="2006585433">
    <w:abstractNumId w:val="6"/>
  </w:num>
  <w:num w:numId="11" w16cid:durableId="99300651">
    <w:abstractNumId w:val="10"/>
  </w:num>
  <w:num w:numId="12" w16cid:durableId="508448533">
    <w:abstractNumId w:val="3"/>
  </w:num>
  <w:num w:numId="13" w16cid:durableId="194731447">
    <w:abstractNumId w:val="16"/>
  </w:num>
  <w:num w:numId="14" w16cid:durableId="2110080776">
    <w:abstractNumId w:val="7"/>
  </w:num>
  <w:num w:numId="15" w16cid:durableId="1272131572">
    <w:abstractNumId w:val="0"/>
  </w:num>
  <w:num w:numId="16" w16cid:durableId="182868297">
    <w:abstractNumId w:val="12"/>
  </w:num>
  <w:num w:numId="17" w16cid:durableId="1464277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140EE"/>
    <w:rsid w:val="00043F2F"/>
    <w:rsid w:val="0031411A"/>
    <w:rsid w:val="003D4E69"/>
    <w:rsid w:val="004332ED"/>
    <w:rsid w:val="004D1215"/>
    <w:rsid w:val="00662EF5"/>
    <w:rsid w:val="006F105D"/>
    <w:rsid w:val="007011B6"/>
    <w:rsid w:val="0072510F"/>
    <w:rsid w:val="009140EE"/>
    <w:rsid w:val="009F25F8"/>
    <w:rsid w:val="00C678C7"/>
    <w:rsid w:val="00D02C24"/>
    <w:rsid w:val="00D437A1"/>
    <w:rsid w:val="00DE55F7"/>
    <w:rsid w:val="00EF33E5"/>
    <w:rsid w:val="00F01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84ABE"/>
  <w15:chartTrackingRefBased/>
  <w15:docId w15:val="{22905239-53F7-460F-BD95-2138D06A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EE"/>
    <w:pPr>
      <w:widowControl w:val="0"/>
      <w:spacing w:after="0" w:line="240" w:lineRule="auto"/>
      <w:jc w:val="both"/>
    </w:pPr>
    <w:rPr>
      <w:rFonts w:ascii="Calibri" w:eastAsia="Calibri" w:hAnsi="Calibri" w:cs="Calibri"/>
      <w:kern w:val="0"/>
      <w:lang w:eastAsia="en-US"/>
      <w14:ligatures w14:val="none"/>
    </w:rPr>
  </w:style>
  <w:style w:type="paragraph" w:styleId="Heading1">
    <w:name w:val="heading 1"/>
    <w:basedOn w:val="Normal"/>
    <w:next w:val="Normal"/>
    <w:link w:val="Heading1Char"/>
    <w:uiPriority w:val="9"/>
    <w:qFormat/>
    <w:rsid w:val="009140EE"/>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9140EE"/>
    <w:pPr>
      <w:keepNext/>
      <w:outlineLvl w:val="1"/>
    </w:pPr>
    <w:rPr>
      <w:b/>
    </w:rPr>
  </w:style>
  <w:style w:type="paragraph" w:styleId="Heading3">
    <w:name w:val="heading 3"/>
    <w:basedOn w:val="Normal"/>
    <w:next w:val="Normal"/>
    <w:link w:val="Heading3Char"/>
    <w:uiPriority w:val="9"/>
    <w:semiHidden/>
    <w:unhideWhenUsed/>
    <w:qFormat/>
    <w:rsid w:val="009140EE"/>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9140EE"/>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140EE"/>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9140EE"/>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140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0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0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0EE"/>
    <w:rPr>
      <w:rFonts w:ascii="Calibri" w:eastAsia="Calibri" w:hAnsi="Calibri" w:cs="Calibri"/>
      <w:b/>
      <w:kern w:val="0"/>
      <w:sz w:val="28"/>
      <w:szCs w:val="28"/>
      <w:lang w:eastAsia="en-US"/>
      <w14:ligatures w14:val="none"/>
    </w:rPr>
  </w:style>
  <w:style w:type="character" w:customStyle="1" w:styleId="Heading2Char">
    <w:name w:val="Heading 2 Char"/>
    <w:basedOn w:val="DefaultParagraphFont"/>
    <w:link w:val="Heading2"/>
    <w:uiPriority w:val="9"/>
    <w:semiHidden/>
    <w:rsid w:val="009140EE"/>
    <w:rPr>
      <w:rFonts w:ascii="Calibri" w:eastAsia="Calibri" w:hAnsi="Calibri" w:cs="Calibri"/>
      <w:b/>
      <w:kern w:val="0"/>
      <w:lang w:eastAsia="en-US"/>
      <w14:ligatures w14:val="none"/>
    </w:rPr>
  </w:style>
  <w:style w:type="character" w:customStyle="1" w:styleId="Heading3Char">
    <w:name w:val="Heading 3 Char"/>
    <w:basedOn w:val="DefaultParagraphFont"/>
    <w:link w:val="Heading3"/>
    <w:uiPriority w:val="9"/>
    <w:semiHidden/>
    <w:rsid w:val="009140EE"/>
    <w:rPr>
      <w:rFonts w:ascii="Cambria" w:eastAsia="Cambria" w:hAnsi="Cambria" w:cs="Cambria"/>
      <w:b/>
      <w:color w:val="4F81BD"/>
      <w:kern w:val="0"/>
      <w:lang w:eastAsia="en-US"/>
      <w14:ligatures w14:val="none"/>
    </w:rPr>
  </w:style>
  <w:style w:type="character" w:customStyle="1" w:styleId="Heading4Char">
    <w:name w:val="Heading 4 Char"/>
    <w:basedOn w:val="DefaultParagraphFont"/>
    <w:link w:val="Heading4"/>
    <w:uiPriority w:val="9"/>
    <w:semiHidden/>
    <w:rsid w:val="009140EE"/>
    <w:rPr>
      <w:rFonts w:ascii="Calibri" w:eastAsia="Calibri" w:hAnsi="Calibri" w:cs="Calibri"/>
      <w:b/>
      <w:kern w:val="0"/>
      <w:lang w:eastAsia="en-US"/>
      <w14:ligatures w14:val="none"/>
    </w:rPr>
  </w:style>
  <w:style w:type="character" w:customStyle="1" w:styleId="Heading5Char">
    <w:name w:val="Heading 5 Char"/>
    <w:basedOn w:val="DefaultParagraphFont"/>
    <w:link w:val="Heading5"/>
    <w:uiPriority w:val="9"/>
    <w:semiHidden/>
    <w:rsid w:val="009140EE"/>
    <w:rPr>
      <w:rFonts w:ascii="Calibri" w:eastAsia="Calibri" w:hAnsi="Calibri" w:cs="Calibri"/>
      <w:b/>
      <w:kern w:val="0"/>
      <w:sz w:val="22"/>
      <w:szCs w:val="22"/>
      <w:lang w:eastAsia="en-US"/>
      <w14:ligatures w14:val="none"/>
    </w:rPr>
  </w:style>
  <w:style w:type="character" w:customStyle="1" w:styleId="Heading6Char">
    <w:name w:val="Heading 6 Char"/>
    <w:basedOn w:val="DefaultParagraphFont"/>
    <w:link w:val="Heading6"/>
    <w:uiPriority w:val="9"/>
    <w:semiHidden/>
    <w:rsid w:val="009140EE"/>
    <w:rPr>
      <w:rFonts w:ascii="Calibri" w:eastAsia="Calibri" w:hAnsi="Calibri" w:cs="Calibri"/>
      <w:b/>
      <w:kern w:val="0"/>
      <w:sz w:val="20"/>
      <w:szCs w:val="20"/>
      <w:lang w:eastAsia="en-US"/>
      <w14:ligatures w14:val="none"/>
    </w:rPr>
  </w:style>
  <w:style w:type="character" w:customStyle="1" w:styleId="Heading7Char">
    <w:name w:val="Heading 7 Char"/>
    <w:basedOn w:val="DefaultParagraphFont"/>
    <w:link w:val="Heading7"/>
    <w:uiPriority w:val="9"/>
    <w:semiHidden/>
    <w:rsid w:val="009140EE"/>
    <w:rPr>
      <w:rFonts w:ascii="Calibri" w:eastAsiaTheme="majorEastAsia" w:hAnsi="Calibri" w:cstheme="majorBidi"/>
      <w:color w:val="595959" w:themeColor="text1" w:themeTint="A6"/>
      <w:kern w:val="0"/>
      <w:lang w:eastAsia="en-US"/>
      <w14:ligatures w14:val="none"/>
    </w:rPr>
  </w:style>
  <w:style w:type="character" w:customStyle="1" w:styleId="Heading8Char">
    <w:name w:val="Heading 8 Char"/>
    <w:basedOn w:val="DefaultParagraphFont"/>
    <w:link w:val="Heading8"/>
    <w:uiPriority w:val="9"/>
    <w:semiHidden/>
    <w:rsid w:val="009140EE"/>
    <w:rPr>
      <w:rFonts w:ascii="Calibri" w:eastAsiaTheme="majorEastAsia" w:hAnsi="Calibri" w:cstheme="majorBidi"/>
      <w:i/>
      <w:iCs/>
      <w:color w:val="272727" w:themeColor="text1" w:themeTint="D8"/>
      <w:kern w:val="0"/>
      <w:lang w:eastAsia="en-US"/>
      <w14:ligatures w14:val="none"/>
    </w:rPr>
  </w:style>
  <w:style w:type="character" w:customStyle="1" w:styleId="Heading9Char">
    <w:name w:val="Heading 9 Char"/>
    <w:basedOn w:val="DefaultParagraphFont"/>
    <w:link w:val="Heading9"/>
    <w:uiPriority w:val="9"/>
    <w:semiHidden/>
    <w:rsid w:val="009140EE"/>
    <w:rPr>
      <w:rFonts w:ascii="Calibri" w:eastAsiaTheme="majorEastAsia" w:hAnsi="Calibri" w:cstheme="majorBidi"/>
      <w:color w:val="272727" w:themeColor="text1" w:themeTint="D8"/>
      <w:kern w:val="0"/>
      <w:lang w:eastAsia="en-US"/>
      <w14:ligatures w14:val="none"/>
    </w:rPr>
  </w:style>
  <w:style w:type="paragraph" w:styleId="Title">
    <w:name w:val="Title"/>
    <w:basedOn w:val="Normal"/>
    <w:next w:val="Normal"/>
    <w:link w:val="TitleChar"/>
    <w:uiPriority w:val="10"/>
    <w:qFormat/>
    <w:rsid w:val="009140EE"/>
    <w:pPr>
      <w:keepNext/>
      <w:keepLines/>
      <w:spacing w:before="480" w:after="120"/>
    </w:pPr>
    <w:rPr>
      <w:b/>
      <w:sz w:val="72"/>
      <w:szCs w:val="72"/>
    </w:rPr>
  </w:style>
  <w:style w:type="character" w:customStyle="1" w:styleId="TitleChar">
    <w:name w:val="Title Char"/>
    <w:basedOn w:val="DefaultParagraphFont"/>
    <w:link w:val="Title"/>
    <w:uiPriority w:val="10"/>
    <w:rsid w:val="009140EE"/>
    <w:rPr>
      <w:rFonts w:ascii="Calibri" w:eastAsia="Calibri" w:hAnsi="Calibri" w:cs="Calibri"/>
      <w:b/>
      <w:kern w:val="0"/>
      <w:sz w:val="72"/>
      <w:szCs w:val="72"/>
      <w:lang w:eastAsia="en-US"/>
      <w14:ligatures w14:val="none"/>
    </w:rPr>
  </w:style>
  <w:style w:type="paragraph" w:styleId="Subtitle">
    <w:name w:val="Subtitle"/>
    <w:basedOn w:val="Normal"/>
    <w:next w:val="Normal"/>
    <w:link w:val="SubtitleChar"/>
    <w:uiPriority w:val="11"/>
    <w:qFormat/>
    <w:rsid w:val="009140E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140EE"/>
    <w:rPr>
      <w:rFonts w:ascii="Georgia" w:eastAsia="Georgia" w:hAnsi="Georgia" w:cs="Georgia"/>
      <w:i/>
      <w:color w:val="666666"/>
      <w:kern w:val="0"/>
      <w:sz w:val="48"/>
      <w:szCs w:val="48"/>
      <w:lang w:eastAsia="en-US"/>
      <w14:ligatures w14:val="none"/>
    </w:rPr>
  </w:style>
  <w:style w:type="paragraph" w:styleId="Quote">
    <w:name w:val="Quote"/>
    <w:basedOn w:val="Normal"/>
    <w:next w:val="Normal"/>
    <w:link w:val="QuoteChar"/>
    <w:uiPriority w:val="29"/>
    <w:qFormat/>
    <w:rsid w:val="009140EE"/>
    <w:pPr>
      <w:spacing w:before="160"/>
      <w:jc w:val="center"/>
    </w:pPr>
    <w:rPr>
      <w:i/>
      <w:iCs/>
      <w:color w:val="404040" w:themeColor="text1" w:themeTint="BF"/>
    </w:rPr>
  </w:style>
  <w:style w:type="character" w:customStyle="1" w:styleId="QuoteChar">
    <w:name w:val="Quote Char"/>
    <w:basedOn w:val="DefaultParagraphFont"/>
    <w:link w:val="Quote"/>
    <w:uiPriority w:val="29"/>
    <w:rsid w:val="009140EE"/>
    <w:rPr>
      <w:rFonts w:ascii="Calibri" w:eastAsia="Calibri" w:hAnsi="Calibri" w:cs="Calibri"/>
      <w:i/>
      <w:iCs/>
      <w:color w:val="404040" w:themeColor="text1" w:themeTint="BF"/>
      <w:kern w:val="0"/>
      <w:lang w:eastAsia="en-US"/>
      <w14:ligatures w14:val="none"/>
    </w:rPr>
  </w:style>
  <w:style w:type="paragraph" w:styleId="ListParagraph">
    <w:name w:val="List Paragraph"/>
    <w:basedOn w:val="Normal"/>
    <w:uiPriority w:val="34"/>
    <w:qFormat/>
    <w:rsid w:val="009140EE"/>
    <w:pPr>
      <w:widowControl/>
      <w:spacing w:after="200" w:line="276" w:lineRule="auto"/>
      <w:ind w:left="720"/>
      <w:contextualSpacing/>
      <w:jc w:val="left"/>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9140EE"/>
    <w:rPr>
      <w:i/>
      <w:iCs/>
      <w:color w:val="0F4761" w:themeColor="accent1" w:themeShade="BF"/>
    </w:rPr>
  </w:style>
  <w:style w:type="paragraph" w:styleId="IntenseQuote">
    <w:name w:val="Intense Quote"/>
    <w:basedOn w:val="Normal"/>
    <w:next w:val="Normal"/>
    <w:link w:val="IntenseQuoteChar"/>
    <w:uiPriority w:val="30"/>
    <w:qFormat/>
    <w:rsid w:val="00914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0EE"/>
    <w:rPr>
      <w:rFonts w:ascii="Calibri" w:eastAsia="Calibri" w:hAnsi="Calibri" w:cs="Calibri"/>
      <w:i/>
      <w:iCs/>
      <w:color w:val="0F4761" w:themeColor="accent1" w:themeShade="BF"/>
      <w:kern w:val="0"/>
      <w:lang w:eastAsia="en-US"/>
      <w14:ligatures w14:val="none"/>
    </w:rPr>
  </w:style>
  <w:style w:type="character" w:styleId="IntenseReference">
    <w:name w:val="Intense Reference"/>
    <w:basedOn w:val="DefaultParagraphFont"/>
    <w:uiPriority w:val="32"/>
    <w:qFormat/>
    <w:rsid w:val="009140EE"/>
    <w:rPr>
      <w:b/>
      <w:bCs/>
      <w:smallCaps/>
      <w:color w:val="0F4761" w:themeColor="accent1" w:themeShade="BF"/>
      <w:spacing w:val="5"/>
    </w:rPr>
  </w:style>
  <w:style w:type="character" w:styleId="Hyperlink">
    <w:name w:val="Hyperlink"/>
    <w:basedOn w:val="DefaultParagraphFont"/>
    <w:uiPriority w:val="99"/>
    <w:unhideWhenUsed/>
    <w:rsid w:val="009140EE"/>
    <w:rPr>
      <w:color w:val="467886" w:themeColor="hyperlink"/>
      <w:u w:val="single"/>
    </w:rPr>
  </w:style>
  <w:style w:type="character" w:customStyle="1" w:styleId="UnresolvedMention1">
    <w:name w:val="Unresolved Mention1"/>
    <w:basedOn w:val="DefaultParagraphFont"/>
    <w:uiPriority w:val="99"/>
    <w:semiHidden/>
    <w:unhideWhenUsed/>
    <w:rsid w:val="009140EE"/>
    <w:rPr>
      <w:color w:val="605E5C"/>
      <w:shd w:val="clear" w:color="auto" w:fill="E1DFDD"/>
    </w:rPr>
  </w:style>
  <w:style w:type="paragraph" w:styleId="Footer">
    <w:name w:val="footer"/>
    <w:basedOn w:val="Normal"/>
    <w:link w:val="FooterChar"/>
    <w:uiPriority w:val="99"/>
    <w:unhideWhenUsed/>
    <w:rsid w:val="009140EE"/>
    <w:pPr>
      <w:tabs>
        <w:tab w:val="center" w:pos="4680"/>
        <w:tab w:val="right" w:pos="9360"/>
      </w:tabs>
    </w:pPr>
  </w:style>
  <w:style w:type="character" w:customStyle="1" w:styleId="FooterChar">
    <w:name w:val="Footer Char"/>
    <w:basedOn w:val="DefaultParagraphFont"/>
    <w:link w:val="Footer"/>
    <w:uiPriority w:val="99"/>
    <w:rsid w:val="009140EE"/>
    <w:rPr>
      <w:rFonts w:ascii="Calibri" w:eastAsia="Calibri" w:hAnsi="Calibri" w:cs="Calibri"/>
      <w:kern w:val="0"/>
      <w:lang w:eastAsia="en-US"/>
      <w14:ligatures w14:val="none"/>
    </w:rPr>
  </w:style>
  <w:style w:type="paragraph" w:styleId="Revision">
    <w:name w:val="Revision"/>
    <w:hidden/>
    <w:uiPriority w:val="99"/>
    <w:semiHidden/>
    <w:rsid w:val="009140EE"/>
    <w:pPr>
      <w:spacing w:after="0" w:line="240" w:lineRule="auto"/>
    </w:pPr>
    <w:rPr>
      <w:rFonts w:ascii="Calibri" w:eastAsia="Calibri" w:hAnsi="Calibri" w:cs="Calibri"/>
      <w:kern w:val="0"/>
      <w:lang w:eastAsia="en-US"/>
      <w14:ligatures w14:val="none"/>
    </w:rPr>
  </w:style>
  <w:style w:type="character" w:styleId="FollowedHyperlink">
    <w:name w:val="FollowedHyperlink"/>
    <w:basedOn w:val="DefaultParagraphFont"/>
    <w:uiPriority w:val="99"/>
    <w:semiHidden/>
    <w:unhideWhenUsed/>
    <w:rsid w:val="009140EE"/>
    <w:rPr>
      <w:color w:val="96607D" w:themeColor="followedHyperlink"/>
      <w:u w:val="single"/>
    </w:rPr>
  </w:style>
  <w:style w:type="paragraph" w:customStyle="1" w:styleId="EndNoteBibliographyTitle">
    <w:name w:val="EndNote Bibliography Title"/>
    <w:basedOn w:val="Normal"/>
    <w:link w:val="EndNoteBibliographyTitleChar"/>
    <w:rsid w:val="009140EE"/>
    <w:pPr>
      <w:jc w:val="center"/>
    </w:pPr>
    <w:rPr>
      <w:noProof/>
    </w:rPr>
  </w:style>
  <w:style w:type="character" w:customStyle="1" w:styleId="EndNoteBibliographyTitleChar">
    <w:name w:val="EndNote Bibliography Title Char"/>
    <w:basedOn w:val="DefaultParagraphFont"/>
    <w:link w:val="EndNoteBibliographyTitle"/>
    <w:rsid w:val="009140EE"/>
    <w:rPr>
      <w:rFonts w:ascii="Calibri" w:eastAsia="Calibri" w:hAnsi="Calibri" w:cs="Calibri"/>
      <w:noProof/>
      <w:kern w:val="0"/>
      <w:lang w:eastAsia="en-US"/>
      <w14:ligatures w14:val="none"/>
    </w:rPr>
  </w:style>
  <w:style w:type="paragraph" w:customStyle="1" w:styleId="EndNoteBibliography">
    <w:name w:val="EndNote Bibliography"/>
    <w:basedOn w:val="Normal"/>
    <w:link w:val="EndNoteBibliographyChar"/>
    <w:rsid w:val="009140EE"/>
    <w:rPr>
      <w:noProof/>
    </w:rPr>
  </w:style>
  <w:style w:type="character" w:customStyle="1" w:styleId="EndNoteBibliographyChar">
    <w:name w:val="EndNote Bibliography Char"/>
    <w:basedOn w:val="DefaultParagraphFont"/>
    <w:link w:val="EndNoteBibliography"/>
    <w:rsid w:val="009140EE"/>
    <w:rPr>
      <w:rFonts w:ascii="Calibri" w:eastAsia="Calibri" w:hAnsi="Calibri" w:cs="Calibri"/>
      <w:noProof/>
      <w:kern w:val="0"/>
      <w:lang w:eastAsia="en-US"/>
      <w14:ligatures w14:val="none"/>
    </w:rPr>
  </w:style>
  <w:style w:type="character" w:styleId="LineNumber">
    <w:name w:val="line number"/>
    <w:basedOn w:val="DefaultParagraphFont"/>
    <w:uiPriority w:val="99"/>
    <w:semiHidden/>
    <w:unhideWhenUsed/>
    <w:rsid w:val="009140EE"/>
  </w:style>
  <w:style w:type="character" w:styleId="CommentReference">
    <w:name w:val="annotation reference"/>
    <w:basedOn w:val="DefaultParagraphFont"/>
    <w:uiPriority w:val="99"/>
    <w:semiHidden/>
    <w:unhideWhenUsed/>
    <w:rsid w:val="009140EE"/>
    <w:rPr>
      <w:sz w:val="16"/>
      <w:szCs w:val="16"/>
    </w:rPr>
  </w:style>
  <w:style w:type="paragraph" w:styleId="CommentText">
    <w:name w:val="annotation text"/>
    <w:basedOn w:val="Normal"/>
    <w:link w:val="CommentTextChar"/>
    <w:uiPriority w:val="99"/>
    <w:unhideWhenUsed/>
    <w:rsid w:val="009140EE"/>
    <w:rPr>
      <w:sz w:val="20"/>
      <w:szCs w:val="20"/>
    </w:rPr>
  </w:style>
  <w:style w:type="character" w:customStyle="1" w:styleId="CommentTextChar">
    <w:name w:val="Comment Text Char"/>
    <w:basedOn w:val="DefaultParagraphFont"/>
    <w:link w:val="CommentText"/>
    <w:uiPriority w:val="99"/>
    <w:rsid w:val="009140EE"/>
    <w:rPr>
      <w:rFonts w:ascii="Calibri" w:eastAsia="Calibri" w:hAnsi="Calibri" w:cs="Calibr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9140EE"/>
    <w:rPr>
      <w:b/>
      <w:bCs/>
    </w:rPr>
  </w:style>
  <w:style w:type="character" w:customStyle="1" w:styleId="CommentSubjectChar">
    <w:name w:val="Comment Subject Char"/>
    <w:basedOn w:val="CommentTextChar"/>
    <w:link w:val="CommentSubject"/>
    <w:uiPriority w:val="99"/>
    <w:semiHidden/>
    <w:rsid w:val="009140EE"/>
    <w:rPr>
      <w:rFonts w:ascii="Calibri" w:eastAsia="Calibri" w:hAnsi="Calibri" w:cs="Calibri"/>
      <w:b/>
      <w:bCs/>
      <w:kern w:val="0"/>
      <w:sz w:val="20"/>
      <w:szCs w:val="20"/>
      <w:lang w:eastAsia="en-US"/>
      <w14:ligatures w14:val="none"/>
    </w:rPr>
  </w:style>
  <w:style w:type="character" w:styleId="UnresolvedMention">
    <w:name w:val="Unresolved Mention"/>
    <w:basedOn w:val="DefaultParagraphFont"/>
    <w:uiPriority w:val="99"/>
    <w:semiHidden/>
    <w:unhideWhenUsed/>
    <w:rsid w:val="00914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4442</Words>
  <Characters>25323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Cao</dc:creator>
  <cp:keywords/>
  <dc:description/>
  <cp:lastModifiedBy>Lauren Cao</cp:lastModifiedBy>
  <cp:revision>2</cp:revision>
  <dcterms:created xsi:type="dcterms:W3CDTF">2025-06-02T21:54:00Z</dcterms:created>
  <dcterms:modified xsi:type="dcterms:W3CDTF">2025-06-02T21:54:00Z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90e08a01-df6c-4fdc-904c-4daa37df98f3</vt:lpwstr>
  </property>
</Properties>
</file>