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530C1CF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D1A7D">
        <w:rPr>
          <w:rFonts w:eastAsia="Times New Roman" w:cstheme="minorHAnsi"/>
          <w:b/>
        </w:rPr>
        <w:t>68520</w:t>
      </w:r>
    </w:p>
    <w:p w14:paraId="2F6924E5" w14:textId="206F7E2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F657F">
        <w:rPr>
          <w:rFonts w:eastAsia="Times New Roman" w:cstheme="minorHAnsi"/>
          <w:b/>
        </w:rPr>
        <w:t xml:space="preserve">Sulakshana </w:t>
      </w:r>
      <w:proofErr w:type="spellStart"/>
      <w:r w:rsidR="00CF657F">
        <w:rPr>
          <w:rFonts w:eastAsia="Times New Roman" w:cstheme="minorHAnsi"/>
          <w:b/>
        </w:rPr>
        <w:t>Karkala</w:t>
      </w:r>
      <w:proofErr w:type="spellEnd"/>
    </w:p>
    <w:p w14:paraId="6FB9233B" w14:textId="1DE559E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852BB" w:rsidRPr="003E75F4">
          <w:rPr>
            <w:rStyle w:val="Hyperlink"/>
            <w:rFonts w:eastAsia="Times New Roman" w:cstheme="minorHAnsi"/>
            <w:b/>
          </w:rPr>
          <w:t>https://review.jove.com/account/file-uploader?src=20898648</w:t>
        </w:r>
      </w:hyperlink>
    </w:p>
    <w:p w14:paraId="6E730680" w14:textId="77777777" w:rsidR="00F852BB" w:rsidRPr="00B07A3B" w:rsidRDefault="00F852BB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A80C1E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DC4F57" w:rsidRPr="00DC4F57">
        <w:rPr>
          <w:rStyle w:val="ArticleTitle"/>
          <w:rFonts w:cstheme="minorHAnsi"/>
        </w:rPr>
        <w:t>Application of Dixon's Up-and-Down Design to Estimate the Minimum Alveolar Concentration of Sevoflurane in Rats with Refined Movement Classification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1E9E7A7" w14:textId="77777777" w:rsidR="00DC4F57" w:rsidRDefault="00DC4F57" w:rsidP="00DC4F57">
      <w:pPr>
        <w:outlineLvl w:val="0"/>
        <w:rPr>
          <w:rFonts w:eastAsia="Times New Roman" w:cstheme="minorHAnsi"/>
          <w:b/>
          <w:sz w:val="28"/>
          <w:szCs w:val="28"/>
        </w:rPr>
      </w:pPr>
      <w:r w:rsidRPr="00DC4F57">
        <w:rPr>
          <w:rFonts w:eastAsia="Times New Roman" w:cstheme="minorHAnsi"/>
          <w:b/>
          <w:sz w:val="28"/>
          <w:szCs w:val="28"/>
        </w:rPr>
        <w:t xml:space="preserve">Johannes Müller, Roxana </w:t>
      </w:r>
      <w:proofErr w:type="spellStart"/>
      <w:r w:rsidRPr="00DC4F57">
        <w:rPr>
          <w:rFonts w:eastAsia="Times New Roman" w:cstheme="minorHAnsi"/>
          <w:b/>
          <w:sz w:val="28"/>
          <w:szCs w:val="28"/>
        </w:rPr>
        <w:t>Polojintef</w:t>
      </w:r>
      <w:proofErr w:type="spellEnd"/>
      <w:r w:rsidRPr="00DC4F57">
        <w:rPr>
          <w:rFonts w:eastAsia="Times New Roman" w:cstheme="minorHAnsi"/>
          <w:b/>
          <w:sz w:val="28"/>
          <w:szCs w:val="28"/>
        </w:rPr>
        <w:t>-Corbu, Jule Rensing, Walter Plöchl</w:t>
      </w:r>
    </w:p>
    <w:p w14:paraId="0CE2F35D" w14:textId="77777777" w:rsidR="00DC4F57" w:rsidRPr="00DC4F57" w:rsidRDefault="00DC4F57" w:rsidP="00DC4F57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066A69DE" w14:textId="72A8B3E2" w:rsidR="00DC4F57" w:rsidRPr="00DC4F57" w:rsidRDefault="00DC4F57" w:rsidP="00DC4F57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DC4F57">
        <w:rPr>
          <w:rFonts w:eastAsia="Times New Roman" w:cstheme="minorHAnsi"/>
          <w:b/>
          <w:iCs w:val="0"/>
          <w:sz w:val="28"/>
          <w:szCs w:val="28"/>
        </w:rPr>
        <w:t>Intensive Care Medicine and Pain Medicine, Clinical Division of General Anesthesia and Intensive Care Medicine</w:t>
      </w:r>
      <w:r>
        <w:rPr>
          <w:rFonts w:eastAsia="Times New Roman" w:cstheme="minorHAnsi"/>
          <w:b/>
          <w:iCs w:val="0"/>
          <w:sz w:val="28"/>
          <w:szCs w:val="28"/>
        </w:rPr>
        <w:t>,</w:t>
      </w:r>
      <w:r w:rsidRPr="00DC4F57">
        <w:rPr>
          <w:rFonts w:eastAsia="Times New Roman" w:cstheme="minorHAnsi"/>
          <w:b/>
          <w:iCs w:val="0"/>
          <w:sz w:val="28"/>
          <w:szCs w:val="28"/>
        </w:rPr>
        <w:t xml:space="preserve"> Department of Anesthesia</w:t>
      </w:r>
      <w:r>
        <w:rPr>
          <w:rFonts w:eastAsia="Times New Roman" w:cstheme="minorHAnsi"/>
          <w:b/>
          <w:iCs w:val="0"/>
          <w:sz w:val="28"/>
          <w:szCs w:val="28"/>
        </w:rPr>
        <w:t>,</w:t>
      </w:r>
    </w:p>
    <w:p w14:paraId="29BCCED1" w14:textId="0AFD4301" w:rsidR="00DC4F57" w:rsidRPr="00DC4F57" w:rsidRDefault="00DC4F57" w:rsidP="00DC4F57">
      <w:pPr>
        <w:outlineLvl w:val="0"/>
        <w:rPr>
          <w:rFonts w:eastAsia="Times New Roman" w:cstheme="minorHAnsi"/>
          <w:b/>
          <w:iCs w:val="0"/>
          <w:sz w:val="28"/>
          <w:szCs w:val="28"/>
        </w:rPr>
      </w:pPr>
      <w:r w:rsidRPr="00DC4F57">
        <w:rPr>
          <w:rFonts w:eastAsia="Times New Roman" w:cstheme="minorHAnsi"/>
          <w:b/>
          <w:iCs w:val="0"/>
          <w:sz w:val="28"/>
          <w:szCs w:val="28"/>
        </w:rPr>
        <w:t>Medical University of Vienna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3AF252F5" w:rsidR="004E0C5A" w:rsidRPr="00DC4F57" w:rsidRDefault="00DC4F57" w:rsidP="00DC4F57">
      <w:pPr>
        <w:rPr>
          <w:iCs w:val="0"/>
        </w:rPr>
      </w:pPr>
      <w:bookmarkStart w:id="0" w:name="_Hlk25233958"/>
      <w:r w:rsidRPr="00E42B25">
        <w:t xml:space="preserve">Roxana </w:t>
      </w:r>
      <w:proofErr w:type="spellStart"/>
      <w:r w:rsidRPr="00E42B25">
        <w:t>Polojintef</w:t>
      </w:r>
      <w:proofErr w:type="spellEnd"/>
      <w:r w:rsidRPr="00E42B25">
        <w:t xml:space="preserve">-Corbu </w:t>
      </w:r>
      <w:r w:rsidRPr="00E42B25">
        <w:tab/>
        <w:t>(roxana.polojintef-corbu@meduniwien.ac.at)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539A405E" w14:textId="77777777" w:rsidR="00DC4F57" w:rsidRDefault="00DC4F57" w:rsidP="00DC4F57">
      <w:r w:rsidRPr="00E42B25">
        <w:t>Johannes Müller</w:t>
      </w:r>
      <w:r w:rsidRPr="00E42B25">
        <w:tab/>
      </w:r>
      <w:r w:rsidRPr="00E42B25">
        <w:tab/>
        <w:t>(</w:t>
      </w:r>
      <w:hyperlink r:id="rId8" w:history="1">
        <w:r w:rsidRPr="00B7694E">
          <w:rPr>
            <w:rStyle w:val="Hyperlink"/>
          </w:rPr>
          <w:t>johannes.mueller@meduniwien.ac.at</w:t>
        </w:r>
      </w:hyperlink>
      <w:r w:rsidRPr="00E42B25">
        <w:t>)</w:t>
      </w:r>
    </w:p>
    <w:p w14:paraId="5FA43D66" w14:textId="77777777" w:rsidR="00DC4F57" w:rsidRPr="00E42B25" w:rsidRDefault="00DC4F57" w:rsidP="00DC4F57">
      <w:r w:rsidRPr="00E42B25">
        <w:t xml:space="preserve">Roxana </w:t>
      </w:r>
      <w:proofErr w:type="spellStart"/>
      <w:r w:rsidRPr="00E42B25">
        <w:t>Polojintef</w:t>
      </w:r>
      <w:proofErr w:type="spellEnd"/>
      <w:r w:rsidRPr="00E42B25">
        <w:t xml:space="preserve">-Corbu </w:t>
      </w:r>
      <w:r w:rsidRPr="00E42B25">
        <w:tab/>
        <w:t>(roxana.polojintef-corbu@meduniwien.ac.at)</w:t>
      </w:r>
    </w:p>
    <w:p w14:paraId="3AD4576F" w14:textId="77777777" w:rsidR="00DC4F57" w:rsidRPr="00E42B25" w:rsidRDefault="00DC4F57" w:rsidP="00DC4F57">
      <w:r w:rsidRPr="00E42B25">
        <w:t>Jule Rensing</w:t>
      </w:r>
      <w:r w:rsidRPr="00E42B25">
        <w:tab/>
      </w:r>
      <w:r w:rsidRPr="00E42B25">
        <w:tab/>
      </w:r>
      <w:r w:rsidRPr="00E42B25">
        <w:tab/>
        <w:t>(jule.rensing@meduniwien.ac.at)</w:t>
      </w:r>
    </w:p>
    <w:p w14:paraId="7F2B0DF2" w14:textId="77777777" w:rsidR="00DC4F57" w:rsidRPr="00E42B25" w:rsidRDefault="00DC4F57" w:rsidP="00DC4F57">
      <w:r w:rsidRPr="00E42B25">
        <w:t>Walter Plöchl</w:t>
      </w:r>
      <w:r w:rsidRPr="00E42B25">
        <w:tab/>
      </w:r>
      <w:r w:rsidRPr="00E42B25">
        <w:tab/>
      </w:r>
      <w:r w:rsidRPr="00E42B25">
        <w:tab/>
        <w:t>(walter.ploechl@meduniwien.ac.at)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652496C0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8F423D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1AE5F8C2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8F423D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2058E770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8F423D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09103C9A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proofErr w:type="gram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proofErr w:type="gram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EC1275">
        <w:rPr>
          <w:rFonts w:ascii="Calibri" w:hAnsi="Calibri" w:cs="Calibri"/>
          <w:b/>
          <w:bCs/>
          <w:color w:val="222222"/>
        </w:rPr>
        <w:t>07/</w:t>
      </w:r>
      <w:r w:rsidR="0076705A">
        <w:rPr>
          <w:rFonts w:ascii="Calibri" w:hAnsi="Calibri" w:cs="Calibri"/>
          <w:b/>
          <w:bCs/>
          <w:color w:val="222222"/>
        </w:rPr>
        <w:t>09</w:t>
      </w:r>
      <w:r w:rsidR="00EC1275">
        <w:rPr>
          <w:rFonts w:ascii="Calibri" w:hAnsi="Calibri" w:cs="Calibri"/>
          <w:b/>
          <w:bCs/>
          <w:color w:val="222222"/>
        </w:rPr>
        <w:t>/25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35F05DC3" w:rsidR="000A7C4F" w:rsidRDefault="000A7C4F" w:rsidP="00DC4F57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9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B56233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23D74CA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B56233">
        <w:rPr>
          <w:rFonts w:cstheme="minorHAnsi"/>
          <w:bCs/>
          <w:sz w:val="22"/>
          <w:szCs w:val="22"/>
        </w:rPr>
        <w:t>05</w:t>
      </w:r>
      <w:proofErr w:type="gramEnd"/>
    </w:p>
    <w:p w14:paraId="5AAC9C6C" w14:textId="362AFD5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B56233">
        <w:rPr>
          <w:rFonts w:cstheme="minorHAnsi"/>
          <w:bCs/>
          <w:sz w:val="22"/>
          <w:szCs w:val="22"/>
        </w:rPr>
        <w:t>09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4B92BF50" w:rsidR="007D61A8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>REQUIRED: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FFA743D" w14:textId="1F59B3A6" w:rsidR="000A533F" w:rsidRDefault="00EC1275" w:rsidP="000A533F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rStyle w:val="AuthorName"/>
          <w:rFonts w:asciiTheme="minorHAnsi" w:eastAsia="Times" w:hAnsiTheme="minorHAnsi" w:cstheme="minorHAnsi"/>
        </w:rPr>
        <w:t xml:space="preserve">Roxana </w:t>
      </w:r>
      <w:proofErr w:type="spellStart"/>
      <w:r>
        <w:rPr>
          <w:rStyle w:val="AuthorName"/>
          <w:rFonts w:asciiTheme="minorHAnsi" w:eastAsia="Times" w:hAnsiTheme="minorHAnsi" w:cstheme="minorHAnsi"/>
        </w:rPr>
        <w:t>Polojintef</w:t>
      </w:r>
      <w:proofErr w:type="spellEnd"/>
      <w:r>
        <w:rPr>
          <w:rStyle w:val="AuthorName"/>
          <w:rFonts w:asciiTheme="minorHAnsi" w:eastAsia="Times" w:hAnsiTheme="minorHAnsi" w:cstheme="minorHAnsi"/>
        </w:rPr>
        <w:t>-Corbu</w:t>
      </w:r>
      <w:r w:rsidRPr="009C49FA">
        <w:rPr>
          <w:b/>
          <w:bCs/>
          <w:u w:val="single"/>
        </w:rPr>
        <w:t>:</w:t>
      </w:r>
      <w:r w:rsidRPr="009C49FA">
        <w:t xml:space="preserve"> </w:t>
      </w:r>
      <w:r>
        <w:rPr>
          <w:rFonts w:cstheme="minorHAnsi"/>
        </w:rPr>
        <w:t>Our research focuses on the need for a personalized management of drug combinations in anesthesiology to achieve the appropriate anesthetic depth, considering the complex interactions among different drugs</w:t>
      </w:r>
      <w:r>
        <w:t>.</w:t>
      </w:r>
    </w:p>
    <w:p w14:paraId="0FDE1B8B" w14:textId="16A69E9E" w:rsidR="00EC1275" w:rsidRPr="00EC1275" w:rsidRDefault="00EC1275" w:rsidP="00EC1275">
      <w:pPr>
        <w:numPr>
          <w:ilvl w:val="2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bCs/>
        </w:rPr>
      </w:pPr>
      <w:r w:rsidRPr="00EC1275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 w:rsidRPr="00EC1275">
        <w:rPr>
          <w:rFonts w:cstheme="minorHAnsi"/>
          <w:b/>
          <w:bCs/>
          <w:i/>
          <w:color w:val="0000FF"/>
        </w:rPr>
        <w:t xml:space="preserve"> </w:t>
      </w:r>
      <w:r w:rsidRPr="00EC1275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 xml:space="preserve">Suggested </w:t>
      </w:r>
      <w:proofErr w:type="gramStart"/>
      <w:r w:rsidRPr="00EC1275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B.roll</w:t>
      </w:r>
      <w:proofErr w:type="gramEnd"/>
      <w:r w:rsidRPr="00EC1275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2.1.1</w:t>
      </w:r>
      <w:r w:rsidRPr="00EC1275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br/>
      </w:r>
    </w:p>
    <w:p w14:paraId="3871639C" w14:textId="2E211A1E" w:rsidR="00EC1275" w:rsidRPr="00EC1275" w:rsidRDefault="00EC1275" w:rsidP="00EC1275">
      <w:pPr>
        <w:pStyle w:val="ListParagraph"/>
        <w:ind w:left="360"/>
        <w:rPr>
          <w:rFonts w:eastAsia="Times New Roman" w:cstheme="minorHAnsi"/>
          <w:sz w:val="28"/>
          <w:szCs w:val="28"/>
        </w:rPr>
      </w:pPr>
      <w:r w:rsidRPr="00EC1275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57AF121F" w14:textId="77777777" w:rsidR="00EC1275" w:rsidRPr="00EC1275" w:rsidRDefault="00DB709F" w:rsidP="00EC1275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 w:rsidRPr="00EC1275">
        <w:rPr>
          <w:rStyle w:val="AuthorName"/>
          <w:rFonts w:asciiTheme="minorHAnsi" w:eastAsia="Times" w:hAnsiTheme="minorHAnsi" w:cstheme="minorHAnsi"/>
        </w:rPr>
        <w:t xml:space="preserve">Roxana </w:t>
      </w:r>
      <w:proofErr w:type="spellStart"/>
      <w:r w:rsidRPr="00EC1275">
        <w:rPr>
          <w:rStyle w:val="AuthorName"/>
          <w:rFonts w:asciiTheme="minorHAnsi" w:eastAsia="Times" w:hAnsiTheme="minorHAnsi" w:cstheme="minorHAnsi"/>
        </w:rPr>
        <w:t>Polojintef</w:t>
      </w:r>
      <w:proofErr w:type="spellEnd"/>
      <w:r w:rsidRPr="00EC1275">
        <w:rPr>
          <w:rStyle w:val="AuthorName"/>
          <w:rFonts w:asciiTheme="minorHAnsi" w:eastAsia="Times" w:hAnsiTheme="minorHAnsi" w:cstheme="minorHAnsi"/>
        </w:rPr>
        <w:t>-Corbu</w:t>
      </w:r>
      <w:r w:rsidR="007D61A8" w:rsidRPr="00EC1275">
        <w:rPr>
          <w:rFonts w:eastAsia="Times New Roman" w:cstheme="minorHAnsi"/>
          <w:b/>
          <w:bCs/>
          <w:u w:val="single"/>
        </w:rPr>
        <w:t>:</w:t>
      </w:r>
      <w:r w:rsidR="007D61A8" w:rsidRPr="00EC1275">
        <w:rPr>
          <w:rFonts w:eastAsia="Times New Roman" w:cstheme="minorHAnsi"/>
        </w:rPr>
        <w:t xml:space="preserve"> </w:t>
      </w:r>
      <w:r w:rsidR="00DF4438" w:rsidRPr="00EC1275">
        <w:rPr>
          <w:rFonts w:cstheme="minorHAnsi"/>
        </w:rPr>
        <w:t xml:space="preserve">Our previously published studies showed significant reductions in sevoflurane and propofol </w:t>
      </w:r>
      <w:r w:rsidR="0093412D" w:rsidRPr="00EC1275">
        <w:rPr>
          <w:rFonts w:cstheme="minorHAnsi"/>
        </w:rPr>
        <w:t>requirements</w:t>
      </w:r>
      <w:r w:rsidR="00DF4438" w:rsidRPr="00EC1275">
        <w:rPr>
          <w:rFonts w:cstheme="minorHAnsi"/>
        </w:rPr>
        <w:t xml:space="preserve"> following THC, ethanol, or pregabalin administration, highlighting notable </w:t>
      </w:r>
      <w:r w:rsidR="00AC3B2F" w:rsidRPr="00EC1275">
        <w:rPr>
          <w:rFonts w:cstheme="minorHAnsi"/>
        </w:rPr>
        <w:t xml:space="preserve">and clinically relevant </w:t>
      </w:r>
      <w:r w:rsidR="00DF4438" w:rsidRPr="00EC1275">
        <w:rPr>
          <w:rFonts w:cstheme="minorHAnsi"/>
        </w:rPr>
        <w:t>drug-anesthetic interactions.</w:t>
      </w:r>
    </w:p>
    <w:p w14:paraId="0571B539" w14:textId="341CFD2C" w:rsidR="00EC1275" w:rsidRPr="00EC1275" w:rsidRDefault="00EC1275" w:rsidP="00EC1275">
      <w:pPr>
        <w:numPr>
          <w:ilvl w:val="2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 w:rsidRPr="00EC1275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 w:rsidRPr="00EC1275">
        <w:rPr>
          <w:rFonts w:cstheme="minorHAnsi"/>
          <w:b/>
          <w:bCs/>
          <w:i/>
          <w:color w:val="0000FF"/>
        </w:rPr>
        <w:t xml:space="preserve"> </w:t>
      </w:r>
      <w:r w:rsidRPr="00EC1275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 xml:space="preserve">Suggested </w:t>
      </w:r>
      <w:proofErr w:type="gramStart"/>
      <w:r w:rsidRPr="00EC1275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B.roll</w:t>
      </w:r>
      <w:proofErr w:type="gramEnd"/>
      <w:r w:rsidRPr="00EC1275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2.1.2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br/>
      </w:r>
    </w:p>
    <w:p w14:paraId="11246F30" w14:textId="744CD2A8" w:rsidR="00EC1275" w:rsidRPr="00EC1275" w:rsidRDefault="00EC1275" w:rsidP="00EC1275">
      <w:pPr>
        <w:pStyle w:val="ListParagraph"/>
        <w:ind w:left="360"/>
        <w:rPr>
          <w:rFonts w:eastAsia="Times New Roman" w:cstheme="minorHAnsi"/>
          <w:sz w:val="28"/>
          <w:szCs w:val="28"/>
        </w:rPr>
      </w:pPr>
      <w:r w:rsidRPr="00EC1275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7331C713" w:rsidR="00333FA4" w:rsidRPr="00EC1275" w:rsidRDefault="00DB709F" w:rsidP="00EC1275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 w:rsidRPr="00EC1275">
        <w:rPr>
          <w:rStyle w:val="AuthorName"/>
          <w:rFonts w:asciiTheme="minorHAnsi" w:eastAsia="Times" w:hAnsiTheme="minorHAnsi" w:cstheme="minorHAnsi"/>
        </w:rPr>
        <w:t xml:space="preserve">Roxana </w:t>
      </w:r>
      <w:proofErr w:type="spellStart"/>
      <w:r w:rsidRPr="00EC1275">
        <w:rPr>
          <w:rStyle w:val="AuthorName"/>
          <w:rFonts w:asciiTheme="minorHAnsi" w:eastAsia="Times" w:hAnsiTheme="minorHAnsi" w:cstheme="minorHAnsi"/>
        </w:rPr>
        <w:t>Polojintef</w:t>
      </w:r>
      <w:proofErr w:type="spellEnd"/>
      <w:r w:rsidRPr="00EC1275">
        <w:rPr>
          <w:rStyle w:val="AuthorName"/>
          <w:rFonts w:asciiTheme="minorHAnsi" w:eastAsia="Times" w:hAnsiTheme="minorHAnsi" w:cstheme="minorHAnsi"/>
        </w:rPr>
        <w:t>-Corbu</w:t>
      </w:r>
      <w:r w:rsidR="00333FA4" w:rsidRPr="00EC1275">
        <w:rPr>
          <w:rFonts w:eastAsia="Times New Roman" w:cstheme="minorHAnsi"/>
          <w:b/>
          <w:bCs/>
          <w:u w:val="single"/>
        </w:rPr>
        <w:t>:</w:t>
      </w:r>
      <w:r w:rsidR="00333FA4" w:rsidRPr="00EC1275">
        <w:rPr>
          <w:rFonts w:eastAsia="Times New Roman" w:cstheme="minorHAnsi"/>
        </w:rPr>
        <w:t xml:space="preserve"> </w:t>
      </w:r>
      <w:r w:rsidR="00DF4438" w:rsidRPr="00EC1275">
        <w:rPr>
          <w:rFonts w:cstheme="minorHAnsi"/>
        </w:rPr>
        <w:t xml:space="preserve">Basic animal studies on hypnotic–vasopressor interactions date back to the 1970s, often using few subjects and focusing on outdated agents like halothane, leaving limited data on modern </w:t>
      </w:r>
      <w:proofErr w:type="spellStart"/>
      <w:r w:rsidR="00DF4438" w:rsidRPr="00EC1275">
        <w:rPr>
          <w:rFonts w:cstheme="minorHAnsi"/>
        </w:rPr>
        <w:t>anaesthetics</w:t>
      </w:r>
      <w:proofErr w:type="spellEnd"/>
      <w:r w:rsidR="00DF4438" w:rsidRPr="00EC1275">
        <w:rPr>
          <w:rFonts w:cstheme="minorHAnsi"/>
        </w:rPr>
        <w:t xml:space="preserve"> such as sevoflurane.</w:t>
      </w:r>
    </w:p>
    <w:p w14:paraId="47D0C677" w14:textId="57293D73" w:rsidR="00EC1275" w:rsidRPr="00EC1275" w:rsidRDefault="00EC1275" w:rsidP="00EC1275">
      <w:pPr>
        <w:numPr>
          <w:ilvl w:val="2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 w:rsidRPr="00EC1275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 w:rsidRPr="00EC1275">
        <w:rPr>
          <w:rFonts w:cstheme="minorHAnsi"/>
          <w:b/>
          <w:bCs/>
          <w:i/>
          <w:color w:val="0000FF"/>
        </w:rPr>
        <w:t xml:space="preserve"> 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19333280" w14:textId="766C6F5D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DC4F57" w:rsidRPr="00E42B25">
        <w:t>Intramural Committee for Animal Experimentation of the Medical University of Vienna and the competent regulatory authority (Austrian Federal Ministry of Women, Science and Research)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7D7131EC" w:rsidR="00CE10F2" w:rsidRDefault="00B56233" w:rsidP="00653D52">
      <w:pPr>
        <w:pStyle w:val="ListParagraph"/>
        <w:numPr>
          <w:ilvl w:val="0"/>
          <w:numId w:val="43"/>
        </w:numPr>
        <w:spacing w:before="120"/>
        <w:contextualSpacing w:val="0"/>
        <w:rPr>
          <w:rFonts w:cstheme="minorHAnsi"/>
          <w:b/>
          <w:bCs/>
        </w:rPr>
      </w:pPr>
      <w:r w:rsidRPr="00B56233">
        <w:rPr>
          <w:rFonts w:cstheme="minorHAnsi"/>
          <w:b/>
          <w:bCs/>
        </w:rPr>
        <w:t>Assessing Nociceptive Responses in Rats Under Sevoflurane Anesthesia Using Tail Clamp Stimulation</w:t>
      </w:r>
    </w:p>
    <w:p w14:paraId="753B71A2" w14:textId="50DB43B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9A48D1">
        <w:rPr>
          <w:rFonts w:cstheme="minorHAnsi"/>
        </w:rPr>
        <w:t>Johannes Müller</w:t>
      </w:r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2279C31" w14:textId="234E758F" w:rsidR="001E0433" w:rsidRDefault="006210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621033">
        <w:rPr>
          <w:rFonts w:cstheme="minorHAnsi"/>
          <w:b/>
          <w:bCs/>
          <w:highlight w:val="green"/>
        </w:rPr>
        <w:t>NOTE: Protocol was scripted from author provided footage</w:t>
      </w:r>
    </w:p>
    <w:p w14:paraId="4BD285CD" w14:textId="07E62FE4" w:rsidR="00DC4F57" w:rsidRPr="00C0150B" w:rsidRDefault="00DC4F57" w:rsidP="00653D52">
      <w:pPr>
        <w:pStyle w:val="Narration"/>
        <w:numPr>
          <w:ilvl w:val="1"/>
          <w:numId w:val="43"/>
        </w:numPr>
      </w:pPr>
      <w:r>
        <w:t>To begin, use</w:t>
      </w:r>
      <w:r w:rsidRPr="00C0150B">
        <w:t xml:space="preserve"> an airtight, transparent chamber for placing the rat </w:t>
      </w:r>
      <w:r w:rsidRPr="00C0150B">
        <w:rPr>
          <w:b/>
          <w:bCs/>
        </w:rPr>
        <w:t>[1]</w:t>
      </w:r>
      <w:r w:rsidRPr="00C0150B">
        <w:t xml:space="preserve">. </w:t>
      </w:r>
      <w:r w:rsidR="00621033" w:rsidRPr="00C0150B">
        <w:t xml:space="preserve">Connect the inflow </w:t>
      </w:r>
      <w:r w:rsidR="00621033">
        <w:t>and</w:t>
      </w:r>
      <w:r w:rsidR="00621033" w:rsidRPr="00C0150B">
        <w:t xml:space="preserve"> outflow</w:t>
      </w:r>
      <w:r w:rsidR="00621033">
        <w:t xml:space="preserve">s </w:t>
      </w:r>
      <w:r w:rsidR="00621033" w:rsidRPr="00C0150B">
        <w:t xml:space="preserve">line </w:t>
      </w:r>
      <w:r w:rsidR="00621033">
        <w:t>to sevoflurane and monitor sevoflurane concentrations</w:t>
      </w:r>
      <w:r w:rsidR="00621033" w:rsidRPr="00C0150B">
        <w:t xml:space="preserve"> </w:t>
      </w:r>
      <w:r w:rsidR="00621033" w:rsidRPr="00C0150B">
        <w:rPr>
          <w:b/>
          <w:bCs/>
        </w:rPr>
        <w:t>[</w:t>
      </w:r>
      <w:r w:rsidR="00621033">
        <w:rPr>
          <w:b/>
          <w:bCs/>
        </w:rPr>
        <w:t>2</w:t>
      </w:r>
      <w:r w:rsidR="00621033" w:rsidRPr="00C0150B">
        <w:rPr>
          <w:b/>
          <w:bCs/>
        </w:rPr>
        <w:t>]</w:t>
      </w:r>
      <w:r w:rsidR="00621033" w:rsidRPr="00C0150B">
        <w:t>.</w:t>
      </w:r>
    </w:p>
    <w:p w14:paraId="6663DD17" w14:textId="023FC944" w:rsidR="00DC4F57" w:rsidRDefault="003234D2" w:rsidP="00653D52">
      <w:pPr>
        <w:pStyle w:val="ShotDescription"/>
        <w:numPr>
          <w:ilvl w:val="2"/>
          <w:numId w:val="43"/>
        </w:numPr>
        <w:rPr>
          <w:lang w:val="en-IN"/>
        </w:rPr>
      </w:pPr>
      <w:r>
        <w:rPr>
          <w:lang w:val="en-IN"/>
        </w:rPr>
        <w:t>LAB MEDIA</w:t>
      </w:r>
      <w:r w:rsidR="00DC4F57" w:rsidRPr="00C0150B">
        <w:rPr>
          <w:lang w:val="en-IN"/>
        </w:rPr>
        <w:t>: video1.positive 00:0</w:t>
      </w:r>
      <w:r w:rsidR="00621033">
        <w:rPr>
          <w:lang w:val="en-IN"/>
        </w:rPr>
        <w:t>3</w:t>
      </w:r>
      <w:r w:rsidR="00DC4F57" w:rsidRPr="00C0150B">
        <w:rPr>
          <w:lang w:val="en-IN"/>
        </w:rPr>
        <w:t>-00:04</w:t>
      </w:r>
      <w:r w:rsidR="00201D50">
        <w:rPr>
          <w:lang w:val="en-IN"/>
        </w:rPr>
        <w:t xml:space="preserve"> </w:t>
      </w:r>
      <w:r w:rsidR="00201D50">
        <w:rPr>
          <w:b/>
          <w:bCs/>
          <w:lang w:val="en-IN"/>
        </w:rPr>
        <w:t xml:space="preserve">TXT: Chamber dimensions: </w:t>
      </w:r>
      <w:r w:rsidR="00201D50" w:rsidRPr="00201D50">
        <w:rPr>
          <w:b/>
          <w:bCs/>
          <w:lang w:val="en-IN"/>
        </w:rPr>
        <w:t>15 cm × 20 cm × 9 cm</w:t>
      </w:r>
      <w:r w:rsidR="00201D50">
        <w:rPr>
          <w:b/>
          <w:bCs/>
          <w:lang w:val="en-IN"/>
        </w:rPr>
        <w:t>; opening: 15 mm</w:t>
      </w:r>
      <w:r w:rsidR="00621033">
        <w:rPr>
          <w:b/>
          <w:bCs/>
          <w:lang w:val="en-IN"/>
        </w:rPr>
        <w:br/>
      </w:r>
      <w:r w:rsidR="00621033" w:rsidRPr="00621033">
        <w:rPr>
          <w:i/>
          <w:iCs/>
          <w:color w:val="3333FF"/>
          <w:lang w:val="en-IN"/>
        </w:rPr>
        <w:t>Video Editor: Please freeze frame here</w:t>
      </w:r>
      <w:r w:rsidR="00621033" w:rsidRPr="00621033">
        <w:rPr>
          <w:b/>
          <w:bCs/>
          <w:i/>
          <w:iCs/>
          <w:color w:val="3333FF"/>
          <w:lang w:val="en-IN"/>
        </w:rPr>
        <w:t xml:space="preserve"> </w:t>
      </w:r>
    </w:p>
    <w:p w14:paraId="68E92B55" w14:textId="78652B76" w:rsidR="00DC4F57" w:rsidRPr="00C0150B" w:rsidRDefault="003234D2" w:rsidP="00653D52">
      <w:pPr>
        <w:pStyle w:val="ShotDescription"/>
        <w:numPr>
          <w:ilvl w:val="2"/>
          <w:numId w:val="43"/>
        </w:numPr>
        <w:rPr>
          <w:lang w:val="en-IN"/>
        </w:rPr>
      </w:pPr>
      <w:r>
        <w:rPr>
          <w:lang w:val="en-IN"/>
        </w:rPr>
        <w:t>LAB MEDIA</w:t>
      </w:r>
      <w:r w:rsidR="00DC4F57" w:rsidRPr="00C0150B">
        <w:rPr>
          <w:lang w:val="en-IN"/>
        </w:rPr>
        <w:t>: video2.negative 00:03-00:0</w:t>
      </w:r>
      <w:r w:rsidR="00621033">
        <w:rPr>
          <w:lang w:val="en-IN"/>
        </w:rPr>
        <w:t>5</w:t>
      </w:r>
    </w:p>
    <w:p w14:paraId="451AEE3D" w14:textId="44230A28" w:rsidR="00DC4F57" w:rsidRPr="00C0150B" w:rsidRDefault="00DC4F57" w:rsidP="00653D52">
      <w:pPr>
        <w:pStyle w:val="Narration"/>
        <w:numPr>
          <w:ilvl w:val="1"/>
          <w:numId w:val="43"/>
        </w:numPr>
      </w:pPr>
      <w:r w:rsidRPr="00C0150B">
        <w:t xml:space="preserve">Ensure a constant oxygen flow of 3 </w:t>
      </w:r>
      <w:r w:rsidR="00BE7B56" w:rsidRPr="00C0150B">
        <w:t>litres</w:t>
      </w:r>
      <w:r w:rsidRPr="00C0150B">
        <w:t xml:space="preserve"> per minute </w:t>
      </w:r>
      <w:r w:rsidRPr="00C0150B">
        <w:rPr>
          <w:b/>
          <w:bCs/>
        </w:rPr>
        <w:t>[1</w:t>
      </w:r>
      <w:r w:rsidR="00651202">
        <w:rPr>
          <w:b/>
          <w:bCs/>
        </w:rPr>
        <w:t>-TXT</w:t>
      </w:r>
      <w:r w:rsidRPr="00C0150B">
        <w:rPr>
          <w:b/>
          <w:bCs/>
        </w:rPr>
        <w:t>]</w:t>
      </w:r>
      <w:r w:rsidRPr="00C0150B">
        <w:t xml:space="preserve">. </w:t>
      </w:r>
      <w:r w:rsidR="00651202">
        <w:t>Now, i</w:t>
      </w:r>
      <w:r w:rsidR="00651202" w:rsidRPr="00C0150B">
        <w:t>dentify the distal third of the tail</w:t>
      </w:r>
      <w:r w:rsidR="00621033">
        <w:t xml:space="preserve"> and lock the clamp in place</w:t>
      </w:r>
      <w:r w:rsidR="00651202" w:rsidRPr="00C0150B">
        <w:t xml:space="preserve"> </w:t>
      </w:r>
      <w:r w:rsidR="00651202" w:rsidRPr="00C0150B">
        <w:rPr>
          <w:b/>
          <w:bCs/>
        </w:rPr>
        <w:t>[</w:t>
      </w:r>
      <w:r w:rsidR="00651202">
        <w:rPr>
          <w:b/>
          <w:bCs/>
        </w:rPr>
        <w:t>2</w:t>
      </w:r>
      <w:r w:rsidR="00651202" w:rsidRPr="00C0150B">
        <w:rPr>
          <w:b/>
          <w:bCs/>
        </w:rPr>
        <w:t>]</w:t>
      </w:r>
      <w:r w:rsidR="00651202" w:rsidRPr="00C0150B">
        <w:t>.</w:t>
      </w:r>
    </w:p>
    <w:p w14:paraId="3532725A" w14:textId="786A9B0D" w:rsidR="00DC4F57" w:rsidRDefault="003234D2" w:rsidP="00653D52">
      <w:pPr>
        <w:pStyle w:val="ShotDescription"/>
        <w:numPr>
          <w:ilvl w:val="2"/>
          <w:numId w:val="43"/>
        </w:numPr>
        <w:rPr>
          <w:lang w:val="en-IN"/>
        </w:rPr>
      </w:pPr>
      <w:r>
        <w:rPr>
          <w:lang w:val="en-IN"/>
        </w:rPr>
        <w:t>LAB MEDIA</w:t>
      </w:r>
      <w:r w:rsidR="00DC4F57" w:rsidRPr="00C0150B">
        <w:rPr>
          <w:lang w:val="en-IN"/>
        </w:rPr>
        <w:t>: video2.negative 00:00-00:</w:t>
      </w:r>
      <w:r w:rsidR="00621033">
        <w:rPr>
          <w:lang w:val="en-IN"/>
        </w:rPr>
        <w:t>01</w:t>
      </w:r>
      <w:r w:rsidR="00651202">
        <w:rPr>
          <w:lang w:val="en-IN"/>
        </w:rPr>
        <w:t xml:space="preserve"> </w:t>
      </w:r>
      <w:r w:rsidR="00621033">
        <w:rPr>
          <w:lang w:val="en-IN"/>
        </w:rPr>
        <w:tab/>
      </w:r>
      <w:r w:rsidR="00621033">
        <w:rPr>
          <w:lang w:val="en-IN"/>
        </w:rPr>
        <w:tab/>
      </w:r>
      <w:r w:rsidR="00621033" w:rsidRPr="00621033">
        <w:rPr>
          <w:i/>
          <w:iCs/>
          <w:color w:val="3333FF"/>
          <w:lang w:val="en-IN"/>
        </w:rPr>
        <w:t>Video Editor: Please freeze frame here</w:t>
      </w:r>
      <w:r w:rsidR="00621033">
        <w:rPr>
          <w:lang w:val="en-IN"/>
        </w:rPr>
        <w:br/>
      </w:r>
      <w:r w:rsidR="00651202">
        <w:rPr>
          <w:b/>
          <w:bCs/>
          <w:lang w:val="en-IN"/>
        </w:rPr>
        <w:t>TXT: Determine sevoflurane concentration individually per animal; Start with 2.6 %</w:t>
      </w:r>
    </w:p>
    <w:p w14:paraId="1E3A9B37" w14:textId="776983F9" w:rsidR="00DC4F57" w:rsidRPr="00C0150B" w:rsidRDefault="003234D2" w:rsidP="00653D52">
      <w:pPr>
        <w:pStyle w:val="ShotDescription"/>
        <w:numPr>
          <w:ilvl w:val="2"/>
          <w:numId w:val="43"/>
        </w:numPr>
        <w:rPr>
          <w:lang w:val="en-IN"/>
        </w:rPr>
      </w:pPr>
      <w:r>
        <w:rPr>
          <w:lang w:val="en-IN"/>
        </w:rPr>
        <w:t>LAB MEDIA</w:t>
      </w:r>
      <w:r w:rsidR="00DC4F57" w:rsidRPr="00C0150B">
        <w:rPr>
          <w:lang w:val="en-IN"/>
        </w:rPr>
        <w:t>: video1.positive 00:06-00:</w:t>
      </w:r>
      <w:r w:rsidR="00621033">
        <w:rPr>
          <w:lang w:val="en-IN"/>
        </w:rPr>
        <w:t>10</w:t>
      </w:r>
    </w:p>
    <w:p w14:paraId="49616086" w14:textId="429E36CB" w:rsidR="00DC4F57" w:rsidRPr="00C0150B" w:rsidRDefault="00DC4F57" w:rsidP="00653D52">
      <w:pPr>
        <w:pStyle w:val="Narration"/>
        <w:numPr>
          <w:ilvl w:val="1"/>
          <w:numId w:val="43"/>
        </w:numPr>
      </w:pPr>
      <w:r w:rsidRPr="00C0150B">
        <w:t xml:space="preserve">Apply the pain stimulus </w:t>
      </w:r>
      <w:r w:rsidR="00651202" w:rsidRPr="00C0150B">
        <w:t xml:space="preserve">until the rat shows a positive movement response </w:t>
      </w:r>
      <w:r w:rsidR="00651202" w:rsidRPr="00C0150B">
        <w:rPr>
          <w:b/>
          <w:bCs/>
        </w:rPr>
        <w:t>[</w:t>
      </w:r>
      <w:r w:rsidR="00621033">
        <w:rPr>
          <w:b/>
          <w:bCs/>
        </w:rPr>
        <w:t>1</w:t>
      </w:r>
      <w:r w:rsidR="00651202">
        <w:rPr>
          <w:b/>
          <w:bCs/>
        </w:rPr>
        <w:t>-TXT</w:t>
      </w:r>
      <w:r w:rsidR="00651202" w:rsidRPr="00C0150B">
        <w:rPr>
          <w:b/>
          <w:bCs/>
        </w:rPr>
        <w:t>]</w:t>
      </w:r>
      <w:r w:rsidR="00651202" w:rsidRPr="00C0150B">
        <w:t>.</w:t>
      </w:r>
    </w:p>
    <w:p w14:paraId="37C0E2D3" w14:textId="535A89ED" w:rsidR="00DC4F57" w:rsidRPr="00C0150B" w:rsidRDefault="003234D2" w:rsidP="00653D52">
      <w:pPr>
        <w:pStyle w:val="ShotDescription"/>
        <w:numPr>
          <w:ilvl w:val="2"/>
          <w:numId w:val="43"/>
        </w:numPr>
        <w:rPr>
          <w:lang w:val="en-IN"/>
        </w:rPr>
      </w:pPr>
      <w:r>
        <w:rPr>
          <w:lang w:val="en-IN"/>
        </w:rPr>
        <w:t>LAB MEDIA</w:t>
      </w:r>
      <w:r w:rsidR="00DC4F57" w:rsidRPr="00C0150B">
        <w:rPr>
          <w:lang w:val="en-IN"/>
        </w:rPr>
        <w:t>: video1.positive 00:11-00:1</w:t>
      </w:r>
      <w:r w:rsidR="00621033">
        <w:rPr>
          <w:lang w:val="en-IN"/>
        </w:rPr>
        <w:t>9</w:t>
      </w:r>
    </w:p>
    <w:p w14:paraId="5F73FCAB" w14:textId="12669FB3" w:rsidR="00DC4F57" w:rsidRPr="00C0150B" w:rsidRDefault="00651202" w:rsidP="00621033">
      <w:pPr>
        <w:pStyle w:val="ShotDescription"/>
        <w:ind w:firstLine="0"/>
        <w:rPr>
          <w:lang w:val="en-IN"/>
        </w:rPr>
      </w:pPr>
      <w:r>
        <w:rPr>
          <w:b/>
          <w:bCs/>
          <w:lang w:val="en-IN"/>
        </w:rPr>
        <w:t>TXT: Maximum: 1 min; Record presence or absence of a motor reaction with brief description</w:t>
      </w:r>
    </w:p>
    <w:p w14:paraId="57896CD5" w14:textId="24C7F47E" w:rsidR="00DC4F57" w:rsidRPr="00651202" w:rsidRDefault="00DC4F57" w:rsidP="00653D52">
      <w:pPr>
        <w:pStyle w:val="TemplateNarration"/>
        <w:numPr>
          <w:ilvl w:val="1"/>
          <w:numId w:val="43"/>
        </w:numPr>
        <w:rPr>
          <w:color w:val="7030A0"/>
          <w:lang w:val="en-IN"/>
        </w:rPr>
      </w:pPr>
      <w:r w:rsidRPr="00651202">
        <w:rPr>
          <w:color w:val="7030A0"/>
          <w:lang w:val="en-IN"/>
        </w:rPr>
        <w:t xml:space="preserve">Classify as rolling when the </w:t>
      </w:r>
      <w:proofErr w:type="spellStart"/>
      <w:r w:rsidRPr="00651202">
        <w:rPr>
          <w:color w:val="7030A0"/>
          <w:lang w:val="en-IN"/>
        </w:rPr>
        <w:t>behavioral</w:t>
      </w:r>
      <w:proofErr w:type="spellEnd"/>
      <w:r w:rsidRPr="00651202">
        <w:rPr>
          <w:color w:val="7030A0"/>
          <w:lang w:val="en-IN"/>
        </w:rPr>
        <w:t xml:space="preserve"> response involves an axial rotation of the body, typically along the longitudinal axis </w:t>
      </w:r>
      <w:r w:rsidRPr="00651202">
        <w:rPr>
          <w:b/>
          <w:bCs/>
          <w:color w:val="7030A0"/>
          <w:lang w:val="en-IN"/>
        </w:rPr>
        <w:t>[1]</w:t>
      </w:r>
      <w:r w:rsidR="00651202">
        <w:rPr>
          <w:color w:val="7030A0"/>
          <w:lang w:val="en-IN"/>
        </w:rPr>
        <w:t xml:space="preserve">, or </w:t>
      </w:r>
      <w:r w:rsidR="00651202" w:rsidRPr="00651202">
        <w:rPr>
          <w:color w:val="7030A0"/>
          <w:lang w:val="en-IN"/>
        </w:rPr>
        <w:t xml:space="preserve">as stretching when the </w:t>
      </w:r>
      <w:proofErr w:type="spellStart"/>
      <w:r w:rsidR="00651202" w:rsidRPr="00651202">
        <w:rPr>
          <w:color w:val="7030A0"/>
          <w:lang w:val="en-IN"/>
        </w:rPr>
        <w:t>behavioral</w:t>
      </w:r>
      <w:proofErr w:type="spellEnd"/>
      <w:r w:rsidR="00651202" w:rsidRPr="00651202">
        <w:rPr>
          <w:color w:val="7030A0"/>
          <w:lang w:val="en-IN"/>
        </w:rPr>
        <w:t xml:space="preserve"> response is characterized by a bilateral, symmetric outward extension of the limbs and body </w:t>
      </w:r>
      <w:r w:rsidR="00651202" w:rsidRPr="00651202">
        <w:rPr>
          <w:b/>
          <w:bCs/>
          <w:color w:val="7030A0"/>
          <w:lang w:val="en-IN"/>
        </w:rPr>
        <w:t>[2]</w:t>
      </w:r>
      <w:r w:rsidR="00651202" w:rsidRPr="00651202">
        <w:rPr>
          <w:color w:val="7030A0"/>
          <w:lang w:val="en-IN"/>
        </w:rPr>
        <w:t>.</w:t>
      </w:r>
    </w:p>
    <w:p w14:paraId="4E210B42" w14:textId="1FBB8CAB" w:rsidR="00DC4F57" w:rsidRPr="00C0150B" w:rsidRDefault="003234D2" w:rsidP="00653D52">
      <w:pPr>
        <w:pStyle w:val="TemplateShot"/>
        <w:numPr>
          <w:ilvl w:val="2"/>
          <w:numId w:val="43"/>
        </w:numPr>
        <w:rPr>
          <w:lang w:val="en-IN"/>
        </w:rPr>
      </w:pPr>
      <w:r>
        <w:rPr>
          <w:lang w:val="en-IN"/>
        </w:rPr>
        <w:t>LAB MEDIA</w:t>
      </w:r>
      <w:r w:rsidR="00DC4F57" w:rsidRPr="00C0150B">
        <w:rPr>
          <w:lang w:val="en-IN"/>
        </w:rPr>
        <w:t>: video3.rolling 00:10-00:20</w:t>
      </w:r>
    </w:p>
    <w:p w14:paraId="45484731" w14:textId="20435DCB" w:rsidR="00DC4F57" w:rsidRPr="00C0150B" w:rsidRDefault="003234D2" w:rsidP="00653D52">
      <w:pPr>
        <w:pStyle w:val="TemplateShot"/>
        <w:numPr>
          <w:ilvl w:val="2"/>
          <w:numId w:val="43"/>
        </w:numPr>
        <w:rPr>
          <w:lang w:val="en-IN"/>
        </w:rPr>
      </w:pPr>
      <w:r>
        <w:rPr>
          <w:lang w:val="en-IN"/>
        </w:rPr>
        <w:t>LAB MEDIA</w:t>
      </w:r>
      <w:r w:rsidR="00DC4F57" w:rsidRPr="00C0150B">
        <w:rPr>
          <w:lang w:val="en-IN"/>
        </w:rPr>
        <w:t>: video4.stretching 00:13-00:27</w:t>
      </w:r>
    </w:p>
    <w:p w14:paraId="00DFFCDE" w14:textId="31EC7D93" w:rsidR="00DC4F57" w:rsidRPr="00651202" w:rsidRDefault="00DC4F57" w:rsidP="00653D52">
      <w:pPr>
        <w:pStyle w:val="TemplateNarration"/>
        <w:numPr>
          <w:ilvl w:val="1"/>
          <w:numId w:val="43"/>
        </w:numPr>
        <w:rPr>
          <w:lang w:val="en-IN"/>
        </w:rPr>
      </w:pPr>
      <w:r w:rsidRPr="00651202">
        <w:rPr>
          <w:color w:val="7030A0"/>
          <w:lang w:val="en-IN"/>
        </w:rPr>
        <w:t xml:space="preserve">Classify as saltatory movement when the </w:t>
      </w:r>
      <w:proofErr w:type="spellStart"/>
      <w:r w:rsidRPr="00651202">
        <w:rPr>
          <w:color w:val="7030A0"/>
          <w:lang w:val="en-IN"/>
        </w:rPr>
        <w:t>behavioral</w:t>
      </w:r>
      <w:proofErr w:type="spellEnd"/>
      <w:r w:rsidRPr="00651202">
        <w:rPr>
          <w:color w:val="7030A0"/>
          <w:lang w:val="en-IN"/>
        </w:rPr>
        <w:t xml:space="preserve"> response consists of sudden, hindlimb-focused kicks or jerks resembling short, hopping-like bursts of the whole body </w:t>
      </w:r>
      <w:r w:rsidRPr="00651202">
        <w:rPr>
          <w:b/>
          <w:bCs/>
          <w:color w:val="7030A0"/>
          <w:lang w:val="en-IN"/>
        </w:rPr>
        <w:t>[1]</w:t>
      </w:r>
      <w:r w:rsidR="00651202">
        <w:rPr>
          <w:color w:val="7030A0"/>
          <w:lang w:val="en-IN"/>
        </w:rPr>
        <w:t xml:space="preserve"> </w:t>
      </w:r>
      <w:r w:rsidR="00651202" w:rsidRPr="00651202">
        <w:rPr>
          <w:color w:val="7030A0"/>
          <w:lang w:val="en-IN"/>
        </w:rPr>
        <w:t xml:space="preserve">and as curling when the </w:t>
      </w:r>
      <w:proofErr w:type="spellStart"/>
      <w:r w:rsidR="00651202" w:rsidRPr="00651202">
        <w:rPr>
          <w:color w:val="7030A0"/>
          <w:lang w:val="en-IN"/>
        </w:rPr>
        <w:t>behavioral</w:t>
      </w:r>
      <w:proofErr w:type="spellEnd"/>
      <w:r w:rsidR="00651202" w:rsidRPr="00651202">
        <w:rPr>
          <w:color w:val="7030A0"/>
          <w:lang w:val="en-IN"/>
        </w:rPr>
        <w:t xml:space="preserve"> response involves uncoordinated, inward-directed movement of varying intensity, causing the body to bend toward its </w:t>
      </w:r>
      <w:proofErr w:type="spellStart"/>
      <w:r w:rsidR="00651202" w:rsidRPr="00651202">
        <w:rPr>
          <w:color w:val="7030A0"/>
          <w:lang w:val="en-IN"/>
        </w:rPr>
        <w:t>center</w:t>
      </w:r>
      <w:proofErr w:type="spellEnd"/>
      <w:r w:rsidR="00651202" w:rsidRPr="00651202">
        <w:rPr>
          <w:color w:val="7030A0"/>
          <w:lang w:val="en-IN"/>
        </w:rPr>
        <w:t xml:space="preserve"> </w:t>
      </w:r>
      <w:r w:rsidR="00651202" w:rsidRPr="00651202">
        <w:rPr>
          <w:b/>
          <w:bCs/>
          <w:color w:val="7030A0"/>
          <w:lang w:val="en-IN"/>
        </w:rPr>
        <w:t>[2]</w:t>
      </w:r>
      <w:r w:rsidR="00651202" w:rsidRPr="00651202">
        <w:rPr>
          <w:color w:val="7030A0"/>
          <w:lang w:val="en-IN"/>
        </w:rPr>
        <w:t>.</w:t>
      </w:r>
    </w:p>
    <w:p w14:paraId="2BF490DD" w14:textId="09FC35A9" w:rsidR="00DC4F57" w:rsidRPr="00C0150B" w:rsidRDefault="003234D2" w:rsidP="00653D52">
      <w:pPr>
        <w:pStyle w:val="TemplateShot"/>
        <w:numPr>
          <w:ilvl w:val="2"/>
          <w:numId w:val="43"/>
        </w:numPr>
        <w:rPr>
          <w:lang w:val="en-IN"/>
        </w:rPr>
      </w:pPr>
      <w:r>
        <w:rPr>
          <w:lang w:val="en-IN"/>
        </w:rPr>
        <w:t>LAB MEDIA</w:t>
      </w:r>
      <w:r w:rsidR="00DC4F57" w:rsidRPr="00C0150B">
        <w:rPr>
          <w:lang w:val="en-IN"/>
        </w:rPr>
        <w:t>: video5.saltatory 00:1</w:t>
      </w:r>
      <w:r w:rsidR="00621033">
        <w:rPr>
          <w:lang w:val="en-IN"/>
        </w:rPr>
        <w:t>1</w:t>
      </w:r>
      <w:r w:rsidR="00DC4F57" w:rsidRPr="00C0150B">
        <w:rPr>
          <w:lang w:val="en-IN"/>
        </w:rPr>
        <w:t>-00:</w:t>
      </w:r>
      <w:r w:rsidR="00621033">
        <w:rPr>
          <w:lang w:val="en-IN"/>
        </w:rPr>
        <w:t>24</w:t>
      </w:r>
    </w:p>
    <w:p w14:paraId="4CFE46EA" w14:textId="64B0DAB5" w:rsidR="00DC4F57" w:rsidRPr="00C0150B" w:rsidRDefault="003234D2" w:rsidP="00653D52">
      <w:pPr>
        <w:pStyle w:val="TemplateShot"/>
        <w:numPr>
          <w:ilvl w:val="2"/>
          <w:numId w:val="43"/>
        </w:numPr>
        <w:rPr>
          <w:lang w:val="en-IN"/>
        </w:rPr>
      </w:pPr>
      <w:r>
        <w:rPr>
          <w:lang w:val="en-IN"/>
        </w:rPr>
        <w:t>LAB MEDIA</w:t>
      </w:r>
      <w:r w:rsidR="00DC4F57" w:rsidRPr="00C0150B">
        <w:rPr>
          <w:lang w:val="en-IN"/>
        </w:rPr>
        <w:t>: video6.curling 00:17-00:2</w:t>
      </w:r>
      <w:r w:rsidR="00857C9F">
        <w:rPr>
          <w:lang w:val="en-IN"/>
        </w:rPr>
        <w:t>7</w:t>
      </w:r>
    </w:p>
    <w:p w14:paraId="51F34EE1" w14:textId="77777777" w:rsidR="00DC4F57" w:rsidRPr="00B3509D" w:rsidRDefault="00DC4F57" w:rsidP="00DC4F57"/>
    <w:p w14:paraId="32BFF6F4" w14:textId="77777777" w:rsidR="00651202" w:rsidRDefault="00651202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26AB8A38" w14:textId="28CF7A41" w:rsidR="001E0433" w:rsidRPr="00B07A3B" w:rsidRDefault="001E0433" w:rsidP="00EC1275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1DE25339" w14:textId="47E07EA9" w:rsidR="001E0433" w:rsidRPr="00985FE6" w:rsidRDefault="001E0433" w:rsidP="00653D52">
      <w:pPr>
        <w:pStyle w:val="ListParagraph"/>
        <w:numPr>
          <w:ilvl w:val="0"/>
          <w:numId w:val="4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23FB8B1" w14:textId="41EF6561" w:rsidR="00757750" w:rsidRDefault="00757750" w:rsidP="00653D52">
      <w:pPr>
        <w:pStyle w:val="Narration"/>
        <w:numPr>
          <w:ilvl w:val="1"/>
          <w:numId w:val="43"/>
        </w:numPr>
      </w:pPr>
      <w:r>
        <w:t>T</w:t>
      </w:r>
      <w:r w:rsidRPr="000F0950">
        <w:t xml:space="preserve">he </w:t>
      </w:r>
      <w:r>
        <w:t xml:space="preserve">MAC </w:t>
      </w:r>
      <w:r w:rsidRPr="00757750">
        <w:rPr>
          <w:i/>
          <w:iCs/>
          <w:color w:val="EE0000"/>
        </w:rPr>
        <w:t>(M-A-C)</w:t>
      </w:r>
      <w:r w:rsidRPr="00757750">
        <w:rPr>
          <w:color w:val="EE0000"/>
        </w:rPr>
        <w:t xml:space="preserve"> </w:t>
      </w:r>
      <w:r w:rsidRPr="000F0950">
        <w:t xml:space="preserve">was significantly reduced in the 10 milligram per kilogram </w:t>
      </w:r>
      <w:r>
        <w:t xml:space="preserve">THC </w:t>
      </w:r>
      <w:r w:rsidRPr="000F0950">
        <w:t xml:space="preserve">group compared to the </w:t>
      </w:r>
      <w:r>
        <w:t>THC</w:t>
      </w:r>
      <w:r w:rsidRPr="000F0950">
        <w:t xml:space="preserve"> control group </w:t>
      </w:r>
      <w:r w:rsidRPr="000F0950">
        <w:rPr>
          <w:b/>
        </w:rPr>
        <w:t>[1]</w:t>
      </w:r>
      <w:r w:rsidRPr="000F0950">
        <w:t xml:space="preserve">, and in both 1 gram per kilogram and 2 gram per kilogram ethanol groups compared to the ethanol control group </w:t>
      </w:r>
      <w:r w:rsidRPr="000F0950">
        <w:rPr>
          <w:b/>
        </w:rPr>
        <w:t>[</w:t>
      </w:r>
      <w:r>
        <w:rPr>
          <w:b/>
        </w:rPr>
        <w:t>2</w:t>
      </w:r>
      <w:r w:rsidRPr="000F0950">
        <w:rPr>
          <w:b/>
        </w:rPr>
        <w:t>]</w:t>
      </w:r>
      <w:r w:rsidRPr="000F0950">
        <w:t>.</w:t>
      </w:r>
    </w:p>
    <w:p w14:paraId="419D5A3B" w14:textId="145A253A" w:rsidR="00757750" w:rsidRDefault="00757750" w:rsidP="00653D52">
      <w:pPr>
        <w:pStyle w:val="ShotDescription"/>
        <w:numPr>
          <w:ilvl w:val="2"/>
          <w:numId w:val="43"/>
        </w:numPr>
        <w:rPr>
          <w:lang w:val="en-IN"/>
        </w:rPr>
      </w:pPr>
      <w:r w:rsidRPr="000F0950">
        <w:rPr>
          <w:lang w:val="en-IN"/>
        </w:rPr>
        <w:t xml:space="preserve">LAB MEDIA: Figure 1. </w:t>
      </w:r>
      <w:r w:rsidRPr="00757750">
        <w:rPr>
          <w:i/>
          <w:iCs/>
          <w:color w:val="3333FF"/>
          <w:lang w:val="en-IN"/>
        </w:rPr>
        <w:t>Video editor: Please highlight the curves for “THC control” and “THC 10 mg/kg”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 xml:space="preserve">TXT: MAC: </w:t>
      </w:r>
      <w:r w:rsidRPr="00757750">
        <w:rPr>
          <w:b/>
          <w:bCs/>
          <w:lang w:val="en-IN"/>
        </w:rPr>
        <w:t xml:space="preserve">Minimum Alveolar </w:t>
      </w:r>
      <w:proofErr w:type="gramStart"/>
      <w:r w:rsidRPr="00757750">
        <w:rPr>
          <w:b/>
          <w:bCs/>
          <w:lang w:val="en-IN"/>
        </w:rPr>
        <w:t xml:space="preserve">Concentration </w:t>
      </w:r>
      <w:r>
        <w:rPr>
          <w:b/>
          <w:bCs/>
          <w:lang w:val="en-IN"/>
        </w:rPr>
        <w:t>;</w:t>
      </w:r>
      <w:proofErr w:type="gramEnd"/>
      <w:r>
        <w:rPr>
          <w:b/>
          <w:bCs/>
          <w:lang w:val="en-IN"/>
        </w:rPr>
        <w:t xml:space="preserve"> THC: </w:t>
      </w:r>
      <w:r w:rsidRPr="00757750">
        <w:rPr>
          <w:b/>
          <w:bCs/>
          <w:lang w:val="en-IN"/>
        </w:rPr>
        <w:t>Tetrahydrocannabinol</w:t>
      </w:r>
    </w:p>
    <w:p w14:paraId="4C9B73E8" w14:textId="4F29C657" w:rsidR="00757750" w:rsidRDefault="00757750" w:rsidP="00653D52">
      <w:pPr>
        <w:pStyle w:val="ShotDescription"/>
        <w:numPr>
          <w:ilvl w:val="2"/>
          <w:numId w:val="43"/>
        </w:numPr>
        <w:rPr>
          <w:lang w:val="en-IN"/>
        </w:rPr>
      </w:pPr>
      <w:r w:rsidRPr="000F0950">
        <w:rPr>
          <w:lang w:val="en-IN"/>
        </w:rPr>
        <w:t xml:space="preserve">LAB MEDIA: Figure 1. </w:t>
      </w:r>
      <w:r w:rsidRPr="00757750">
        <w:rPr>
          <w:i/>
          <w:iCs/>
          <w:color w:val="3333FF"/>
          <w:lang w:val="en-IN"/>
        </w:rPr>
        <w:t>Video editor: Please highlight the curves for “</w:t>
      </w:r>
      <w:r>
        <w:rPr>
          <w:i/>
          <w:iCs/>
          <w:color w:val="3333FF"/>
          <w:lang w:val="en-IN"/>
        </w:rPr>
        <w:t>Ethanol 1 g/kg</w:t>
      </w:r>
      <w:proofErr w:type="gramStart"/>
      <w:r w:rsidRPr="00757750">
        <w:rPr>
          <w:i/>
          <w:iCs/>
          <w:color w:val="3333FF"/>
          <w:lang w:val="en-IN"/>
        </w:rPr>
        <w:t xml:space="preserve">” </w:t>
      </w:r>
      <w:r>
        <w:rPr>
          <w:i/>
          <w:iCs/>
          <w:color w:val="3333FF"/>
          <w:lang w:val="en-IN"/>
        </w:rPr>
        <w:t>,</w:t>
      </w:r>
      <w:proofErr w:type="gramEnd"/>
      <w:r>
        <w:rPr>
          <w:i/>
          <w:iCs/>
          <w:color w:val="3333FF"/>
          <w:lang w:val="en-IN"/>
        </w:rPr>
        <w:t xml:space="preserve"> “Ethanol 2g/</w:t>
      </w:r>
      <w:proofErr w:type="spellStart"/>
      <w:r>
        <w:rPr>
          <w:i/>
          <w:iCs/>
          <w:color w:val="3333FF"/>
          <w:lang w:val="en-IN"/>
        </w:rPr>
        <w:t>kg”</w:t>
      </w:r>
      <w:r w:rsidRPr="00757750">
        <w:rPr>
          <w:i/>
          <w:iCs/>
          <w:color w:val="3333FF"/>
          <w:lang w:val="en-IN"/>
        </w:rPr>
        <w:t>and</w:t>
      </w:r>
      <w:proofErr w:type="spellEnd"/>
      <w:r w:rsidRPr="00757750">
        <w:rPr>
          <w:i/>
          <w:iCs/>
          <w:color w:val="3333FF"/>
          <w:lang w:val="en-IN"/>
        </w:rPr>
        <w:t xml:space="preserve"> “</w:t>
      </w:r>
      <w:r>
        <w:rPr>
          <w:i/>
          <w:iCs/>
          <w:color w:val="3333FF"/>
          <w:lang w:val="en-IN"/>
        </w:rPr>
        <w:t>Ethanol control</w:t>
      </w:r>
      <w:r w:rsidRPr="00757750">
        <w:rPr>
          <w:i/>
          <w:iCs/>
          <w:color w:val="3333FF"/>
          <w:lang w:val="en-IN"/>
        </w:rPr>
        <w:t>”</w:t>
      </w:r>
    </w:p>
    <w:p w14:paraId="31A468FC" w14:textId="6F405363" w:rsidR="00757750" w:rsidRDefault="00757750" w:rsidP="00653D52">
      <w:pPr>
        <w:pStyle w:val="Narration"/>
        <w:numPr>
          <w:ilvl w:val="1"/>
          <w:numId w:val="43"/>
        </w:numPr>
      </w:pPr>
      <w:r w:rsidRPr="000F0950">
        <w:t xml:space="preserve">Curling was the most frequently observed movement in the </w:t>
      </w:r>
      <w:r>
        <w:t>THC</w:t>
      </w:r>
      <w:r w:rsidRPr="000F0950">
        <w:t xml:space="preserve"> study </w:t>
      </w:r>
      <w:r w:rsidRPr="000F0950">
        <w:rPr>
          <w:b/>
        </w:rPr>
        <w:t>[1]</w:t>
      </w:r>
      <w:r w:rsidRPr="000F0950">
        <w:t xml:space="preserve">, whereas rolling predominated in the ethanol study </w:t>
      </w:r>
      <w:r w:rsidRPr="000F0950">
        <w:rPr>
          <w:b/>
        </w:rPr>
        <w:t>[2]</w:t>
      </w:r>
      <w:r w:rsidRPr="000F0950">
        <w:t>.</w:t>
      </w:r>
    </w:p>
    <w:p w14:paraId="0B5C5FC5" w14:textId="0C2A4C07" w:rsidR="00757750" w:rsidRDefault="00757750" w:rsidP="00653D52">
      <w:pPr>
        <w:pStyle w:val="ShotDescription"/>
        <w:numPr>
          <w:ilvl w:val="2"/>
          <w:numId w:val="43"/>
        </w:numPr>
        <w:rPr>
          <w:lang w:val="en-IN"/>
        </w:rPr>
      </w:pPr>
      <w:r w:rsidRPr="000F0950">
        <w:rPr>
          <w:lang w:val="en-IN"/>
        </w:rPr>
        <w:t xml:space="preserve">LAB MEDIA: Figure 2. </w:t>
      </w:r>
      <w:r w:rsidRPr="00994443">
        <w:rPr>
          <w:i/>
          <w:iCs/>
          <w:color w:val="3333FF"/>
          <w:lang w:val="en-IN"/>
        </w:rPr>
        <w:t>Video editor: Highlight the black bar under “Curling”</w:t>
      </w:r>
      <w:r w:rsidRPr="00994443">
        <w:rPr>
          <w:color w:val="3333FF"/>
          <w:lang w:val="en-IN"/>
        </w:rPr>
        <w:t xml:space="preserve"> </w:t>
      </w:r>
    </w:p>
    <w:p w14:paraId="71D2C255" w14:textId="77EBDA4F" w:rsidR="00757750" w:rsidRPr="000F0950" w:rsidRDefault="00757750" w:rsidP="00653D52">
      <w:pPr>
        <w:pStyle w:val="ShotDescription"/>
        <w:numPr>
          <w:ilvl w:val="2"/>
          <w:numId w:val="43"/>
        </w:numPr>
        <w:rPr>
          <w:lang w:val="en-IN"/>
        </w:rPr>
      </w:pPr>
      <w:r w:rsidRPr="000F0950">
        <w:rPr>
          <w:lang w:val="en-IN"/>
        </w:rPr>
        <w:t xml:space="preserve">LAB MEDIA: Figure 2. </w:t>
      </w:r>
      <w:r w:rsidRPr="00994443">
        <w:rPr>
          <w:i/>
          <w:iCs/>
          <w:color w:val="3333FF"/>
          <w:lang w:val="en-IN"/>
        </w:rPr>
        <w:t xml:space="preserve">Video editor: Highlight the light </w:t>
      </w:r>
      <w:proofErr w:type="spellStart"/>
      <w:r w:rsidRPr="00994443">
        <w:rPr>
          <w:i/>
          <w:iCs/>
          <w:color w:val="3333FF"/>
          <w:lang w:val="en-IN"/>
        </w:rPr>
        <w:t>gray</w:t>
      </w:r>
      <w:proofErr w:type="spellEnd"/>
      <w:r w:rsidRPr="00994443">
        <w:rPr>
          <w:i/>
          <w:iCs/>
          <w:color w:val="3333FF"/>
          <w:lang w:val="en-IN"/>
        </w:rPr>
        <w:t xml:space="preserve"> bar under “Rolling”</w:t>
      </w:r>
      <w:r w:rsidRPr="00994443">
        <w:rPr>
          <w:color w:val="3333FF"/>
          <w:lang w:val="en-IN"/>
        </w:rPr>
        <w:t xml:space="preserve"> </w:t>
      </w:r>
    </w:p>
    <w:p w14:paraId="3D7638CE" w14:textId="44210DB7" w:rsidR="00757750" w:rsidRDefault="00757750" w:rsidP="00653D52">
      <w:pPr>
        <w:pStyle w:val="Narration"/>
        <w:numPr>
          <w:ilvl w:val="1"/>
          <w:numId w:val="43"/>
        </w:numPr>
      </w:pPr>
      <w:r w:rsidRPr="000F0950">
        <w:t xml:space="preserve">In the </w:t>
      </w:r>
      <w:r w:rsidR="00994443">
        <w:t>THC</w:t>
      </w:r>
      <w:r w:rsidRPr="000F0950">
        <w:t xml:space="preserve"> study, movement types such as curling, rolling, stretching, and saltatory appeared at similar sevoflurane concentrations, with no evident pattern linking them to </w:t>
      </w:r>
      <w:proofErr w:type="spellStart"/>
      <w:r w:rsidRPr="000F0950">
        <w:t>anesthetic</w:t>
      </w:r>
      <w:proofErr w:type="spellEnd"/>
      <w:r w:rsidRPr="000F0950">
        <w:t xml:space="preserve"> depth </w:t>
      </w:r>
      <w:r w:rsidRPr="000F0950">
        <w:rPr>
          <w:b/>
        </w:rPr>
        <w:t>[1]</w:t>
      </w:r>
      <w:r w:rsidRPr="000F0950">
        <w:t>.</w:t>
      </w:r>
    </w:p>
    <w:p w14:paraId="7B6E0F79" w14:textId="08439A24" w:rsidR="00757750" w:rsidRPr="000F0950" w:rsidRDefault="00757750" w:rsidP="00653D52">
      <w:pPr>
        <w:pStyle w:val="ShotDescription"/>
        <w:numPr>
          <w:ilvl w:val="2"/>
          <w:numId w:val="43"/>
        </w:numPr>
        <w:rPr>
          <w:lang w:val="en-IN"/>
        </w:rPr>
      </w:pPr>
      <w:r w:rsidRPr="000F0950">
        <w:rPr>
          <w:lang w:val="en-IN"/>
        </w:rPr>
        <w:t xml:space="preserve">LAB MEDIA: Figure 3. </w:t>
      </w:r>
      <w:r w:rsidRPr="00994443">
        <w:rPr>
          <w:i/>
          <w:iCs/>
          <w:color w:val="3333FF"/>
          <w:lang w:val="en-IN"/>
        </w:rPr>
        <w:t>Video editor: Highlight all dot clusters for curling, rolling, stretching, and saltatory</w:t>
      </w:r>
    </w:p>
    <w:p w14:paraId="48549097" w14:textId="77777777" w:rsidR="00757750" w:rsidRDefault="00757750" w:rsidP="00653D52">
      <w:pPr>
        <w:pStyle w:val="Narration"/>
        <w:numPr>
          <w:ilvl w:val="1"/>
          <w:numId w:val="43"/>
        </w:numPr>
      </w:pPr>
      <w:r w:rsidRPr="000F0950">
        <w:t xml:space="preserve">In the ethanol study, no clear separation between movement types and sevoflurane concentration was observed, indicating no obvious relationship with </w:t>
      </w:r>
      <w:proofErr w:type="spellStart"/>
      <w:r w:rsidRPr="000F0950">
        <w:t>anesthetic</w:t>
      </w:r>
      <w:proofErr w:type="spellEnd"/>
      <w:r w:rsidRPr="000F0950">
        <w:t xml:space="preserve"> depth </w:t>
      </w:r>
      <w:r w:rsidRPr="000F0950">
        <w:rPr>
          <w:b/>
        </w:rPr>
        <w:t>[1]</w:t>
      </w:r>
      <w:r w:rsidRPr="000F0950">
        <w:t>.</w:t>
      </w:r>
    </w:p>
    <w:p w14:paraId="62327379" w14:textId="34F6F56F" w:rsidR="00757750" w:rsidRPr="00B3509D" w:rsidRDefault="00757750" w:rsidP="00653D52">
      <w:pPr>
        <w:pStyle w:val="ShotDescription"/>
        <w:numPr>
          <w:ilvl w:val="2"/>
          <w:numId w:val="43"/>
        </w:numPr>
      </w:pPr>
      <w:r w:rsidRPr="00994443">
        <w:rPr>
          <w:lang w:val="en-IN"/>
        </w:rPr>
        <w:t xml:space="preserve">LAB MEDIA: Figure 4. </w:t>
      </w:r>
      <w:r w:rsidRPr="00994443">
        <w:rPr>
          <w:i/>
          <w:iCs/>
          <w:color w:val="3333FF"/>
          <w:lang w:val="en-IN"/>
        </w:rPr>
        <w:t xml:space="preserve">Video editor: </w:t>
      </w:r>
      <w:r w:rsidR="00994443" w:rsidRPr="00994443">
        <w:rPr>
          <w:i/>
          <w:iCs/>
          <w:color w:val="3333FF"/>
          <w:lang w:val="en-IN"/>
        </w:rPr>
        <w:t>Sequentially highlight</w:t>
      </w:r>
      <w:r w:rsidRPr="00994443">
        <w:rPr>
          <w:i/>
          <w:iCs/>
          <w:color w:val="3333FF"/>
          <w:lang w:val="en-IN"/>
        </w:rPr>
        <w:t xml:space="preserve"> the scatter of dots </w:t>
      </w:r>
      <w:r w:rsidR="00994443" w:rsidRPr="00994443">
        <w:rPr>
          <w:i/>
          <w:iCs/>
          <w:color w:val="3333FF"/>
          <w:lang w:val="en-IN"/>
        </w:rPr>
        <w:t>from Curling to Saltatory</w:t>
      </w:r>
      <w:r w:rsidRPr="00994443">
        <w:rPr>
          <w:i/>
          <w:iCs/>
          <w:color w:val="3333FF"/>
          <w:lang w:val="en-IN"/>
        </w:rPr>
        <w:t xml:space="preserve"> 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46D28290" w:rsidR="001E0433" w:rsidRPr="00653D52" w:rsidRDefault="00653D52" w:rsidP="001E0433">
      <w:pPr>
        <w:rPr>
          <w:rFonts w:eastAsia="Times New Roman" w:cstheme="minorHAnsi"/>
          <w:b/>
          <w:bCs/>
          <w:sz w:val="28"/>
          <w:szCs w:val="28"/>
        </w:rPr>
      </w:pPr>
      <w:r w:rsidRPr="00653D52">
        <w:rPr>
          <w:rFonts w:eastAsia="Times New Roman" w:cstheme="minorHAnsi"/>
          <w:b/>
          <w:bCs/>
          <w:sz w:val="28"/>
          <w:szCs w:val="28"/>
        </w:rPr>
        <w:t>Pronunciation Guides:</w:t>
      </w:r>
    </w:p>
    <w:p w14:paraId="17896211" w14:textId="77777777" w:rsidR="00653D52" w:rsidRPr="00653D52" w:rsidRDefault="00653D52" w:rsidP="001E0433">
      <w:pPr>
        <w:rPr>
          <w:rFonts w:eastAsia="Times New Roman" w:cstheme="minorHAnsi"/>
        </w:rPr>
      </w:pPr>
    </w:p>
    <w:p w14:paraId="2BB78D8C" w14:textId="77777777" w:rsidR="00653D52" w:rsidRPr="00653D52" w:rsidRDefault="00653D52" w:rsidP="00653D52">
      <w:pPr>
        <w:rPr>
          <w:rFonts w:cstheme="minorHAnsi"/>
          <w:lang w:val="en-IN"/>
        </w:rPr>
      </w:pPr>
      <w:proofErr w:type="gramStart"/>
      <w:r w:rsidRPr="00653D52">
        <w:rPr>
          <w:rFonts w:cstheme="minorHAnsi"/>
          <w:sz w:val="22"/>
          <w:szCs w:val="22"/>
          <w:lang w:val="en-IN"/>
        </w:rPr>
        <w:t xml:space="preserve">  </w:t>
      </w:r>
      <w:r w:rsidRPr="00653D52">
        <w:rPr>
          <w:rFonts w:cstheme="minorHAnsi"/>
          <w:b/>
          <w:bCs/>
          <w:lang w:val="en-IN"/>
        </w:rPr>
        <w:t>Sevoflurane</w:t>
      </w:r>
      <w:proofErr w:type="gramEnd"/>
      <w:r w:rsidRPr="00653D52">
        <w:rPr>
          <w:rFonts w:cstheme="minorHAnsi"/>
          <w:lang w:val="en-IN"/>
        </w:rPr>
        <w:br/>
        <w:t>Pronunciation link: https://www.merriam-webster.com/dictionary/sevoflurane</w:t>
      </w:r>
      <w:r w:rsidRPr="00653D52">
        <w:rPr>
          <w:rFonts w:cstheme="minorHAnsi"/>
          <w:lang w:val="en-IN"/>
        </w:rPr>
        <w:br/>
        <w:t>IPA: /</w:t>
      </w:r>
      <w:proofErr w:type="gramStart"/>
      <w:r w:rsidRPr="00653D52">
        <w:rPr>
          <w:rFonts w:cstheme="minorHAnsi"/>
          <w:lang w:val="en-IN"/>
        </w:rPr>
        <w:t>ˌ</w:t>
      </w:r>
      <w:proofErr w:type="spellStart"/>
      <w:r w:rsidRPr="00653D52">
        <w:rPr>
          <w:rFonts w:cstheme="minorHAnsi"/>
          <w:lang w:val="en-IN"/>
        </w:rPr>
        <w:t>sɛv.oʊˈflʊəˌreɪn</w:t>
      </w:r>
      <w:proofErr w:type="spellEnd"/>
      <w:proofErr w:type="gramEnd"/>
      <w:r w:rsidRPr="00653D52">
        <w:rPr>
          <w:rFonts w:cstheme="minorHAnsi"/>
          <w:lang w:val="en-IN"/>
        </w:rPr>
        <w:t>/</w:t>
      </w:r>
      <w:r w:rsidRPr="00653D52">
        <w:rPr>
          <w:rFonts w:cstheme="minorHAnsi"/>
          <w:lang w:val="en-IN"/>
        </w:rPr>
        <w:br/>
        <w:t xml:space="preserve">Phonetic: </w:t>
      </w:r>
      <w:proofErr w:type="spellStart"/>
      <w:r w:rsidRPr="00653D52">
        <w:rPr>
          <w:rFonts w:cstheme="minorHAnsi"/>
          <w:lang w:val="en-IN"/>
        </w:rPr>
        <w:t>sev</w:t>
      </w:r>
      <w:proofErr w:type="spellEnd"/>
      <w:r w:rsidRPr="00653D52">
        <w:rPr>
          <w:rFonts w:cstheme="minorHAnsi"/>
          <w:lang w:val="en-IN"/>
        </w:rPr>
        <w:t>-oh-FLUH-</w:t>
      </w:r>
      <w:proofErr w:type="spellStart"/>
      <w:r w:rsidRPr="00653D52">
        <w:rPr>
          <w:rFonts w:cstheme="minorHAnsi"/>
          <w:lang w:val="en-IN"/>
        </w:rPr>
        <w:t>rayn</w:t>
      </w:r>
      <w:proofErr w:type="spellEnd"/>
    </w:p>
    <w:p w14:paraId="3BBDEFF4" w14:textId="77777777" w:rsidR="00653D52" w:rsidRPr="00653D52" w:rsidRDefault="00653D52" w:rsidP="00653D52">
      <w:pPr>
        <w:rPr>
          <w:rFonts w:cstheme="minorHAnsi"/>
          <w:lang w:val="en-IN"/>
        </w:rPr>
      </w:pPr>
      <w:proofErr w:type="gramStart"/>
      <w:r w:rsidRPr="00653D52">
        <w:rPr>
          <w:rFonts w:cstheme="minorHAnsi"/>
          <w:lang w:val="en-IN"/>
        </w:rPr>
        <w:t xml:space="preserve">  </w:t>
      </w:r>
      <w:r w:rsidRPr="00653D52">
        <w:rPr>
          <w:rFonts w:cstheme="minorHAnsi"/>
          <w:b/>
          <w:bCs/>
          <w:lang w:val="en-IN"/>
        </w:rPr>
        <w:t>Tetrahydrocannabinol</w:t>
      </w:r>
      <w:proofErr w:type="gramEnd"/>
      <w:r w:rsidRPr="00653D52">
        <w:rPr>
          <w:rFonts w:cstheme="minorHAnsi"/>
          <w:lang w:val="en-IN"/>
        </w:rPr>
        <w:br/>
        <w:t>Pronunciation link: https://www.merriam-webster.com/dictionary/tetrahydrocannabinol</w:t>
      </w:r>
      <w:r w:rsidRPr="00653D52">
        <w:rPr>
          <w:rFonts w:cstheme="minorHAnsi"/>
          <w:lang w:val="en-IN"/>
        </w:rPr>
        <w:br/>
        <w:t>IPA: /ˌ</w:t>
      </w:r>
      <w:proofErr w:type="spellStart"/>
      <w:r w:rsidRPr="00653D52">
        <w:rPr>
          <w:rFonts w:cstheme="minorHAnsi"/>
          <w:lang w:val="en-IN"/>
        </w:rPr>
        <w:t>tɛtrəˌhaɪdroʊˌkænəˈbɪnɒl</w:t>
      </w:r>
      <w:proofErr w:type="spellEnd"/>
      <w:r w:rsidRPr="00653D52">
        <w:rPr>
          <w:rFonts w:cstheme="minorHAnsi"/>
          <w:lang w:val="en-IN"/>
        </w:rPr>
        <w:t>/</w:t>
      </w:r>
      <w:r w:rsidRPr="00653D52">
        <w:rPr>
          <w:rFonts w:cstheme="minorHAnsi"/>
          <w:lang w:val="en-IN"/>
        </w:rPr>
        <w:br/>
        <w:t xml:space="preserve">Phonetic: </w:t>
      </w:r>
      <w:proofErr w:type="spellStart"/>
      <w:r w:rsidRPr="00653D52">
        <w:rPr>
          <w:rFonts w:cstheme="minorHAnsi"/>
          <w:lang w:val="en-IN"/>
        </w:rPr>
        <w:t>tet</w:t>
      </w:r>
      <w:proofErr w:type="spellEnd"/>
      <w:r w:rsidRPr="00653D52">
        <w:rPr>
          <w:rFonts w:cstheme="minorHAnsi"/>
          <w:lang w:val="en-IN"/>
        </w:rPr>
        <w:t>-</w:t>
      </w:r>
      <w:proofErr w:type="spellStart"/>
      <w:r w:rsidRPr="00653D52">
        <w:rPr>
          <w:rFonts w:cstheme="minorHAnsi"/>
          <w:lang w:val="en-IN"/>
        </w:rPr>
        <w:t>ruh</w:t>
      </w:r>
      <w:proofErr w:type="spellEnd"/>
      <w:r w:rsidRPr="00653D52">
        <w:rPr>
          <w:rFonts w:cstheme="minorHAnsi"/>
          <w:lang w:val="en-IN"/>
        </w:rPr>
        <w:t>-hy-</w:t>
      </w:r>
      <w:proofErr w:type="spellStart"/>
      <w:r w:rsidRPr="00653D52">
        <w:rPr>
          <w:rFonts w:cstheme="minorHAnsi"/>
          <w:lang w:val="en-IN"/>
        </w:rPr>
        <w:t>droh</w:t>
      </w:r>
      <w:proofErr w:type="spellEnd"/>
      <w:r w:rsidRPr="00653D52">
        <w:rPr>
          <w:rFonts w:cstheme="minorHAnsi"/>
          <w:lang w:val="en-IN"/>
        </w:rPr>
        <w:t>-</w:t>
      </w:r>
      <w:proofErr w:type="spellStart"/>
      <w:r w:rsidRPr="00653D52">
        <w:rPr>
          <w:rFonts w:cstheme="minorHAnsi"/>
          <w:lang w:val="en-IN"/>
        </w:rPr>
        <w:t>kan</w:t>
      </w:r>
      <w:proofErr w:type="spellEnd"/>
      <w:r w:rsidRPr="00653D52">
        <w:rPr>
          <w:rFonts w:cstheme="minorHAnsi"/>
          <w:lang w:val="en-IN"/>
        </w:rPr>
        <w:t>-uh-BIN-awl</w:t>
      </w:r>
    </w:p>
    <w:p w14:paraId="00AB310C" w14:textId="77777777" w:rsidR="00653D52" w:rsidRPr="00653D52" w:rsidRDefault="00653D52" w:rsidP="00653D52">
      <w:pPr>
        <w:rPr>
          <w:rFonts w:cstheme="minorHAnsi"/>
          <w:lang w:val="en-IN"/>
        </w:rPr>
      </w:pPr>
      <w:proofErr w:type="gramStart"/>
      <w:r w:rsidRPr="00653D52">
        <w:rPr>
          <w:rFonts w:cstheme="minorHAnsi"/>
          <w:lang w:val="en-IN"/>
        </w:rPr>
        <w:t xml:space="preserve">  </w:t>
      </w:r>
      <w:r w:rsidRPr="00653D52">
        <w:rPr>
          <w:rFonts w:cstheme="minorHAnsi"/>
          <w:b/>
          <w:bCs/>
          <w:lang w:val="en-IN"/>
        </w:rPr>
        <w:t>Saltatory</w:t>
      </w:r>
      <w:proofErr w:type="gramEnd"/>
      <w:r w:rsidRPr="00653D52">
        <w:rPr>
          <w:rFonts w:cstheme="minorHAnsi"/>
          <w:lang w:val="en-IN"/>
        </w:rPr>
        <w:br/>
        <w:t>Pronunciation link: https://www.merriam-webster.com/dictionary/saltatory</w:t>
      </w:r>
      <w:r w:rsidRPr="00653D52">
        <w:rPr>
          <w:rFonts w:cstheme="minorHAnsi"/>
          <w:lang w:val="en-IN"/>
        </w:rPr>
        <w:br/>
        <w:t>IPA: /ˈ</w:t>
      </w:r>
      <w:proofErr w:type="spellStart"/>
      <w:r w:rsidRPr="00653D52">
        <w:rPr>
          <w:rFonts w:cstheme="minorHAnsi"/>
          <w:lang w:val="en-IN"/>
        </w:rPr>
        <w:t>sæltəˌtɔri</w:t>
      </w:r>
      <w:proofErr w:type="spellEnd"/>
      <w:r w:rsidRPr="00653D52">
        <w:rPr>
          <w:rFonts w:cstheme="minorHAnsi"/>
          <w:lang w:val="en-IN"/>
        </w:rPr>
        <w:t>/</w:t>
      </w:r>
      <w:r w:rsidRPr="00653D52">
        <w:rPr>
          <w:rFonts w:cstheme="minorHAnsi"/>
          <w:lang w:val="en-IN"/>
        </w:rPr>
        <w:br/>
        <w:t>Phonetic: SAL-</w:t>
      </w:r>
      <w:proofErr w:type="spellStart"/>
      <w:r w:rsidRPr="00653D52">
        <w:rPr>
          <w:rFonts w:cstheme="minorHAnsi"/>
          <w:lang w:val="en-IN"/>
        </w:rPr>
        <w:t>tuh</w:t>
      </w:r>
      <w:proofErr w:type="spellEnd"/>
      <w:r w:rsidRPr="00653D52">
        <w:rPr>
          <w:rFonts w:cstheme="minorHAnsi"/>
          <w:lang w:val="en-IN"/>
        </w:rPr>
        <w:t>-TOR-ee</w:t>
      </w:r>
    </w:p>
    <w:p w14:paraId="42853ED3" w14:textId="77777777" w:rsidR="00653D52" w:rsidRPr="00653D52" w:rsidRDefault="00653D52" w:rsidP="00653D52">
      <w:pPr>
        <w:rPr>
          <w:rFonts w:cstheme="minorHAnsi"/>
          <w:lang w:val="en-IN"/>
        </w:rPr>
      </w:pPr>
      <w:proofErr w:type="gramStart"/>
      <w:r w:rsidRPr="00653D52">
        <w:rPr>
          <w:rFonts w:cstheme="minorHAnsi"/>
          <w:lang w:val="en-IN"/>
        </w:rPr>
        <w:t xml:space="preserve">  </w:t>
      </w:r>
      <w:r w:rsidRPr="00653D52">
        <w:rPr>
          <w:rFonts w:cstheme="minorHAnsi"/>
          <w:b/>
          <w:bCs/>
          <w:lang w:val="en-IN"/>
        </w:rPr>
        <w:t>Alveolar</w:t>
      </w:r>
      <w:proofErr w:type="gramEnd"/>
      <w:r w:rsidRPr="00653D52">
        <w:rPr>
          <w:rFonts w:cstheme="minorHAnsi"/>
          <w:lang w:val="en-IN"/>
        </w:rPr>
        <w:br/>
        <w:t>Pronunciation link: https://www.merriam-webster.com/dictionary/alveolar</w:t>
      </w:r>
      <w:r w:rsidRPr="00653D52">
        <w:rPr>
          <w:rFonts w:cstheme="minorHAnsi"/>
          <w:lang w:val="en-IN"/>
        </w:rPr>
        <w:br/>
        <w:t>IPA: /ˌ</w:t>
      </w:r>
      <w:proofErr w:type="spellStart"/>
      <w:r w:rsidRPr="00653D52">
        <w:rPr>
          <w:rFonts w:cstheme="minorHAnsi"/>
          <w:lang w:val="en-IN"/>
        </w:rPr>
        <w:t>ælviˈoʊlər</w:t>
      </w:r>
      <w:proofErr w:type="spellEnd"/>
      <w:r w:rsidRPr="00653D52">
        <w:rPr>
          <w:rFonts w:cstheme="minorHAnsi"/>
          <w:lang w:val="en-IN"/>
        </w:rPr>
        <w:t>/</w:t>
      </w:r>
      <w:r w:rsidRPr="00653D52">
        <w:rPr>
          <w:rFonts w:cstheme="minorHAnsi"/>
          <w:lang w:val="en-IN"/>
        </w:rPr>
        <w:br/>
        <w:t>Phonetic: al-vee-OH-</w:t>
      </w:r>
      <w:proofErr w:type="spellStart"/>
      <w:r w:rsidRPr="00653D52">
        <w:rPr>
          <w:rFonts w:cstheme="minorHAnsi"/>
          <w:lang w:val="en-IN"/>
        </w:rPr>
        <w:t>ler</w:t>
      </w:r>
      <w:proofErr w:type="spellEnd"/>
    </w:p>
    <w:p w14:paraId="0CC7F79A" w14:textId="77777777" w:rsidR="00653D52" w:rsidRPr="00653D52" w:rsidRDefault="00653D52" w:rsidP="00653D52">
      <w:pPr>
        <w:rPr>
          <w:rFonts w:cstheme="minorHAnsi"/>
          <w:lang w:val="en-IN"/>
        </w:rPr>
      </w:pPr>
      <w:proofErr w:type="gramStart"/>
      <w:r w:rsidRPr="00653D52">
        <w:rPr>
          <w:rFonts w:cstheme="minorHAnsi"/>
          <w:lang w:val="en-IN"/>
        </w:rPr>
        <w:t xml:space="preserve">  </w:t>
      </w:r>
      <w:proofErr w:type="spellStart"/>
      <w:r w:rsidRPr="00653D52">
        <w:rPr>
          <w:rFonts w:cstheme="minorHAnsi"/>
          <w:b/>
          <w:bCs/>
          <w:lang w:val="en-IN"/>
        </w:rPr>
        <w:t>Anesthesia</w:t>
      </w:r>
      <w:proofErr w:type="spellEnd"/>
      <w:proofErr w:type="gramEnd"/>
      <w:r w:rsidRPr="00653D52">
        <w:rPr>
          <w:rFonts w:cstheme="minorHAnsi"/>
          <w:lang w:val="en-IN"/>
        </w:rPr>
        <w:br/>
        <w:t>Pronunciation link: https://www.merriam-webster.com/dictionary/anesthesia</w:t>
      </w:r>
      <w:r w:rsidRPr="00653D52">
        <w:rPr>
          <w:rFonts w:cstheme="minorHAnsi"/>
          <w:lang w:val="en-IN"/>
        </w:rPr>
        <w:br/>
        <w:t>IPA: /ˌ</w:t>
      </w:r>
      <w:proofErr w:type="spellStart"/>
      <w:r w:rsidRPr="00653D52">
        <w:rPr>
          <w:rFonts w:cstheme="minorHAnsi"/>
          <w:lang w:val="en-IN"/>
        </w:rPr>
        <w:t>ænəsˈθiziə</w:t>
      </w:r>
      <w:proofErr w:type="spellEnd"/>
      <w:r w:rsidRPr="00653D52">
        <w:rPr>
          <w:rFonts w:cstheme="minorHAnsi"/>
          <w:lang w:val="en-IN"/>
        </w:rPr>
        <w:t>/</w:t>
      </w:r>
      <w:r w:rsidRPr="00653D52">
        <w:rPr>
          <w:rFonts w:cstheme="minorHAnsi"/>
          <w:lang w:val="en-IN"/>
        </w:rPr>
        <w:br/>
        <w:t>Phonetic: an-</w:t>
      </w:r>
      <w:proofErr w:type="spellStart"/>
      <w:r w:rsidRPr="00653D52">
        <w:rPr>
          <w:rFonts w:cstheme="minorHAnsi"/>
          <w:lang w:val="en-IN"/>
        </w:rPr>
        <w:t>uhs</w:t>
      </w:r>
      <w:proofErr w:type="spellEnd"/>
      <w:r w:rsidRPr="00653D52">
        <w:rPr>
          <w:rFonts w:cstheme="minorHAnsi"/>
          <w:lang w:val="en-IN"/>
        </w:rPr>
        <w:t>-THEE-</w:t>
      </w:r>
      <w:proofErr w:type="spellStart"/>
      <w:r w:rsidRPr="00653D52">
        <w:rPr>
          <w:rFonts w:cstheme="minorHAnsi"/>
          <w:lang w:val="en-IN"/>
        </w:rPr>
        <w:t>zhuh</w:t>
      </w:r>
      <w:proofErr w:type="spellEnd"/>
    </w:p>
    <w:p w14:paraId="6E7290CE" w14:textId="77777777" w:rsidR="00653D52" w:rsidRPr="00653D52" w:rsidRDefault="00653D52" w:rsidP="00653D52">
      <w:pPr>
        <w:rPr>
          <w:rFonts w:cstheme="minorHAnsi"/>
          <w:lang w:val="en-IN"/>
        </w:rPr>
      </w:pPr>
      <w:proofErr w:type="gramStart"/>
      <w:r w:rsidRPr="00653D52">
        <w:rPr>
          <w:rFonts w:cstheme="minorHAnsi"/>
          <w:lang w:val="en-IN"/>
        </w:rPr>
        <w:t xml:space="preserve">  </w:t>
      </w:r>
      <w:r w:rsidRPr="00653D52">
        <w:rPr>
          <w:rFonts w:cstheme="minorHAnsi"/>
          <w:b/>
          <w:bCs/>
          <w:lang w:val="en-IN"/>
        </w:rPr>
        <w:t>Distal</w:t>
      </w:r>
      <w:proofErr w:type="gramEnd"/>
      <w:r w:rsidRPr="00653D52">
        <w:rPr>
          <w:rFonts w:cstheme="minorHAnsi"/>
          <w:lang w:val="en-IN"/>
        </w:rPr>
        <w:br/>
        <w:t>Pronunciation link: https://www.merriam-webster.com/dictionary/distal</w:t>
      </w:r>
      <w:r w:rsidRPr="00653D52">
        <w:rPr>
          <w:rFonts w:cstheme="minorHAnsi"/>
          <w:lang w:val="en-IN"/>
        </w:rPr>
        <w:br/>
        <w:t>IPA: /ˈ</w:t>
      </w:r>
      <w:proofErr w:type="spellStart"/>
      <w:r w:rsidRPr="00653D52">
        <w:rPr>
          <w:rFonts w:cstheme="minorHAnsi"/>
          <w:lang w:val="en-IN"/>
        </w:rPr>
        <w:t>dɪstəl</w:t>
      </w:r>
      <w:proofErr w:type="spellEnd"/>
      <w:r w:rsidRPr="00653D52">
        <w:rPr>
          <w:rFonts w:cstheme="minorHAnsi"/>
          <w:lang w:val="en-IN"/>
        </w:rPr>
        <w:t>/</w:t>
      </w:r>
      <w:r w:rsidRPr="00653D52">
        <w:rPr>
          <w:rFonts w:cstheme="minorHAnsi"/>
          <w:lang w:val="en-IN"/>
        </w:rPr>
        <w:br/>
        <w:t>Phonetic: DIS-</w:t>
      </w:r>
      <w:proofErr w:type="spellStart"/>
      <w:r w:rsidRPr="00653D52">
        <w:rPr>
          <w:rFonts w:cstheme="minorHAnsi"/>
          <w:lang w:val="en-IN"/>
        </w:rPr>
        <w:t>tuhl</w:t>
      </w:r>
      <w:proofErr w:type="spellEnd"/>
    </w:p>
    <w:p w14:paraId="3C2A2214" w14:textId="77777777" w:rsidR="00653D52" w:rsidRPr="00653D52" w:rsidRDefault="00653D52" w:rsidP="00653D52">
      <w:pPr>
        <w:rPr>
          <w:rFonts w:cstheme="minorHAnsi"/>
          <w:lang w:val="en-IN"/>
        </w:rPr>
      </w:pPr>
      <w:proofErr w:type="gramStart"/>
      <w:r w:rsidRPr="00653D52">
        <w:rPr>
          <w:rFonts w:cstheme="minorHAnsi"/>
          <w:lang w:val="en-IN"/>
        </w:rPr>
        <w:t xml:space="preserve">  </w:t>
      </w:r>
      <w:r w:rsidRPr="00653D52">
        <w:rPr>
          <w:rFonts w:cstheme="minorHAnsi"/>
          <w:b/>
          <w:bCs/>
          <w:lang w:val="en-IN"/>
        </w:rPr>
        <w:t>Transparent</w:t>
      </w:r>
      <w:proofErr w:type="gramEnd"/>
      <w:r w:rsidRPr="00653D52">
        <w:rPr>
          <w:rFonts w:cstheme="minorHAnsi"/>
          <w:lang w:val="en-IN"/>
        </w:rPr>
        <w:br/>
        <w:t>Pronunciation link: https://www.merriam-webster.com/dictionary/transparent</w:t>
      </w:r>
      <w:r w:rsidRPr="00653D52">
        <w:rPr>
          <w:rFonts w:cstheme="minorHAnsi"/>
          <w:lang w:val="en-IN"/>
        </w:rPr>
        <w:br/>
        <w:t>IPA: /</w:t>
      </w:r>
      <w:proofErr w:type="spellStart"/>
      <w:r w:rsidRPr="00653D52">
        <w:rPr>
          <w:rFonts w:cstheme="minorHAnsi"/>
          <w:lang w:val="en-IN"/>
        </w:rPr>
        <w:t>trænsˈpɛrənt</w:t>
      </w:r>
      <w:proofErr w:type="spellEnd"/>
      <w:r w:rsidRPr="00653D52">
        <w:rPr>
          <w:rFonts w:cstheme="minorHAnsi"/>
          <w:lang w:val="en-IN"/>
        </w:rPr>
        <w:t>/</w:t>
      </w:r>
      <w:r w:rsidRPr="00653D52">
        <w:rPr>
          <w:rFonts w:cstheme="minorHAnsi"/>
          <w:lang w:val="en-IN"/>
        </w:rPr>
        <w:br/>
        <w:t>Phonetic: trans-PEH-rent</w:t>
      </w:r>
    </w:p>
    <w:p w14:paraId="376A1AD4" w14:textId="77777777" w:rsidR="00653D52" w:rsidRPr="00653D52" w:rsidRDefault="00653D52" w:rsidP="00653D52">
      <w:pPr>
        <w:rPr>
          <w:rFonts w:cstheme="minorHAnsi"/>
          <w:lang w:val="en-IN"/>
        </w:rPr>
      </w:pPr>
      <w:proofErr w:type="gramStart"/>
      <w:r w:rsidRPr="00653D52">
        <w:rPr>
          <w:rFonts w:cstheme="minorHAnsi"/>
          <w:lang w:val="en-IN"/>
        </w:rPr>
        <w:t xml:space="preserve">  </w:t>
      </w:r>
      <w:r w:rsidRPr="00653D52">
        <w:rPr>
          <w:rFonts w:cstheme="minorHAnsi"/>
          <w:b/>
          <w:bCs/>
          <w:lang w:val="en-IN"/>
        </w:rPr>
        <w:t>Peristalsis</w:t>
      </w:r>
      <w:proofErr w:type="gramEnd"/>
      <w:r w:rsidRPr="00653D52">
        <w:rPr>
          <w:rFonts w:cstheme="minorHAnsi"/>
          <w:lang w:val="en-IN"/>
        </w:rPr>
        <w:br/>
        <w:t>Pronunciation link: https://www.merriam-webster.com/dictionary/peristalsis</w:t>
      </w:r>
      <w:r w:rsidRPr="00653D52">
        <w:rPr>
          <w:rFonts w:cstheme="minorHAnsi"/>
          <w:lang w:val="en-IN"/>
        </w:rPr>
        <w:br/>
        <w:t>IPA: /ˌ</w:t>
      </w:r>
      <w:proofErr w:type="spellStart"/>
      <w:r w:rsidRPr="00653D52">
        <w:rPr>
          <w:rFonts w:cstheme="minorHAnsi"/>
          <w:lang w:val="en-IN"/>
        </w:rPr>
        <w:t>pɛrɪˈstɔl</w:t>
      </w:r>
      <w:r w:rsidRPr="00653D52">
        <w:rPr>
          <w:rFonts w:cstheme="minorHAnsi"/>
          <w:lang w:val="en-IN"/>
        </w:rPr>
        <w:softHyphen/>
        <w:t>sɪs</w:t>
      </w:r>
      <w:proofErr w:type="spellEnd"/>
      <w:r w:rsidRPr="00653D52">
        <w:rPr>
          <w:rFonts w:cstheme="minorHAnsi"/>
          <w:lang w:val="en-IN"/>
        </w:rPr>
        <w:t>/</w:t>
      </w:r>
      <w:r w:rsidRPr="00653D52">
        <w:rPr>
          <w:rFonts w:cstheme="minorHAnsi"/>
          <w:lang w:val="en-IN"/>
        </w:rPr>
        <w:br/>
        <w:t>Phonetic: per-</w:t>
      </w:r>
      <w:proofErr w:type="spellStart"/>
      <w:r w:rsidRPr="00653D52">
        <w:rPr>
          <w:rFonts w:cstheme="minorHAnsi"/>
          <w:lang w:val="en-IN"/>
        </w:rPr>
        <w:t>ih</w:t>
      </w:r>
      <w:proofErr w:type="spellEnd"/>
      <w:r w:rsidRPr="00653D52">
        <w:rPr>
          <w:rFonts w:cstheme="minorHAnsi"/>
          <w:lang w:val="en-IN"/>
        </w:rPr>
        <w:t>-STOL-sis</w:t>
      </w: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48018" w14:textId="77777777" w:rsidR="00AB71B0" w:rsidRDefault="00AB71B0">
      <w:r>
        <w:separator/>
      </w:r>
    </w:p>
    <w:p w14:paraId="1F02CAB3" w14:textId="77777777" w:rsidR="00AB71B0" w:rsidRDefault="00AB71B0"/>
  </w:endnote>
  <w:endnote w:type="continuationSeparator" w:id="0">
    <w:p w14:paraId="75958451" w14:textId="77777777" w:rsidR="00AB71B0" w:rsidRDefault="00AB71B0">
      <w:r>
        <w:continuationSeparator/>
      </w:r>
    </w:p>
    <w:p w14:paraId="04020486" w14:textId="77777777" w:rsidR="00AB71B0" w:rsidRDefault="00AB71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5665F6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D04D1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FBAA2" w14:textId="77777777" w:rsidR="00AB71B0" w:rsidRDefault="00AB71B0">
      <w:r>
        <w:separator/>
      </w:r>
    </w:p>
    <w:p w14:paraId="6F079B9C" w14:textId="77777777" w:rsidR="00AB71B0" w:rsidRDefault="00AB71B0"/>
  </w:footnote>
  <w:footnote w:type="continuationSeparator" w:id="0">
    <w:p w14:paraId="4C2420AC" w14:textId="77777777" w:rsidR="00AB71B0" w:rsidRDefault="00AB71B0">
      <w:r>
        <w:continuationSeparator/>
      </w:r>
    </w:p>
    <w:p w14:paraId="21064259" w14:textId="77777777" w:rsidR="00AB71B0" w:rsidRDefault="00AB71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E660105" w:rsidR="00336C61" w:rsidRPr="006D3AC7" w:rsidRDefault="00336C61" w:rsidP="00EC127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1275" w:rsidRPr="00EC1275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EC1275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CBD2D04"/>
    <w:multiLevelType w:val="multilevel"/>
    <w:tmpl w:val="6A2ED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6EC14B2"/>
    <w:multiLevelType w:val="multilevel"/>
    <w:tmpl w:val="46E4019C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973" w:hanging="547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eastAsia="Calibri" w:hAnsi="Calibri" w:cs="Calibri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1011684813">
    <w:abstractNumId w:val="23"/>
  </w:num>
  <w:num w:numId="44" w16cid:durableId="1076198006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17FD"/>
    <w:rsid w:val="00083792"/>
    <w:rsid w:val="00085F90"/>
    <w:rsid w:val="0008613B"/>
    <w:rsid w:val="00090BAC"/>
    <w:rsid w:val="000977E7"/>
    <w:rsid w:val="000A533F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0CB3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2D3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01D50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234D2"/>
    <w:rsid w:val="00330F1B"/>
    <w:rsid w:val="00333FA4"/>
    <w:rsid w:val="00336C61"/>
    <w:rsid w:val="00341F65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87C7B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264D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4D1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171E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103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1202"/>
    <w:rsid w:val="00652165"/>
    <w:rsid w:val="006530FA"/>
    <w:rsid w:val="00653D52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3A2E"/>
    <w:rsid w:val="00710EA3"/>
    <w:rsid w:val="0071156C"/>
    <w:rsid w:val="00711949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57750"/>
    <w:rsid w:val="0076705A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17E49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57C9F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423D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3412D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4443"/>
    <w:rsid w:val="00997611"/>
    <w:rsid w:val="009979E7"/>
    <w:rsid w:val="009A0E7C"/>
    <w:rsid w:val="009A2C33"/>
    <w:rsid w:val="009A3CBD"/>
    <w:rsid w:val="009A48D1"/>
    <w:rsid w:val="009B2183"/>
    <w:rsid w:val="009B3807"/>
    <w:rsid w:val="009B4EE3"/>
    <w:rsid w:val="009C041E"/>
    <w:rsid w:val="009C2062"/>
    <w:rsid w:val="009C7B9A"/>
    <w:rsid w:val="009D1A7D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1EA4"/>
    <w:rsid w:val="00A44EFB"/>
    <w:rsid w:val="00A52E47"/>
    <w:rsid w:val="00A53E71"/>
    <w:rsid w:val="00A55424"/>
    <w:rsid w:val="00A60320"/>
    <w:rsid w:val="00A72FC5"/>
    <w:rsid w:val="00A730E3"/>
    <w:rsid w:val="00A77CF6"/>
    <w:rsid w:val="00A81123"/>
    <w:rsid w:val="00A8458C"/>
    <w:rsid w:val="00A84BA8"/>
    <w:rsid w:val="00A84C50"/>
    <w:rsid w:val="00A91283"/>
    <w:rsid w:val="00A974B9"/>
    <w:rsid w:val="00AA132F"/>
    <w:rsid w:val="00AB3338"/>
    <w:rsid w:val="00AB657C"/>
    <w:rsid w:val="00AB71B0"/>
    <w:rsid w:val="00AC16C3"/>
    <w:rsid w:val="00AC3B2F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043E"/>
    <w:rsid w:val="00B5116D"/>
    <w:rsid w:val="00B56233"/>
    <w:rsid w:val="00B6201D"/>
    <w:rsid w:val="00B653B7"/>
    <w:rsid w:val="00B662CD"/>
    <w:rsid w:val="00B66A14"/>
    <w:rsid w:val="00B7250F"/>
    <w:rsid w:val="00B807E5"/>
    <w:rsid w:val="00B847A0"/>
    <w:rsid w:val="00B87BC5"/>
    <w:rsid w:val="00BA553A"/>
    <w:rsid w:val="00BB19E9"/>
    <w:rsid w:val="00BC3F28"/>
    <w:rsid w:val="00BC5440"/>
    <w:rsid w:val="00BC6DA7"/>
    <w:rsid w:val="00BD4346"/>
    <w:rsid w:val="00BE051D"/>
    <w:rsid w:val="00BE4E57"/>
    <w:rsid w:val="00BE756D"/>
    <w:rsid w:val="00BE7B56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3EBE"/>
    <w:rsid w:val="00CD515D"/>
    <w:rsid w:val="00CD63B8"/>
    <w:rsid w:val="00CD7F92"/>
    <w:rsid w:val="00CE10F2"/>
    <w:rsid w:val="00CE4904"/>
    <w:rsid w:val="00CE4EDE"/>
    <w:rsid w:val="00CF2130"/>
    <w:rsid w:val="00CF22F6"/>
    <w:rsid w:val="00CF657F"/>
    <w:rsid w:val="00CF6830"/>
    <w:rsid w:val="00CF771C"/>
    <w:rsid w:val="00D00EF4"/>
    <w:rsid w:val="00D04D1C"/>
    <w:rsid w:val="00D103FE"/>
    <w:rsid w:val="00D10BFA"/>
    <w:rsid w:val="00D10F00"/>
    <w:rsid w:val="00D150D8"/>
    <w:rsid w:val="00D279EF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534F6"/>
    <w:rsid w:val="00D6314B"/>
    <w:rsid w:val="00D662C7"/>
    <w:rsid w:val="00D712A3"/>
    <w:rsid w:val="00D745BD"/>
    <w:rsid w:val="00D75084"/>
    <w:rsid w:val="00D7547B"/>
    <w:rsid w:val="00D84702"/>
    <w:rsid w:val="00D95C4C"/>
    <w:rsid w:val="00DA117F"/>
    <w:rsid w:val="00DA17FB"/>
    <w:rsid w:val="00DA758F"/>
    <w:rsid w:val="00DB16A4"/>
    <w:rsid w:val="00DB709F"/>
    <w:rsid w:val="00DB7EBA"/>
    <w:rsid w:val="00DC058D"/>
    <w:rsid w:val="00DC1E10"/>
    <w:rsid w:val="00DC2504"/>
    <w:rsid w:val="00DC311D"/>
    <w:rsid w:val="00DC4F57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DF4438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275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852BB"/>
    <w:rsid w:val="00F95E8D"/>
    <w:rsid w:val="00FA1A9D"/>
    <w:rsid w:val="00FA532D"/>
    <w:rsid w:val="00FA7A79"/>
    <w:rsid w:val="00FA7D51"/>
    <w:rsid w:val="00FD1497"/>
    <w:rsid w:val="00FE059A"/>
    <w:rsid w:val="00FF34BC"/>
    <w:rsid w:val="00FF5DD2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DC4F57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DC4F57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DC4F5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DC4F57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link w:val="TemplateNarrationChar"/>
    <w:rsid w:val="00DC4F57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character" w:customStyle="1" w:styleId="TemplateNarrationChar">
    <w:name w:val="Template Narration Char"/>
    <w:basedOn w:val="DefaultParagraphFont"/>
    <w:link w:val="TemplateNarration"/>
    <w:rsid w:val="00DC4F57"/>
    <w:rPr>
      <w:rFonts w:ascii="Calibri" w:hAnsi="Calibri"/>
      <w:iCs w:val="0"/>
    </w:rPr>
  </w:style>
  <w:style w:type="paragraph" w:customStyle="1" w:styleId="TemplateShot">
    <w:name w:val="Template Shot"/>
    <w:basedOn w:val="ListParagraph"/>
    <w:link w:val="TemplateShotChar"/>
    <w:qFormat/>
    <w:rsid w:val="00DC4F57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customStyle="1" w:styleId="TemplateShotChar">
    <w:name w:val="Template Shot Char"/>
    <w:basedOn w:val="DefaultParagraphFont"/>
    <w:link w:val="TemplateShot"/>
    <w:rsid w:val="00DC4F57"/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annes.mueller@meduniwien.ac.a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9864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tkarsh.khare@jove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1090</Words>
  <Characters>6781</Characters>
  <Application>Microsoft Office Word</Application>
  <DocSecurity>0</DocSecurity>
  <Lines>178</Lines>
  <Paragraphs>93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7778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20</cp:revision>
  <cp:lastPrinted>2025-07-14T18:52:00Z</cp:lastPrinted>
  <dcterms:created xsi:type="dcterms:W3CDTF">2025-07-04T11:50:00Z</dcterms:created>
  <dcterms:modified xsi:type="dcterms:W3CDTF">2025-07-14T18:52:00Z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