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F71A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91118">
        <w:rPr>
          <w:rFonts w:eastAsia="Times New Roman" w:cstheme="minorHAnsi"/>
          <w:b/>
        </w:rPr>
        <w:t>68469</w:t>
      </w:r>
    </w:p>
    <w:p w14:paraId="2F6924E5" w14:textId="01140E6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91118">
        <w:rPr>
          <w:rFonts w:eastAsia="Times New Roman" w:cstheme="minorHAnsi"/>
          <w:b/>
        </w:rPr>
        <w:t>Pallavi Sharma</w:t>
      </w:r>
    </w:p>
    <w:p w14:paraId="6FB9233B" w14:textId="24008D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1118" w:rsidRPr="009D4F8E">
          <w:rPr>
            <w:rStyle w:val="Hyperlink"/>
            <w:rFonts w:eastAsia="Times New Roman" w:cstheme="minorHAnsi"/>
            <w:b/>
          </w:rPr>
          <w:t>https://review.jove.com/account/file-uploader?src=20883093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F52C6A1" w14:textId="77777777" w:rsidR="00891118" w:rsidRPr="00317E15" w:rsidRDefault="004E0C5A" w:rsidP="00891118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7890361"/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>Comet Assay to Quantify DNA Damage in FLT3 Mutant-expressing 32D Cells after Exposure to Type I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 xml:space="preserve"> and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 xml:space="preserve"> Type II FLT3 Inhibitors</w:t>
      </w:r>
      <w:r w:rsidR="00891118" w:rsidRPr="00317E15">
        <w:rPr>
          <w:rFonts w:asciiTheme="majorHAnsi" w:hAnsiTheme="majorHAnsi" w:cstheme="majorHAnsi"/>
        </w:rPr>
        <w:t xml:space="preserve"> </w:t>
      </w:r>
    </w:p>
    <w:bookmarkEnd w:id="0"/>
    <w:p w14:paraId="30BC7CCC" w14:textId="559B12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45648C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Jiani Ge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1,2,*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Yunfan Sun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3,*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Jingsheng Hua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4,*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Yuanhong Huang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5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Yi Wang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Dandan Tan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,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 xml:space="preserve"> </w:t>
      </w:r>
      <w:r w:rsidRPr="00891118">
        <w:rPr>
          <w:rFonts w:asciiTheme="majorHAnsi" w:hAnsiTheme="majorHAnsi" w:cstheme="majorHAnsi"/>
          <w:sz w:val="28"/>
          <w:szCs w:val="28"/>
        </w:rPr>
        <w:t>Taoyun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Wang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, Jinli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Li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6,#</w:t>
      </w:r>
      <w:r w:rsidRPr="00891118">
        <w:rPr>
          <w:rFonts w:asciiTheme="majorHAnsi" w:hAnsiTheme="majorHAnsi" w:cstheme="majorHAnsi"/>
          <w:sz w:val="28"/>
          <w:szCs w:val="28"/>
        </w:rPr>
        <w:t>, Yanfeng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Deng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7,#</w:t>
      </w:r>
      <w:r w:rsidRPr="00891118">
        <w:rPr>
          <w:rFonts w:asciiTheme="majorHAnsi" w:hAnsiTheme="majorHAnsi" w:cstheme="majorHAnsi"/>
          <w:sz w:val="28"/>
          <w:szCs w:val="28"/>
        </w:rPr>
        <w:t>, Song-Bai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Liu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1,2,#</w:t>
      </w:r>
    </w:p>
    <w:p w14:paraId="502EFFF0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</w:p>
    <w:p w14:paraId="361D730E" w14:textId="77777777" w:rsidR="00891118" w:rsidRPr="00891118" w:rsidRDefault="00891118" w:rsidP="0089111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lang w:eastAsia="zh-CN"/>
        </w:rPr>
        <w:t>* These authors contributed equally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.</w:t>
      </w:r>
    </w:p>
    <w:p w14:paraId="22D3A3E6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</w:p>
    <w:p w14:paraId="2C4370CB" w14:textId="0652422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Department of Chemistry and Life Sciences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 xml:space="preserve">, </w:t>
      </w:r>
      <w:r w:rsidRPr="00891118">
        <w:rPr>
          <w:rFonts w:asciiTheme="majorHAnsi" w:hAnsiTheme="majorHAnsi" w:cstheme="majorHAnsi"/>
          <w:sz w:val="28"/>
          <w:szCs w:val="28"/>
        </w:rPr>
        <w:t>Suzhou University of Science and Technology</w:t>
      </w:r>
    </w:p>
    <w:p w14:paraId="324AE51A" w14:textId="1CC081C0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91118">
        <w:rPr>
          <w:rFonts w:asciiTheme="majorHAnsi" w:hAnsiTheme="majorHAnsi" w:cstheme="majorHAnsi"/>
          <w:sz w:val="28"/>
          <w:szCs w:val="28"/>
        </w:rPr>
        <w:t xml:space="preserve"> Jiangsu Province Engineering Research Center of Molecular Target Therapy and Companion Diagnostics in Oncology, Suzhou Vocational Health College</w:t>
      </w:r>
    </w:p>
    <w:p w14:paraId="05D77548" w14:textId="77777777" w:rsid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Department of Hematology, The Second Affiliated Hospital of Suzhou University</w:t>
      </w:r>
    </w:p>
    <w:p w14:paraId="51B81D54" w14:textId="77777777" w:rsid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The Department of Hematology-Oncology, Taizhou Hospital of Zhejiang Province</w:t>
      </w:r>
    </w:p>
    <w:p w14:paraId="7E8E4AFE" w14:textId="1F49EEF1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5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National Clinical Research Center for Hematologic Diseases, Jiangsu Institute of Hematology, The First Affiliated Hospital of Soochow University</w:t>
      </w:r>
    </w:p>
    <w:p w14:paraId="31746359" w14:textId="47BAEBDE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commentRangeStart w:id="1"/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6</w:t>
      </w:r>
      <w:r w:rsidR="00E95EDE" w:rsidRPr="00B45A13">
        <w:rPr>
          <w:rFonts w:asciiTheme="majorHAnsi" w:hAnsiTheme="majorHAnsi" w:cstheme="majorHAnsi"/>
          <w:sz w:val="28"/>
          <w:szCs w:val="28"/>
          <w:lang w:eastAsia="zh-CN"/>
        </w:rPr>
        <w:t>Department of Radiation Oncology, The Affiliated Hospital of Soochow University</w:t>
      </w:r>
      <w:r w:rsidR="00E95EDE" w:rsidRPr="00891118" w:rsidDel="00E95EDE">
        <w:rPr>
          <w:rFonts w:asciiTheme="majorHAnsi" w:hAnsiTheme="majorHAnsi" w:cstheme="majorHAnsi"/>
          <w:sz w:val="28"/>
          <w:szCs w:val="28"/>
          <w:lang w:eastAsia="zh-CN"/>
        </w:rPr>
        <w:t xml:space="preserve"> </w:t>
      </w:r>
      <w:commentRangeEnd w:id="1"/>
      <w:r w:rsidR="00826F9D">
        <w:rPr>
          <w:rStyle w:val="CommentReference"/>
          <w:lang w:val="x-none" w:eastAsia="x-none"/>
        </w:rPr>
        <w:commentReference w:id="1"/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7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Department of Medical Ultrasound, Suzhou TCM Hospital Affiliated to Nanjing University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DDBB9AC" w14:textId="77777777" w:rsidR="00891118" w:rsidRDefault="00891118" w:rsidP="00891118">
      <w:pPr>
        <w:rPr>
          <w:rFonts w:asciiTheme="majorHAnsi" w:hAnsiTheme="majorHAnsi" w:cstheme="majorHAnsi"/>
        </w:rPr>
      </w:pPr>
      <w:bookmarkStart w:id="2" w:name="_Hlk25233958"/>
      <w:r w:rsidRPr="00317E15">
        <w:rPr>
          <w:rFonts w:asciiTheme="majorHAnsi" w:hAnsiTheme="majorHAnsi" w:cstheme="majorHAnsi"/>
        </w:rPr>
        <w:t>Jinli</w:t>
      </w:r>
      <w:r>
        <w:rPr>
          <w:rFonts w:asciiTheme="majorHAnsi" w:hAnsiTheme="majorHAnsi" w:cstheme="majorHAnsi" w:hint="eastAsia"/>
          <w:lang w:eastAsia="zh-CN"/>
        </w:rPr>
        <w:t xml:space="preserve"> Li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12" w:history="1">
        <w:r w:rsidRPr="003E6F27">
          <w:rPr>
            <w:rStyle w:val="Hyperlink"/>
          </w:rPr>
          <w:t>ljl2049@163.com</w:t>
        </w:r>
      </w:hyperlink>
    </w:p>
    <w:p w14:paraId="716EF11E" w14:textId="77777777" w:rsidR="00891118" w:rsidRDefault="00891118" w:rsidP="00891118">
      <w:pPr>
        <w:rPr>
          <w:rFonts w:asciiTheme="majorHAnsi" w:hAnsiTheme="majorHAnsi" w:cstheme="majorHAnsi"/>
          <w:lang w:eastAsia="zh-CN"/>
        </w:rPr>
      </w:pPr>
      <w:r w:rsidRPr="00317E15">
        <w:rPr>
          <w:rFonts w:asciiTheme="majorHAnsi" w:hAnsiTheme="majorHAnsi" w:cstheme="majorHAnsi"/>
        </w:rPr>
        <w:t>Yanfeng</w:t>
      </w:r>
      <w:r>
        <w:rPr>
          <w:rFonts w:asciiTheme="majorHAnsi" w:hAnsiTheme="majorHAnsi" w:cstheme="majorHAnsi" w:hint="eastAsia"/>
          <w:lang w:eastAsia="zh-CN"/>
        </w:rPr>
        <w:t xml:space="preserve"> Deng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D383C">
        <w:rPr>
          <w:rFonts w:asciiTheme="majorHAnsi" w:hAnsiTheme="majorHAnsi" w:cstheme="majorHAnsi"/>
        </w:rPr>
        <w:t>477434238@qq.com</w:t>
      </w:r>
    </w:p>
    <w:p w14:paraId="482512FE" w14:textId="77777777" w:rsidR="00891118" w:rsidRPr="00317E15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Song-Bai</w:t>
      </w:r>
      <w:r>
        <w:rPr>
          <w:rFonts w:asciiTheme="majorHAnsi" w:hAnsiTheme="majorHAnsi" w:cstheme="majorHAnsi"/>
        </w:rPr>
        <w:t xml:space="preserve"> Liu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468A3">
        <w:rPr>
          <w:rFonts w:asciiTheme="majorHAnsi" w:hAnsiTheme="majorHAnsi" w:cstheme="majorHAnsi"/>
        </w:rPr>
        <w:t>liusongbai@126.com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2192ADA1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Jiani</w:t>
      </w:r>
      <w:r>
        <w:rPr>
          <w:rFonts w:asciiTheme="majorHAnsi" w:hAnsiTheme="majorHAnsi" w:cstheme="majorHAnsi" w:hint="eastAsia"/>
          <w:lang w:eastAsia="zh-CN"/>
        </w:rPr>
        <w:t xml:space="preserve"> Ge</w:t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>gggejian@163.com</w:t>
      </w:r>
    </w:p>
    <w:p w14:paraId="131BC6AB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lastRenderedPageBreak/>
        <w:t>Yunfan</w:t>
      </w:r>
      <w:r>
        <w:rPr>
          <w:rFonts w:asciiTheme="majorHAnsi" w:hAnsiTheme="majorHAnsi" w:cstheme="majorHAnsi" w:hint="eastAsia"/>
          <w:lang w:eastAsia="zh-CN"/>
        </w:rPr>
        <w:t xml:space="preserve"> Sun</w:t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 w:rsidRPr="00CB4CDD">
        <w:rPr>
          <w:rFonts w:asciiTheme="majorHAnsi" w:hAnsiTheme="majorHAnsi" w:cstheme="majorHAnsi"/>
          <w:lang w:eastAsia="zh-CN"/>
        </w:rPr>
        <w:t>1341880620@qq.com</w:t>
      </w:r>
    </w:p>
    <w:p w14:paraId="2BA1450C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Jingsheng</w:t>
      </w:r>
      <w:r>
        <w:rPr>
          <w:rFonts w:asciiTheme="majorHAnsi" w:hAnsiTheme="majorHAnsi" w:cstheme="majorHAnsi" w:hint="eastAsia"/>
          <w:lang w:eastAsia="zh-CN"/>
        </w:rPr>
        <w:t xml:space="preserve"> Hua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4,*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B4CDD">
        <w:rPr>
          <w:rFonts w:asciiTheme="majorHAnsi" w:hAnsiTheme="majorHAnsi" w:cstheme="majorHAnsi"/>
        </w:rPr>
        <w:t>huajingsheng@sohu.com</w:t>
      </w:r>
    </w:p>
    <w:p w14:paraId="64E2964E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 w:hint="eastAsia"/>
          <w:lang w:eastAsia="zh-CN"/>
        </w:rPr>
        <w:t>u</w:t>
      </w:r>
      <w:r w:rsidRPr="00317E15">
        <w:rPr>
          <w:rFonts w:asciiTheme="majorHAnsi" w:hAnsiTheme="majorHAnsi" w:cstheme="majorHAnsi"/>
        </w:rPr>
        <w:t>anhong</w:t>
      </w:r>
      <w:r>
        <w:rPr>
          <w:rFonts w:asciiTheme="majorHAnsi" w:hAnsiTheme="majorHAnsi" w:cstheme="majorHAnsi" w:hint="eastAsia"/>
          <w:lang w:eastAsia="zh-CN"/>
        </w:rPr>
        <w:t xml:space="preserve"> Huang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5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D7428">
        <w:rPr>
          <w:rFonts w:asciiTheme="majorHAnsi" w:hAnsiTheme="majorHAnsi" w:cstheme="majorHAnsi"/>
        </w:rPr>
        <w:t>hyhd1hyx@163.com</w:t>
      </w:r>
    </w:p>
    <w:p w14:paraId="63AD09F9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Yi</w:t>
      </w:r>
      <w:r>
        <w:rPr>
          <w:rFonts w:asciiTheme="majorHAnsi" w:hAnsiTheme="majorHAnsi" w:cstheme="majorHAnsi" w:hint="eastAsia"/>
          <w:lang w:eastAsia="zh-CN"/>
        </w:rPr>
        <w:t xml:space="preserve"> Wang</w:t>
      </w:r>
      <w:r w:rsidRPr="00317E15">
        <w:rPr>
          <w:rFonts w:asciiTheme="majorHAnsi" w:hAnsiTheme="majorHAnsi" w:cstheme="majorHAnsi"/>
          <w:vertAlign w:val="superscript"/>
        </w:rPr>
        <w:t>2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D7428">
        <w:rPr>
          <w:rFonts w:asciiTheme="majorHAnsi" w:hAnsiTheme="majorHAnsi" w:cstheme="majorHAnsi"/>
        </w:rPr>
        <w:t>244194597@qq.com</w:t>
      </w:r>
    </w:p>
    <w:p w14:paraId="006474EB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Dandan</w:t>
      </w:r>
      <w:r>
        <w:rPr>
          <w:rFonts w:asciiTheme="majorHAnsi" w:hAnsiTheme="majorHAnsi" w:cstheme="majorHAnsi" w:hint="eastAsia"/>
          <w:lang w:eastAsia="zh-CN"/>
        </w:rPr>
        <w:t xml:space="preserve"> Tang</w:t>
      </w:r>
      <w:r w:rsidRPr="00317E15">
        <w:rPr>
          <w:rFonts w:asciiTheme="majorHAnsi" w:hAnsiTheme="majorHAnsi" w:cstheme="majorHAnsi"/>
          <w:vertAlign w:val="superscript"/>
        </w:rPr>
        <w:t>1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6572">
        <w:rPr>
          <w:rFonts w:asciiTheme="majorHAnsi" w:hAnsiTheme="majorHAnsi" w:cstheme="majorHAnsi"/>
        </w:rPr>
        <w:t>tangdandan0314@163.com</w:t>
      </w:r>
    </w:p>
    <w:p w14:paraId="28E61E95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Taoyun</w:t>
      </w:r>
      <w:r>
        <w:rPr>
          <w:rFonts w:asciiTheme="majorHAnsi" w:hAnsiTheme="majorHAnsi" w:cstheme="majorHAnsi" w:hint="eastAsia"/>
          <w:lang w:eastAsia="zh-CN"/>
        </w:rPr>
        <w:t xml:space="preserve"> Wang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1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6572">
        <w:rPr>
          <w:rFonts w:asciiTheme="majorHAnsi" w:hAnsiTheme="majorHAnsi" w:cstheme="majorHAnsi"/>
        </w:rPr>
        <w:t>wangtaoyun2008@126.com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E386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5E7EBC" w:rsidRPr="00B07A3B">
        <w:rPr>
          <w:rFonts w:eastAsia="Times New Roman" w:cstheme="minorHAnsi"/>
          <w:b/>
        </w:rPr>
        <w:t xml:space="preserve">  </w:t>
      </w:r>
      <w:r w:rsidR="005E7EBC">
        <w:rPr>
          <w:rFonts w:ascii="SimSun" w:hAnsi="SimSun" w:cstheme="minorHAnsi" w:hint="eastAsia"/>
          <w:b/>
          <w:bCs/>
          <w:lang w:eastAsia="zh-CN"/>
        </w:rPr>
        <w:t>No</w:t>
      </w:r>
      <w:r w:rsidR="005E7EBC" w:rsidRPr="00B07A3B">
        <w:rPr>
          <w:rFonts w:eastAsia="Times New Roman" w:cstheme="minorHAnsi"/>
        </w:rPr>
        <w:t xml:space="preserve">  </w:t>
      </w:r>
    </w:p>
    <w:p w14:paraId="181DD27E" w14:textId="209F357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1D585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E7EBC">
        <w:rPr>
          <w:rFonts w:ascii="SimSun" w:hAnsi="SimSun" w:cstheme="minorHAnsi" w:hint="eastAsia"/>
          <w:b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2189F27E" w14:textId="67636897" w:rsidR="009E5BE5" w:rsidRDefault="009A2C33" w:rsidP="005F1ADF">
      <w:pPr>
        <w:spacing w:before="120"/>
        <w:rPr>
          <w:rFonts w:ascii="SimSun" w:hAnsi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9E5BE5" w:rsidRPr="00B07A3B">
        <w:rPr>
          <w:rFonts w:eastAsia="Times New Roman" w:cstheme="minorHAnsi"/>
          <w:b/>
        </w:rPr>
        <w:t xml:space="preserve">  </w:t>
      </w:r>
      <w:r w:rsidR="009E5BE5">
        <w:rPr>
          <w:rFonts w:ascii="SimSun" w:hAnsi="SimSun" w:cstheme="minorHAnsi" w:hint="eastAsia"/>
          <w:b/>
          <w:bCs/>
          <w:lang w:eastAsia="zh-CN"/>
        </w:rPr>
        <w:t>NO</w:t>
      </w:r>
    </w:p>
    <w:p w14:paraId="116AC627" w14:textId="77777777" w:rsidR="00826F9D" w:rsidRPr="00B07A3B" w:rsidRDefault="00826F9D" w:rsidP="005F1ADF">
      <w:pPr>
        <w:spacing w:before="120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4C4E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E6E84">
        <w:rPr>
          <w:rFonts w:cstheme="minorHAnsi"/>
          <w:bCs/>
          <w:sz w:val="22"/>
          <w:szCs w:val="22"/>
        </w:rPr>
        <w:t>06</w:t>
      </w:r>
    </w:p>
    <w:p w14:paraId="5AAC9C6C" w14:textId="0F3141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E6E84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89A6C99" w:rsidR="007D61A8" w:rsidRPr="00826F9D" w:rsidRDefault="002073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52F46">
        <w:rPr>
          <w:rStyle w:val="AuthorName"/>
          <w:rFonts w:asciiTheme="minorHAnsi" w:eastAsia="SimSun" w:hAnsiTheme="minorHAnsi" w:cstheme="minorHAnsi"/>
          <w:lang w:eastAsia="zh-CN"/>
        </w:rPr>
        <w:t>Jiani Ge</w:t>
      </w:r>
      <w:r w:rsidR="00927B12" w:rsidRPr="00D52F46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763F1" w:rsidRPr="005763F1">
        <w:rPr>
          <w:rFonts w:cstheme="minorHAnsi"/>
        </w:rPr>
        <w:t>We employed comet assays to systematically evaluate the genotoxicity of Type I and Type II FLT3 inhibitors on 32D-FLT3 mutant cells, providing critical data for clinical optimisation in AML.</w:t>
      </w:r>
    </w:p>
    <w:p w14:paraId="0BB775E2" w14:textId="5CC31278" w:rsidR="00826F9D" w:rsidRPr="00BF53F2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D52F46" w:rsidRPr="00D52F46">
        <w:rPr>
          <w:rFonts w:ascii="Calibri" w:hAnsi="Calibri" w:cs="Calibri"/>
          <w:i/>
          <w:iCs/>
          <w:color w:val="0070C0"/>
        </w:rPr>
        <w:t>Suggested B roll: 2.4</w:t>
      </w:r>
    </w:p>
    <w:p w14:paraId="2BB2F6EC" w14:textId="77777777" w:rsidR="00826F9D" w:rsidRPr="00B07A3B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2AC1E03" w14:textId="3A1A9848" w:rsidR="0035270D" w:rsidRPr="00826F9D" w:rsidRDefault="0035270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52F46">
        <w:rPr>
          <w:rStyle w:val="AuthorName"/>
          <w:rFonts w:asciiTheme="minorHAnsi" w:eastAsia="SimSun" w:hAnsiTheme="minorHAnsi" w:cstheme="minorHAnsi"/>
          <w:color w:val="auto"/>
          <w:lang w:eastAsia="zh-CN"/>
        </w:rPr>
        <w:t>Dandan Tang</w:t>
      </w:r>
      <w:r w:rsidRPr="00D52F46">
        <w:rPr>
          <w:rFonts w:eastAsia="Times New Roman" w:cstheme="minorHAnsi"/>
          <w:b/>
          <w:bCs/>
          <w:color w:val="auto"/>
          <w:u w:val="single"/>
        </w:rPr>
        <w:t>:</w:t>
      </w:r>
      <w:r w:rsidRPr="00D52F46">
        <w:rPr>
          <w:rFonts w:eastAsia="Times New Roman" w:cstheme="minorHAnsi"/>
          <w:color w:val="auto"/>
        </w:rPr>
        <w:t xml:space="preserve"> </w:t>
      </w:r>
      <w:r w:rsidR="00111679" w:rsidRPr="00111679">
        <w:rPr>
          <w:rFonts w:cstheme="minorHAnsi"/>
        </w:rPr>
        <w:t>During the procedures, improper handling may cause the gel to fall out of the slide, resulting in sample loss.</w:t>
      </w:r>
    </w:p>
    <w:p w14:paraId="25E8A4B5" w14:textId="7C9D90E4" w:rsidR="00826F9D" w:rsidRPr="00BF53F2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D52F46">
        <w:rPr>
          <w:rFonts w:ascii="Calibri" w:hAnsi="Calibri" w:cs="Calibri"/>
          <w:color w:val="000000"/>
        </w:rPr>
        <w:t xml:space="preserve"> </w:t>
      </w:r>
      <w:r w:rsidR="00D52F46" w:rsidRPr="00D52F46">
        <w:rPr>
          <w:rFonts w:ascii="Calibri" w:hAnsi="Calibri" w:cs="Calibri"/>
          <w:i/>
          <w:iCs/>
          <w:color w:val="0070C0"/>
        </w:rPr>
        <w:t>Suggested B</w:t>
      </w:r>
      <w:r w:rsidR="00B45A13">
        <w:rPr>
          <w:rFonts w:ascii="Calibri" w:hAnsi="Calibri" w:cs="Calibri"/>
          <w:i/>
          <w:iCs/>
          <w:color w:val="0070C0"/>
        </w:rPr>
        <w:t>-</w:t>
      </w:r>
      <w:r w:rsidR="00D52F46" w:rsidRPr="00D52F46">
        <w:rPr>
          <w:rFonts w:ascii="Calibri" w:hAnsi="Calibri" w:cs="Calibri"/>
          <w:i/>
          <w:iCs/>
          <w:color w:val="0070C0"/>
        </w:rPr>
        <w:t>roll</w:t>
      </w:r>
      <w:r w:rsidR="00D52F46">
        <w:rPr>
          <w:rFonts w:ascii="Calibri" w:hAnsi="Calibri" w:cs="Calibri"/>
          <w:i/>
          <w:iCs/>
          <w:color w:val="0070C0"/>
        </w:rPr>
        <w:t>: 2.3.1, 2.3.2</w:t>
      </w:r>
    </w:p>
    <w:p w14:paraId="7DAB0B97" w14:textId="77777777" w:rsidR="00826F9D" w:rsidRPr="00D75084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008303B" w14:textId="77777777" w:rsidR="0035270D" w:rsidRPr="00AF3977" w:rsidRDefault="0035270D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84DF085" w14:textId="11F2DCBD" w:rsidR="00DD3886" w:rsidRPr="00826F9D" w:rsidRDefault="00DD38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r w:rsidRPr="00D52F46">
        <w:rPr>
          <w:rStyle w:val="AuthorName"/>
          <w:rFonts w:asciiTheme="minorHAnsi" w:eastAsia="SimSun" w:hAnsiTheme="minorHAnsi" w:cstheme="minorHAnsi"/>
          <w:lang w:eastAsia="zh-CN"/>
        </w:rPr>
        <w:t>Jiani Ge</w:t>
      </w:r>
      <w:r w:rsidRPr="00B07A3B">
        <w:rPr>
          <w:rFonts w:eastAsia="Times New Roman" w:cstheme="minorHAnsi"/>
          <w:b/>
          <w:bCs/>
          <w:u w:val="single"/>
          <w:lang w:eastAsia="zh-CN"/>
        </w:rPr>
        <w:t>:</w:t>
      </w:r>
      <w:r w:rsidRPr="00B07A3B">
        <w:rPr>
          <w:rFonts w:eastAsia="Times New Roman" w:cstheme="minorHAnsi"/>
          <w:lang w:eastAsia="zh-CN"/>
        </w:rPr>
        <w:t xml:space="preserve"> </w:t>
      </w:r>
      <w:r w:rsidR="0016014B" w:rsidRPr="0016014B">
        <w:rPr>
          <w:rFonts w:cstheme="minorHAnsi"/>
        </w:rPr>
        <w:t>Research indicates that AC220, as a type II inhibitor, inflicts more severe DNA damage upon FLT3-mutant cells, providing crucial insights for developing combination therapies</w:t>
      </w:r>
      <w:r w:rsidR="0016014B">
        <w:rPr>
          <w:rFonts w:cstheme="minorHAnsi"/>
        </w:rPr>
        <w:t xml:space="preserve"> </w:t>
      </w:r>
      <w:r w:rsidR="0016014B" w:rsidRPr="0016014B">
        <w:rPr>
          <w:rFonts w:cstheme="minorHAnsi"/>
        </w:rPr>
        <w:t>by exploiting DNA damage vulnerability to overcome therapeutic resistance.</w:t>
      </w:r>
    </w:p>
    <w:p w14:paraId="61B0130C" w14:textId="3DE53833" w:rsidR="00826F9D" w:rsidRPr="00B45A13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i/>
          <w:iCs/>
          <w:color w:val="0070C0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B45A13" w:rsidRPr="00B45A13">
        <w:rPr>
          <w:rFonts w:ascii="Calibri" w:hAnsi="Calibri" w:cs="Calibri"/>
          <w:i/>
          <w:iCs/>
          <w:color w:val="0070C0"/>
        </w:rPr>
        <w:t xml:space="preserve">Suggested </w:t>
      </w:r>
      <w:r w:rsidR="00B45A13">
        <w:rPr>
          <w:rFonts w:ascii="Calibri" w:hAnsi="Calibri" w:cs="Calibri"/>
          <w:i/>
          <w:iCs/>
          <w:color w:val="0070C0"/>
        </w:rPr>
        <w:t>B-roll</w:t>
      </w:r>
      <w:r w:rsidR="00B45A13" w:rsidRPr="00B45A13">
        <w:rPr>
          <w:rFonts w:ascii="Calibri" w:hAnsi="Calibri" w:cs="Calibri"/>
          <w:i/>
          <w:iCs/>
          <w:color w:val="0070C0"/>
        </w:rPr>
        <w:t>: Figure 3</w:t>
      </w:r>
    </w:p>
    <w:p w14:paraId="1D6C601E" w14:textId="77777777" w:rsidR="00826F9D" w:rsidRPr="00826F9D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  <w:lang w:eastAsia="zh-CN"/>
        </w:rPr>
      </w:pPr>
    </w:p>
    <w:p w14:paraId="26FB32B4" w14:textId="77777777" w:rsidR="00826F9D" w:rsidRPr="00B07A3B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  <w:lang w:eastAsia="zh-CN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3E36FB8" w14:textId="1650D6F7" w:rsidR="0035270D" w:rsidRPr="00826F9D" w:rsidRDefault="0035270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52F46">
        <w:rPr>
          <w:rStyle w:val="AuthorName"/>
          <w:rFonts w:asciiTheme="minorHAnsi" w:eastAsia="SimSun" w:hAnsiTheme="minorHAnsi" w:cstheme="minorHAnsi"/>
          <w:lang w:eastAsia="zh-CN"/>
        </w:rPr>
        <w:t>Songbai Liu</w:t>
      </w:r>
      <w:r w:rsidRPr="00D52F46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="00111679" w:rsidRPr="00111679">
        <w:rPr>
          <w:rFonts w:cstheme="minorHAnsi"/>
        </w:rPr>
        <w:t>Investigate the mechanism of action of FLT3 inhibitors in the treatment of acute myeloid leukaemia</w:t>
      </w:r>
      <w:r w:rsidR="00B45A13">
        <w:rPr>
          <w:rFonts w:cstheme="minorHAnsi"/>
        </w:rPr>
        <w:t>,</w:t>
      </w:r>
      <w:r w:rsidR="00111679" w:rsidRPr="00111679">
        <w:rPr>
          <w:rFonts w:cstheme="minorHAnsi"/>
        </w:rPr>
        <w:t xml:space="preserve"> and develop dual-drug or multi-drug combination therapy strategies based on FLT3 inhibitors.</w:t>
      </w:r>
    </w:p>
    <w:p w14:paraId="53277A17" w14:textId="77777777" w:rsidR="00826F9D" w:rsidRPr="00BF53F2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AD11BE2" w14:textId="77777777" w:rsidR="00826F9D" w:rsidRPr="00B07A3B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741ACE1" w14:textId="77777777" w:rsidR="0035270D" w:rsidRDefault="0035270D" w:rsidP="007D61A8">
      <w:pPr>
        <w:contextualSpacing/>
        <w:outlineLvl w:val="0"/>
        <w:rPr>
          <w:rFonts w:eastAsia="Times New Roman" w:cstheme="minorHAnsi"/>
          <w:b/>
        </w:rPr>
      </w:pPr>
    </w:p>
    <w:p w14:paraId="7D91FA2B" w14:textId="77777777" w:rsidR="0035270D" w:rsidRDefault="0035270D" w:rsidP="007D61A8">
      <w:pPr>
        <w:contextualSpacing/>
        <w:outlineLvl w:val="0"/>
        <w:rPr>
          <w:rFonts w:eastAsia="Times New Roman" w:cstheme="minorHAnsi"/>
          <w:b/>
        </w:rPr>
      </w:pPr>
    </w:p>
    <w:p w14:paraId="643739EE" w14:textId="77777777" w:rsidR="0035270D" w:rsidRDefault="0035270D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5B65879" w14:textId="77777777" w:rsidR="0035270D" w:rsidRDefault="0035270D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F6CDAD9" w14:textId="77777777" w:rsidR="0035270D" w:rsidRDefault="0035270D" w:rsidP="00FF25E5">
      <w:pPr>
        <w:contextualSpacing/>
        <w:outlineLvl w:val="0"/>
        <w:rPr>
          <w:rFonts w:eastAsia="Times New Roman" w:cstheme="minorHAnsi"/>
          <w:b/>
        </w:rPr>
      </w:pPr>
    </w:p>
    <w:p w14:paraId="4F0481F3" w14:textId="77777777" w:rsidR="0035270D" w:rsidRDefault="0035270D" w:rsidP="00FF25E5">
      <w:pPr>
        <w:spacing w:before="120"/>
        <w:rPr>
          <w:rFonts w:cstheme="minorHAnsi"/>
        </w:rPr>
      </w:pPr>
    </w:p>
    <w:p w14:paraId="7AFA2469" w14:textId="77777777" w:rsidR="0035270D" w:rsidRPr="002A6FCF" w:rsidRDefault="0035270D" w:rsidP="00FF25E5">
      <w:pPr>
        <w:spacing w:before="120"/>
        <w:rPr>
          <w:rFonts w:eastAsia="Times New Roman" w:cstheme="minorHAnsi"/>
        </w:rPr>
      </w:pPr>
      <w:commentRangeStart w:id="3"/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4762EDB3" w14:textId="1A89B15D" w:rsidR="004550D5" w:rsidRDefault="004550D5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="SimSun" w:eastAsia="SimSun" w:hAnsi="SimSun" w:cstheme="minorHAnsi" w:hint="eastAsia"/>
          <w:lang w:eastAsia="zh-CN"/>
        </w:rPr>
        <w:t>Jani Ge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15F9FA08" w14:textId="77777777" w:rsidR="00D52F46" w:rsidRPr="00BF53F2" w:rsidRDefault="00D52F46" w:rsidP="00D52F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6B69835" w14:textId="77777777" w:rsidR="00D52F46" w:rsidRPr="00D75084" w:rsidRDefault="00D52F46" w:rsidP="00D52F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945B8E8" w14:textId="77777777" w:rsidR="004550D5" w:rsidRPr="002A6FCF" w:rsidRDefault="004550D5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1CB10978" w14:textId="77777777" w:rsidR="00D52F46" w:rsidRPr="00D52F46" w:rsidRDefault="0035270D" w:rsidP="00D52F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Style w:val="AuthorName"/>
          <w:rFonts w:ascii="SimSun" w:eastAsia="SimSun" w:hAnsi="SimSun" w:cstheme="minorHAnsi" w:hint="eastAsia"/>
          <w:lang w:eastAsia="zh-CN"/>
        </w:rPr>
        <w:t>Jiani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Ge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4EC4F3B2" w14:textId="77777777" w:rsidR="00D52F46" w:rsidRPr="00BF53F2" w:rsidRDefault="00D52F46" w:rsidP="00D52F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commentRangeEnd w:id="3"/>
      <w:r>
        <w:rPr>
          <w:rStyle w:val="CommentReference"/>
          <w:lang w:val="x-none" w:eastAsia="x-none"/>
        </w:rPr>
        <w:commentReference w:id="3"/>
      </w:r>
    </w:p>
    <w:p w14:paraId="23275B41" w14:textId="53E89536" w:rsidR="0035270D" w:rsidRDefault="0035270D" w:rsidP="00D52F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7E492E6" w14:textId="77777777" w:rsidR="0035270D" w:rsidRPr="00B07A3B" w:rsidRDefault="0035270D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>
        <w:rPr>
          <w:rFonts w:cstheme="minorHAnsi"/>
        </w:rPr>
        <w:t xml:space="preserve">  </w:t>
      </w:r>
    </w:p>
    <w:p w14:paraId="461453FE" w14:textId="77777777" w:rsidR="0035270D" w:rsidRPr="00690EDD" w:rsidRDefault="0035270D" w:rsidP="00690ED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lang w:eastAsia="zh-CN"/>
        </w:rPr>
      </w:pPr>
      <w:r w:rsidRPr="00690EDD">
        <w:rPr>
          <w:rFonts w:asciiTheme="majorHAnsi" w:hAnsiTheme="majorHAnsi" w:cstheme="majorHAnsi"/>
          <w:b/>
          <w:bCs/>
          <w:lang w:eastAsia="zh-CN"/>
        </w:rPr>
        <w:t>Comet Assay Procedure</w:t>
      </w:r>
    </w:p>
    <w:p w14:paraId="14E70A26" w14:textId="77777777" w:rsidR="0035270D" w:rsidRDefault="0035270D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Jiani Ge</w:t>
      </w:r>
      <w:r>
        <w:rPr>
          <w:rFonts w:cstheme="minorHAnsi"/>
        </w:rPr>
        <w:t xml:space="preserve"> </w:t>
      </w:r>
    </w:p>
    <w:p w14:paraId="083D1650" w14:textId="77777777" w:rsidR="0035270D" w:rsidRPr="00B45A13" w:rsidRDefault="0035270D" w:rsidP="00B45A13">
      <w:pPr>
        <w:spacing w:before="120"/>
        <w:rPr>
          <w:rFonts w:cstheme="minorHAnsi"/>
        </w:rPr>
      </w:pPr>
    </w:p>
    <w:p w14:paraId="2A8DB50F" w14:textId="77777777" w:rsidR="0035270D" w:rsidRPr="00CF3E50" w:rsidRDefault="0035270D" w:rsidP="00CF3E50">
      <w:pPr>
        <w:pStyle w:val="Narration"/>
        <w:numPr>
          <w:ilvl w:val="1"/>
          <w:numId w:val="3"/>
        </w:numPr>
      </w:pPr>
      <w:r w:rsidRPr="00267484">
        <w:t>To begin, prepare a 10 to 1 mixture of low-melting-point agarose and cell suspension in 1.5</w:t>
      </w:r>
      <w:r>
        <w:t>-</w:t>
      </w:r>
      <w:r w:rsidRPr="00267484">
        <w:t>milliliter tubes</w:t>
      </w:r>
      <w:r>
        <w:t xml:space="preserve"> using a pipette</w:t>
      </w:r>
      <w:r w:rsidRPr="00267484">
        <w:t xml:space="preserve"> and mix gently </w:t>
      </w:r>
      <w:r w:rsidRPr="00267484">
        <w:rPr>
          <w:b/>
          <w:bCs/>
        </w:rPr>
        <w:t>[</w:t>
      </w:r>
      <w:r>
        <w:rPr>
          <w:b/>
          <w:bCs/>
        </w:rPr>
        <w:t>1</w:t>
      </w:r>
      <w:r w:rsidRPr="00267484">
        <w:rPr>
          <w:b/>
          <w:bCs/>
        </w:rPr>
        <w:t>]</w:t>
      </w:r>
      <w:r w:rsidRPr="00267484">
        <w:t xml:space="preserve">. Dispense 55 microliter aliquots of the agarose-cell mixture onto comet slides using a pipette held at a 45-degree angle, </w:t>
      </w:r>
      <w:r w:rsidRPr="00267484">
        <w:rPr>
          <w:b/>
          <w:bCs/>
        </w:rPr>
        <w:t>[</w:t>
      </w:r>
      <w:r>
        <w:rPr>
          <w:b/>
          <w:bCs/>
        </w:rPr>
        <w:t>2-TXT</w:t>
      </w:r>
      <w:r w:rsidRPr="00267484">
        <w:rPr>
          <w:b/>
          <w:bCs/>
        </w:rPr>
        <w:t>]</w:t>
      </w:r>
      <w:r w:rsidRPr="00267484">
        <w:t xml:space="preserve">. </w:t>
      </w:r>
      <w:r>
        <w:t>Then, p</w:t>
      </w:r>
      <w:r w:rsidRPr="00267484">
        <w:t xml:space="preserve">lace the slides coated with the mixture at 4 degrees Celsius for 30 minutes in a dark environment </w:t>
      </w:r>
      <w:r w:rsidRPr="00267484">
        <w:rPr>
          <w:b/>
          <w:bCs/>
        </w:rPr>
        <w:t>[</w:t>
      </w:r>
      <w:r>
        <w:rPr>
          <w:b/>
          <w:bCs/>
        </w:rPr>
        <w:t>3</w:t>
      </w:r>
      <w:r w:rsidRPr="00267484">
        <w:rPr>
          <w:b/>
          <w:bCs/>
        </w:rPr>
        <w:t>]</w:t>
      </w:r>
      <w:r w:rsidRPr="00267484">
        <w:t xml:space="preserve">. </w:t>
      </w:r>
    </w:p>
    <w:p w14:paraId="1967CA8E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Pr="00267484">
        <w:rPr>
          <w:lang w:val="en-IN"/>
        </w:rPr>
        <w:t>Talent pipetting a 10 to 1 mixture of low-melting-point agarose and cell suspension into a 1.5 milliliter tube and mixing gently.</w:t>
      </w:r>
    </w:p>
    <w:p w14:paraId="3DD275B7" w14:textId="77777777" w:rsidR="0035270D" w:rsidRDefault="0035270D" w:rsidP="006C117D">
      <w:pPr>
        <w:pStyle w:val="ShotDescription"/>
        <w:numPr>
          <w:ilvl w:val="2"/>
          <w:numId w:val="3"/>
        </w:numPr>
        <w:rPr>
          <w:lang w:val="en-IN"/>
        </w:rPr>
      </w:pPr>
      <w:r w:rsidRPr="00194206">
        <w:rPr>
          <w:lang w:val="en-IN"/>
        </w:rPr>
        <w:t>Talent carefully dispensing 55 microliters of the mixture onto the comet slide at a 45-degree angle</w:t>
      </w:r>
      <w:r>
        <w:rPr>
          <w:lang w:val="en-IN"/>
        </w:rPr>
        <w:t xml:space="preserve">. </w:t>
      </w:r>
      <w:r w:rsidRPr="00194206">
        <w:rPr>
          <w:b/>
          <w:bCs/>
          <w:lang w:val="en-IN"/>
        </w:rPr>
        <w:t xml:space="preserve">TXT: </w:t>
      </w:r>
      <w:r w:rsidRPr="00194206">
        <w:rPr>
          <w:b/>
          <w:bCs/>
        </w:rPr>
        <w:t>Maintain a 2 mm distance from the slide surface</w:t>
      </w:r>
      <w:r w:rsidRPr="00267484">
        <w:t xml:space="preserve"> </w:t>
      </w:r>
    </w:p>
    <w:p w14:paraId="4DFAB5F0" w14:textId="77777777" w:rsidR="0035270D" w:rsidRPr="00194206" w:rsidRDefault="0035270D" w:rsidP="006C117D">
      <w:pPr>
        <w:pStyle w:val="ShotDescription"/>
        <w:numPr>
          <w:ilvl w:val="2"/>
          <w:numId w:val="3"/>
        </w:numPr>
        <w:rPr>
          <w:lang w:val="en-IN"/>
        </w:rPr>
      </w:pPr>
      <w:r w:rsidRPr="00194206">
        <w:rPr>
          <w:lang w:val="en-IN"/>
        </w:rPr>
        <w:t>Talent transferring the coated slides into a light-protected box at 4 degrees Celsius.</w:t>
      </w:r>
    </w:p>
    <w:p w14:paraId="26228477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 w:rsidRPr="00267484">
        <w:t xml:space="preserve">Submerge the solidified slides in precooled lysis solution </w:t>
      </w:r>
      <w:r w:rsidRPr="00267484">
        <w:rPr>
          <w:b/>
          <w:bCs/>
        </w:rPr>
        <w:t>[1]</w:t>
      </w:r>
      <w:r>
        <w:t xml:space="preserve"> and</w:t>
      </w:r>
      <w:r w:rsidRPr="00267484">
        <w:t xml:space="preserve"> </w:t>
      </w:r>
      <w:r>
        <w:t>i</w:t>
      </w:r>
      <w:r w:rsidRPr="00267484">
        <w:t xml:space="preserve">ncubate for at least 1 hour at 4 degrees Celsius, protecting the slides from light </w:t>
      </w:r>
      <w:r w:rsidRPr="00267484">
        <w:rPr>
          <w:b/>
          <w:bCs/>
        </w:rPr>
        <w:t>[2]</w:t>
      </w:r>
      <w:r w:rsidRPr="00267484">
        <w:t>.</w:t>
      </w:r>
    </w:p>
    <w:p w14:paraId="15409FA0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solidified comet assay slides into a container filled with precooled lysis solution.</w:t>
      </w:r>
    </w:p>
    <w:p w14:paraId="6B388128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covering the container and placing it in a 4 degrees Celsius storage area protected from light.</w:t>
      </w:r>
    </w:p>
    <w:p w14:paraId="71BFD909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 w:rsidRPr="00267484">
        <w:t xml:space="preserve">After lysis, remove the slides from the lysis solution </w:t>
      </w:r>
      <w:r w:rsidRPr="00267484">
        <w:rPr>
          <w:b/>
          <w:bCs/>
        </w:rPr>
        <w:t>[1]</w:t>
      </w:r>
      <w:r w:rsidRPr="00267484">
        <w:t xml:space="preserve">. Using a pipette gun, carefully suck up as much residual liquid as possible from around the paddle </w:t>
      </w:r>
      <w:r w:rsidRPr="00267484">
        <w:rPr>
          <w:b/>
          <w:bCs/>
        </w:rPr>
        <w:t>[2]</w:t>
      </w:r>
      <w:r w:rsidRPr="00267484">
        <w:t>.</w:t>
      </w:r>
      <w:r>
        <w:t xml:space="preserve"> Then, p</w:t>
      </w:r>
      <w:r w:rsidRPr="00267484">
        <w:t>lace the slides in alkaline electrophoresis buffer</w:t>
      </w:r>
      <w:r>
        <w:t xml:space="preserve"> </w:t>
      </w:r>
      <w:r w:rsidRPr="00194206">
        <w:rPr>
          <w:b/>
          <w:bCs/>
        </w:rPr>
        <w:t>[3]</w:t>
      </w:r>
      <w:r w:rsidRPr="00267484">
        <w:t xml:space="preserve"> and allow them to pre-equilibrate for 1 hour at 4 degrees Celsius in the dark </w:t>
      </w:r>
      <w:r w:rsidRPr="00267484">
        <w:rPr>
          <w:b/>
          <w:bCs/>
        </w:rPr>
        <w:t>[</w:t>
      </w:r>
      <w:r>
        <w:rPr>
          <w:b/>
          <w:bCs/>
        </w:rPr>
        <w:t>4</w:t>
      </w:r>
      <w:r w:rsidRPr="00267484">
        <w:rPr>
          <w:b/>
          <w:bCs/>
        </w:rPr>
        <w:t>]</w:t>
      </w:r>
      <w:r w:rsidRPr="00267484">
        <w:t>.</w:t>
      </w:r>
    </w:p>
    <w:p w14:paraId="67F611B3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lifting a slide from the lysis solution</w:t>
      </w:r>
      <w:r>
        <w:rPr>
          <w:lang w:val="en-IN"/>
        </w:rPr>
        <w:t>.</w:t>
      </w:r>
    </w:p>
    <w:p w14:paraId="6611DB5D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using a pipette gun to remove the liquid surrounding the slide paddle.</w:t>
      </w:r>
    </w:p>
    <w:p w14:paraId="561968BC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 into a container filled with alkaline electrophoresis buffer</w:t>
      </w:r>
      <w:r>
        <w:rPr>
          <w:lang w:val="en-IN"/>
        </w:rPr>
        <w:t>.</w:t>
      </w:r>
    </w:p>
    <w:p w14:paraId="27D3C7FE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</w:t>
      </w:r>
      <w:r w:rsidRPr="00267484">
        <w:rPr>
          <w:lang w:val="en-IN"/>
        </w:rPr>
        <w:t xml:space="preserve"> cover</w:t>
      </w:r>
      <w:r>
        <w:rPr>
          <w:lang w:val="en-IN"/>
        </w:rPr>
        <w:t>ed container in the refrigerator</w:t>
      </w:r>
      <w:r w:rsidRPr="00267484">
        <w:rPr>
          <w:lang w:val="en-IN"/>
        </w:rPr>
        <w:t>.</w:t>
      </w:r>
      <w:r>
        <w:rPr>
          <w:lang w:val="en-IN"/>
        </w:rPr>
        <w:br/>
      </w:r>
    </w:p>
    <w:p w14:paraId="02AC30FF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>
        <w:t>Now, p</w:t>
      </w:r>
      <w:r w:rsidRPr="00267484">
        <w:t xml:space="preserve">lace the slides into the electrophoresis chamber </w:t>
      </w:r>
      <w:r w:rsidRPr="00267484">
        <w:rPr>
          <w:b/>
          <w:bCs/>
        </w:rPr>
        <w:t>[1]</w:t>
      </w:r>
      <w:r w:rsidRPr="00267484">
        <w:t xml:space="preserve">. </w:t>
      </w:r>
      <w:r>
        <w:t>T</w:t>
      </w:r>
      <w:r w:rsidRPr="00267484">
        <w:t>o fully immerse the slides</w:t>
      </w:r>
      <w:r>
        <w:t>, a</w:t>
      </w:r>
      <w:r w:rsidRPr="00267484">
        <w:t xml:space="preserve">dd enough precooled alkaline electrophoresis solution </w:t>
      </w:r>
      <w:r w:rsidRPr="00267484">
        <w:rPr>
          <w:b/>
          <w:bCs/>
        </w:rPr>
        <w:t>[2]</w:t>
      </w:r>
      <w:r w:rsidRPr="00267484">
        <w:t xml:space="preserve">. Run electrophoresis at 24 volts, with a constant current for 30 minutes using </w:t>
      </w:r>
      <w:r>
        <w:t xml:space="preserve">a </w:t>
      </w:r>
      <w:r w:rsidRPr="00267484">
        <w:t xml:space="preserve">buffer pre-equilibrated to reduce </w:t>
      </w:r>
      <w:r w:rsidRPr="00267484">
        <w:lastRenderedPageBreak/>
        <w:t xml:space="preserve">DNA damage </w:t>
      </w:r>
      <w:r w:rsidRPr="00267484">
        <w:rPr>
          <w:b/>
          <w:bCs/>
        </w:rPr>
        <w:t>[3]</w:t>
      </w:r>
      <w:r w:rsidRPr="00267484">
        <w:t>.</w:t>
      </w:r>
    </w:p>
    <w:p w14:paraId="22E05252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</w:t>
      </w:r>
      <w:r>
        <w:rPr>
          <w:lang w:val="en-IN"/>
        </w:rPr>
        <w:t>positions</w:t>
      </w:r>
      <w:r w:rsidRPr="00267484">
        <w:rPr>
          <w:lang w:val="en-IN"/>
        </w:rPr>
        <w:t xml:space="preserve"> the comet assay slides into the electrophoresis chamber.</w:t>
      </w:r>
    </w:p>
    <w:p w14:paraId="12C2E9AA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pouring alkaline electrophoresis buffer into the chamber until the slides are completely submerged.</w:t>
      </w:r>
    </w:p>
    <w:p w14:paraId="5A8AC904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setting the electrophoresis unit to 24 volts and 300 milliamperes and starting the run.</w:t>
      </w:r>
      <w:r>
        <w:rPr>
          <w:lang w:val="en-IN"/>
        </w:rPr>
        <w:br/>
      </w:r>
    </w:p>
    <w:p w14:paraId="194E8961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 w:rsidRPr="00267484">
        <w:t xml:space="preserve">After electrophoresis, use a pipette gun to aspirate the alkaline electrophoresis buffer from around the slide </w:t>
      </w:r>
      <w:r w:rsidRPr="00267484">
        <w:rPr>
          <w:b/>
          <w:bCs/>
        </w:rPr>
        <w:t>[1]</w:t>
      </w:r>
      <w:r w:rsidRPr="00267484">
        <w:t xml:space="preserve">. Submerge the slides in double-distilled water for 5 minutes, </w:t>
      </w:r>
      <w:r w:rsidRPr="00267484">
        <w:rPr>
          <w:b/>
          <w:bCs/>
        </w:rPr>
        <w:t>[2</w:t>
      </w:r>
      <w:r>
        <w:rPr>
          <w:b/>
          <w:bCs/>
        </w:rPr>
        <w:t>-TXT</w:t>
      </w:r>
      <w:r w:rsidRPr="00267484">
        <w:rPr>
          <w:b/>
          <w:bCs/>
        </w:rPr>
        <w:t>]</w:t>
      </w:r>
      <w:r w:rsidRPr="00267484">
        <w:t xml:space="preserve">, then submerge the slides in 70 percent ethanol for 5 minutes </w:t>
      </w:r>
      <w:r w:rsidRPr="00267484">
        <w:rPr>
          <w:b/>
          <w:bCs/>
        </w:rPr>
        <w:t>[3]</w:t>
      </w:r>
      <w:r w:rsidRPr="00267484">
        <w:t>. Place the slides in an incubator set at 37 degrees Celsius for 15 minutes</w:t>
      </w:r>
      <w:r>
        <w:t xml:space="preserve"> to dry</w:t>
      </w:r>
      <w:r w:rsidRPr="00267484">
        <w:t xml:space="preserve"> </w:t>
      </w:r>
      <w:r w:rsidRPr="00267484">
        <w:rPr>
          <w:b/>
          <w:bCs/>
        </w:rPr>
        <w:t>[4]</w:t>
      </w:r>
      <w:r w:rsidRPr="00267484">
        <w:t>.</w:t>
      </w:r>
    </w:p>
    <w:p w14:paraId="74F9096E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using a pipette gun to remove the electrophoresis solution from the slide container.</w:t>
      </w:r>
    </w:p>
    <w:p w14:paraId="10EBADD6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slides into a container with double-distilled wate</w:t>
      </w:r>
      <w:r>
        <w:rPr>
          <w:lang w:val="en-IN"/>
        </w:rPr>
        <w:t>r</w:t>
      </w:r>
      <w:r w:rsidRPr="00267484">
        <w:rPr>
          <w:lang w:val="en-IN"/>
        </w:rPr>
        <w:t>.</w:t>
      </w:r>
      <w:r>
        <w:rPr>
          <w:lang w:val="en-IN"/>
        </w:rPr>
        <w:t xml:space="preserve"> </w:t>
      </w:r>
      <w:r w:rsidRPr="00194206">
        <w:rPr>
          <w:b/>
          <w:bCs/>
          <w:lang w:val="en-IN"/>
        </w:rPr>
        <w:t>TXT: Repeat 1x</w:t>
      </w:r>
    </w:p>
    <w:p w14:paraId="3C789B5F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transferring the slides into 70 percent ethanol for 5 minutes.</w:t>
      </w:r>
    </w:p>
    <w:p w14:paraId="79ED60ED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slides into a 37 degrees Celsius incubator to dry.</w:t>
      </w:r>
      <w:r>
        <w:rPr>
          <w:lang w:val="en-IN"/>
        </w:rPr>
        <w:br/>
      </w:r>
      <w:r>
        <w:rPr>
          <w:lang w:val="en-IN"/>
        </w:rPr>
        <w:br/>
      </w:r>
    </w:p>
    <w:p w14:paraId="32F17C93" w14:textId="132C162F" w:rsidR="00891118" w:rsidRPr="00267484" w:rsidRDefault="0035270D" w:rsidP="00891118">
      <w:pPr>
        <w:pStyle w:val="Narration"/>
        <w:numPr>
          <w:ilvl w:val="1"/>
          <w:numId w:val="3"/>
        </w:numPr>
      </w:pPr>
      <w:r>
        <w:t>Next, a</w:t>
      </w:r>
      <w:r w:rsidRPr="00267484">
        <w:t>pply a 100-microliter aliquot of YeaRed</w:t>
      </w:r>
      <w:r>
        <w:t xml:space="preserve"> </w:t>
      </w:r>
      <w:r w:rsidRPr="00194206">
        <w:rPr>
          <w:i/>
          <w:iCs/>
          <w:color w:val="EE0000"/>
        </w:rPr>
        <w:t>(Yea-Red)</w:t>
      </w:r>
      <w:r w:rsidRPr="00194206">
        <w:rPr>
          <w:color w:val="EE0000"/>
        </w:rPr>
        <w:t xml:space="preserve"> </w:t>
      </w:r>
      <w:r w:rsidRPr="00267484">
        <w:t xml:space="preserve">nucleic acid stain to each well of the slide </w:t>
      </w:r>
      <w:r w:rsidRPr="00267484">
        <w:rPr>
          <w:b/>
          <w:bCs/>
        </w:rPr>
        <w:t>[1]</w:t>
      </w:r>
      <w:r w:rsidRPr="00267484">
        <w:t xml:space="preserve">. Incubate the slides for 30 minutes at </w:t>
      </w:r>
      <w:r>
        <w:rPr>
          <w:rFonts w:hint="eastAsia"/>
          <w:lang w:eastAsia="zh-CN"/>
        </w:rPr>
        <w:t>2</w:t>
      </w:r>
      <w:r w:rsidR="00B45A13">
        <w:rPr>
          <w:lang w:eastAsia="zh-CN"/>
        </w:rPr>
        <w:t xml:space="preserve">8 degrees </w:t>
      </w:r>
      <w:r w:rsidR="00743806">
        <w:rPr>
          <w:lang w:eastAsia="zh-CN"/>
        </w:rPr>
        <w:t>Celsius</w:t>
      </w:r>
      <w:r w:rsidRPr="00267484">
        <w:t xml:space="preserve"> in a light-protected environment </w:t>
      </w:r>
      <w:r w:rsidR="00891118" w:rsidRPr="00267484">
        <w:rPr>
          <w:b/>
          <w:bCs/>
        </w:rPr>
        <w:t>[2]</w:t>
      </w:r>
      <w:r w:rsidR="00891118" w:rsidRPr="00267484">
        <w:t>. Rinse the slides gently with water to remove excess stain</w:t>
      </w:r>
      <w:r w:rsidR="00194206">
        <w:t xml:space="preserve"> </w:t>
      </w:r>
      <w:r w:rsidR="00194206" w:rsidRPr="00194206">
        <w:rPr>
          <w:b/>
          <w:bCs/>
        </w:rPr>
        <w:t>[3]</w:t>
      </w:r>
      <w:r w:rsidR="00891118" w:rsidRPr="00267484">
        <w:t xml:space="preserve"> and dry them in a 37 degrees Celsius incubator </w:t>
      </w:r>
      <w:r w:rsidR="00891118" w:rsidRPr="00267484">
        <w:rPr>
          <w:b/>
          <w:bCs/>
        </w:rPr>
        <w:t>[</w:t>
      </w:r>
      <w:r w:rsidR="00194206">
        <w:rPr>
          <w:b/>
          <w:bCs/>
        </w:rPr>
        <w:t>4</w:t>
      </w:r>
      <w:r w:rsidR="00891118" w:rsidRPr="00267484">
        <w:rPr>
          <w:b/>
          <w:bCs/>
        </w:rPr>
        <w:t>]</w:t>
      </w:r>
      <w:r w:rsidR="00891118" w:rsidRPr="00267484">
        <w:t>.</w:t>
      </w:r>
    </w:p>
    <w:p w14:paraId="7544D3EA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pipetting 100 microliters of YeaRed nucleic acid stain into each well of the comet slide.</w:t>
      </w:r>
    </w:p>
    <w:p w14:paraId="6C82A0E8" w14:textId="7F302A34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</w:t>
      </w:r>
      <w:r w:rsidR="00743806">
        <w:rPr>
          <w:lang w:val="en-IN"/>
        </w:rPr>
        <w:t>places the covered slides in the incubator</w:t>
      </w:r>
    </w:p>
    <w:p w14:paraId="4D997124" w14:textId="77777777" w:rsidR="00194206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gently rinsing the slides with water</w:t>
      </w:r>
      <w:r w:rsidR="00194206">
        <w:rPr>
          <w:lang w:val="en-IN"/>
        </w:rPr>
        <w:t>.</w:t>
      </w:r>
    </w:p>
    <w:p w14:paraId="6A63C982" w14:textId="2617D212" w:rsidR="00891118" w:rsidRPr="00267484" w:rsidRDefault="00194206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91118" w:rsidRPr="00267484">
        <w:rPr>
          <w:lang w:val="en-IN"/>
        </w:rPr>
        <w:t>placing the</w:t>
      </w:r>
      <w:r>
        <w:rPr>
          <w:lang w:val="en-IN"/>
        </w:rPr>
        <w:t xml:space="preserve"> slide</w:t>
      </w:r>
      <w:r w:rsidR="00891118" w:rsidRPr="00267484">
        <w:rPr>
          <w:lang w:val="en-IN"/>
        </w:rPr>
        <w:t xml:space="preserve"> in a 37 degrees Celsius incubator to dry.</w:t>
      </w:r>
    </w:p>
    <w:p w14:paraId="1136695B" w14:textId="77777777" w:rsidR="00891118" w:rsidRPr="00267484" w:rsidRDefault="00891118" w:rsidP="00891118"/>
    <w:p w14:paraId="09689C4F" w14:textId="2BE317D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328B06D4" w:rsidR="00985FE6" w:rsidRPr="00CE6E84" w:rsidRDefault="00EE6470" w:rsidP="00CE6E8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FEC29B1" w14:textId="097FC531" w:rsidR="00891118" w:rsidRDefault="00690EDD" w:rsidP="00891118">
      <w:pPr>
        <w:pStyle w:val="Narration"/>
        <w:numPr>
          <w:ilvl w:val="1"/>
          <w:numId w:val="3"/>
        </w:numPr>
      </w:pPr>
      <w:r w:rsidRPr="00317E15">
        <w:rPr>
          <w:rFonts w:asciiTheme="majorHAnsi" w:hAnsiTheme="majorHAnsi" w:cstheme="majorHAnsi"/>
        </w:rPr>
        <w:t xml:space="preserve">The comet assay was systematically employed to quantify differential DNA damage profiles induced by </w:t>
      </w:r>
      <w:r w:rsidRPr="00317E15">
        <w:rPr>
          <w:rFonts w:asciiTheme="majorHAnsi" w:hAnsiTheme="majorHAnsi" w:cstheme="majorHAnsi"/>
          <w:kern w:val="2"/>
          <w:lang w:eastAsia="zh-CN"/>
        </w:rPr>
        <w:t>gilteritinib</w:t>
      </w:r>
      <w:r w:rsidRPr="00317E15">
        <w:rPr>
          <w:rFonts w:asciiTheme="majorHAnsi" w:hAnsiTheme="majorHAnsi" w:cstheme="majorHAnsi"/>
        </w:rPr>
        <w:t xml:space="preserve"> and AC220</w:t>
      </w:r>
      <w:r>
        <w:rPr>
          <w:rFonts w:asciiTheme="majorHAnsi" w:hAnsiTheme="majorHAnsi" w:cstheme="majorHAnsi"/>
        </w:rPr>
        <w:t xml:space="preserve"> </w:t>
      </w:r>
      <w:r w:rsidRPr="00690EDD">
        <w:rPr>
          <w:rFonts w:asciiTheme="majorHAnsi" w:hAnsiTheme="majorHAnsi" w:cstheme="majorHAnsi"/>
          <w:i/>
          <w:iCs/>
          <w:color w:val="EE0000"/>
        </w:rPr>
        <w:t>(A-C-Two-Two-Zero)</w:t>
      </w:r>
      <w:r w:rsidRPr="00690EDD">
        <w:rPr>
          <w:rFonts w:asciiTheme="majorHAnsi" w:hAnsiTheme="majorHAnsi" w:cstheme="majorHAnsi"/>
          <w:color w:val="EE0000"/>
        </w:rPr>
        <w:t xml:space="preserve"> </w:t>
      </w:r>
      <w:r w:rsidRPr="00317E15">
        <w:rPr>
          <w:rFonts w:asciiTheme="majorHAnsi" w:hAnsiTheme="majorHAnsi" w:cstheme="majorHAnsi"/>
        </w:rPr>
        <w:t>in FLT3-</w:t>
      </w:r>
      <w:r>
        <w:rPr>
          <w:rFonts w:asciiTheme="majorHAnsi" w:hAnsiTheme="majorHAnsi" w:cstheme="majorHAnsi"/>
        </w:rPr>
        <w:t xml:space="preserve"> </w:t>
      </w:r>
      <w:r w:rsidRPr="00690EDD">
        <w:rPr>
          <w:rFonts w:asciiTheme="majorHAnsi" w:hAnsiTheme="majorHAnsi" w:cstheme="majorHAnsi"/>
          <w:i/>
          <w:iCs/>
          <w:color w:val="EE0000"/>
        </w:rPr>
        <w:t>(F-</w:t>
      </w:r>
      <w:r w:rsidR="00207320">
        <w:rPr>
          <w:rFonts w:asciiTheme="majorHAnsi" w:hAnsiTheme="majorHAnsi" w:cstheme="majorHAnsi" w:hint="eastAsia"/>
          <w:i/>
          <w:iCs/>
          <w:color w:val="EE0000"/>
          <w:lang w:eastAsia="zh-CN"/>
        </w:rPr>
        <w:t>L</w:t>
      </w:r>
      <w:r w:rsidRPr="00690EDD">
        <w:rPr>
          <w:rFonts w:asciiTheme="majorHAnsi" w:hAnsiTheme="majorHAnsi" w:cstheme="majorHAnsi"/>
          <w:i/>
          <w:iCs/>
          <w:color w:val="EE0000"/>
        </w:rPr>
        <w:t>-</w:t>
      </w:r>
      <w:r w:rsidR="00207320">
        <w:rPr>
          <w:rFonts w:asciiTheme="majorHAnsi" w:hAnsiTheme="majorHAnsi" w:cstheme="majorHAnsi" w:hint="eastAsia"/>
          <w:i/>
          <w:iCs/>
          <w:color w:val="EE0000"/>
          <w:lang w:eastAsia="zh-CN"/>
        </w:rPr>
        <w:t>T</w:t>
      </w:r>
      <w:r w:rsidRPr="00690EDD">
        <w:rPr>
          <w:rFonts w:asciiTheme="majorHAnsi" w:hAnsiTheme="majorHAnsi" w:cstheme="majorHAnsi"/>
          <w:i/>
          <w:iCs/>
          <w:color w:val="EE0000"/>
        </w:rPr>
        <w:t>-Three)</w:t>
      </w:r>
      <w:r w:rsidRPr="00690EDD">
        <w:rPr>
          <w:rFonts w:asciiTheme="majorHAnsi" w:hAnsiTheme="majorHAnsi" w:cstheme="majorHAnsi"/>
          <w:color w:val="EE0000"/>
        </w:rPr>
        <w:t xml:space="preserve"> </w:t>
      </w:r>
      <w:r w:rsidRPr="00317E15">
        <w:rPr>
          <w:rFonts w:asciiTheme="majorHAnsi" w:hAnsiTheme="majorHAnsi" w:cstheme="majorHAnsi"/>
        </w:rPr>
        <w:t>mutant cell lines</w:t>
      </w:r>
      <w:r>
        <w:rPr>
          <w:rFonts w:asciiTheme="majorHAnsi" w:hAnsiTheme="majorHAnsi" w:cstheme="majorHAnsi"/>
        </w:rPr>
        <w:t xml:space="preserve"> </w:t>
      </w:r>
      <w:r w:rsidR="00891118" w:rsidRPr="00690EDD">
        <w:rPr>
          <w:b/>
          <w:bCs/>
        </w:rPr>
        <w:t>[</w:t>
      </w:r>
      <w:r>
        <w:rPr>
          <w:b/>
          <w:bCs/>
        </w:rPr>
        <w:t>1</w:t>
      </w:r>
      <w:r w:rsidR="00891118" w:rsidRPr="00690EDD">
        <w:rPr>
          <w:b/>
          <w:bCs/>
        </w:rPr>
        <w:t>].</w:t>
      </w:r>
    </w:p>
    <w:p w14:paraId="02084837" w14:textId="39FFD42A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1 and Figure 2. </w:t>
      </w:r>
    </w:p>
    <w:p w14:paraId="6058ED7C" w14:textId="2FD31D9E" w:rsidR="00891118" w:rsidRPr="00690EDD" w:rsidRDefault="00891118" w:rsidP="00891118">
      <w:pPr>
        <w:pStyle w:val="Narration"/>
        <w:numPr>
          <w:ilvl w:val="1"/>
          <w:numId w:val="3"/>
        </w:numPr>
        <w:rPr>
          <w:b/>
          <w:bCs/>
        </w:rPr>
      </w:pPr>
      <w:r w:rsidRPr="00267484">
        <w:t xml:space="preserve">Quantitative analysis of Tail DNA percentage confirmed that both compounds significantly increased DNA damage after 2, 4, and 6 hours </w:t>
      </w:r>
      <w:r w:rsidRPr="00690EDD">
        <w:rPr>
          <w:b/>
          <w:bCs/>
        </w:rPr>
        <w:t>[1],</w:t>
      </w:r>
      <w:r w:rsidRPr="00267484">
        <w:t xml:space="preserve"> with AC220 producing higher damage levels than gilteritinib at each </w:t>
      </w:r>
      <w:r w:rsidR="00690EDD">
        <w:t>time point</w:t>
      </w:r>
      <w:r w:rsidRPr="00267484">
        <w:t xml:space="preserve"> </w:t>
      </w:r>
      <w:r w:rsidRPr="00690EDD">
        <w:rPr>
          <w:b/>
          <w:bCs/>
        </w:rPr>
        <w:t>[2].</w:t>
      </w:r>
    </w:p>
    <w:p w14:paraId="4E9BAA0D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3. </w:t>
      </w:r>
      <w:r w:rsidRPr="00690EDD">
        <w:rPr>
          <w:i/>
          <w:iCs/>
          <w:color w:val="0070C0"/>
          <w:lang w:val="en-IN"/>
        </w:rPr>
        <w:t>Video editor: Highlight the bars for both treatments at 2, 4, and 6 hours, showing increasing Tail DNA percentages.</w:t>
      </w:r>
    </w:p>
    <w:p w14:paraId="44D7A62A" w14:textId="51B51B3F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3. </w:t>
      </w:r>
      <w:r w:rsidRPr="00690EDD">
        <w:rPr>
          <w:i/>
          <w:iCs/>
          <w:color w:val="0070C0"/>
          <w:lang w:val="en-IN"/>
        </w:rPr>
        <w:t>Video editor: Emphasize that the black bars are consistently taller than the white bars at each time</w:t>
      </w:r>
      <w:r w:rsidR="00690EDD">
        <w:rPr>
          <w:i/>
          <w:iCs/>
          <w:color w:val="0070C0"/>
          <w:lang w:val="en-IN"/>
        </w:rPr>
        <w:t xml:space="preserve"> </w:t>
      </w:r>
      <w:r w:rsidRPr="00690EDD">
        <w:rPr>
          <w:i/>
          <w:iCs/>
          <w:color w:val="0070C0"/>
          <w:lang w:val="en-IN"/>
        </w:rPr>
        <w:t>point</w:t>
      </w:r>
      <w:r w:rsidRPr="00267484">
        <w:rPr>
          <w:lang w:val="en-IN"/>
        </w:rPr>
        <w:t>.</w:t>
      </w:r>
    </w:p>
    <w:p w14:paraId="200E7340" w14:textId="225C805C" w:rsidR="00891118" w:rsidRDefault="00891118" w:rsidP="00891118">
      <w:pPr>
        <w:pStyle w:val="Narration"/>
        <w:numPr>
          <w:ilvl w:val="1"/>
          <w:numId w:val="3"/>
        </w:numPr>
      </w:pPr>
      <w:r w:rsidRPr="00267484">
        <w:t>Olive Moment</w:t>
      </w:r>
      <w:r w:rsidR="00690EDD">
        <w:t xml:space="preserve"> </w:t>
      </w:r>
      <w:r w:rsidR="00690EDD" w:rsidRPr="00267484">
        <w:t xml:space="preserve">Tail </w:t>
      </w:r>
      <w:r w:rsidRPr="00267484">
        <w:t xml:space="preserve">measurements mirrored the Tail DNA trend, with statistically significant increases for both treatments from 2 to 6 hours </w:t>
      </w:r>
      <w:r w:rsidRPr="00690EDD">
        <w:rPr>
          <w:b/>
          <w:bCs/>
        </w:rPr>
        <w:t>[1],</w:t>
      </w:r>
      <w:r w:rsidRPr="00267484">
        <w:t xml:space="preserve"> and higher OTM values observed in the AC220 group throughout </w:t>
      </w:r>
      <w:r w:rsidRPr="00690EDD">
        <w:rPr>
          <w:b/>
          <w:bCs/>
        </w:rPr>
        <w:t>[2].</w:t>
      </w:r>
    </w:p>
    <w:p w14:paraId="6568177E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4. </w:t>
      </w:r>
      <w:r w:rsidRPr="00690EDD">
        <w:rPr>
          <w:i/>
          <w:iCs/>
          <w:color w:val="0070C0"/>
          <w:lang w:val="en-IN"/>
        </w:rPr>
        <w:t>Video editor: Highlight the bars for 2, 4, and 6 hours for both treatments, showing rising OTM values.</w:t>
      </w:r>
    </w:p>
    <w:p w14:paraId="655A3448" w14:textId="77777777" w:rsidR="00891118" w:rsidRPr="00690EDD" w:rsidRDefault="00891118" w:rsidP="0089111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67484">
        <w:rPr>
          <w:lang w:val="en-IN"/>
        </w:rPr>
        <w:t xml:space="preserve">LAB MEDIA: Figure 4. </w:t>
      </w:r>
      <w:r w:rsidRPr="00690EDD">
        <w:rPr>
          <w:i/>
          <w:iCs/>
          <w:color w:val="0070C0"/>
          <w:lang w:val="en-IN"/>
        </w:rPr>
        <w:t>Video editor: Emphasize that the black bars (AC220) are consistently higher than the white bars (gilteritinib), especially at 6 hours.</w:t>
      </w:r>
    </w:p>
    <w:p w14:paraId="5094A37E" w14:textId="77777777" w:rsidR="00891118" w:rsidRPr="00267484" w:rsidRDefault="00891118" w:rsidP="00891118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9-08T17:02:00Z" w:initials="PS">
    <w:p w14:paraId="5698DB49" w14:textId="77777777" w:rsidR="00826F9D" w:rsidRDefault="00826F9D" w:rsidP="00826F9D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make the change in the manuscript as well and send it </w:t>
      </w:r>
      <w:hyperlink r:id="rId1" w:history="1">
        <w:r w:rsidRPr="002A4E51">
          <w:rPr>
            <w:rStyle w:val="Hyperlink"/>
            <w:lang w:val="en-IN"/>
          </w:rPr>
          <w:t>proofreading@jove.com</w:t>
        </w:r>
      </w:hyperlink>
    </w:p>
  </w:comment>
  <w:comment w:id="3" w:author="Pallavi  Sharma" w:date="2025-09-08T17:10:00Z" w:initials="PS">
    <w:p w14:paraId="54929727" w14:textId="77777777" w:rsidR="00D52F46" w:rsidRDefault="00D52F46" w:rsidP="00D52F4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note that you have to deliver the testimonies live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98DB49" w15:done="0"/>
  <w15:commentEx w15:paraId="549297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D727F1" w16cex:dateUtc="2025-09-08T11:32:00Z"/>
  <w16cex:commentExtensible w16cex:durableId="2B15C8DE" w16cex:dateUtc="2025-09-08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98DB49" w16cid:durableId="4ED727F1"/>
  <w16cid:commentId w16cid:paraId="54929727" w16cid:durableId="2B15C8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8E16" w14:textId="77777777" w:rsidR="00ED763B" w:rsidRDefault="00ED763B">
      <w:r>
        <w:separator/>
      </w:r>
    </w:p>
    <w:p w14:paraId="2C2799E4" w14:textId="77777777" w:rsidR="00ED763B" w:rsidRDefault="00ED763B"/>
  </w:endnote>
  <w:endnote w:type="continuationSeparator" w:id="0">
    <w:p w14:paraId="0104E7A5" w14:textId="77777777" w:rsidR="00ED763B" w:rsidRDefault="00ED763B">
      <w:r>
        <w:continuationSeparator/>
      </w:r>
    </w:p>
    <w:p w14:paraId="343762E8" w14:textId="77777777" w:rsidR="00ED763B" w:rsidRDefault="00ED7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AF9043D" w:rsidR="00ED23F4" w:rsidRPr="00790E8C" w:rsidRDefault="00336C61" w:rsidP="00B45A13">
    <w:pPr>
      <w:pStyle w:val="Footer"/>
      <w:tabs>
        <w:tab w:val="clear" w:pos="8640"/>
        <w:tab w:val="left" w:pos="46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D4F8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45A13">
      <w:rPr>
        <w:rFonts w:cstheme="minorHAnsi"/>
      </w:rPr>
      <w:t>September 0</w:t>
    </w:r>
    <w:r w:rsidR="009D4F8E">
      <w:rPr>
        <w:rFonts w:cstheme="minorHAnsi"/>
      </w:rPr>
      <w:t>9</w:t>
    </w:r>
    <w:r w:rsidR="00B45A13">
      <w:rPr>
        <w:rFonts w:cstheme="minorHAnsi"/>
      </w:rPr>
      <w:t>, 2025</w:t>
    </w:r>
    <w:r w:rsidR="00B45A1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D45C" w14:textId="77777777" w:rsidR="00ED763B" w:rsidRDefault="00ED763B">
      <w:r>
        <w:separator/>
      </w:r>
    </w:p>
    <w:p w14:paraId="2DCC9DAC" w14:textId="77777777" w:rsidR="00ED763B" w:rsidRDefault="00ED763B"/>
  </w:footnote>
  <w:footnote w:type="continuationSeparator" w:id="0">
    <w:p w14:paraId="59C86579" w14:textId="77777777" w:rsidR="00ED763B" w:rsidRDefault="00ED763B">
      <w:r>
        <w:continuationSeparator/>
      </w:r>
    </w:p>
    <w:p w14:paraId="77E9BDF4" w14:textId="77777777" w:rsidR="00ED763B" w:rsidRDefault="00ED7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3169B2" w:rsidR="00336C61" w:rsidRPr="00B45A13" w:rsidRDefault="00336C61" w:rsidP="00B45A1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B45A1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13" w:rsidRPr="00B45A1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0E088E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1679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151"/>
    <w:rsid w:val="0016014B"/>
    <w:rsid w:val="00162D51"/>
    <w:rsid w:val="0016471F"/>
    <w:rsid w:val="00176D6F"/>
    <w:rsid w:val="00177B33"/>
    <w:rsid w:val="001819E3"/>
    <w:rsid w:val="00184EF9"/>
    <w:rsid w:val="00191A77"/>
    <w:rsid w:val="00194206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732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70D"/>
    <w:rsid w:val="00355D9B"/>
    <w:rsid w:val="00357FB7"/>
    <w:rsid w:val="00361373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0D5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63F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EBC"/>
    <w:rsid w:val="005F0509"/>
    <w:rsid w:val="005F18A3"/>
    <w:rsid w:val="005F1ADF"/>
    <w:rsid w:val="00604177"/>
    <w:rsid w:val="00606EF7"/>
    <w:rsid w:val="006137EC"/>
    <w:rsid w:val="00622BE8"/>
    <w:rsid w:val="00626AF2"/>
    <w:rsid w:val="00626EB5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ED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806"/>
    <w:rsid w:val="007458C6"/>
    <w:rsid w:val="00745D4B"/>
    <w:rsid w:val="0074637C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F9D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00D"/>
    <w:rsid w:val="0088113B"/>
    <w:rsid w:val="00891118"/>
    <w:rsid w:val="008A0177"/>
    <w:rsid w:val="008A413E"/>
    <w:rsid w:val="008A7A3E"/>
    <w:rsid w:val="008C5E0F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72A"/>
    <w:rsid w:val="009B2183"/>
    <w:rsid w:val="009B3807"/>
    <w:rsid w:val="009B4EE3"/>
    <w:rsid w:val="009B671E"/>
    <w:rsid w:val="009C041E"/>
    <w:rsid w:val="009C2062"/>
    <w:rsid w:val="009C7B9A"/>
    <w:rsid w:val="009D21B9"/>
    <w:rsid w:val="009D4F8E"/>
    <w:rsid w:val="009E4241"/>
    <w:rsid w:val="009E5BE5"/>
    <w:rsid w:val="009E7BDA"/>
    <w:rsid w:val="009F0554"/>
    <w:rsid w:val="009F356C"/>
    <w:rsid w:val="009F51F2"/>
    <w:rsid w:val="009F769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868"/>
    <w:rsid w:val="00B40E12"/>
    <w:rsid w:val="00B435B8"/>
    <w:rsid w:val="00B4499C"/>
    <w:rsid w:val="00B45A13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3C0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E84"/>
    <w:rsid w:val="00CF2130"/>
    <w:rsid w:val="00CF22F6"/>
    <w:rsid w:val="00CF3E50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F46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6C3"/>
    <w:rsid w:val="00DC7C84"/>
    <w:rsid w:val="00DC7D3A"/>
    <w:rsid w:val="00DD1839"/>
    <w:rsid w:val="00DD231A"/>
    <w:rsid w:val="00DD2CF9"/>
    <w:rsid w:val="00DD388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920"/>
    <w:rsid w:val="00E04EFB"/>
    <w:rsid w:val="00E072C2"/>
    <w:rsid w:val="00E24673"/>
    <w:rsid w:val="00E24898"/>
    <w:rsid w:val="00E27EF5"/>
    <w:rsid w:val="00E355EE"/>
    <w:rsid w:val="00E35FB3"/>
    <w:rsid w:val="00E44C46"/>
    <w:rsid w:val="00E54D59"/>
    <w:rsid w:val="00E55496"/>
    <w:rsid w:val="00E65758"/>
    <w:rsid w:val="00E662CA"/>
    <w:rsid w:val="00E8076C"/>
    <w:rsid w:val="00E86E4B"/>
    <w:rsid w:val="00E87DA4"/>
    <w:rsid w:val="00E95ED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63B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53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9111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9111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9111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9111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9111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9111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proofreading@jov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3093" TargetMode="External"/><Relationship Id="rId12" Type="http://schemas.openxmlformats.org/officeDocument/2006/relationships/hyperlink" Target="mailto:ljl2049@163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1405</Words>
  <Characters>8052</Characters>
  <Application>Microsoft Office Word</Application>
  <DocSecurity>0</DocSecurity>
  <Lines>201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2025-09-08T11:59:00Z</dcterms:created>
  <dcterms:modified xsi:type="dcterms:W3CDTF">2025-09-09T11:55:00Z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