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4D29" w14:textId="77777777" w:rsidR="00230057" w:rsidRPr="00507E05" w:rsidRDefault="00000000" w:rsidP="00800414">
      <w:r w:rsidRPr="00507E05">
        <w:rPr>
          <w:b/>
        </w:rPr>
        <w:t>TITLE:</w:t>
      </w:r>
      <w:r w:rsidRPr="00507E05">
        <w:t xml:space="preserve"> </w:t>
      </w:r>
    </w:p>
    <w:p w14:paraId="0D1CE082" w14:textId="1B4364D0" w:rsidR="00230057" w:rsidRPr="00507E05" w:rsidRDefault="00000000" w:rsidP="00036878">
      <w:pPr>
        <w:pStyle w:val="Heading3"/>
        <w:keepNext w:val="0"/>
        <w:keepLines w:val="0"/>
        <w:widowControl/>
        <w:shd w:val="clear" w:color="auto" w:fill="FFFFFF"/>
        <w:spacing w:before="0"/>
        <w:jc w:val="left"/>
        <w:rPr>
          <w:rFonts w:ascii="Calibri" w:eastAsia="SimSun" w:hAnsi="Calibri" w:cs="Calibri"/>
          <w:b w:val="0"/>
          <w:bCs/>
          <w:color w:val="auto"/>
          <w:lang w:eastAsia="zh-CN"/>
        </w:rPr>
      </w:pPr>
      <w:r w:rsidRPr="00507E05">
        <w:rPr>
          <w:rFonts w:ascii="Calibri" w:eastAsia="SimSun" w:hAnsi="Calibri" w:cs="Calibri"/>
          <w:b w:val="0"/>
          <w:bCs/>
          <w:color w:val="auto"/>
          <w:lang w:eastAsia="zh-CN"/>
        </w:rPr>
        <w:t xml:space="preserve">Rapid </w:t>
      </w:r>
      <w:r w:rsidR="00211E88" w:rsidRPr="00507E05">
        <w:rPr>
          <w:rFonts w:ascii="Calibri" w:eastAsia="SimSun" w:hAnsi="Calibri" w:cs="Calibri"/>
          <w:b w:val="0"/>
          <w:bCs/>
          <w:color w:val="auto"/>
          <w:lang w:eastAsia="zh-CN"/>
        </w:rPr>
        <w:t>Identifica</w:t>
      </w:r>
      <w:r w:rsidRPr="00507E05">
        <w:rPr>
          <w:rFonts w:ascii="Calibri" w:eastAsia="SimSun" w:hAnsi="Calibri" w:cs="Calibri"/>
          <w:b w:val="0"/>
          <w:bCs/>
          <w:color w:val="auto"/>
          <w:lang w:eastAsia="zh-CN"/>
        </w:rPr>
        <w:t>tion of</w:t>
      </w:r>
      <w:r w:rsidRPr="00507E05">
        <w:rPr>
          <w:rFonts w:ascii="Calibri" w:eastAsia="SimSun" w:hAnsi="Calibri" w:cs="Calibri"/>
          <w:b w:val="0"/>
          <w:bCs/>
          <w:i/>
          <w:iCs/>
          <w:color w:val="auto"/>
          <w:lang w:eastAsia="zh-CN"/>
        </w:rPr>
        <w:t xml:space="preserve"> Neisseria gonorrhoeae</w:t>
      </w:r>
      <w:r w:rsidRPr="00507E05">
        <w:rPr>
          <w:rFonts w:ascii="Calibri" w:eastAsia="SimSun" w:hAnsi="Calibri" w:cs="Calibri"/>
          <w:b w:val="0"/>
          <w:bCs/>
          <w:color w:val="auto"/>
          <w:lang w:eastAsia="zh-CN"/>
        </w:rPr>
        <w:t xml:space="preserve">, </w:t>
      </w:r>
      <w:r w:rsidRPr="00507E05">
        <w:rPr>
          <w:rFonts w:ascii="Calibri" w:eastAsia="SimSun" w:hAnsi="Calibri" w:cs="Calibri"/>
          <w:b w:val="0"/>
          <w:bCs/>
          <w:i/>
          <w:iCs/>
          <w:color w:val="auto"/>
          <w:lang w:eastAsia="zh-CN"/>
        </w:rPr>
        <w:t>Chlamydia trachomatis</w:t>
      </w:r>
      <w:r w:rsidR="00B50884" w:rsidRPr="00507E05">
        <w:rPr>
          <w:rFonts w:ascii="Calibri" w:eastAsia="SimSun" w:hAnsi="Calibri" w:cs="Calibri"/>
          <w:b w:val="0"/>
          <w:bCs/>
          <w:i/>
          <w:iCs/>
          <w:color w:val="auto"/>
          <w:lang w:eastAsia="zh-CN"/>
        </w:rPr>
        <w:t>,</w:t>
      </w:r>
      <w:r w:rsidRPr="00507E05">
        <w:rPr>
          <w:rFonts w:ascii="Calibri" w:eastAsia="SimSun" w:hAnsi="Calibri" w:cs="Calibri"/>
          <w:b w:val="0"/>
          <w:bCs/>
          <w:color w:val="auto"/>
          <w:lang w:eastAsia="zh-CN"/>
        </w:rPr>
        <w:t xml:space="preserve"> and</w:t>
      </w:r>
      <w:r w:rsidRPr="00507E05">
        <w:rPr>
          <w:rFonts w:ascii="Calibri" w:eastAsia="SimSun" w:hAnsi="Calibri" w:cs="Calibri"/>
          <w:b w:val="0"/>
          <w:bCs/>
          <w:i/>
          <w:iCs/>
          <w:color w:val="auto"/>
          <w:lang w:eastAsia="zh-CN"/>
        </w:rPr>
        <w:t xml:space="preserve"> Ureaplasma urealyticum</w:t>
      </w:r>
      <w:r w:rsidRPr="00507E05">
        <w:rPr>
          <w:rFonts w:ascii="Calibri" w:eastAsia="SimSun" w:hAnsi="Calibri" w:cs="Calibri"/>
          <w:b w:val="0"/>
          <w:bCs/>
          <w:color w:val="auto"/>
          <w:lang w:eastAsia="zh-CN"/>
        </w:rPr>
        <w:t xml:space="preserve"> by RNA </w:t>
      </w:r>
      <w:r w:rsidR="00211E88" w:rsidRPr="00507E05">
        <w:rPr>
          <w:rFonts w:ascii="Calibri" w:hAnsi="Calibri" w:cs="Calibri"/>
          <w:b w:val="0"/>
          <w:bCs/>
          <w:color w:val="auto"/>
          <w:lang w:eastAsia="zh-CN"/>
        </w:rPr>
        <w:t>A</w:t>
      </w:r>
      <w:r w:rsidR="00211E88" w:rsidRPr="00507E05">
        <w:rPr>
          <w:rFonts w:ascii="Calibri" w:eastAsia="SimSun" w:hAnsi="Calibri" w:cs="Calibri"/>
          <w:b w:val="0"/>
          <w:bCs/>
          <w:color w:val="auto"/>
          <w:lang w:eastAsia="zh-CN"/>
        </w:rPr>
        <w:t>mplification</w:t>
      </w:r>
      <w:r w:rsidR="00211E88" w:rsidRPr="00507E05">
        <w:rPr>
          <w:rFonts w:ascii="Calibri" w:hAnsi="Calibri" w:cs="Calibri"/>
          <w:b w:val="0"/>
          <w:bCs/>
          <w:color w:val="auto"/>
          <w:lang w:eastAsia="zh-CN"/>
        </w:rPr>
        <w:t xml:space="preserve"> L</w:t>
      </w:r>
      <w:r w:rsidR="00211E88" w:rsidRPr="00507E05">
        <w:rPr>
          <w:rFonts w:ascii="Calibri" w:eastAsia="SimSun" w:hAnsi="Calibri" w:cs="Calibri"/>
          <w:b w:val="0"/>
          <w:bCs/>
          <w:color w:val="auto"/>
          <w:lang w:eastAsia="zh-CN"/>
        </w:rPr>
        <w:t xml:space="preserve">ateral </w:t>
      </w:r>
      <w:r w:rsidR="00211E88" w:rsidRPr="00507E05">
        <w:rPr>
          <w:rFonts w:ascii="Calibri" w:hAnsi="Calibri" w:cs="Calibri"/>
          <w:b w:val="0"/>
          <w:bCs/>
          <w:color w:val="auto"/>
          <w:lang w:eastAsia="zh-CN"/>
        </w:rPr>
        <w:t>F</w:t>
      </w:r>
      <w:r w:rsidR="00211E88" w:rsidRPr="00507E05">
        <w:rPr>
          <w:rFonts w:ascii="Calibri" w:eastAsia="SimSun" w:hAnsi="Calibri" w:cs="Calibri"/>
          <w:b w:val="0"/>
          <w:bCs/>
          <w:color w:val="auto"/>
          <w:lang w:eastAsia="zh-CN"/>
        </w:rPr>
        <w:t xml:space="preserve">low </w:t>
      </w:r>
      <w:r w:rsidR="00211E88" w:rsidRPr="00507E05">
        <w:rPr>
          <w:rFonts w:ascii="Calibri" w:hAnsi="Calibri" w:cs="Calibri"/>
          <w:b w:val="0"/>
          <w:bCs/>
          <w:color w:val="auto"/>
          <w:lang w:eastAsia="zh-CN"/>
        </w:rPr>
        <w:t>A</w:t>
      </w:r>
      <w:r w:rsidR="00211E88" w:rsidRPr="00507E05">
        <w:rPr>
          <w:rFonts w:ascii="Calibri" w:eastAsia="SimSun" w:hAnsi="Calibri" w:cs="Calibri"/>
          <w:b w:val="0"/>
          <w:bCs/>
          <w:color w:val="auto"/>
          <w:lang w:eastAsia="zh-CN"/>
        </w:rPr>
        <w:t>ssay</w:t>
      </w:r>
    </w:p>
    <w:p w14:paraId="27DDA110" w14:textId="77777777" w:rsidR="00230057" w:rsidRPr="00507E05" w:rsidRDefault="00230057" w:rsidP="00800414">
      <w:pPr>
        <w:rPr>
          <w:b/>
        </w:rPr>
      </w:pPr>
    </w:p>
    <w:p w14:paraId="7C78A160" w14:textId="77777777" w:rsidR="00230057" w:rsidRPr="00507E05" w:rsidRDefault="00000000" w:rsidP="00800414">
      <w:pPr>
        <w:rPr>
          <w:b/>
        </w:rPr>
      </w:pPr>
      <w:r w:rsidRPr="00507E05">
        <w:rPr>
          <w:b/>
        </w:rPr>
        <w:t>AUTHORS AND AFFILIATIONS:</w:t>
      </w:r>
    </w:p>
    <w:p w14:paraId="78C8F48F" w14:textId="37B14391" w:rsidR="00211E88" w:rsidRPr="00507E05" w:rsidRDefault="00211E88" w:rsidP="00800414">
      <w:pPr>
        <w:rPr>
          <w:rFonts w:eastAsia="SimSun"/>
          <w:lang w:eastAsia="zh-CN"/>
        </w:rPr>
      </w:pPr>
      <w:r w:rsidRPr="00507E05">
        <w:rPr>
          <w:rFonts w:eastAsia="SimSun"/>
          <w:lang w:eastAsia="zh-CN"/>
        </w:rPr>
        <w:t xml:space="preserve">Ruiqi Deng, Zhiyi Tan, Delan Wang, Xiaoqun Luo, Zhigang Wu, Huajin Chen, Huoqiang Chen, Changlin Zhu </w:t>
      </w:r>
    </w:p>
    <w:p w14:paraId="76334ADD" w14:textId="77777777" w:rsidR="00211E88" w:rsidRPr="00507E05" w:rsidRDefault="00211E88" w:rsidP="00800414"/>
    <w:p w14:paraId="4E7F5D5E" w14:textId="741E5DBC" w:rsidR="00211E88" w:rsidRPr="00507E05" w:rsidRDefault="00211E88" w:rsidP="00800414">
      <w:pPr>
        <w:rPr>
          <w:rFonts w:eastAsia="SimSun"/>
          <w:lang w:eastAsia="zh-CN"/>
        </w:rPr>
      </w:pPr>
      <w:r w:rsidRPr="00507E05">
        <w:rPr>
          <w:rFonts w:eastAsia="SimSun"/>
          <w:lang w:eastAsia="zh-CN"/>
        </w:rPr>
        <w:t xml:space="preserve">The First </w:t>
      </w:r>
      <w:r w:rsidR="00B50884" w:rsidRPr="00507E05">
        <w:rPr>
          <w:rFonts w:eastAsia="SimSun"/>
          <w:lang w:eastAsia="zh-CN"/>
        </w:rPr>
        <w:t xml:space="preserve">People's </w:t>
      </w:r>
      <w:r w:rsidRPr="00507E05">
        <w:rPr>
          <w:rFonts w:eastAsia="SimSun"/>
          <w:lang w:eastAsia="zh-CN"/>
        </w:rPr>
        <w:t>Hospital of Foshan, Guangdong Province, China.</w:t>
      </w:r>
    </w:p>
    <w:p w14:paraId="60F1F269" w14:textId="77777777" w:rsidR="00211E88" w:rsidRPr="00507E05" w:rsidRDefault="00211E88" w:rsidP="00800414"/>
    <w:p w14:paraId="1598F246" w14:textId="6F39AA66" w:rsidR="00211E88" w:rsidRPr="00507E05" w:rsidRDefault="00D16EDD" w:rsidP="00800414">
      <w:r w:rsidRPr="00507E05">
        <w:t>Email addresses of the co-authors:</w:t>
      </w:r>
    </w:p>
    <w:p w14:paraId="3AD3D36A" w14:textId="32A38C4C" w:rsidR="00230057" w:rsidRPr="00507E05" w:rsidRDefault="00000000" w:rsidP="00800414">
      <w:pPr>
        <w:rPr>
          <w:rFonts w:eastAsia="SimSun"/>
          <w:lang w:eastAsia="zh-CN"/>
        </w:rPr>
      </w:pPr>
      <w:r w:rsidRPr="00507E05">
        <w:rPr>
          <w:rFonts w:eastAsia="SimSun"/>
          <w:lang w:eastAsia="zh-CN"/>
        </w:rPr>
        <w:t xml:space="preserve">Ruiqi Deng  </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1650782598@qq.com</w:t>
      </w:r>
      <w:r w:rsidR="00211E88" w:rsidRPr="00507E05">
        <w:rPr>
          <w:rFonts w:eastAsia="SimSun"/>
          <w:lang w:eastAsia="zh-CN"/>
        </w:rPr>
        <w:t>)</w:t>
      </w:r>
    </w:p>
    <w:p w14:paraId="6B6266F1" w14:textId="7DE5034B" w:rsidR="00230057" w:rsidRPr="00507E05" w:rsidRDefault="00000000" w:rsidP="00800414">
      <w:pPr>
        <w:rPr>
          <w:rFonts w:eastAsia="SimSun"/>
          <w:lang w:eastAsia="zh-CN"/>
        </w:rPr>
      </w:pPr>
      <w:r w:rsidRPr="00507E05">
        <w:rPr>
          <w:rFonts w:eastAsia="SimSun"/>
          <w:lang w:eastAsia="zh-CN"/>
        </w:rPr>
        <w:t>Zhiyi Tan</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tzyi@fsyyy.com</w:t>
      </w:r>
      <w:r w:rsidR="00211E88" w:rsidRPr="00507E05">
        <w:rPr>
          <w:rFonts w:eastAsia="SimSun"/>
          <w:lang w:eastAsia="zh-CN"/>
        </w:rPr>
        <w:t>)</w:t>
      </w:r>
    </w:p>
    <w:p w14:paraId="391418CC" w14:textId="3692FF6B" w:rsidR="00230057" w:rsidRPr="00507E05" w:rsidRDefault="00000000" w:rsidP="00800414">
      <w:pPr>
        <w:rPr>
          <w:rFonts w:eastAsia="SimSun"/>
          <w:lang w:eastAsia="zh-CN"/>
        </w:rPr>
      </w:pPr>
      <w:r w:rsidRPr="00507E05">
        <w:rPr>
          <w:rFonts w:eastAsia="SimSun"/>
          <w:lang w:eastAsia="zh-CN"/>
        </w:rPr>
        <w:t>Delan Wang</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wdlan@qq.com</w:t>
      </w:r>
      <w:r w:rsidR="00211E88" w:rsidRPr="00507E05">
        <w:rPr>
          <w:rFonts w:eastAsia="SimSun"/>
          <w:lang w:eastAsia="zh-CN"/>
        </w:rPr>
        <w:t>)</w:t>
      </w:r>
    </w:p>
    <w:p w14:paraId="53081DA7" w14:textId="5FA0001F" w:rsidR="00230057" w:rsidRPr="00507E05" w:rsidRDefault="00000000" w:rsidP="00800414">
      <w:pPr>
        <w:rPr>
          <w:rFonts w:eastAsia="SimSun"/>
          <w:lang w:eastAsia="zh-CN"/>
        </w:rPr>
      </w:pPr>
      <w:r w:rsidRPr="00507E05">
        <w:rPr>
          <w:rFonts w:eastAsia="SimSun"/>
          <w:lang w:eastAsia="zh-CN"/>
        </w:rPr>
        <w:t>Xiaoqun Luo</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lxqun@fsyyy.com</w:t>
      </w:r>
      <w:r w:rsidR="00211E88" w:rsidRPr="00507E05">
        <w:rPr>
          <w:rFonts w:eastAsia="SimSun"/>
          <w:lang w:eastAsia="zh-CN"/>
        </w:rPr>
        <w:t>)</w:t>
      </w:r>
    </w:p>
    <w:p w14:paraId="79667DCF" w14:textId="427205BE" w:rsidR="00230057" w:rsidRPr="00507E05" w:rsidRDefault="00000000" w:rsidP="00800414">
      <w:pPr>
        <w:ind w:left="240" w:hangingChars="100" w:hanging="240"/>
        <w:rPr>
          <w:rFonts w:eastAsia="SimSun"/>
          <w:lang w:eastAsia="zh-CN"/>
        </w:rPr>
      </w:pPr>
      <w:r w:rsidRPr="00507E05">
        <w:rPr>
          <w:rFonts w:eastAsia="SimSun"/>
          <w:lang w:eastAsia="zh-CN"/>
        </w:rPr>
        <w:t>Zhigang Wu</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michaelwu1979@sohu.com</w:t>
      </w:r>
      <w:r w:rsidR="00211E88" w:rsidRPr="00507E05">
        <w:rPr>
          <w:rFonts w:eastAsia="SimSun"/>
          <w:lang w:eastAsia="zh-CN"/>
        </w:rPr>
        <w:t>)</w:t>
      </w:r>
    </w:p>
    <w:p w14:paraId="6BF56ED9" w14:textId="2C99E93B" w:rsidR="00230057" w:rsidRPr="00507E05" w:rsidRDefault="00000000" w:rsidP="00800414">
      <w:pPr>
        <w:ind w:left="240" w:hangingChars="100" w:hanging="240"/>
        <w:rPr>
          <w:rFonts w:eastAsia="SimSun"/>
          <w:lang w:eastAsia="zh-CN"/>
        </w:rPr>
      </w:pPr>
      <w:r w:rsidRPr="00507E05">
        <w:rPr>
          <w:rFonts w:eastAsia="SimSun"/>
          <w:lang w:eastAsia="zh-CN"/>
        </w:rPr>
        <w:t>Huajin Chen</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chjin@fsyyy.com</w:t>
      </w:r>
      <w:r w:rsidR="00211E88" w:rsidRPr="00507E05">
        <w:rPr>
          <w:rFonts w:eastAsia="SimSun"/>
          <w:lang w:eastAsia="zh-CN"/>
        </w:rPr>
        <w:t>)</w:t>
      </w:r>
    </w:p>
    <w:p w14:paraId="41AA7664" w14:textId="23F9912F" w:rsidR="00230057" w:rsidRPr="00507E05" w:rsidRDefault="00000000" w:rsidP="00800414">
      <w:pPr>
        <w:ind w:left="240" w:hangingChars="100" w:hanging="240"/>
        <w:rPr>
          <w:rFonts w:eastAsia="SimSun"/>
          <w:lang w:eastAsia="zh-CN"/>
        </w:rPr>
      </w:pPr>
      <w:r w:rsidRPr="00507E05">
        <w:rPr>
          <w:rFonts w:eastAsia="SimSun"/>
          <w:lang w:eastAsia="zh-CN"/>
        </w:rPr>
        <w:t>Huoqiang Chen</w:t>
      </w:r>
      <w:r w:rsidR="00211E88" w:rsidRPr="00507E05">
        <w:rPr>
          <w:rFonts w:eastAsia="SimSun"/>
          <w:lang w:eastAsia="zh-CN"/>
        </w:rPr>
        <w:tab/>
        <w:t>(</w:t>
      </w:r>
      <w:r w:rsidRPr="00507E05">
        <w:rPr>
          <w:rFonts w:eastAsia="SimSun"/>
          <w:lang w:eastAsia="zh-CN"/>
        </w:rPr>
        <w:t>chqiang@fsyyy.com</w:t>
      </w:r>
      <w:r w:rsidR="00211E88" w:rsidRPr="00507E05">
        <w:rPr>
          <w:rFonts w:eastAsia="SimSun"/>
          <w:lang w:eastAsia="zh-CN"/>
        </w:rPr>
        <w:t>)</w:t>
      </w:r>
    </w:p>
    <w:p w14:paraId="438CA209" w14:textId="77777777" w:rsidR="00230057" w:rsidRPr="00507E05" w:rsidRDefault="00230057" w:rsidP="00800414">
      <w:pPr>
        <w:ind w:left="240" w:hangingChars="100" w:hanging="240"/>
        <w:rPr>
          <w:rFonts w:eastAsia="SimSun"/>
          <w:lang w:eastAsia="zh-CN"/>
        </w:rPr>
      </w:pPr>
    </w:p>
    <w:p w14:paraId="05310698" w14:textId="77777777" w:rsidR="00230057" w:rsidRPr="00507E05" w:rsidRDefault="00000000" w:rsidP="00800414">
      <w:pPr>
        <w:rPr>
          <w:rFonts w:eastAsia="SimSun"/>
          <w:lang w:eastAsia="zh-CN"/>
        </w:rPr>
      </w:pPr>
      <w:r w:rsidRPr="00507E05">
        <w:rPr>
          <w:rFonts w:eastAsia="SimSun"/>
          <w:lang w:eastAsia="zh-CN"/>
        </w:rPr>
        <w:t>C</w:t>
      </w:r>
      <w:r w:rsidRPr="00507E05">
        <w:t>orresponding author</w:t>
      </w:r>
    </w:p>
    <w:p w14:paraId="44D6A818" w14:textId="13053266" w:rsidR="00230057" w:rsidRPr="00507E05" w:rsidRDefault="00000000" w:rsidP="00800414">
      <w:pPr>
        <w:rPr>
          <w:rFonts w:eastAsia="SimSun"/>
          <w:lang w:eastAsia="zh-CN"/>
        </w:rPr>
      </w:pPr>
      <w:r w:rsidRPr="00507E05">
        <w:rPr>
          <w:rFonts w:eastAsia="SimSun"/>
          <w:lang w:eastAsia="zh-CN"/>
        </w:rPr>
        <w:t>Changlin Zhu</w:t>
      </w:r>
      <w:r w:rsidR="00211E88" w:rsidRPr="00507E05">
        <w:rPr>
          <w:rFonts w:eastAsia="SimSun"/>
          <w:lang w:eastAsia="zh-CN"/>
        </w:rPr>
        <w:tab/>
      </w:r>
      <w:r w:rsidR="00211E88" w:rsidRPr="00507E05">
        <w:rPr>
          <w:rFonts w:eastAsia="SimSun"/>
          <w:lang w:eastAsia="zh-CN"/>
        </w:rPr>
        <w:tab/>
        <w:t>(</w:t>
      </w:r>
      <w:r w:rsidRPr="00507E05">
        <w:rPr>
          <w:rFonts w:eastAsia="SimSun"/>
          <w:lang w:eastAsia="zh-CN"/>
        </w:rPr>
        <w:t>changlin_zhu@126.com</w:t>
      </w:r>
      <w:r w:rsidR="00211E88" w:rsidRPr="00507E05">
        <w:rPr>
          <w:rFonts w:eastAsia="SimSun"/>
          <w:lang w:eastAsia="zh-CN"/>
        </w:rPr>
        <w:t>)</w:t>
      </w:r>
    </w:p>
    <w:p w14:paraId="2A7D1588" w14:textId="77777777" w:rsidR="00230057" w:rsidRPr="00507E05" w:rsidRDefault="00230057" w:rsidP="00800414">
      <w:pPr>
        <w:rPr>
          <w:rFonts w:eastAsia="SimSun"/>
          <w:lang w:eastAsia="zh-CN"/>
        </w:rPr>
      </w:pPr>
    </w:p>
    <w:p w14:paraId="1BAFCAF0" w14:textId="77777777" w:rsidR="00230057" w:rsidRPr="00507E05" w:rsidRDefault="00000000" w:rsidP="00800414">
      <w:r w:rsidRPr="00507E05">
        <w:rPr>
          <w:b/>
        </w:rPr>
        <w:t>SUMMARY:</w:t>
      </w:r>
      <w:r w:rsidRPr="00507E05">
        <w:t xml:space="preserve"> </w:t>
      </w:r>
    </w:p>
    <w:p w14:paraId="42092C6F" w14:textId="109568A1" w:rsidR="00230057" w:rsidRPr="00507E05" w:rsidRDefault="00B50884" w:rsidP="00800414">
      <w:r w:rsidRPr="00507E05">
        <w:rPr>
          <w:rFonts w:eastAsia="SimSun"/>
          <w:bCs/>
          <w:lang w:eastAsia="zh-CN"/>
        </w:rPr>
        <w:t xml:space="preserve">Here, we present a protocol demonstrating </w:t>
      </w:r>
      <w:r w:rsidRPr="00507E05">
        <w:rPr>
          <w:rFonts w:eastAsia="SimSun"/>
          <w:lang w:eastAsia="zh-CN"/>
        </w:rPr>
        <w:t xml:space="preserve">RNA </w:t>
      </w:r>
      <w:r w:rsidRPr="00507E05">
        <w:rPr>
          <w:lang w:eastAsia="zh-CN"/>
        </w:rPr>
        <w:t>a</w:t>
      </w:r>
      <w:r w:rsidRPr="00507E05">
        <w:rPr>
          <w:rFonts w:eastAsia="SimSun"/>
          <w:lang w:eastAsia="zh-CN"/>
        </w:rPr>
        <w:t>mplification</w:t>
      </w:r>
      <w:r w:rsidRPr="00507E05">
        <w:rPr>
          <w:lang w:eastAsia="zh-CN"/>
        </w:rPr>
        <w:t xml:space="preserve"> l</w:t>
      </w:r>
      <w:r w:rsidRPr="00507E05">
        <w:rPr>
          <w:rFonts w:eastAsia="SimSun"/>
          <w:lang w:eastAsia="zh-CN"/>
        </w:rPr>
        <w:t xml:space="preserve">ateral </w:t>
      </w:r>
      <w:r w:rsidRPr="00507E05">
        <w:rPr>
          <w:lang w:eastAsia="zh-CN"/>
        </w:rPr>
        <w:t>f</w:t>
      </w:r>
      <w:r w:rsidRPr="00507E05">
        <w:rPr>
          <w:rFonts w:eastAsia="SimSun"/>
          <w:lang w:eastAsia="zh-CN"/>
        </w:rPr>
        <w:t xml:space="preserve">low </w:t>
      </w:r>
      <w:r w:rsidRPr="00507E05">
        <w:rPr>
          <w:lang w:eastAsia="zh-CN"/>
        </w:rPr>
        <w:t>a</w:t>
      </w:r>
      <w:r w:rsidRPr="00507E05">
        <w:rPr>
          <w:rFonts w:eastAsia="SimSun"/>
          <w:lang w:eastAsia="zh-CN"/>
        </w:rPr>
        <w:t>ssay and</w:t>
      </w:r>
      <w:r w:rsidRPr="00507E05">
        <w:rPr>
          <w:rFonts w:eastAsia="SimSun"/>
          <w:bCs/>
          <w:lang w:eastAsia="zh-CN"/>
        </w:rPr>
        <w:t xml:space="preserve"> evaluate the efficacy for rapidly detecting </w:t>
      </w:r>
      <w:r w:rsidRPr="00507E05">
        <w:rPr>
          <w:rFonts w:eastAsia="SimSun"/>
          <w:bCs/>
          <w:i/>
          <w:iCs/>
          <w:lang w:eastAsia="zh-CN"/>
        </w:rPr>
        <w:t>Neisseria gonorrhoeae</w:t>
      </w:r>
      <w:r w:rsidRPr="00507E05">
        <w:rPr>
          <w:rFonts w:eastAsia="SimSun"/>
          <w:bCs/>
          <w:lang w:eastAsia="zh-CN"/>
        </w:rPr>
        <w:t xml:space="preserve">, </w:t>
      </w:r>
      <w:r w:rsidRPr="00507E05">
        <w:rPr>
          <w:rFonts w:eastAsia="SimSun"/>
          <w:bCs/>
          <w:i/>
          <w:iCs/>
          <w:lang w:eastAsia="zh-CN"/>
        </w:rPr>
        <w:t>Chlamydia trachomatis</w:t>
      </w:r>
      <w:r w:rsidRPr="00507E05">
        <w:rPr>
          <w:rFonts w:eastAsia="SimSun"/>
          <w:bCs/>
          <w:lang w:eastAsia="zh-CN"/>
        </w:rPr>
        <w:t xml:space="preserve">, and </w:t>
      </w:r>
      <w:r w:rsidRPr="00507E05">
        <w:rPr>
          <w:rFonts w:eastAsia="SimSun"/>
          <w:bCs/>
          <w:i/>
          <w:iCs/>
          <w:lang w:eastAsia="zh-CN"/>
        </w:rPr>
        <w:t>Ureaplasma</w:t>
      </w:r>
      <w:r w:rsidRPr="00507E05">
        <w:rPr>
          <w:rFonts w:eastAsia="SimSun"/>
          <w:bCs/>
          <w:lang w:eastAsia="zh-CN"/>
        </w:rPr>
        <w:t xml:space="preserve"> </w:t>
      </w:r>
      <w:r w:rsidRPr="00507E05">
        <w:rPr>
          <w:rFonts w:eastAsia="SimSun"/>
          <w:bCs/>
          <w:i/>
          <w:iCs/>
          <w:lang w:eastAsia="zh-CN"/>
        </w:rPr>
        <w:t>urealyticum</w:t>
      </w:r>
      <w:r w:rsidRPr="00507E05">
        <w:rPr>
          <w:rFonts w:eastAsia="SimSun"/>
          <w:bCs/>
          <w:lang w:eastAsia="zh-CN"/>
        </w:rPr>
        <w:t xml:space="preserve">. </w:t>
      </w:r>
    </w:p>
    <w:p w14:paraId="74FA7098" w14:textId="77777777" w:rsidR="00230057" w:rsidRPr="00507E05" w:rsidRDefault="00230057" w:rsidP="00800414"/>
    <w:p w14:paraId="46BE61FE" w14:textId="77777777" w:rsidR="00230057" w:rsidRPr="00507E05" w:rsidRDefault="00000000" w:rsidP="00800414">
      <w:r w:rsidRPr="00507E05">
        <w:rPr>
          <w:b/>
        </w:rPr>
        <w:t>ABSTRACT:</w:t>
      </w:r>
      <w:r w:rsidRPr="00507E05">
        <w:t xml:space="preserve"> </w:t>
      </w:r>
    </w:p>
    <w:p w14:paraId="10C220F9" w14:textId="765795FE" w:rsidR="00230057" w:rsidRPr="00507E05" w:rsidRDefault="00000000" w:rsidP="00036878">
      <w:pPr>
        <w:widowControl/>
        <w:shd w:val="clear" w:color="auto" w:fill="FFFFFF"/>
        <w:ind w:right="45"/>
        <w:rPr>
          <w:rFonts w:eastAsia="SimSun"/>
          <w:bCs/>
          <w:lang w:eastAsia="zh-CN"/>
        </w:rPr>
      </w:pPr>
      <w:r w:rsidRPr="00507E05">
        <w:rPr>
          <w:rFonts w:eastAsia="SimSun"/>
          <w:bCs/>
          <w:i/>
          <w:iCs/>
          <w:lang w:eastAsia="zh-CN"/>
        </w:rPr>
        <w:t>Neisseria gonorrhoeae</w:t>
      </w:r>
      <w:r w:rsidRPr="00507E05">
        <w:rPr>
          <w:rFonts w:eastAsia="SimSun"/>
          <w:bCs/>
          <w:lang w:eastAsia="zh-CN"/>
        </w:rPr>
        <w:t xml:space="preserve"> (NG), </w:t>
      </w:r>
      <w:r w:rsidRPr="00507E05">
        <w:rPr>
          <w:rFonts w:eastAsia="SimSun"/>
          <w:bCs/>
          <w:i/>
          <w:iCs/>
          <w:lang w:eastAsia="zh-CN"/>
        </w:rPr>
        <w:t xml:space="preserve">Chlamydia trachomatis </w:t>
      </w:r>
      <w:r w:rsidRPr="00507E05">
        <w:rPr>
          <w:rFonts w:eastAsia="SimSun"/>
          <w:bCs/>
          <w:lang w:eastAsia="zh-CN"/>
        </w:rPr>
        <w:t xml:space="preserve">(CT), and </w:t>
      </w:r>
      <w:r w:rsidRPr="00507E05">
        <w:rPr>
          <w:rFonts w:eastAsia="SimSun"/>
          <w:bCs/>
          <w:i/>
          <w:iCs/>
          <w:lang w:eastAsia="zh-CN"/>
        </w:rPr>
        <w:t>Ureaplasma urealyticum</w:t>
      </w:r>
      <w:r w:rsidRPr="00507E05">
        <w:rPr>
          <w:rFonts w:eastAsia="SimSun"/>
          <w:bCs/>
          <w:lang w:eastAsia="zh-CN"/>
        </w:rPr>
        <w:t xml:space="preserve"> (UU) are common pathogens associated with sexually transmitted diseases (STDs). NG is the causative agent of gonorrhea, which can result in various disorders of the genitourinary system, including epididymitis, prostatitis, cervicitis, and infertility. CT is a microorganism responsible for non-gonococcal urethritis and pelvic inflammatory disease. UU is associated with non-gonococcal urethritis, cervicitis, prostatitis, and infertility. Current molecular technologies for the analysis of NG, CT, and UU are often complex and time-consuming. Rapid molecular testing for these pathogens may facilitate the early diagnosis of STDs. The RNA amplification lateral flow assay (RGT) is a method that does not require nucleic acid extraction. In this process, samples are lysed to release nucleic acid fragments, which are then amplified through reverse transcription and transcription. The amplified RNA product is recognized and captured by specific probes, forming an RNA-detection probe-gold probe complex that can be immobilized on a nitrocellulose membrane via lateral flow to produce visible bands. The entire procedure takes less than </w:t>
      </w:r>
      <w:r w:rsidR="00B50884" w:rsidRPr="00507E05">
        <w:rPr>
          <w:rFonts w:eastAsia="SimSun"/>
          <w:bCs/>
          <w:lang w:eastAsia="zh-CN"/>
        </w:rPr>
        <w:t>1</w:t>
      </w:r>
      <w:r w:rsidRPr="00507E05">
        <w:rPr>
          <w:rFonts w:eastAsia="SimSun"/>
          <w:bCs/>
          <w:lang w:eastAsia="zh-CN"/>
        </w:rPr>
        <w:t xml:space="preserve"> h. The aim of this study was to evaluate the efficacy of RGT for the rapid detection of NG, CT, and UU. A total of 1,416 samples were included.</w:t>
      </w:r>
      <w:r w:rsidRPr="00507E05">
        <w:rPr>
          <w:bCs/>
          <w:lang w:eastAsia="zh-CN"/>
        </w:rPr>
        <w:t xml:space="preserve"> The consistency</w:t>
      </w:r>
      <w:r w:rsidR="00963173" w:rsidRPr="00507E05">
        <w:rPr>
          <w:bCs/>
          <w:lang w:eastAsia="zh-CN"/>
        </w:rPr>
        <w:t xml:space="preserve"> of</w:t>
      </w:r>
      <w:r w:rsidRPr="00507E05">
        <w:rPr>
          <w:bCs/>
          <w:lang w:eastAsia="zh-CN"/>
        </w:rPr>
        <w:t xml:space="preserve"> </w:t>
      </w:r>
      <w:r w:rsidRPr="00507E05">
        <w:rPr>
          <w:rFonts w:eastAsia="SimSun"/>
          <w:bCs/>
          <w:lang w:eastAsia="zh-CN"/>
        </w:rPr>
        <w:t xml:space="preserve">NG, CT, and UU when analyzed by RGT compared to the </w:t>
      </w:r>
      <w:r w:rsidR="00B50884" w:rsidRPr="00507E05">
        <w:rPr>
          <w:rFonts w:eastAsia="SimSun"/>
          <w:bCs/>
          <w:lang w:eastAsia="zh-CN"/>
        </w:rPr>
        <w:t>polymerase chain reaction (</w:t>
      </w:r>
      <w:r w:rsidRPr="00507E05">
        <w:rPr>
          <w:rFonts w:eastAsia="SimSun"/>
          <w:bCs/>
          <w:lang w:eastAsia="zh-CN"/>
        </w:rPr>
        <w:t>PCR</w:t>
      </w:r>
      <w:r w:rsidR="00B50884" w:rsidRPr="00507E05">
        <w:rPr>
          <w:rFonts w:eastAsia="SimSun"/>
          <w:bCs/>
          <w:lang w:eastAsia="zh-CN"/>
        </w:rPr>
        <w:t>)</w:t>
      </w:r>
      <w:r w:rsidRPr="00507E05">
        <w:rPr>
          <w:rFonts w:eastAsia="SimSun"/>
          <w:bCs/>
          <w:lang w:eastAsia="zh-CN"/>
        </w:rPr>
        <w:t xml:space="preserve"> fluorescence probing method </w:t>
      </w:r>
      <w:r w:rsidR="00B50884" w:rsidRPr="00507E05">
        <w:rPr>
          <w:rFonts w:eastAsia="SimSun"/>
          <w:bCs/>
          <w:lang w:eastAsia="zh-CN"/>
        </w:rPr>
        <w:t xml:space="preserve">was </w:t>
      </w:r>
      <w:r w:rsidRPr="00507E05">
        <w:rPr>
          <w:rFonts w:eastAsia="SimSun"/>
          <w:bCs/>
          <w:lang w:eastAsia="zh-CN"/>
        </w:rPr>
        <w:lastRenderedPageBreak/>
        <w:t>99.03% (307/310), 99.38% (159/160), and 99.02% (303/306), respectively.</w:t>
      </w:r>
      <w:r w:rsidRPr="00507E05">
        <w:rPr>
          <w:bCs/>
          <w:lang w:eastAsia="zh-CN"/>
        </w:rPr>
        <w:t xml:space="preserve"> The consistency of </w:t>
      </w:r>
      <w:r w:rsidRPr="00507E05">
        <w:rPr>
          <w:rFonts w:eastAsia="SimSun"/>
          <w:bCs/>
          <w:lang w:eastAsia="zh-CN"/>
        </w:rPr>
        <w:t xml:space="preserve">NG, CT, and UU when analyzed by RGT compared to gene sequencing </w:t>
      </w:r>
      <w:r w:rsidR="00B50884" w:rsidRPr="00507E05">
        <w:rPr>
          <w:rFonts w:eastAsia="SimSun"/>
          <w:bCs/>
          <w:lang w:eastAsia="zh-CN"/>
        </w:rPr>
        <w:t xml:space="preserve">was </w:t>
      </w:r>
      <w:r w:rsidRPr="00507E05">
        <w:rPr>
          <w:rFonts w:eastAsia="SimSun"/>
          <w:bCs/>
          <w:lang w:eastAsia="zh-CN"/>
        </w:rPr>
        <w:t xml:space="preserve">99.17% (238/240), 98.95% (188/190), and 98.30% (173/176), respectively. </w:t>
      </w:r>
      <w:r w:rsidR="00B50884" w:rsidRPr="00507E05">
        <w:rPr>
          <w:rFonts w:eastAsia="SimSun"/>
          <w:bCs/>
          <w:lang w:eastAsia="zh-CN"/>
        </w:rPr>
        <w:t>Compared with the pathogen isolation culture method, the detection rates for NG, CT, and UU assays were</w:t>
      </w:r>
      <w:r w:rsidRPr="00507E05">
        <w:rPr>
          <w:rFonts w:eastAsia="SimSun"/>
          <w:bCs/>
          <w:lang w:eastAsia="zh-CN"/>
        </w:rPr>
        <w:t xml:space="preserve"> 100.00% (9/9, 17/17, 8/8). The high sensitivity and specificity, ease of use, and reduced time requirements make this assay ideal for the rapid and accurate detection of NG, CT, and UU.</w:t>
      </w:r>
    </w:p>
    <w:p w14:paraId="02779FD1" w14:textId="77777777" w:rsidR="00230057" w:rsidRPr="00507E05" w:rsidRDefault="00230057" w:rsidP="00800414"/>
    <w:p w14:paraId="423AC09C" w14:textId="77777777" w:rsidR="00230057" w:rsidRPr="00507E05" w:rsidRDefault="00000000" w:rsidP="00800414">
      <w:pPr>
        <w:rPr>
          <w:rFonts w:eastAsiaTheme="minorEastAsia"/>
          <w:lang w:eastAsia="zh-CN"/>
        </w:rPr>
      </w:pPr>
      <w:r w:rsidRPr="00507E05">
        <w:rPr>
          <w:b/>
        </w:rPr>
        <w:t>INTRODUCTION:</w:t>
      </w:r>
      <w:r w:rsidRPr="00507E05">
        <w:t xml:space="preserve"> </w:t>
      </w:r>
    </w:p>
    <w:p w14:paraId="62FBF68A" w14:textId="39BA659A" w:rsidR="00230057" w:rsidRPr="00507E05" w:rsidRDefault="00000000" w:rsidP="00036878">
      <w:pPr>
        <w:widowControl/>
        <w:shd w:val="clear" w:color="auto" w:fill="FFFFFF"/>
        <w:ind w:right="45"/>
        <w:rPr>
          <w:rFonts w:eastAsia="SimSun"/>
          <w:bCs/>
          <w:lang w:eastAsia="zh-CN"/>
        </w:rPr>
      </w:pPr>
      <w:r w:rsidRPr="00507E05">
        <w:rPr>
          <w:rFonts w:eastAsia="SimSun"/>
          <w:bCs/>
          <w:lang w:eastAsia="zh-CN"/>
        </w:rPr>
        <w:t>Sexually transmitted infections (STIs) represent significant global public health challenges, leading to serious genital and reproductive morbidity and mortality</w:t>
      </w:r>
      <w:r w:rsidRPr="00507E05">
        <w:rPr>
          <w:rFonts w:eastAsia="SimSun"/>
          <w:bCs/>
          <w:vertAlign w:val="superscript"/>
          <w:lang w:eastAsia="zh-CN"/>
        </w:rPr>
        <w:t>1</w:t>
      </w:r>
      <w:r w:rsidRPr="00507E05">
        <w:rPr>
          <w:rFonts w:eastAsia="SimSun"/>
          <w:bCs/>
          <w:lang w:eastAsia="zh-CN"/>
        </w:rPr>
        <w:t xml:space="preserve">. </w:t>
      </w:r>
      <w:bookmarkStart w:id="0" w:name="OLE_LINK1"/>
      <w:r w:rsidRPr="00507E05">
        <w:rPr>
          <w:rFonts w:eastAsia="SimSun"/>
          <w:bCs/>
          <w:i/>
          <w:iCs/>
          <w:lang w:eastAsia="zh-CN"/>
        </w:rPr>
        <w:t>Neisseria gonorrhoeae</w:t>
      </w:r>
      <w:bookmarkEnd w:id="0"/>
      <w:r w:rsidRPr="00507E05">
        <w:rPr>
          <w:rFonts w:eastAsia="SimSun"/>
          <w:bCs/>
          <w:lang w:eastAsia="zh-CN"/>
        </w:rPr>
        <w:t xml:space="preserve"> (NG)</w:t>
      </w:r>
      <w:r w:rsidRPr="00507E05">
        <w:rPr>
          <w:rFonts w:eastAsia="SimSun"/>
          <w:bCs/>
          <w:i/>
          <w:iCs/>
          <w:lang w:eastAsia="zh-CN"/>
        </w:rPr>
        <w:t xml:space="preserve"> </w:t>
      </w:r>
      <w:r w:rsidRPr="00507E05">
        <w:rPr>
          <w:rFonts w:eastAsia="SimSun"/>
          <w:bCs/>
          <w:lang w:eastAsia="zh-CN"/>
        </w:rPr>
        <w:t>is the causative agent of gonorrhea, with approximately 87 million new cases reported annually worldwide</w:t>
      </w:r>
      <w:r w:rsidRPr="00507E05">
        <w:rPr>
          <w:rFonts w:eastAsia="SimSun"/>
          <w:bCs/>
          <w:vertAlign w:val="superscript"/>
          <w:lang w:eastAsia="zh-CN"/>
        </w:rPr>
        <w:t>2</w:t>
      </w:r>
      <w:r w:rsidRPr="00507E05">
        <w:rPr>
          <w:rFonts w:eastAsia="SimSun"/>
          <w:bCs/>
          <w:lang w:eastAsia="zh-CN"/>
        </w:rPr>
        <w:t>. This pathogen primarily induces inflammation by invading the columnar epithelium of the urogenital tract</w:t>
      </w:r>
      <w:r w:rsidRPr="00507E05">
        <w:rPr>
          <w:rFonts w:eastAsia="SimSun"/>
          <w:bCs/>
          <w:vertAlign w:val="superscript"/>
          <w:lang w:eastAsia="zh-CN"/>
        </w:rPr>
        <w:t>3</w:t>
      </w:r>
      <w:r w:rsidRPr="00507E05">
        <w:rPr>
          <w:rFonts w:eastAsia="SimSun"/>
          <w:bCs/>
          <w:lang w:eastAsia="zh-CN"/>
        </w:rPr>
        <w:t xml:space="preserve">. </w:t>
      </w:r>
      <w:r w:rsidRPr="00507E05">
        <w:rPr>
          <w:rFonts w:eastAsia="SimSun"/>
          <w:bCs/>
          <w:i/>
          <w:iCs/>
          <w:lang w:eastAsia="zh-CN"/>
        </w:rPr>
        <w:t xml:space="preserve">Chlamydia trachomatis </w:t>
      </w:r>
      <w:r w:rsidRPr="00507E05">
        <w:rPr>
          <w:rFonts w:eastAsia="SimSun"/>
          <w:bCs/>
          <w:lang w:eastAsia="zh-CN"/>
        </w:rPr>
        <w:t>(CT), another microorganism, is responsible for non-gonococcal urethritis and pelvic infections, accounting for around 130 million new cases each year</w:t>
      </w:r>
      <w:r w:rsidRPr="00507E05">
        <w:rPr>
          <w:rFonts w:eastAsia="SimSun"/>
          <w:bCs/>
          <w:vertAlign w:val="superscript"/>
          <w:lang w:eastAsia="zh-CN"/>
        </w:rPr>
        <w:t>4</w:t>
      </w:r>
      <w:r w:rsidRPr="00507E05">
        <w:rPr>
          <w:rFonts w:eastAsia="SimSun"/>
          <w:bCs/>
          <w:lang w:eastAsia="zh-CN"/>
        </w:rPr>
        <w:t xml:space="preserve">. </w:t>
      </w:r>
      <w:r w:rsidRPr="00507E05">
        <w:rPr>
          <w:rFonts w:eastAsia="SimSun"/>
          <w:bCs/>
          <w:i/>
          <w:iCs/>
          <w:lang w:eastAsia="zh-CN"/>
        </w:rPr>
        <w:t>Ureaplasma urealyticum</w:t>
      </w:r>
      <w:r w:rsidRPr="00507E05">
        <w:rPr>
          <w:rFonts w:eastAsia="SimSun"/>
          <w:bCs/>
          <w:lang w:eastAsia="zh-CN"/>
        </w:rPr>
        <w:t xml:space="preserve"> (UU), the simplest and smallest self-replicating cell, readily invades damaged cervical tissue and is associated with non-gonococcal urethritis, cervicitis, prostatitis, and infertility</w:t>
      </w:r>
      <w:r w:rsidRPr="00507E05">
        <w:rPr>
          <w:rFonts w:eastAsia="SimSun"/>
          <w:bCs/>
          <w:vertAlign w:val="superscript"/>
          <w:lang w:eastAsia="zh-CN"/>
        </w:rPr>
        <w:t>5</w:t>
      </w:r>
      <w:r w:rsidRPr="00507E05">
        <w:rPr>
          <w:rFonts w:eastAsia="SimSun"/>
          <w:bCs/>
          <w:lang w:eastAsia="zh-CN"/>
        </w:rPr>
        <w:t>. All of these infections are often asymptomatic in both female and male patients, yet they can lead to severe complications if not treated promptly. Maternal infections can result in serious adverse pregnancy outcomes, including stillbirth, miscarriage, preterm birth, and direct fetal infection</w:t>
      </w:r>
      <w:r w:rsidRPr="00507E05">
        <w:rPr>
          <w:rFonts w:eastAsia="SimSun"/>
          <w:bCs/>
          <w:vertAlign w:val="superscript"/>
          <w:lang w:eastAsia="zh-CN"/>
        </w:rPr>
        <w:t>6</w:t>
      </w:r>
      <w:r w:rsidRPr="00507E05">
        <w:rPr>
          <w:rFonts w:eastAsia="SimSun"/>
          <w:bCs/>
          <w:lang w:eastAsia="zh-CN"/>
        </w:rPr>
        <w:t>. Therefore, the development of a rapid, sensitive, specific, and user-friendly method for pathogen detection is of paramount importance.</w:t>
      </w:r>
    </w:p>
    <w:p w14:paraId="4D94D588" w14:textId="77777777" w:rsidR="001B1733" w:rsidRPr="00507E05" w:rsidRDefault="001B1733" w:rsidP="00800414">
      <w:pPr>
        <w:rPr>
          <w:bCs/>
          <w:lang w:eastAsia="zh-CN"/>
        </w:rPr>
      </w:pPr>
    </w:p>
    <w:p w14:paraId="772E031E" w14:textId="6F1638EE" w:rsidR="00230057" w:rsidRPr="00507E05" w:rsidRDefault="00000000" w:rsidP="00036878">
      <w:pPr>
        <w:rPr>
          <w:rFonts w:eastAsiaTheme="minorEastAsia"/>
          <w:bCs/>
          <w:lang w:eastAsia="zh-CN"/>
        </w:rPr>
      </w:pPr>
      <w:r w:rsidRPr="00507E05">
        <w:rPr>
          <w:bCs/>
          <w:lang w:eastAsia="zh-CN"/>
        </w:rPr>
        <w:t>Rapid and accurate detection of pathogens is critical for effective disease diagnosis and management. Traditional culture methods, which require the isolation, culture, and identification of pathogens, have significant disadvantages, including being time-consuming and having low sensitivity. Although gene sequencing boasts a high accuracy rate, it necessitates a complex environment and equipment, making it costly and also time-consuming. Conventional molecular technologies for the analysis of NG, CT, and UU have been widely accepted; however, these methods are often complicated and time-consuming, requiring sophisticated instrumentation, trained technicians, and extended processing times. Therefore, there is a pressing need for a simple and reliable molecular diagnostic method to address the limitations of conventional approaches. The RNA amplification lateral flow assay (RGT) offers a rapid, sensitive, and specific alternative without the need for complex procedures</w:t>
      </w:r>
      <w:r w:rsidRPr="00507E05">
        <w:rPr>
          <w:bCs/>
          <w:vertAlign w:val="superscript"/>
          <w:lang w:eastAsia="zh-CN"/>
        </w:rPr>
        <w:t>7,8</w:t>
      </w:r>
      <w:r w:rsidRPr="00507E05">
        <w:rPr>
          <w:bCs/>
          <w:lang w:eastAsia="zh-CN"/>
        </w:rPr>
        <w:t>. In this method, samples are directly lysed to release nucleic acid fragments without nucleic acid extraction, and these fragments are amplified through reverse transcription and transcription. The amplified RNA product is then recognized and captured by specific probes, forming an RNA-detection probe-gold probe complex, which can be immobilized on a nitrocellulose membrane via lateral flow to create visible bands</w:t>
      </w:r>
      <w:r w:rsidRPr="00507E05">
        <w:rPr>
          <w:rFonts w:eastAsiaTheme="minorEastAsia"/>
          <w:bCs/>
          <w:vertAlign w:val="superscript"/>
          <w:lang w:eastAsia="zh-CN"/>
        </w:rPr>
        <w:t>9</w:t>
      </w:r>
      <w:r w:rsidRPr="00507E05">
        <w:rPr>
          <w:bCs/>
          <w:lang w:eastAsia="zh-CN"/>
        </w:rPr>
        <w:t xml:space="preserve">. The entire process takes less than </w:t>
      </w:r>
      <w:r w:rsidR="00B50884" w:rsidRPr="00507E05">
        <w:rPr>
          <w:bCs/>
          <w:lang w:eastAsia="zh-CN"/>
        </w:rPr>
        <w:t>1 h</w:t>
      </w:r>
      <w:r w:rsidRPr="00507E05">
        <w:rPr>
          <w:bCs/>
          <w:lang w:eastAsia="zh-CN"/>
        </w:rPr>
        <w:t xml:space="preserve">, making it highly suitable for emergency laboratory tests. </w:t>
      </w:r>
    </w:p>
    <w:p w14:paraId="3C9DAF74" w14:textId="77777777" w:rsidR="001B1733" w:rsidRPr="00507E05" w:rsidRDefault="001B1733" w:rsidP="00800414">
      <w:pPr>
        <w:rPr>
          <w:bCs/>
          <w:lang w:eastAsia="zh-CN"/>
        </w:rPr>
      </w:pPr>
    </w:p>
    <w:p w14:paraId="3B3A80D2" w14:textId="64B2DB8D" w:rsidR="00230057" w:rsidRPr="00507E05" w:rsidRDefault="00000000" w:rsidP="00036878">
      <w:pPr>
        <w:rPr>
          <w:bCs/>
          <w:lang w:eastAsia="zh-CN"/>
        </w:rPr>
      </w:pPr>
      <w:r w:rsidRPr="00507E05">
        <w:rPr>
          <w:bCs/>
          <w:lang w:eastAsia="zh-CN"/>
        </w:rPr>
        <w:t xml:space="preserve">In this study, we recruited 1,416 samples to evaluate the use of RGT for the detection of NG, CT, and UU. Samples were analyzed using RGT, PCR fluorescence probing, gene sequencing, and pathogen isolation culture methods. The results indicated that the RGT method was accurate and consistent with conventional diagnostic methods. In conclusion, the high sensitivity and </w:t>
      </w:r>
      <w:r w:rsidRPr="00507E05">
        <w:rPr>
          <w:bCs/>
          <w:lang w:eastAsia="zh-CN"/>
        </w:rPr>
        <w:lastRenderedPageBreak/>
        <w:t>specificity, ease of use, and reduced time requirements make this assay ideal for the rapid and accurate detection of NG, CT, and UU, suggesting its promising application in the preliminary medical diagnosis of sexually transmitted diseases. </w:t>
      </w:r>
    </w:p>
    <w:p w14:paraId="4E6CD9EC" w14:textId="77777777" w:rsidR="00230057" w:rsidRPr="00507E05" w:rsidRDefault="00230057" w:rsidP="00800414">
      <w:pPr>
        <w:ind w:firstLine="216"/>
        <w:rPr>
          <w:rFonts w:eastAsiaTheme="minorEastAsia"/>
          <w:bCs/>
          <w:lang w:eastAsia="zh-CN"/>
        </w:rPr>
      </w:pPr>
    </w:p>
    <w:p w14:paraId="40F10036" w14:textId="77777777" w:rsidR="00230057" w:rsidRPr="00507E05" w:rsidRDefault="00000000" w:rsidP="00800414">
      <w:r w:rsidRPr="00507E05">
        <w:rPr>
          <w:b/>
        </w:rPr>
        <w:t>PROTOCOL:</w:t>
      </w:r>
      <w:r w:rsidRPr="00507E05">
        <w:t xml:space="preserve"> </w:t>
      </w:r>
    </w:p>
    <w:p w14:paraId="78A1EA69" w14:textId="4292EBA9" w:rsidR="00230057" w:rsidRPr="00507E05" w:rsidRDefault="00000000" w:rsidP="00036878">
      <w:pPr>
        <w:rPr>
          <w:bCs/>
          <w:lang w:eastAsia="zh-CN"/>
        </w:rPr>
      </w:pPr>
      <w:r w:rsidRPr="00507E05">
        <w:rPr>
          <w:bCs/>
          <w:lang w:eastAsia="zh-CN"/>
        </w:rPr>
        <w:t xml:space="preserve">This study was conducted in accordance with the ethical guidelines and approval granted by the Institutional Review Board of the First </w:t>
      </w:r>
      <w:r w:rsidR="00B50884" w:rsidRPr="00507E05">
        <w:rPr>
          <w:bCs/>
          <w:lang w:eastAsia="zh-CN"/>
        </w:rPr>
        <w:t xml:space="preserve">People's </w:t>
      </w:r>
      <w:r w:rsidRPr="00507E05">
        <w:rPr>
          <w:bCs/>
          <w:lang w:eastAsia="zh-CN"/>
        </w:rPr>
        <w:t>Hospital of Foshan, Guangdong Province, China. A total of 1,416 genital swab specimens (716 from female patients, 700 from male patients) were prospectively collected from individuals clinically suspected of STDs who had not undergone antibiotic therapy within the preceding 14 days (</w:t>
      </w:r>
      <w:r w:rsidRPr="00507E05">
        <w:rPr>
          <w:b/>
          <w:lang w:eastAsia="zh-CN"/>
        </w:rPr>
        <w:t>Supplementa</w:t>
      </w:r>
      <w:r w:rsidR="001B1733" w:rsidRPr="00507E05">
        <w:rPr>
          <w:b/>
          <w:lang w:eastAsia="zh-CN"/>
        </w:rPr>
        <w:t>ry</w:t>
      </w:r>
      <w:r w:rsidRPr="00507E05">
        <w:rPr>
          <w:b/>
          <w:lang w:eastAsia="zh-CN"/>
        </w:rPr>
        <w:t xml:space="preserve"> Table 1</w:t>
      </w:r>
      <w:r w:rsidRPr="00507E05">
        <w:rPr>
          <w:bCs/>
          <w:lang w:eastAsia="zh-CN"/>
        </w:rPr>
        <w:t>). For each participant, paired swabs were obtained simultaneously and analyzed in parallel: one by the test method (RGT) and the other by reference method (PCR fluorescence probing, gene sequencing</w:t>
      </w:r>
      <w:r w:rsidR="00B50884" w:rsidRPr="00507E05">
        <w:rPr>
          <w:bCs/>
          <w:lang w:eastAsia="zh-CN"/>
        </w:rPr>
        <w:t>,</w:t>
      </w:r>
      <w:r w:rsidRPr="00507E05">
        <w:rPr>
          <w:bCs/>
          <w:lang w:eastAsia="zh-CN"/>
        </w:rPr>
        <w:t xml:space="preserve"> and pathogen isolating culture, respectively). Inter-method agreement was quantified using Cohen's Kappa coefficient (κ), with interpretation guided by Landis and Koch's criteria.</w:t>
      </w:r>
    </w:p>
    <w:p w14:paraId="76AAB354" w14:textId="77777777" w:rsidR="00230057" w:rsidRPr="00507E05" w:rsidRDefault="00230057" w:rsidP="00800414">
      <w:pPr>
        <w:rPr>
          <w:rFonts w:eastAsia="SimSun"/>
          <w:bCs/>
          <w:lang w:eastAsia="zh-CN"/>
        </w:rPr>
      </w:pPr>
    </w:p>
    <w:p w14:paraId="1B1FA053" w14:textId="349E29EB" w:rsidR="00CC17E3" w:rsidRPr="00507E05" w:rsidRDefault="00B50884" w:rsidP="00800414">
      <w:pPr>
        <w:rPr>
          <w:rFonts w:eastAsia="SimSun"/>
          <w:bCs/>
          <w:lang w:eastAsia="zh-CN"/>
        </w:rPr>
      </w:pPr>
      <w:r w:rsidRPr="00507E05">
        <w:rPr>
          <w:rFonts w:eastAsia="SimSun"/>
          <w:bCs/>
          <w:lang w:eastAsia="zh-CN"/>
        </w:rPr>
        <w:t xml:space="preserve">NOTE: </w:t>
      </w:r>
      <w:r w:rsidR="00CC17E3" w:rsidRPr="00507E05">
        <w:rPr>
          <w:rFonts w:eastAsia="SimSun"/>
          <w:bCs/>
          <w:lang w:eastAsia="zh-CN"/>
        </w:rPr>
        <w:t xml:space="preserve">The assay protocol for CT and UU follows identical procedural steps to those described for NG, with modifications limited to pathogen-specific reagents. Detail reagent formulations are provided in </w:t>
      </w:r>
      <w:r w:rsidRPr="00507E05">
        <w:rPr>
          <w:rFonts w:eastAsia="SimSun"/>
          <w:bCs/>
          <w:lang w:eastAsia="zh-CN"/>
        </w:rPr>
        <w:t xml:space="preserve">step </w:t>
      </w:r>
      <w:r w:rsidR="00CC17E3" w:rsidRPr="00507E05">
        <w:rPr>
          <w:rFonts w:eastAsia="SimSun"/>
          <w:bCs/>
          <w:lang w:eastAsia="zh-CN"/>
        </w:rPr>
        <w:t>2.1</w:t>
      </w:r>
      <w:r w:rsidRPr="00507E05">
        <w:rPr>
          <w:rFonts w:eastAsia="SimSun"/>
          <w:bCs/>
          <w:lang w:eastAsia="zh-CN"/>
        </w:rPr>
        <w:t xml:space="preserve"> (</w:t>
      </w:r>
      <w:r w:rsidRPr="00507E05">
        <w:rPr>
          <w:b/>
          <w:lang w:eastAsia="zh-CN"/>
        </w:rPr>
        <w:t>Supplementary Table 2</w:t>
      </w:r>
      <w:r w:rsidRPr="00507E05">
        <w:rPr>
          <w:rFonts w:eastAsia="SimSun"/>
          <w:bCs/>
          <w:lang w:eastAsia="zh-CN"/>
        </w:rPr>
        <w:t xml:space="preserve">, </w:t>
      </w:r>
      <w:r w:rsidRPr="00507E05">
        <w:rPr>
          <w:b/>
          <w:lang w:eastAsia="zh-CN"/>
        </w:rPr>
        <w:t>Supplementary Table 3</w:t>
      </w:r>
      <w:r w:rsidRPr="00507E05">
        <w:rPr>
          <w:bCs/>
          <w:lang w:eastAsia="zh-CN"/>
        </w:rPr>
        <w:t>,</w:t>
      </w:r>
      <w:r w:rsidRPr="00507E05">
        <w:rPr>
          <w:b/>
          <w:lang w:eastAsia="zh-CN"/>
        </w:rPr>
        <w:t xml:space="preserve"> </w:t>
      </w:r>
      <w:r w:rsidRPr="00507E05">
        <w:rPr>
          <w:bCs/>
          <w:lang w:eastAsia="zh-CN"/>
        </w:rPr>
        <w:t xml:space="preserve">and </w:t>
      </w:r>
      <w:r w:rsidRPr="00507E05">
        <w:rPr>
          <w:b/>
          <w:lang w:eastAsia="zh-CN"/>
        </w:rPr>
        <w:t>Supplementary Table 4</w:t>
      </w:r>
      <w:r w:rsidRPr="00507E05">
        <w:rPr>
          <w:bCs/>
          <w:lang w:eastAsia="zh-CN"/>
        </w:rPr>
        <w:t>).</w:t>
      </w:r>
    </w:p>
    <w:p w14:paraId="00B698BA" w14:textId="77777777" w:rsidR="00CC17E3" w:rsidRPr="00507E05" w:rsidRDefault="00CC17E3" w:rsidP="00800414">
      <w:pPr>
        <w:rPr>
          <w:rFonts w:eastAsia="SimSun"/>
          <w:bCs/>
          <w:lang w:eastAsia="zh-CN"/>
        </w:rPr>
      </w:pPr>
    </w:p>
    <w:p w14:paraId="0DAEA105" w14:textId="64621ED5" w:rsidR="00230057" w:rsidRPr="00507E05" w:rsidRDefault="00000000" w:rsidP="00036878">
      <w:pPr>
        <w:numPr>
          <w:ilvl w:val="0"/>
          <w:numId w:val="1"/>
        </w:numPr>
        <w:ind w:left="0" w:firstLine="0"/>
        <w:rPr>
          <w:rFonts w:eastAsia="SimSun"/>
          <w:b/>
          <w:lang w:eastAsia="zh-CN"/>
        </w:rPr>
      </w:pPr>
      <w:r w:rsidRPr="00507E05">
        <w:rPr>
          <w:rFonts w:eastAsia="SimSun"/>
          <w:b/>
          <w:lang w:eastAsia="zh-CN"/>
        </w:rPr>
        <w:t xml:space="preserve">Sample </w:t>
      </w:r>
      <w:r w:rsidR="00800414" w:rsidRPr="00507E05">
        <w:rPr>
          <w:rFonts w:eastAsia="SimSun"/>
          <w:b/>
          <w:lang w:eastAsia="zh-CN"/>
        </w:rPr>
        <w:t>collection</w:t>
      </w:r>
    </w:p>
    <w:p w14:paraId="7E9C400F" w14:textId="77777777" w:rsidR="00E25809" w:rsidRPr="00507E05" w:rsidRDefault="00E25809" w:rsidP="00800414">
      <w:pPr>
        <w:rPr>
          <w:rFonts w:eastAsia="SimSun"/>
          <w:bCs/>
          <w:lang w:eastAsia="zh-CN"/>
        </w:rPr>
      </w:pPr>
    </w:p>
    <w:p w14:paraId="7F63E7E6" w14:textId="4AD6FB5C" w:rsidR="00230057" w:rsidRPr="00507E05" w:rsidRDefault="00000000" w:rsidP="00036878">
      <w:pPr>
        <w:pStyle w:val="ListParagraph"/>
        <w:numPr>
          <w:ilvl w:val="1"/>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Applicable specimen type: </w:t>
      </w:r>
      <w:r w:rsidR="00B50884" w:rsidRPr="00507E05">
        <w:rPr>
          <w:rFonts w:ascii="Calibri" w:eastAsia="SimSun" w:hAnsi="Calibri" w:cs="Calibri"/>
          <w:bCs/>
          <w:sz w:val="24"/>
          <w:szCs w:val="24"/>
          <w:lang w:eastAsia="zh-CN"/>
        </w:rPr>
        <w:t xml:space="preserve">Collect </w:t>
      </w:r>
      <w:r w:rsidRPr="00507E05">
        <w:rPr>
          <w:rFonts w:ascii="Calibri" w:eastAsia="SimSun" w:hAnsi="Calibri" w:cs="Calibri"/>
          <w:bCs/>
          <w:sz w:val="24"/>
          <w:szCs w:val="24"/>
          <w:lang w:eastAsia="zh-CN"/>
        </w:rPr>
        <w:t>genital swab</w:t>
      </w:r>
      <w:r w:rsidR="00B50884" w:rsidRPr="00507E05">
        <w:rPr>
          <w:rFonts w:ascii="Calibri" w:eastAsia="SimSun" w:hAnsi="Calibri" w:cs="Calibri"/>
          <w:bCs/>
          <w:sz w:val="24"/>
          <w:szCs w:val="24"/>
          <w:lang w:eastAsia="zh-CN"/>
        </w:rPr>
        <w:t>s</w:t>
      </w:r>
      <w:r w:rsidRPr="00507E05">
        <w:rPr>
          <w:rFonts w:ascii="Calibri" w:eastAsia="SimSun" w:hAnsi="Calibri" w:cs="Calibri"/>
          <w:bCs/>
          <w:sz w:val="24"/>
          <w:szCs w:val="24"/>
          <w:lang w:eastAsia="zh-CN"/>
        </w:rPr>
        <w:t xml:space="preserve"> (female cervical swab, male urethral swab)</w:t>
      </w:r>
      <w:r w:rsidR="00B50884" w:rsidRPr="00507E05">
        <w:rPr>
          <w:rFonts w:ascii="Calibri" w:eastAsia="SimSun" w:hAnsi="Calibri" w:cs="Calibri"/>
          <w:bCs/>
          <w:sz w:val="24"/>
          <w:szCs w:val="24"/>
          <w:lang w:eastAsia="zh-CN"/>
        </w:rPr>
        <w:t>.</w:t>
      </w:r>
    </w:p>
    <w:p w14:paraId="4634E619" w14:textId="77777777" w:rsidR="00E25809" w:rsidRPr="00507E05" w:rsidRDefault="00E25809" w:rsidP="00800414">
      <w:pPr>
        <w:rPr>
          <w:rFonts w:eastAsia="SimSun"/>
          <w:bCs/>
          <w:lang w:eastAsia="zh-CN"/>
        </w:rPr>
      </w:pPr>
    </w:p>
    <w:p w14:paraId="36C44D67" w14:textId="7E7BBC81" w:rsidR="00230057" w:rsidRPr="00507E05" w:rsidRDefault="00000000" w:rsidP="00036878">
      <w:pPr>
        <w:pStyle w:val="ListParagraph"/>
        <w:numPr>
          <w:ilvl w:val="1"/>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Specimen collection</w:t>
      </w:r>
    </w:p>
    <w:p w14:paraId="150C8EDA" w14:textId="77777777" w:rsidR="00E25809" w:rsidRPr="00507E05" w:rsidRDefault="00E25809" w:rsidP="00800414">
      <w:pPr>
        <w:rPr>
          <w:rFonts w:eastAsia="SimSun"/>
          <w:bCs/>
          <w:lang w:eastAsia="zh-CN"/>
        </w:rPr>
      </w:pPr>
    </w:p>
    <w:p w14:paraId="23DA4328" w14:textId="1C54081D"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Insert the genital swab into the male urethral orifice for 2</w:t>
      </w:r>
      <w:r w:rsidR="00B50884" w:rsidRPr="00507E05">
        <w:rPr>
          <w:rFonts w:ascii="Calibri" w:eastAsia="SimSun" w:hAnsi="Calibri" w:cs="Calibri"/>
          <w:bCs/>
          <w:sz w:val="24"/>
          <w:szCs w:val="24"/>
          <w:lang w:eastAsia="zh-CN"/>
        </w:rPr>
        <w:t>–</w:t>
      </w:r>
      <w:r w:rsidRPr="00507E05">
        <w:rPr>
          <w:rFonts w:ascii="Calibri" w:eastAsia="SimSun" w:hAnsi="Calibri" w:cs="Calibri"/>
          <w:bCs/>
          <w:sz w:val="24"/>
          <w:szCs w:val="24"/>
          <w:lang w:eastAsia="zh-CN"/>
        </w:rPr>
        <w:t>3</w:t>
      </w:r>
      <w:r w:rsidR="00B50884" w:rsidRPr="00507E05">
        <w:rPr>
          <w:rFonts w:ascii="Calibri" w:eastAsia="SimSun" w:hAnsi="Calibri" w:cs="Calibri"/>
          <w:bCs/>
          <w:sz w:val="24"/>
          <w:szCs w:val="24"/>
          <w:lang w:eastAsia="zh-CN"/>
        </w:rPr>
        <w:t xml:space="preserve"> </w:t>
      </w:r>
      <w:r w:rsidRPr="00507E05">
        <w:rPr>
          <w:rFonts w:ascii="Calibri" w:eastAsia="SimSun" w:hAnsi="Calibri" w:cs="Calibri"/>
          <w:bCs/>
          <w:sz w:val="24"/>
          <w:szCs w:val="24"/>
          <w:lang w:eastAsia="zh-CN"/>
        </w:rPr>
        <w:t>cm or into the female cervical orifice for approximately 1</w:t>
      </w:r>
      <w:r w:rsidR="00B50884" w:rsidRPr="00507E05">
        <w:rPr>
          <w:rFonts w:ascii="Calibri" w:eastAsia="SimSun" w:hAnsi="Calibri" w:cs="Calibri"/>
          <w:bCs/>
          <w:sz w:val="24"/>
          <w:szCs w:val="24"/>
          <w:lang w:eastAsia="zh-CN"/>
        </w:rPr>
        <w:t>–</w:t>
      </w:r>
      <w:r w:rsidRPr="00507E05">
        <w:rPr>
          <w:rFonts w:ascii="Calibri" w:eastAsia="SimSun" w:hAnsi="Calibri" w:cs="Calibri"/>
          <w:bCs/>
          <w:sz w:val="24"/>
          <w:szCs w:val="24"/>
          <w:lang w:eastAsia="zh-CN"/>
        </w:rPr>
        <w:t xml:space="preserve"> 2</w:t>
      </w:r>
      <w:r w:rsidR="00B50884" w:rsidRPr="00507E05">
        <w:rPr>
          <w:rFonts w:ascii="Calibri" w:eastAsia="SimSun" w:hAnsi="Calibri" w:cs="Calibri"/>
          <w:bCs/>
          <w:sz w:val="24"/>
          <w:szCs w:val="24"/>
          <w:lang w:eastAsia="zh-CN"/>
        </w:rPr>
        <w:t xml:space="preserve"> </w:t>
      </w:r>
      <w:r w:rsidRPr="00507E05">
        <w:rPr>
          <w:rFonts w:ascii="Calibri" w:eastAsia="SimSun" w:hAnsi="Calibri" w:cs="Calibri"/>
          <w:bCs/>
          <w:sz w:val="24"/>
          <w:szCs w:val="24"/>
          <w:lang w:eastAsia="zh-CN"/>
        </w:rPr>
        <w:t>cm.</w:t>
      </w:r>
    </w:p>
    <w:p w14:paraId="30CE16AC" w14:textId="77777777" w:rsidR="00E25809" w:rsidRPr="00507E05" w:rsidRDefault="00E25809" w:rsidP="00800414">
      <w:pPr>
        <w:rPr>
          <w:rFonts w:eastAsia="SimSun"/>
          <w:bCs/>
          <w:lang w:eastAsia="zh-CN"/>
        </w:rPr>
      </w:pPr>
    </w:p>
    <w:p w14:paraId="074F2E1A" w14:textId="39057BF6"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Rotate </w:t>
      </w:r>
      <w:r w:rsidR="00B50884" w:rsidRPr="00507E05">
        <w:rPr>
          <w:rFonts w:ascii="Calibri" w:eastAsia="SimSun" w:hAnsi="Calibri" w:cs="Calibri"/>
          <w:bCs/>
          <w:sz w:val="24"/>
          <w:szCs w:val="24"/>
          <w:lang w:eastAsia="zh-CN"/>
        </w:rPr>
        <w:t>once</w:t>
      </w:r>
      <w:r w:rsidRPr="00507E05">
        <w:rPr>
          <w:rFonts w:ascii="Calibri" w:eastAsia="SimSun" w:hAnsi="Calibri" w:cs="Calibri"/>
          <w:bCs/>
          <w:sz w:val="24"/>
          <w:szCs w:val="24"/>
          <w:lang w:eastAsia="zh-CN"/>
        </w:rPr>
        <w:t xml:space="preserve"> and hold for 10 s. </w:t>
      </w:r>
    </w:p>
    <w:p w14:paraId="7FA8A3E6" w14:textId="77777777" w:rsidR="00E25809" w:rsidRPr="00507E05" w:rsidRDefault="00E25809" w:rsidP="00800414">
      <w:pPr>
        <w:rPr>
          <w:rFonts w:eastAsia="SimSun"/>
          <w:bCs/>
          <w:lang w:eastAsia="zh-CN"/>
        </w:rPr>
      </w:pPr>
    </w:p>
    <w:p w14:paraId="03A84363" w14:textId="29714ED4"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Remove the swab and insert it into the collection tube containing 1 mL </w:t>
      </w:r>
      <w:r w:rsidR="00B50884" w:rsidRPr="00507E05">
        <w:rPr>
          <w:rFonts w:ascii="Calibri" w:eastAsia="SimSun" w:hAnsi="Calibri" w:cs="Calibri"/>
          <w:bCs/>
          <w:sz w:val="24"/>
          <w:szCs w:val="24"/>
          <w:lang w:eastAsia="zh-CN"/>
        </w:rPr>
        <w:t xml:space="preserve">of </w:t>
      </w:r>
      <w:r w:rsidRPr="00507E05">
        <w:rPr>
          <w:rFonts w:ascii="Calibri" w:eastAsia="SimSun" w:hAnsi="Calibri" w:cs="Calibri"/>
          <w:bCs/>
          <w:sz w:val="24"/>
          <w:szCs w:val="24"/>
          <w:lang w:eastAsia="zh-CN"/>
        </w:rPr>
        <w:t>normal saline.</w:t>
      </w:r>
    </w:p>
    <w:p w14:paraId="1B7450EB" w14:textId="77777777" w:rsidR="00E25809" w:rsidRPr="00507E05" w:rsidRDefault="00E25809" w:rsidP="00800414">
      <w:pPr>
        <w:rPr>
          <w:rFonts w:eastAsia="SimSun"/>
          <w:bCs/>
          <w:lang w:eastAsia="zh-CN"/>
        </w:rPr>
      </w:pPr>
    </w:p>
    <w:p w14:paraId="692DD952" w14:textId="14AB6A39"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Break off and discard the tail of the swab, then tighten the tube cap.</w:t>
      </w:r>
    </w:p>
    <w:p w14:paraId="222EE5FB" w14:textId="77777777" w:rsidR="00E25809" w:rsidRPr="00507E05" w:rsidRDefault="00E25809" w:rsidP="00800414">
      <w:pPr>
        <w:rPr>
          <w:rFonts w:eastAsia="SimSun"/>
          <w:bCs/>
          <w:lang w:eastAsia="zh-CN"/>
        </w:rPr>
      </w:pPr>
    </w:p>
    <w:p w14:paraId="1EF70D03" w14:textId="0F16DAC9"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Record the collection time and conduct the test promptly.</w:t>
      </w:r>
    </w:p>
    <w:p w14:paraId="63892515" w14:textId="77777777" w:rsidR="00E25809" w:rsidRPr="00507E05" w:rsidRDefault="00E25809" w:rsidP="00800414">
      <w:pPr>
        <w:rPr>
          <w:rFonts w:eastAsia="SimSun"/>
          <w:bCs/>
          <w:lang w:eastAsia="zh-CN"/>
        </w:rPr>
      </w:pPr>
    </w:p>
    <w:p w14:paraId="06BAE6FD" w14:textId="7AD40ED5" w:rsidR="00230057" w:rsidRPr="00507E05" w:rsidRDefault="00000000" w:rsidP="00036878">
      <w:pPr>
        <w:pStyle w:val="ListParagraph"/>
        <w:numPr>
          <w:ilvl w:val="1"/>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Specimen storage and transportation</w:t>
      </w:r>
    </w:p>
    <w:p w14:paraId="05EC0595" w14:textId="77777777" w:rsidR="00E25809" w:rsidRPr="00507E05" w:rsidRDefault="00E25809" w:rsidP="00800414">
      <w:pPr>
        <w:rPr>
          <w:rFonts w:eastAsia="SimSun"/>
          <w:bCs/>
          <w:lang w:eastAsia="zh-CN"/>
        </w:rPr>
      </w:pPr>
    </w:p>
    <w:p w14:paraId="4B3C228B" w14:textId="643E40B3"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Transport specimens at room temperature</w:t>
      </w:r>
      <w:r w:rsidR="00B50884" w:rsidRPr="00507E05">
        <w:rPr>
          <w:rFonts w:ascii="Calibri" w:eastAsia="SimSun" w:hAnsi="Calibri" w:cs="Calibri"/>
          <w:bCs/>
          <w:sz w:val="24"/>
          <w:szCs w:val="24"/>
          <w:lang w:eastAsia="zh-CN"/>
        </w:rPr>
        <w:t xml:space="preserve"> (RT)</w:t>
      </w:r>
      <w:r w:rsidRPr="00507E05">
        <w:rPr>
          <w:rFonts w:ascii="Calibri" w:eastAsia="SimSun" w:hAnsi="Calibri" w:cs="Calibri"/>
          <w:bCs/>
          <w:sz w:val="24"/>
          <w:szCs w:val="24"/>
          <w:lang w:eastAsia="zh-CN"/>
        </w:rPr>
        <w:t xml:space="preserve"> within 4 h or at 2</w:t>
      </w:r>
      <w:r w:rsidR="00B50884" w:rsidRPr="00507E05">
        <w:rPr>
          <w:rFonts w:ascii="Calibri" w:eastAsia="SimSun" w:hAnsi="Calibri" w:cs="Calibri"/>
          <w:bCs/>
          <w:sz w:val="24"/>
          <w:szCs w:val="24"/>
          <w:lang w:eastAsia="zh-CN"/>
        </w:rPr>
        <w:t>–</w:t>
      </w:r>
      <w:r w:rsidRPr="00507E05">
        <w:rPr>
          <w:rFonts w:ascii="Calibri" w:eastAsia="SimSun" w:hAnsi="Calibri" w:cs="Calibri"/>
          <w:bCs/>
          <w:sz w:val="24"/>
          <w:szCs w:val="24"/>
          <w:lang w:eastAsia="zh-CN"/>
        </w:rPr>
        <w:t>8</w:t>
      </w:r>
      <w:r w:rsidR="00B50884" w:rsidRPr="00507E05">
        <w:rPr>
          <w:rFonts w:ascii="Calibri" w:eastAsia="SimSun" w:hAnsi="Calibri" w:cs="Calibri"/>
          <w:bCs/>
          <w:sz w:val="24"/>
          <w:szCs w:val="24"/>
          <w:lang w:eastAsia="zh-CN"/>
        </w:rPr>
        <w:t xml:space="preserve"> °C</w:t>
      </w:r>
      <w:r w:rsidRPr="00507E05">
        <w:rPr>
          <w:rFonts w:ascii="Calibri" w:eastAsia="SimSun" w:hAnsi="Calibri" w:cs="Calibri"/>
          <w:bCs/>
          <w:sz w:val="24"/>
          <w:szCs w:val="24"/>
          <w:lang w:eastAsia="zh-CN"/>
        </w:rPr>
        <w:t xml:space="preserve"> with an ice pack within 24 h.</w:t>
      </w:r>
    </w:p>
    <w:p w14:paraId="5C927676" w14:textId="77777777" w:rsidR="00E25809" w:rsidRPr="00507E05" w:rsidRDefault="00E25809" w:rsidP="00800414">
      <w:pPr>
        <w:rPr>
          <w:rFonts w:eastAsia="SimSun"/>
          <w:bCs/>
          <w:lang w:eastAsia="zh-CN"/>
        </w:rPr>
      </w:pPr>
    </w:p>
    <w:p w14:paraId="5D0615E5" w14:textId="1B2A1F98"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lastRenderedPageBreak/>
        <w:t xml:space="preserve">Store the remaining cell pellets of processed specimens at -20 </w:t>
      </w:r>
      <w:r w:rsidR="00B50884" w:rsidRPr="00507E05">
        <w:rPr>
          <w:rFonts w:ascii="Calibri" w:eastAsia="SimSun" w:hAnsi="Calibri" w:cs="Calibri"/>
          <w:bCs/>
          <w:sz w:val="24"/>
          <w:szCs w:val="24"/>
          <w:lang w:eastAsia="zh-CN"/>
        </w:rPr>
        <w:t xml:space="preserve">°C </w:t>
      </w:r>
      <w:r w:rsidRPr="00507E05">
        <w:rPr>
          <w:rFonts w:ascii="Calibri" w:eastAsia="SimSun" w:hAnsi="Calibri" w:cs="Calibri"/>
          <w:bCs/>
          <w:sz w:val="24"/>
          <w:szCs w:val="24"/>
          <w:lang w:eastAsia="zh-CN"/>
        </w:rPr>
        <w:t xml:space="preserve">for 3 months or -80 </w:t>
      </w:r>
      <w:r w:rsidR="00B50884" w:rsidRPr="00507E05">
        <w:rPr>
          <w:rFonts w:ascii="Calibri" w:eastAsia="SimSun" w:hAnsi="Calibri" w:cs="Calibri"/>
          <w:bCs/>
          <w:sz w:val="24"/>
          <w:szCs w:val="24"/>
          <w:lang w:eastAsia="zh-CN"/>
        </w:rPr>
        <w:t xml:space="preserve">°C </w:t>
      </w:r>
      <w:r w:rsidRPr="00507E05">
        <w:rPr>
          <w:rFonts w:ascii="Calibri" w:eastAsia="SimSun" w:hAnsi="Calibri" w:cs="Calibri"/>
          <w:bCs/>
          <w:sz w:val="24"/>
          <w:szCs w:val="24"/>
          <w:lang w:eastAsia="zh-CN"/>
        </w:rPr>
        <w:t>for up to 6 months if the tests cannot be conducted in a timely manner.</w:t>
      </w:r>
    </w:p>
    <w:p w14:paraId="4D82E581" w14:textId="77777777" w:rsidR="00230057" w:rsidRPr="00507E05" w:rsidRDefault="00230057" w:rsidP="00800414">
      <w:pPr>
        <w:rPr>
          <w:rFonts w:eastAsia="SimSun"/>
          <w:lang w:eastAsia="zh-CN"/>
        </w:rPr>
      </w:pPr>
    </w:p>
    <w:p w14:paraId="31AB749C" w14:textId="77777777" w:rsidR="00230057" w:rsidRPr="00507E05" w:rsidRDefault="00000000" w:rsidP="00036878">
      <w:pPr>
        <w:numPr>
          <w:ilvl w:val="0"/>
          <w:numId w:val="1"/>
        </w:numPr>
        <w:ind w:left="0" w:firstLine="0"/>
        <w:rPr>
          <w:rFonts w:eastAsia="SimSun"/>
          <w:b/>
          <w:highlight w:val="yellow"/>
          <w:lang w:eastAsia="zh-CN"/>
        </w:rPr>
      </w:pPr>
      <w:r w:rsidRPr="00507E05">
        <w:rPr>
          <w:rFonts w:eastAsia="SimSun"/>
          <w:b/>
          <w:highlight w:val="yellow"/>
          <w:lang w:eastAsia="zh-CN"/>
        </w:rPr>
        <w:t>Preparation</w:t>
      </w:r>
    </w:p>
    <w:p w14:paraId="60A80FA5" w14:textId="77777777" w:rsidR="00C910CB" w:rsidRPr="00507E05" w:rsidRDefault="00C910CB" w:rsidP="00036878">
      <w:pPr>
        <w:rPr>
          <w:rFonts w:eastAsia="SimSun"/>
          <w:b/>
          <w:highlight w:val="yellow"/>
          <w:lang w:eastAsia="zh-CN"/>
        </w:rPr>
      </w:pPr>
    </w:p>
    <w:p w14:paraId="19A549FC" w14:textId="7F4F2C4D" w:rsidR="00230057" w:rsidRPr="00507E05" w:rsidRDefault="00000000"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Reagents</w:t>
      </w:r>
    </w:p>
    <w:p w14:paraId="79E4DFB5" w14:textId="77777777" w:rsidR="00E25809" w:rsidRPr="00507E05" w:rsidRDefault="00E25809" w:rsidP="00800414">
      <w:pPr>
        <w:rPr>
          <w:rFonts w:eastAsia="SimSun"/>
          <w:bCs/>
          <w:highlight w:val="yellow"/>
          <w:lang w:eastAsia="zh-CN"/>
        </w:rPr>
      </w:pPr>
    </w:p>
    <w:p w14:paraId="7513FCB2" w14:textId="13F3AAC7" w:rsidR="00230057" w:rsidRPr="00507E05" w:rsidRDefault="006F0D0C"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For reagents of NG nucleic acid assay, refer to </w:t>
      </w:r>
      <w:r w:rsidRPr="00507E05">
        <w:rPr>
          <w:rFonts w:ascii="Calibri" w:eastAsia="SimSun" w:hAnsi="Calibri" w:cs="Calibri"/>
          <w:b/>
          <w:sz w:val="24"/>
          <w:szCs w:val="24"/>
          <w:highlight w:val="yellow"/>
          <w:lang w:eastAsia="zh-CN"/>
        </w:rPr>
        <w:t>Supplementary Table 2</w:t>
      </w:r>
      <w:r w:rsidRPr="00507E05">
        <w:rPr>
          <w:rFonts w:ascii="Calibri" w:eastAsia="SimSun" w:hAnsi="Calibri" w:cs="Calibri"/>
          <w:bCs/>
          <w:sz w:val="24"/>
          <w:szCs w:val="24"/>
          <w:highlight w:val="yellow"/>
          <w:lang w:eastAsia="zh-CN"/>
        </w:rPr>
        <w:t>.</w:t>
      </w:r>
    </w:p>
    <w:p w14:paraId="4989234D" w14:textId="73EB12F7" w:rsidR="001B1733" w:rsidRPr="00507E05" w:rsidRDefault="001B1733" w:rsidP="00800414">
      <w:pPr>
        <w:rPr>
          <w:rFonts w:eastAsia="SimSun"/>
          <w:bCs/>
          <w:highlight w:val="yellow"/>
          <w:lang w:eastAsia="zh-CN"/>
        </w:rPr>
      </w:pPr>
    </w:p>
    <w:p w14:paraId="00F30317" w14:textId="37DB66AA" w:rsidR="00230057" w:rsidRPr="00507E05" w:rsidRDefault="006F0D0C"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For reagents of CT nucleic acid assay, refer to </w:t>
      </w:r>
      <w:r w:rsidRPr="00507E05">
        <w:rPr>
          <w:rFonts w:ascii="Calibri" w:eastAsia="SimSun" w:hAnsi="Calibri" w:cs="Calibri"/>
          <w:b/>
          <w:sz w:val="24"/>
          <w:szCs w:val="24"/>
          <w:highlight w:val="yellow"/>
          <w:lang w:eastAsia="zh-CN"/>
        </w:rPr>
        <w:t>Supplementary Table 3</w:t>
      </w:r>
      <w:r w:rsidRPr="00507E05">
        <w:rPr>
          <w:rFonts w:ascii="Calibri" w:eastAsia="SimSun" w:hAnsi="Calibri" w:cs="Calibri"/>
          <w:bCs/>
          <w:sz w:val="24"/>
          <w:szCs w:val="24"/>
          <w:highlight w:val="yellow"/>
          <w:lang w:eastAsia="zh-CN"/>
        </w:rPr>
        <w:t>.</w:t>
      </w:r>
    </w:p>
    <w:p w14:paraId="158BA2BE" w14:textId="77777777" w:rsidR="00230057" w:rsidRPr="00507E05" w:rsidRDefault="00230057" w:rsidP="00800414">
      <w:pPr>
        <w:rPr>
          <w:rFonts w:eastAsia="SimSun"/>
          <w:bCs/>
          <w:highlight w:val="yellow"/>
          <w:lang w:eastAsia="zh-CN"/>
        </w:rPr>
      </w:pPr>
    </w:p>
    <w:p w14:paraId="28EF0A06" w14:textId="3EF289A4" w:rsidR="00230057" w:rsidRPr="00507E05" w:rsidRDefault="006F0D0C"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highlight w:val="yellow"/>
          <w:lang w:eastAsia="zh-CN"/>
        </w:rPr>
        <w:t xml:space="preserve">For reagents of UU nucleic acid assay, refer to </w:t>
      </w:r>
      <w:r w:rsidRPr="00507E05">
        <w:rPr>
          <w:rFonts w:ascii="Calibri" w:eastAsia="SimSun" w:hAnsi="Calibri" w:cs="Calibri"/>
          <w:b/>
          <w:sz w:val="24"/>
          <w:szCs w:val="24"/>
          <w:highlight w:val="yellow"/>
          <w:lang w:eastAsia="zh-CN"/>
        </w:rPr>
        <w:t>Supplementary Table 4</w:t>
      </w:r>
      <w:r w:rsidRPr="00507E05">
        <w:rPr>
          <w:rFonts w:ascii="Calibri" w:eastAsia="SimSun" w:hAnsi="Calibri" w:cs="Calibri"/>
          <w:bCs/>
          <w:sz w:val="24"/>
          <w:szCs w:val="24"/>
          <w:highlight w:val="yellow"/>
          <w:lang w:eastAsia="zh-CN"/>
        </w:rPr>
        <w:t>.</w:t>
      </w:r>
    </w:p>
    <w:p w14:paraId="6EAC4990" w14:textId="77777777" w:rsidR="00230057" w:rsidRPr="00507E05" w:rsidRDefault="00230057" w:rsidP="00800414">
      <w:pPr>
        <w:rPr>
          <w:rFonts w:eastAsia="SimSun"/>
          <w:bCs/>
          <w:lang w:eastAsia="zh-CN"/>
        </w:rPr>
      </w:pPr>
    </w:p>
    <w:p w14:paraId="2437CCB5" w14:textId="400A35BC" w:rsidR="00230057" w:rsidRPr="00507E05" w:rsidRDefault="00000000" w:rsidP="00800414">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highlight w:val="yellow"/>
          <w:lang w:eastAsia="zh-CN"/>
        </w:rPr>
        <w:t>Storage</w:t>
      </w:r>
      <w:r w:rsidR="00B50884" w:rsidRPr="00507E05">
        <w:rPr>
          <w:rFonts w:ascii="Calibri" w:eastAsia="SimSun" w:hAnsi="Calibri" w:cs="Calibri"/>
          <w:bCs/>
          <w:sz w:val="24"/>
          <w:szCs w:val="24"/>
          <w:highlight w:val="yellow"/>
          <w:lang w:eastAsia="zh-CN"/>
        </w:rPr>
        <w:t>: Store a</w:t>
      </w:r>
      <w:r w:rsidRPr="00507E05">
        <w:rPr>
          <w:rFonts w:ascii="Calibri" w:eastAsia="SimSun" w:hAnsi="Calibri" w:cs="Calibri"/>
          <w:bCs/>
          <w:sz w:val="24"/>
          <w:szCs w:val="24"/>
          <w:highlight w:val="yellow"/>
          <w:lang w:eastAsia="zh-CN"/>
        </w:rPr>
        <w:t>ll reagents at temperatures ranging from -40</w:t>
      </w:r>
      <w:r w:rsidR="00B50884" w:rsidRPr="00507E05">
        <w:rPr>
          <w:rFonts w:ascii="Calibri" w:eastAsia="SimSun" w:hAnsi="Calibri" w:cs="Calibri"/>
          <w:bCs/>
          <w:sz w:val="24"/>
          <w:szCs w:val="24"/>
          <w:highlight w:val="yellow"/>
          <w:lang w:eastAsia="zh-CN"/>
        </w:rPr>
        <w:t xml:space="preserve"> °C </w:t>
      </w:r>
      <w:r w:rsidRPr="00507E05">
        <w:rPr>
          <w:rFonts w:ascii="Calibri" w:eastAsia="SimSun" w:hAnsi="Calibri" w:cs="Calibri"/>
          <w:bCs/>
          <w:sz w:val="24"/>
          <w:szCs w:val="24"/>
          <w:highlight w:val="yellow"/>
          <w:lang w:eastAsia="zh-CN"/>
        </w:rPr>
        <w:t xml:space="preserve"> to -15</w:t>
      </w:r>
      <w:r w:rsidR="00B50884" w:rsidRPr="00507E05">
        <w:rPr>
          <w:rFonts w:ascii="Calibri" w:eastAsia="SimSun" w:hAnsi="Calibri" w:cs="Calibri"/>
          <w:bCs/>
          <w:sz w:val="24"/>
          <w:szCs w:val="24"/>
          <w:highlight w:val="yellow"/>
          <w:lang w:eastAsia="zh-CN"/>
        </w:rPr>
        <w:t xml:space="preserve"> °C and </w:t>
      </w:r>
      <w:r w:rsidRPr="00507E05">
        <w:rPr>
          <w:rFonts w:ascii="Calibri" w:eastAsia="SimSun" w:hAnsi="Calibri" w:cs="Calibri"/>
          <w:bCs/>
          <w:sz w:val="24"/>
          <w:szCs w:val="24"/>
          <w:highlight w:val="yellow"/>
          <w:lang w:eastAsia="zh-CN"/>
        </w:rPr>
        <w:t>the detection cards at temperatures between 2</w:t>
      </w:r>
      <w:r w:rsidR="00B50884" w:rsidRPr="00507E05">
        <w:rPr>
          <w:rFonts w:ascii="Calibri" w:eastAsia="SimSun" w:hAnsi="Calibri" w:cs="Calibri"/>
          <w:bCs/>
          <w:sz w:val="24"/>
          <w:szCs w:val="24"/>
          <w:highlight w:val="yellow"/>
          <w:lang w:eastAsia="zh-CN"/>
        </w:rPr>
        <w:t xml:space="preserve"> °C </w:t>
      </w:r>
      <w:r w:rsidRPr="00507E05">
        <w:rPr>
          <w:rFonts w:ascii="Calibri" w:eastAsia="SimSun" w:hAnsi="Calibri" w:cs="Calibri"/>
          <w:bCs/>
          <w:sz w:val="24"/>
          <w:szCs w:val="24"/>
          <w:highlight w:val="yellow"/>
          <w:lang w:eastAsia="zh-CN"/>
        </w:rPr>
        <w:t xml:space="preserve"> and 30</w:t>
      </w:r>
      <w:r w:rsidR="00B50884" w:rsidRPr="00507E05">
        <w:rPr>
          <w:rFonts w:ascii="Calibri" w:eastAsia="SimSun" w:hAnsi="Calibri" w:cs="Calibri"/>
          <w:bCs/>
          <w:sz w:val="24"/>
          <w:szCs w:val="24"/>
          <w:highlight w:val="yellow"/>
          <w:lang w:eastAsia="zh-CN"/>
        </w:rPr>
        <w:t xml:space="preserve"> °C</w:t>
      </w:r>
      <w:r w:rsidRPr="00507E05">
        <w:rPr>
          <w:rFonts w:ascii="Calibri" w:eastAsia="SimSun" w:hAnsi="Calibri" w:cs="Calibri"/>
          <w:bCs/>
          <w:sz w:val="24"/>
          <w:szCs w:val="24"/>
          <w:highlight w:val="yellow"/>
          <w:lang w:eastAsia="zh-CN"/>
        </w:rPr>
        <w:t>.</w:t>
      </w:r>
    </w:p>
    <w:p w14:paraId="7A55830E" w14:textId="77777777" w:rsidR="00B50884" w:rsidRPr="00507E05" w:rsidRDefault="00B50884" w:rsidP="00F501D0">
      <w:pPr>
        <w:pStyle w:val="ListParagraph"/>
        <w:spacing w:after="0" w:line="240" w:lineRule="auto"/>
        <w:ind w:left="0"/>
        <w:rPr>
          <w:rFonts w:ascii="Calibri" w:eastAsia="SimSun" w:hAnsi="Calibri" w:cs="Calibri"/>
          <w:bCs/>
          <w:sz w:val="24"/>
          <w:szCs w:val="24"/>
          <w:lang w:eastAsia="zh-CN"/>
        </w:rPr>
      </w:pPr>
    </w:p>
    <w:p w14:paraId="37D19607" w14:textId="43AF98BF" w:rsidR="00230057" w:rsidRPr="00507E05" w:rsidRDefault="00B50884" w:rsidP="00800414">
      <w:pPr>
        <w:rPr>
          <w:rFonts w:eastAsia="SimSun"/>
          <w:bCs/>
          <w:lang w:eastAsia="zh-CN"/>
        </w:rPr>
      </w:pPr>
      <w:r w:rsidRPr="00507E05">
        <w:rPr>
          <w:rFonts w:eastAsia="SimSun"/>
          <w:bCs/>
          <w:lang w:eastAsia="zh-CN"/>
        </w:rPr>
        <w:t>NOTE: The amplification buffer and detection solution should be equilibrated to RT before use, based on the daily detection requirements. After reaching RT, they should be stored at 4 °C and can be used for the next detection. Avoid repeated freezing and thawing. The amplification enzyme should be stored at -20 °C except during the experimental process. An increase in storage temperature can lead to a decline or loss of enzyme activity.</w:t>
      </w:r>
    </w:p>
    <w:p w14:paraId="783FB948" w14:textId="77777777" w:rsidR="00230057" w:rsidRPr="00507E05" w:rsidRDefault="00230057" w:rsidP="00800414">
      <w:pPr>
        <w:rPr>
          <w:rFonts w:eastAsia="SimSun"/>
          <w:bCs/>
          <w:lang w:eastAsia="zh-CN"/>
        </w:rPr>
      </w:pPr>
    </w:p>
    <w:p w14:paraId="3FB3E549" w14:textId="364B3D81" w:rsidR="00230057" w:rsidRPr="00507E05" w:rsidRDefault="00000000" w:rsidP="00036878">
      <w:pPr>
        <w:pStyle w:val="ListParagraph"/>
        <w:numPr>
          <w:ilvl w:val="1"/>
          <w:numId w:val="1"/>
        </w:numPr>
        <w:spacing w:after="0" w:line="240" w:lineRule="auto"/>
        <w:ind w:left="0" w:firstLine="0"/>
        <w:rPr>
          <w:rFonts w:ascii="Calibri" w:eastAsia="SimSun" w:hAnsi="Calibri" w:cs="Calibri"/>
          <w:b/>
          <w:sz w:val="24"/>
          <w:szCs w:val="24"/>
          <w:lang w:eastAsia="zh-CN"/>
        </w:rPr>
      </w:pPr>
      <w:r w:rsidRPr="00507E05">
        <w:rPr>
          <w:rFonts w:ascii="Calibri" w:eastAsia="SimSun" w:hAnsi="Calibri" w:cs="Calibri"/>
          <w:bCs/>
          <w:sz w:val="24"/>
          <w:szCs w:val="24"/>
          <w:lang w:eastAsia="zh-CN"/>
        </w:rPr>
        <w:t xml:space="preserve">Experimental </w:t>
      </w:r>
      <w:r w:rsidR="00C910CB" w:rsidRPr="00507E05">
        <w:rPr>
          <w:rFonts w:ascii="Calibri" w:eastAsia="SimSun" w:hAnsi="Calibri" w:cs="Calibri"/>
          <w:bCs/>
          <w:sz w:val="24"/>
          <w:szCs w:val="24"/>
          <w:lang w:eastAsia="zh-CN"/>
        </w:rPr>
        <w:t>environment requirements</w:t>
      </w:r>
    </w:p>
    <w:p w14:paraId="70D3BABB" w14:textId="77777777" w:rsidR="00E25809" w:rsidRPr="00507E05" w:rsidRDefault="00E25809" w:rsidP="00800414">
      <w:pPr>
        <w:widowControl/>
        <w:jc w:val="left"/>
        <w:rPr>
          <w:rFonts w:eastAsia="SimSun"/>
          <w:bCs/>
          <w:lang w:eastAsia="zh-CN"/>
        </w:rPr>
      </w:pPr>
    </w:p>
    <w:p w14:paraId="736FEB2C" w14:textId="7F834D0F"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Conduct the experiment in four physically separated zones: </w:t>
      </w:r>
    </w:p>
    <w:p w14:paraId="7B6C69EB" w14:textId="77777777" w:rsidR="00E25809" w:rsidRPr="00507E05" w:rsidRDefault="00E25809" w:rsidP="00800414">
      <w:pPr>
        <w:widowControl/>
        <w:jc w:val="left"/>
        <w:rPr>
          <w:rFonts w:eastAsia="SimSun"/>
          <w:bCs/>
          <w:lang w:eastAsia="zh-CN"/>
        </w:rPr>
      </w:pPr>
    </w:p>
    <w:p w14:paraId="279DE608" w14:textId="51FEE68F"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Reagent preparation area: Mai</w:t>
      </w:r>
      <w:r w:rsidR="00B50884" w:rsidRPr="00507E05">
        <w:rPr>
          <w:rFonts w:ascii="Calibri" w:eastAsia="SimSun" w:hAnsi="Calibri" w:cs="Calibri"/>
          <w:bCs/>
          <w:sz w:val="24"/>
          <w:szCs w:val="24"/>
          <w:lang w:eastAsia="zh-CN"/>
        </w:rPr>
        <w:t>n</w:t>
      </w:r>
      <w:r w:rsidRPr="00507E05">
        <w:rPr>
          <w:rFonts w:ascii="Calibri" w:eastAsia="SimSun" w:hAnsi="Calibri" w:cs="Calibri"/>
          <w:bCs/>
          <w:sz w:val="24"/>
          <w:szCs w:val="24"/>
          <w:lang w:eastAsia="zh-CN"/>
        </w:rPr>
        <w:t>tain at 22 ±</w:t>
      </w:r>
      <w:r w:rsidR="00B50884" w:rsidRPr="00507E05">
        <w:rPr>
          <w:rFonts w:ascii="Calibri" w:eastAsia="SimSun" w:hAnsi="Calibri" w:cs="Calibri"/>
          <w:bCs/>
          <w:sz w:val="24"/>
          <w:szCs w:val="24"/>
          <w:lang w:eastAsia="zh-CN"/>
        </w:rPr>
        <w:t xml:space="preserve"> </w:t>
      </w:r>
      <w:r w:rsidRPr="00507E05">
        <w:rPr>
          <w:rFonts w:ascii="Calibri" w:eastAsia="SimSun" w:hAnsi="Calibri" w:cs="Calibri"/>
          <w:bCs/>
          <w:sz w:val="24"/>
          <w:szCs w:val="24"/>
          <w:lang w:eastAsia="zh-CN"/>
        </w:rPr>
        <w:t>1</w:t>
      </w:r>
      <w:r w:rsidR="00B50884" w:rsidRPr="00507E05">
        <w:rPr>
          <w:rFonts w:ascii="Calibri" w:eastAsia="SimSun" w:hAnsi="Calibri" w:cs="Calibri"/>
          <w:bCs/>
          <w:sz w:val="24"/>
          <w:szCs w:val="24"/>
          <w:lang w:eastAsia="zh-CN"/>
        </w:rPr>
        <w:t xml:space="preserve">°C </w:t>
      </w:r>
      <w:r w:rsidRPr="00507E05">
        <w:rPr>
          <w:rFonts w:ascii="Calibri" w:eastAsia="SimSun" w:hAnsi="Calibri" w:cs="Calibri"/>
          <w:bCs/>
          <w:sz w:val="24"/>
          <w:szCs w:val="24"/>
          <w:lang w:eastAsia="zh-CN"/>
        </w:rPr>
        <w:t>with positive air pressure (</w:t>
      </w:r>
      <w:r w:rsidR="00B50884" w:rsidRPr="00507E05">
        <w:rPr>
          <w:rFonts w:ascii="Calibri" w:eastAsia="SimSun" w:hAnsi="Calibri" w:cs="Calibri"/>
          <w:bCs/>
          <w:sz w:val="24"/>
          <w:szCs w:val="24"/>
          <w:lang w:eastAsia="zh-CN"/>
        </w:rPr>
        <w:t>High-efficiency particulate air (</w:t>
      </w:r>
      <w:r w:rsidRPr="00507E05">
        <w:rPr>
          <w:rFonts w:ascii="Calibri" w:eastAsia="SimSun" w:hAnsi="Calibri" w:cs="Calibri"/>
          <w:bCs/>
          <w:sz w:val="24"/>
          <w:szCs w:val="24"/>
          <w:lang w:eastAsia="zh-CN"/>
        </w:rPr>
        <w:t>HEPA</w:t>
      </w:r>
      <w:r w:rsidR="00B50884" w:rsidRPr="00507E05">
        <w:rPr>
          <w:rFonts w:ascii="Calibri" w:eastAsia="SimSun" w:hAnsi="Calibri" w:cs="Calibri"/>
          <w:bCs/>
          <w:sz w:val="24"/>
          <w:szCs w:val="24"/>
          <w:lang w:eastAsia="zh-CN"/>
        </w:rPr>
        <w:t>)</w:t>
      </w:r>
      <w:r w:rsidRPr="00507E05">
        <w:rPr>
          <w:rFonts w:ascii="Calibri" w:eastAsia="SimSun" w:hAnsi="Calibri" w:cs="Calibri"/>
          <w:bCs/>
          <w:sz w:val="24"/>
          <w:szCs w:val="24"/>
          <w:lang w:eastAsia="zh-CN"/>
        </w:rPr>
        <w:t>-filtered airflow rate</w:t>
      </w:r>
      <w:r w:rsidR="00B50884" w:rsidRPr="00507E05">
        <w:rPr>
          <w:rFonts w:ascii="Calibri" w:eastAsia="SimSun" w:hAnsi="Calibri" w:cs="Calibri"/>
          <w:bCs/>
          <w:sz w:val="24"/>
          <w:szCs w:val="24"/>
          <w:lang w:eastAsia="zh-CN"/>
        </w:rPr>
        <w:t xml:space="preserve"> </w:t>
      </w:r>
      <w:r w:rsidRPr="00507E05">
        <w:rPr>
          <w:rFonts w:ascii="Calibri" w:eastAsia="Segoe UI" w:hAnsi="Calibri" w:cs="Calibri"/>
          <w:sz w:val="24"/>
          <w:szCs w:val="24"/>
          <w:shd w:val="clear" w:color="auto" w:fill="FFFFFF"/>
        </w:rPr>
        <w:t>≥</w:t>
      </w:r>
      <w:r w:rsidRPr="00507E05">
        <w:rPr>
          <w:rFonts w:ascii="Calibri" w:eastAsia="SimSun" w:hAnsi="Calibri" w:cs="Calibri"/>
          <w:sz w:val="24"/>
          <w:szCs w:val="24"/>
          <w:shd w:val="clear" w:color="auto" w:fill="FFFFFF"/>
          <w:lang w:eastAsia="zh-CN"/>
        </w:rPr>
        <w:t xml:space="preserve"> 0.3 m/s). Store pre-aliquoted reagents in UV-sterilized cabinets.</w:t>
      </w:r>
    </w:p>
    <w:p w14:paraId="2EB819B7" w14:textId="77777777" w:rsidR="00E25809" w:rsidRPr="00507E05" w:rsidRDefault="00E25809" w:rsidP="00800414">
      <w:pPr>
        <w:widowControl/>
        <w:jc w:val="left"/>
        <w:rPr>
          <w:rFonts w:eastAsia="SimSun"/>
          <w:bCs/>
          <w:lang w:eastAsia="zh-CN"/>
        </w:rPr>
      </w:pPr>
    </w:p>
    <w:p w14:paraId="6F8E7BDF" w14:textId="7441A3D2"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Sample preparation area: Perform all specimen handling in a Class II biological safety cabinet pre-treated with 70% ethanol.</w:t>
      </w:r>
    </w:p>
    <w:p w14:paraId="19812223" w14:textId="77777777" w:rsidR="00E25809" w:rsidRPr="00507E05" w:rsidRDefault="00E25809" w:rsidP="00800414">
      <w:pPr>
        <w:widowControl/>
        <w:jc w:val="left"/>
        <w:rPr>
          <w:rFonts w:eastAsia="SimSun"/>
          <w:bCs/>
          <w:lang w:eastAsia="zh-CN"/>
        </w:rPr>
      </w:pPr>
    </w:p>
    <w:p w14:paraId="48331857" w14:textId="0017983F"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Amplification area: Operate thermal cyclers on anti-vibration tables. </w:t>
      </w:r>
    </w:p>
    <w:p w14:paraId="62D67E81" w14:textId="77777777" w:rsidR="00E25809" w:rsidRPr="00507E05" w:rsidRDefault="00E25809" w:rsidP="00800414">
      <w:pPr>
        <w:widowControl/>
        <w:jc w:val="left"/>
        <w:rPr>
          <w:rFonts w:eastAsia="SimSun"/>
          <w:bCs/>
          <w:lang w:eastAsia="zh-CN"/>
        </w:rPr>
      </w:pPr>
    </w:p>
    <w:p w14:paraId="6B39A508" w14:textId="401BF4C0"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Product analysis area: Use a UV-sterilized bench (30 min exposure pre/post use).</w:t>
      </w:r>
    </w:p>
    <w:p w14:paraId="59DF7784" w14:textId="77777777" w:rsidR="00E25809" w:rsidRPr="00507E05" w:rsidRDefault="00E25809" w:rsidP="00800414">
      <w:pPr>
        <w:rPr>
          <w:rFonts w:eastAsia="SimSun"/>
          <w:bCs/>
          <w:lang w:eastAsia="zh-CN"/>
        </w:rPr>
      </w:pPr>
    </w:p>
    <w:p w14:paraId="1D7D2589" w14:textId="3ADFE3A7"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Regulate personnel and airflow in each section to prevent cross-contamination as follows:</w:t>
      </w:r>
    </w:p>
    <w:p w14:paraId="6FA3CA1D" w14:textId="77777777" w:rsidR="00E25809" w:rsidRPr="00507E05" w:rsidRDefault="00E25809" w:rsidP="00800414">
      <w:pPr>
        <w:rPr>
          <w:rFonts w:eastAsia="SimSun"/>
          <w:shd w:val="clear" w:color="auto" w:fill="FFFFFF"/>
          <w:lang w:eastAsia="zh-CN"/>
        </w:rPr>
      </w:pPr>
    </w:p>
    <w:p w14:paraId="6515B589" w14:textId="75084231" w:rsidR="00230057" w:rsidRPr="00507E05" w:rsidRDefault="00000000" w:rsidP="00036878">
      <w:pPr>
        <w:pStyle w:val="ListParagraph"/>
        <w:numPr>
          <w:ilvl w:val="3"/>
          <w:numId w:val="1"/>
        </w:numPr>
        <w:spacing w:after="0" w:line="240" w:lineRule="auto"/>
        <w:ind w:left="0" w:firstLine="0"/>
        <w:rPr>
          <w:rFonts w:ascii="Calibri" w:eastAsia="SimSun" w:hAnsi="Calibri" w:cs="Calibri"/>
          <w:sz w:val="24"/>
          <w:szCs w:val="24"/>
          <w:shd w:val="clear" w:color="auto" w:fill="FFFFFF"/>
          <w:lang w:eastAsia="zh-CN"/>
        </w:rPr>
      </w:pPr>
      <w:r w:rsidRPr="00507E05">
        <w:rPr>
          <w:rFonts w:ascii="Calibri" w:eastAsia="Segoe UI" w:hAnsi="Calibri" w:cs="Calibri"/>
          <w:sz w:val="24"/>
          <w:szCs w:val="24"/>
          <w:shd w:val="clear" w:color="auto" w:fill="FFFFFF"/>
        </w:rPr>
        <w:t>Maintain unidirectional airflow from reagent preparation to product analysis zones</w:t>
      </w:r>
      <w:r w:rsidRPr="00507E05">
        <w:rPr>
          <w:rFonts w:ascii="Calibri" w:eastAsia="SimSun" w:hAnsi="Calibri" w:cs="Calibri"/>
          <w:sz w:val="24"/>
          <w:szCs w:val="24"/>
          <w:shd w:val="clear" w:color="auto" w:fill="FFFFFF"/>
          <w:lang w:eastAsia="zh-CN"/>
        </w:rPr>
        <w:t>.</w:t>
      </w:r>
    </w:p>
    <w:p w14:paraId="0B9C51E4" w14:textId="77777777" w:rsidR="00E25809" w:rsidRPr="00507E05" w:rsidRDefault="00E25809" w:rsidP="00800414">
      <w:pPr>
        <w:rPr>
          <w:rFonts w:eastAsia="SimSun"/>
          <w:shd w:val="clear" w:color="auto" w:fill="FFFFFF"/>
          <w:lang w:eastAsia="zh-CN"/>
        </w:rPr>
      </w:pPr>
    </w:p>
    <w:p w14:paraId="0CE22E87" w14:textId="03F62EAC" w:rsidR="00230057" w:rsidRPr="00507E05" w:rsidRDefault="00000000" w:rsidP="00036878">
      <w:pPr>
        <w:pStyle w:val="ListParagraph"/>
        <w:numPr>
          <w:ilvl w:val="3"/>
          <w:numId w:val="1"/>
        </w:numPr>
        <w:spacing w:after="0" w:line="240" w:lineRule="auto"/>
        <w:ind w:left="0" w:firstLine="0"/>
        <w:rPr>
          <w:rFonts w:ascii="Calibri" w:eastAsia="SimSun" w:hAnsi="Calibri" w:cs="Calibri"/>
          <w:sz w:val="24"/>
          <w:szCs w:val="24"/>
          <w:shd w:val="clear" w:color="auto" w:fill="FFFFFF"/>
          <w:lang w:eastAsia="zh-CN"/>
        </w:rPr>
      </w:pPr>
      <w:r w:rsidRPr="00507E05">
        <w:rPr>
          <w:rFonts w:ascii="Calibri" w:eastAsia="Segoe UI" w:hAnsi="Calibri" w:cs="Calibri"/>
          <w:sz w:val="24"/>
          <w:szCs w:val="24"/>
          <w:shd w:val="clear" w:color="auto" w:fill="FFFFFF"/>
        </w:rPr>
        <w:lastRenderedPageBreak/>
        <w:t xml:space="preserve">Ensure negative pressure in </w:t>
      </w:r>
      <w:r w:rsidR="00B50884" w:rsidRPr="00507E05">
        <w:rPr>
          <w:rFonts w:ascii="Calibri" w:eastAsia="Segoe UI" w:hAnsi="Calibri" w:cs="Calibri"/>
          <w:sz w:val="24"/>
          <w:szCs w:val="24"/>
          <w:shd w:val="clear" w:color="auto" w:fill="FFFFFF"/>
        </w:rPr>
        <w:t xml:space="preserve">the </w:t>
      </w:r>
      <w:r w:rsidRPr="00507E05">
        <w:rPr>
          <w:rFonts w:ascii="Calibri" w:eastAsia="Segoe UI" w:hAnsi="Calibri" w:cs="Calibri"/>
          <w:sz w:val="24"/>
          <w:szCs w:val="24"/>
          <w:shd w:val="clear" w:color="auto" w:fill="FFFFFF"/>
        </w:rPr>
        <w:t>sample preparation area (-5 Pa relative to adjacent zones)</w:t>
      </w:r>
      <w:r w:rsidRPr="00507E05">
        <w:rPr>
          <w:rFonts w:ascii="Calibri" w:eastAsia="SimSun" w:hAnsi="Calibri" w:cs="Calibri"/>
          <w:sz w:val="24"/>
          <w:szCs w:val="24"/>
          <w:shd w:val="clear" w:color="auto" w:fill="FFFFFF"/>
          <w:lang w:eastAsia="zh-CN"/>
        </w:rPr>
        <w:t>.</w:t>
      </w:r>
    </w:p>
    <w:p w14:paraId="40F7B73B" w14:textId="77777777" w:rsidR="00E25809" w:rsidRPr="00507E05" w:rsidRDefault="00E25809" w:rsidP="00800414">
      <w:pPr>
        <w:rPr>
          <w:rFonts w:eastAsia="SimSun"/>
          <w:shd w:val="clear" w:color="auto" w:fill="FFFFFF"/>
          <w:lang w:eastAsia="zh-CN"/>
        </w:rPr>
      </w:pPr>
    </w:p>
    <w:p w14:paraId="5C1F97C8" w14:textId="2D24AB3D" w:rsidR="00230057" w:rsidRPr="00507E05" w:rsidRDefault="00000000" w:rsidP="00036878">
      <w:pPr>
        <w:pStyle w:val="ListParagraph"/>
        <w:numPr>
          <w:ilvl w:val="3"/>
          <w:numId w:val="1"/>
        </w:numPr>
        <w:spacing w:after="0" w:line="240" w:lineRule="auto"/>
        <w:ind w:left="0" w:firstLine="0"/>
        <w:rPr>
          <w:rFonts w:ascii="Calibri" w:eastAsia="SimSun" w:hAnsi="Calibri" w:cs="Calibri"/>
          <w:sz w:val="24"/>
          <w:szCs w:val="24"/>
          <w:shd w:val="clear" w:color="auto" w:fill="FFFFFF"/>
          <w:lang w:eastAsia="zh-CN"/>
        </w:rPr>
      </w:pPr>
      <w:r w:rsidRPr="00507E05">
        <w:rPr>
          <w:rFonts w:ascii="Calibri" w:eastAsia="Segoe UI" w:hAnsi="Calibri" w:cs="Calibri"/>
          <w:sz w:val="24"/>
          <w:szCs w:val="24"/>
          <w:shd w:val="clear" w:color="auto" w:fill="FFFFFF"/>
        </w:rPr>
        <w:t>Restrict personnel movement; decontaminate gloves with 7</w:t>
      </w:r>
      <w:r w:rsidR="00640284" w:rsidRPr="00507E05">
        <w:rPr>
          <w:rFonts w:ascii="Calibri" w:eastAsiaTheme="minorEastAsia" w:hAnsi="Calibri" w:cs="Calibri"/>
          <w:sz w:val="24"/>
          <w:szCs w:val="24"/>
          <w:shd w:val="clear" w:color="auto" w:fill="FFFFFF"/>
          <w:lang w:eastAsia="zh-CN"/>
        </w:rPr>
        <w:t>5</w:t>
      </w:r>
      <w:r w:rsidRPr="00507E05">
        <w:rPr>
          <w:rFonts w:ascii="Calibri" w:eastAsia="Segoe UI" w:hAnsi="Calibri" w:cs="Calibri"/>
          <w:sz w:val="24"/>
          <w:szCs w:val="24"/>
          <w:shd w:val="clear" w:color="auto" w:fill="FFFFFF"/>
        </w:rPr>
        <w:t>% ethanol before zone transitions</w:t>
      </w:r>
      <w:r w:rsidRPr="00507E05">
        <w:rPr>
          <w:rFonts w:ascii="Calibri" w:eastAsia="SimSun" w:hAnsi="Calibri" w:cs="Calibri"/>
          <w:sz w:val="24"/>
          <w:szCs w:val="24"/>
          <w:shd w:val="clear" w:color="auto" w:fill="FFFFFF"/>
          <w:lang w:eastAsia="zh-CN"/>
        </w:rPr>
        <w:t>.</w:t>
      </w:r>
    </w:p>
    <w:p w14:paraId="0CF28325" w14:textId="77777777" w:rsidR="00E25809" w:rsidRPr="00507E05" w:rsidRDefault="00E25809" w:rsidP="00800414">
      <w:pPr>
        <w:rPr>
          <w:rFonts w:eastAsia="SimSun"/>
          <w:shd w:val="clear" w:color="auto" w:fill="FFFFFF"/>
          <w:lang w:eastAsia="zh-CN"/>
        </w:rPr>
      </w:pPr>
    </w:p>
    <w:p w14:paraId="430EA9F9" w14:textId="3A2D4021" w:rsidR="00230057" w:rsidRPr="00507E05" w:rsidRDefault="00000000" w:rsidP="00036878">
      <w:pPr>
        <w:pStyle w:val="ListParagraph"/>
        <w:numPr>
          <w:ilvl w:val="3"/>
          <w:numId w:val="1"/>
        </w:numPr>
        <w:spacing w:after="0" w:line="240" w:lineRule="auto"/>
        <w:ind w:left="0" w:firstLine="0"/>
        <w:rPr>
          <w:rFonts w:ascii="Calibri" w:eastAsia="SimSun" w:hAnsi="Calibri" w:cs="Calibri"/>
          <w:sz w:val="24"/>
          <w:szCs w:val="24"/>
          <w:shd w:val="clear" w:color="auto" w:fill="FFFFFF"/>
          <w:lang w:eastAsia="zh-CN"/>
        </w:rPr>
      </w:pPr>
      <w:r w:rsidRPr="00507E05">
        <w:rPr>
          <w:rFonts w:ascii="Calibri" w:eastAsia="Segoe UI" w:hAnsi="Calibri" w:cs="Calibri"/>
          <w:sz w:val="24"/>
          <w:szCs w:val="24"/>
          <w:shd w:val="clear" w:color="auto" w:fill="FFFFFF"/>
        </w:rPr>
        <w:t>Install airlock doors with interlock systems (minimum 30 s delay between openings)</w:t>
      </w:r>
      <w:r w:rsidRPr="00507E05">
        <w:rPr>
          <w:rFonts w:ascii="Calibri" w:eastAsia="SimSun" w:hAnsi="Calibri" w:cs="Calibri"/>
          <w:sz w:val="24"/>
          <w:szCs w:val="24"/>
          <w:shd w:val="clear" w:color="auto" w:fill="FFFFFF"/>
          <w:lang w:eastAsia="zh-CN"/>
        </w:rPr>
        <w:t>.</w:t>
      </w:r>
    </w:p>
    <w:p w14:paraId="109DC6AA" w14:textId="77777777" w:rsidR="00E25809" w:rsidRPr="00507E05" w:rsidRDefault="00E25809" w:rsidP="00800414">
      <w:pPr>
        <w:rPr>
          <w:rFonts w:eastAsia="SimSun"/>
          <w:bCs/>
          <w:lang w:eastAsia="zh-CN"/>
        </w:rPr>
      </w:pPr>
    </w:p>
    <w:p w14:paraId="249B98E4" w14:textId="5FA9248F"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Use zone-specific consumables (e.g., centrifuge tubes, pipette tips, etc.) and discard consumables after </w:t>
      </w:r>
      <w:r w:rsidR="00B50884" w:rsidRPr="00507E05">
        <w:rPr>
          <w:rFonts w:ascii="Calibri" w:eastAsia="SimSun" w:hAnsi="Calibri" w:cs="Calibri"/>
          <w:bCs/>
          <w:sz w:val="24"/>
          <w:szCs w:val="24"/>
          <w:lang w:eastAsia="zh-CN"/>
        </w:rPr>
        <w:t xml:space="preserve">a </w:t>
      </w:r>
      <w:r w:rsidRPr="00507E05">
        <w:rPr>
          <w:rFonts w:ascii="Calibri" w:eastAsia="SimSun" w:hAnsi="Calibri" w:cs="Calibri"/>
          <w:bCs/>
          <w:sz w:val="24"/>
          <w:szCs w:val="24"/>
          <w:lang w:eastAsia="zh-CN"/>
        </w:rPr>
        <w:t>single use.</w:t>
      </w:r>
    </w:p>
    <w:p w14:paraId="15F4F2B4" w14:textId="77777777" w:rsidR="00E25809" w:rsidRPr="00507E05" w:rsidRDefault="00E25809" w:rsidP="00800414">
      <w:pPr>
        <w:rPr>
          <w:rFonts w:eastAsia="SimSun"/>
          <w:bCs/>
          <w:lang w:eastAsia="zh-CN"/>
        </w:rPr>
      </w:pPr>
    </w:p>
    <w:p w14:paraId="004517BB" w14:textId="47F61F82"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Maintain cleanliness and quality control:</w:t>
      </w:r>
    </w:p>
    <w:p w14:paraId="2627CC45" w14:textId="77777777" w:rsidR="00E25809" w:rsidRPr="00507E05" w:rsidRDefault="00E25809" w:rsidP="00800414">
      <w:pPr>
        <w:rPr>
          <w:rFonts w:eastAsia="SimSun"/>
          <w:lang w:eastAsia="zh-CN"/>
        </w:rPr>
      </w:pPr>
    </w:p>
    <w:p w14:paraId="75AC1D8C" w14:textId="48238A94"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Clean benches daily with 10% sodium hypochlorite followed by 7</w:t>
      </w:r>
      <w:r w:rsidR="00640284" w:rsidRPr="00507E05">
        <w:rPr>
          <w:rFonts w:ascii="Calibri" w:eastAsia="SimSun" w:hAnsi="Calibri" w:cs="Calibri"/>
          <w:bCs/>
          <w:sz w:val="24"/>
          <w:szCs w:val="24"/>
          <w:lang w:eastAsia="zh-CN"/>
        </w:rPr>
        <w:t>5</w:t>
      </w:r>
      <w:r w:rsidRPr="00507E05">
        <w:rPr>
          <w:rFonts w:ascii="Calibri" w:eastAsia="SimSun" w:hAnsi="Calibri" w:cs="Calibri"/>
          <w:bCs/>
          <w:sz w:val="24"/>
          <w:szCs w:val="24"/>
          <w:lang w:eastAsia="zh-CN"/>
        </w:rPr>
        <w:t>% ethanol or distilled water.</w:t>
      </w:r>
    </w:p>
    <w:p w14:paraId="4018D628" w14:textId="77777777" w:rsidR="00E25809" w:rsidRPr="00507E05" w:rsidRDefault="00E25809" w:rsidP="00800414">
      <w:pPr>
        <w:rPr>
          <w:rFonts w:eastAsia="SimSun"/>
          <w:bCs/>
          <w:lang w:eastAsia="zh-CN"/>
        </w:rPr>
      </w:pPr>
    </w:p>
    <w:p w14:paraId="66F6820A" w14:textId="5F8CB0A7"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 xml:space="preserve">Validate consumable sterility via endotoxin testing (Limulus </w:t>
      </w:r>
      <w:r w:rsidR="00B50884" w:rsidRPr="00507E05">
        <w:rPr>
          <w:rFonts w:ascii="Calibri" w:eastAsia="SimSun" w:hAnsi="Calibri" w:cs="Calibri"/>
          <w:bCs/>
          <w:sz w:val="24"/>
          <w:szCs w:val="24"/>
          <w:lang w:eastAsia="zh-CN"/>
        </w:rPr>
        <w:t xml:space="preserve">amebocyte lysate </w:t>
      </w:r>
      <w:r w:rsidRPr="00507E05">
        <w:rPr>
          <w:rFonts w:ascii="Calibri" w:eastAsia="SimSun" w:hAnsi="Calibri" w:cs="Calibri"/>
          <w:bCs/>
          <w:sz w:val="24"/>
          <w:szCs w:val="24"/>
          <w:lang w:eastAsia="zh-CN"/>
        </w:rPr>
        <w:t>assay, &lt;0.25 EU/mL).</w:t>
      </w:r>
    </w:p>
    <w:p w14:paraId="1C2CF989" w14:textId="77777777" w:rsidR="00E25809" w:rsidRPr="00507E05" w:rsidRDefault="00E25809" w:rsidP="00800414">
      <w:pPr>
        <w:rPr>
          <w:rFonts w:eastAsia="SimSun"/>
          <w:bCs/>
          <w:lang w:eastAsia="zh-CN"/>
        </w:rPr>
      </w:pPr>
    </w:p>
    <w:p w14:paraId="19E79D5D" w14:textId="7502103F" w:rsidR="00230057" w:rsidRPr="00507E05" w:rsidRDefault="00000000" w:rsidP="00036878">
      <w:pPr>
        <w:pStyle w:val="ListParagraph"/>
        <w:numPr>
          <w:ilvl w:val="3"/>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Monitor air quality weekly using settle plates (</w:t>
      </w:r>
      <w:r w:rsidR="00B50884" w:rsidRPr="00507E05">
        <w:rPr>
          <w:rFonts w:ascii="Calibri" w:eastAsia="SimSun" w:hAnsi="Calibri" w:cs="Calibri"/>
          <w:bCs/>
          <w:sz w:val="24"/>
          <w:szCs w:val="24"/>
          <w:lang w:eastAsia="zh-CN"/>
        </w:rPr>
        <w:t>Tryptic soy agar [</w:t>
      </w:r>
      <w:r w:rsidRPr="00507E05">
        <w:rPr>
          <w:rFonts w:ascii="Calibri" w:eastAsia="SimSun" w:hAnsi="Calibri" w:cs="Calibri"/>
          <w:bCs/>
          <w:sz w:val="24"/>
          <w:szCs w:val="24"/>
          <w:lang w:eastAsia="zh-CN"/>
        </w:rPr>
        <w:t>TSA</w:t>
      </w:r>
      <w:r w:rsidR="00B50884" w:rsidRPr="00507E05">
        <w:rPr>
          <w:rFonts w:ascii="Calibri" w:eastAsia="SimSun" w:hAnsi="Calibri" w:cs="Calibri"/>
          <w:bCs/>
          <w:sz w:val="24"/>
          <w:szCs w:val="24"/>
          <w:lang w:eastAsia="zh-CN"/>
        </w:rPr>
        <w:t>]</w:t>
      </w:r>
      <w:r w:rsidRPr="00507E05">
        <w:rPr>
          <w:rFonts w:ascii="Calibri" w:eastAsia="SimSun" w:hAnsi="Calibri" w:cs="Calibri"/>
          <w:bCs/>
          <w:sz w:val="24"/>
          <w:szCs w:val="24"/>
          <w:lang w:eastAsia="zh-CN"/>
        </w:rPr>
        <w:t xml:space="preserve"> agar, ≤5 </w:t>
      </w:r>
      <w:r w:rsidR="00B50884" w:rsidRPr="00507E05">
        <w:rPr>
          <w:rFonts w:ascii="Calibri" w:eastAsia="SimSun" w:hAnsi="Calibri" w:cs="Calibri"/>
          <w:bCs/>
          <w:sz w:val="24"/>
          <w:szCs w:val="24"/>
          <w:lang w:eastAsia="zh-CN"/>
        </w:rPr>
        <w:t>colony-forming unit (CFU)</w:t>
      </w:r>
      <w:r w:rsidRPr="00507E05">
        <w:rPr>
          <w:rFonts w:ascii="Calibri" w:eastAsia="SimSun" w:hAnsi="Calibri" w:cs="Calibri"/>
          <w:bCs/>
          <w:sz w:val="24"/>
          <w:szCs w:val="24"/>
          <w:lang w:eastAsia="zh-CN"/>
        </w:rPr>
        <w:t>/plate after 4 h exposure).</w:t>
      </w:r>
    </w:p>
    <w:p w14:paraId="651D4571" w14:textId="77777777" w:rsidR="00230057" w:rsidRPr="00507E05" w:rsidRDefault="00230057" w:rsidP="00800414">
      <w:pPr>
        <w:rPr>
          <w:rFonts w:eastAsia="SimSun"/>
          <w:b/>
          <w:lang w:eastAsia="zh-CN"/>
        </w:rPr>
      </w:pPr>
    </w:p>
    <w:p w14:paraId="2EFDFFBB" w14:textId="235898EA" w:rsidR="00230057" w:rsidRPr="00507E05" w:rsidRDefault="00000000" w:rsidP="00036878">
      <w:pPr>
        <w:pStyle w:val="ListParagraph"/>
        <w:numPr>
          <w:ilvl w:val="1"/>
          <w:numId w:val="1"/>
        </w:numPr>
        <w:spacing w:after="0" w:line="240" w:lineRule="auto"/>
        <w:ind w:left="0" w:firstLine="0"/>
        <w:rPr>
          <w:rFonts w:ascii="Calibri" w:eastAsia="SimSun" w:hAnsi="Calibri" w:cs="Calibri"/>
          <w:b/>
          <w:sz w:val="24"/>
          <w:szCs w:val="24"/>
          <w:lang w:eastAsia="zh-CN"/>
        </w:rPr>
      </w:pPr>
      <w:r w:rsidRPr="00507E05">
        <w:rPr>
          <w:rFonts w:ascii="Calibri" w:eastAsia="SimSun" w:hAnsi="Calibri" w:cs="Calibri"/>
          <w:bCs/>
          <w:sz w:val="24"/>
          <w:szCs w:val="24"/>
          <w:lang w:eastAsia="zh-CN"/>
        </w:rPr>
        <w:t xml:space="preserve">Personnel </w:t>
      </w:r>
      <w:r w:rsidR="00C910CB" w:rsidRPr="00507E05">
        <w:rPr>
          <w:rFonts w:ascii="Calibri" w:eastAsia="SimSun" w:hAnsi="Calibri" w:cs="Calibri"/>
          <w:bCs/>
          <w:sz w:val="24"/>
          <w:szCs w:val="24"/>
          <w:lang w:eastAsia="zh-CN"/>
        </w:rPr>
        <w:t>q</w:t>
      </w:r>
      <w:r w:rsidRPr="00507E05">
        <w:rPr>
          <w:rFonts w:ascii="Calibri" w:eastAsia="SimSun" w:hAnsi="Calibri" w:cs="Calibri"/>
          <w:bCs/>
          <w:sz w:val="24"/>
          <w:szCs w:val="24"/>
          <w:lang w:eastAsia="zh-CN"/>
        </w:rPr>
        <w:t>ualifications</w:t>
      </w:r>
    </w:p>
    <w:p w14:paraId="7625F78D" w14:textId="77777777" w:rsidR="00C910CB" w:rsidRPr="00507E05" w:rsidRDefault="00C910CB" w:rsidP="00800414">
      <w:pPr>
        <w:rPr>
          <w:rFonts w:eastAsia="SimSun"/>
          <w:b/>
          <w:lang w:eastAsia="zh-CN"/>
        </w:rPr>
      </w:pPr>
    </w:p>
    <w:p w14:paraId="61487030" w14:textId="77777777"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Possess certificates or qualifications related to PCR technology to ensure the accuracy and reliability of this experiment.</w:t>
      </w:r>
    </w:p>
    <w:p w14:paraId="2202C17B" w14:textId="77777777" w:rsidR="00C910CB" w:rsidRPr="00507E05" w:rsidRDefault="00C910CB" w:rsidP="00800414">
      <w:pPr>
        <w:rPr>
          <w:rFonts w:eastAsia="SimSun"/>
          <w:bCs/>
          <w:lang w:eastAsia="zh-CN"/>
        </w:rPr>
      </w:pPr>
    </w:p>
    <w:p w14:paraId="5BD2D373" w14:textId="376AF9CB" w:rsidR="00230057" w:rsidRPr="00507E05" w:rsidRDefault="00000000" w:rsidP="00036878">
      <w:pPr>
        <w:numPr>
          <w:ilvl w:val="0"/>
          <w:numId w:val="1"/>
        </w:numPr>
        <w:ind w:left="0" w:firstLine="0"/>
        <w:rPr>
          <w:rFonts w:eastAsia="SimSun"/>
          <w:b/>
          <w:highlight w:val="yellow"/>
          <w:lang w:eastAsia="zh-CN"/>
        </w:rPr>
      </w:pPr>
      <w:r w:rsidRPr="00507E05">
        <w:rPr>
          <w:rFonts w:eastAsia="SimSun"/>
          <w:b/>
          <w:highlight w:val="yellow"/>
          <w:lang w:eastAsia="zh-CN"/>
        </w:rPr>
        <w:t xml:space="preserve">Lyse the </w:t>
      </w:r>
      <w:r w:rsidR="00B50884" w:rsidRPr="00507E05">
        <w:rPr>
          <w:rFonts w:eastAsia="SimSun"/>
          <w:b/>
          <w:highlight w:val="yellow"/>
          <w:lang w:eastAsia="zh-CN"/>
        </w:rPr>
        <w:t xml:space="preserve">cells to extract </w:t>
      </w:r>
      <w:r w:rsidRPr="00507E05">
        <w:rPr>
          <w:rFonts w:eastAsia="SimSun"/>
          <w:b/>
          <w:highlight w:val="yellow"/>
          <w:lang w:eastAsia="zh-CN"/>
        </w:rPr>
        <w:t>RNA.</w:t>
      </w:r>
    </w:p>
    <w:p w14:paraId="4EDCD65B" w14:textId="77777777" w:rsidR="00E25809" w:rsidRPr="00507E05" w:rsidRDefault="00E25809" w:rsidP="00800414">
      <w:pPr>
        <w:rPr>
          <w:rFonts w:eastAsia="SimSun"/>
          <w:b/>
          <w:highlight w:val="yellow"/>
          <w:lang w:eastAsia="zh-CN"/>
        </w:rPr>
      </w:pPr>
    </w:p>
    <w:p w14:paraId="4206C72E" w14:textId="747D9148" w:rsidR="00230057" w:rsidRPr="00507E05" w:rsidRDefault="00000000" w:rsidP="00036878">
      <w:pPr>
        <w:pStyle w:val="ListParagraph"/>
        <w:numPr>
          <w:ilvl w:val="1"/>
          <w:numId w:val="1"/>
        </w:numPr>
        <w:spacing w:after="0" w:line="240" w:lineRule="auto"/>
        <w:ind w:left="0" w:firstLine="0"/>
        <w:rPr>
          <w:rFonts w:ascii="Calibri" w:eastAsia="SimSun" w:hAnsi="Calibri" w:cs="Calibri"/>
          <w:b/>
          <w:sz w:val="24"/>
          <w:szCs w:val="24"/>
          <w:highlight w:val="yellow"/>
          <w:lang w:eastAsia="zh-CN"/>
        </w:rPr>
      </w:pPr>
      <w:r w:rsidRPr="00507E05">
        <w:rPr>
          <w:rFonts w:ascii="Calibri" w:eastAsia="SimSun" w:hAnsi="Calibri" w:cs="Calibri"/>
          <w:bCs/>
          <w:sz w:val="24"/>
          <w:szCs w:val="24"/>
          <w:highlight w:val="yellow"/>
          <w:lang w:eastAsia="zh-CN"/>
        </w:rPr>
        <w:t xml:space="preserve">Specimen </w:t>
      </w:r>
      <w:r w:rsidR="00C910CB" w:rsidRPr="00507E05">
        <w:rPr>
          <w:rFonts w:ascii="Calibri" w:eastAsia="SimSun" w:hAnsi="Calibri" w:cs="Calibri"/>
          <w:bCs/>
          <w:sz w:val="24"/>
          <w:szCs w:val="24"/>
          <w:highlight w:val="yellow"/>
          <w:lang w:eastAsia="zh-CN"/>
        </w:rPr>
        <w:t>p</w:t>
      </w:r>
      <w:r w:rsidRPr="00507E05">
        <w:rPr>
          <w:rFonts w:ascii="Calibri" w:eastAsia="SimSun" w:hAnsi="Calibri" w:cs="Calibri"/>
          <w:bCs/>
          <w:sz w:val="24"/>
          <w:szCs w:val="24"/>
          <w:highlight w:val="yellow"/>
          <w:lang w:eastAsia="zh-CN"/>
        </w:rPr>
        <w:t>rocessing</w:t>
      </w:r>
    </w:p>
    <w:p w14:paraId="599411FD" w14:textId="77777777" w:rsidR="00E25809" w:rsidRPr="00507E05" w:rsidRDefault="00E25809" w:rsidP="00800414">
      <w:pPr>
        <w:rPr>
          <w:rFonts w:eastAsia="SimSun"/>
          <w:bCs/>
          <w:highlight w:val="yellow"/>
          <w:lang w:eastAsia="zh-CN"/>
        </w:rPr>
      </w:pPr>
    </w:p>
    <w:p w14:paraId="191418D7" w14:textId="6B362E0E"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Vortex the specimen collection tube at 2,600 times/min for 10 s to dislodge the cells from the swab head into the solution.</w:t>
      </w:r>
    </w:p>
    <w:p w14:paraId="27244588" w14:textId="77777777" w:rsidR="00E25809" w:rsidRPr="00507E05" w:rsidRDefault="00E25809" w:rsidP="00800414">
      <w:pPr>
        <w:rPr>
          <w:rFonts w:eastAsia="SimSun"/>
          <w:bCs/>
          <w:highlight w:val="yellow"/>
          <w:lang w:eastAsia="zh-CN"/>
        </w:rPr>
      </w:pPr>
    </w:p>
    <w:p w14:paraId="33099D83" w14:textId="1891C1F4"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Transfer 1 mL of the solution to a 1.5 mL microcentrifuge tube using a calibrated pipette set to 1000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w:t>
      </w:r>
    </w:p>
    <w:p w14:paraId="08BF1C8C" w14:textId="77777777" w:rsidR="00E25809" w:rsidRPr="00507E05" w:rsidRDefault="00E25809" w:rsidP="00800414">
      <w:pPr>
        <w:rPr>
          <w:rFonts w:eastAsia="SimSun"/>
          <w:bCs/>
          <w:highlight w:val="yellow"/>
          <w:lang w:eastAsia="zh-CN"/>
        </w:rPr>
      </w:pPr>
    </w:p>
    <w:p w14:paraId="12EC8747" w14:textId="302CBDD8"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Centrifuge at 12,000</w:t>
      </w:r>
      <w:r w:rsidR="00B50884" w:rsidRPr="00507E05">
        <w:rPr>
          <w:rFonts w:ascii="Calibri" w:eastAsia="SimSun" w:hAnsi="Calibri" w:cs="Calibri"/>
          <w:bCs/>
          <w:sz w:val="24"/>
          <w:szCs w:val="24"/>
          <w:highlight w:val="yellow"/>
          <w:lang w:eastAsia="zh-CN"/>
        </w:rPr>
        <w:t xml:space="preserve"> </w:t>
      </w:r>
      <w:r w:rsidRPr="00507E05">
        <w:rPr>
          <w:rFonts w:ascii="Calibri" w:eastAsia="Segoe UI" w:hAnsi="Calibri" w:cs="Calibri"/>
          <w:sz w:val="24"/>
          <w:szCs w:val="24"/>
          <w:highlight w:val="yellow"/>
          <w:shd w:val="clear" w:color="auto" w:fill="FFFFFF"/>
        </w:rPr>
        <w:t>×</w:t>
      </w:r>
      <w:r w:rsidR="00B50884" w:rsidRPr="00507E05">
        <w:rPr>
          <w:rFonts w:ascii="Calibri" w:eastAsia="Segoe UI" w:hAnsi="Calibri" w:cs="Calibri"/>
          <w:sz w:val="24"/>
          <w:szCs w:val="24"/>
          <w:highlight w:val="yellow"/>
          <w:shd w:val="clear" w:color="auto" w:fill="FFFFFF"/>
        </w:rPr>
        <w:t xml:space="preserve"> </w:t>
      </w:r>
      <w:r w:rsidRPr="00507E05">
        <w:rPr>
          <w:rFonts w:ascii="Calibri" w:eastAsia="SimSun" w:hAnsi="Calibri" w:cs="Calibri"/>
          <w:bCs/>
          <w:i/>
          <w:iCs/>
          <w:sz w:val="24"/>
          <w:szCs w:val="24"/>
          <w:highlight w:val="yellow"/>
          <w:lang w:eastAsia="zh-CN"/>
        </w:rPr>
        <w:t>g</w:t>
      </w:r>
      <w:r w:rsidRPr="00507E05">
        <w:rPr>
          <w:rFonts w:ascii="Calibri" w:eastAsia="SimSun" w:hAnsi="Calibri" w:cs="Calibri"/>
          <w:bCs/>
          <w:sz w:val="24"/>
          <w:szCs w:val="24"/>
          <w:highlight w:val="yellow"/>
          <w:lang w:eastAsia="zh-CN"/>
        </w:rPr>
        <w:t xml:space="preserve"> for 2 min at 25</w:t>
      </w:r>
      <w:r w:rsidR="00B50884" w:rsidRPr="00507E05">
        <w:rPr>
          <w:rFonts w:ascii="Calibri" w:eastAsia="SimSun" w:hAnsi="Calibri" w:cs="Calibri"/>
          <w:bCs/>
          <w:sz w:val="24"/>
          <w:szCs w:val="24"/>
          <w:highlight w:val="yellow"/>
          <w:lang w:eastAsia="zh-CN"/>
        </w:rPr>
        <w:t xml:space="preserve"> °C</w:t>
      </w:r>
      <w:r w:rsidRPr="00507E05">
        <w:rPr>
          <w:rFonts w:ascii="Calibri" w:eastAsia="SimSun" w:hAnsi="Calibri" w:cs="Calibri"/>
          <w:bCs/>
          <w:sz w:val="24"/>
          <w:szCs w:val="24"/>
          <w:highlight w:val="yellow"/>
          <w:lang w:eastAsia="zh-CN"/>
        </w:rPr>
        <w:t>.</w:t>
      </w:r>
    </w:p>
    <w:p w14:paraId="53EB4D65" w14:textId="77777777" w:rsidR="00E25809" w:rsidRPr="00507E05" w:rsidRDefault="00E25809" w:rsidP="00800414">
      <w:pPr>
        <w:rPr>
          <w:rFonts w:eastAsia="SimSun"/>
          <w:bCs/>
          <w:highlight w:val="yellow"/>
          <w:lang w:eastAsia="zh-CN"/>
        </w:rPr>
      </w:pPr>
    </w:p>
    <w:p w14:paraId="170E7CB9" w14:textId="153A242F"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highlight w:val="yellow"/>
          <w:lang w:eastAsia="zh-CN"/>
        </w:rPr>
        <w:t xml:space="preserve">Aspirate 950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sz w:val="24"/>
          <w:szCs w:val="24"/>
          <w:highlight w:val="yellow"/>
          <w:shd w:val="clear" w:color="auto" w:fill="FFFFFF"/>
          <w:lang w:eastAsia="zh-CN"/>
        </w:rPr>
        <w:t xml:space="preserve"> </w:t>
      </w:r>
      <w:r w:rsidRPr="00507E05">
        <w:rPr>
          <w:rFonts w:ascii="Calibri" w:eastAsia="SimSun" w:hAnsi="Calibri" w:cs="Calibri"/>
          <w:bCs/>
          <w:sz w:val="24"/>
          <w:szCs w:val="24"/>
          <w:highlight w:val="yellow"/>
          <w:lang w:eastAsia="zh-CN"/>
        </w:rPr>
        <w:t xml:space="preserve">of the supernatant without disturbing the pellet. Resuspend the pellets in 25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w:t>
      </w:r>
      <w:r w:rsidR="00B50884" w:rsidRPr="00507E05">
        <w:rPr>
          <w:rFonts w:ascii="Calibri" w:eastAsia="SimSun" w:hAnsi="Calibri" w:cs="Calibri"/>
          <w:bCs/>
          <w:sz w:val="24"/>
          <w:szCs w:val="24"/>
          <w:highlight w:val="yellow"/>
          <w:lang w:eastAsia="zh-CN"/>
        </w:rPr>
        <w:t xml:space="preserve">of </w:t>
      </w:r>
      <w:r w:rsidRPr="00507E05">
        <w:rPr>
          <w:rFonts w:ascii="Calibri" w:eastAsia="SimSun" w:hAnsi="Calibri" w:cs="Calibri"/>
          <w:bCs/>
          <w:sz w:val="24"/>
          <w:szCs w:val="24"/>
          <w:highlight w:val="yellow"/>
          <w:lang w:eastAsia="zh-CN"/>
        </w:rPr>
        <w:t xml:space="preserve">residual solution by pipetting up and down 10 times using a 200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sz w:val="24"/>
          <w:szCs w:val="24"/>
          <w:highlight w:val="yellow"/>
          <w:shd w:val="clear" w:color="auto" w:fill="FFFFFF"/>
          <w:lang w:eastAsia="zh-CN"/>
        </w:rPr>
        <w:t xml:space="preserve"> </w:t>
      </w:r>
      <w:r w:rsidRPr="00507E05">
        <w:rPr>
          <w:rFonts w:ascii="Calibri" w:eastAsia="SimSun" w:hAnsi="Calibri" w:cs="Calibri"/>
          <w:bCs/>
          <w:sz w:val="24"/>
          <w:szCs w:val="24"/>
          <w:highlight w:val="yellow"/>
          <w:lang w:eastAsia="zh-CN"/>
        </w:rPr>
        <w:t xml:space="preserve">calibrated pipette set to 50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w:t>
      </w:r>
      <w:r w:rsidRPr="00507E05">
        <w:rPr>
          <w:rFonts w:ascii="Calibri" w:eastAsia="SimSun" w:hAnsi="Calibri" w:cs="Calibri"/>
          <w:bCs/>
          <w:sz w:val="24"/>
          <w:szCs w:val="24"/>
          <w:lang w:eastAsia="zh-CN"/>
        </w:rPr>
        <w:t xml:space="preserve"> </w:t>
      </w:r>
    </w:p>
    <w:p w14:paraId="21D37517" w14:textId="77777777" w:rsidR="00230057" w:rsidRPr="00507E05" w:rsidRDefault="00230057" w:rsidP="00800414">
      <w:pPr>
        <w:rPr>
          <w:rFonts w:eastAsia="SimSun"/>
          <w:bCs/>
          <w:lang w:eastAsia="zh-CN"/>
        </w:rPr>
      </w:pPr>
    </w:p>
    <w:p w14:paraId="483FA974" w14:textId="26D6DFE8" w:rsidR="00230057" w:rsidRPr="00507E05" w:rsidRDefault="00000000" w:rsidP="00036878">
      <w:pPr>
        <w:pStyle w:val="ListParagraph"/>
        <w:numPr>
          <w:ilvl w:val="1"/>
          <w:numId w:val="1"/>
        </w:numPr>
        <w:spacing w:after="0" w:line="240" w:lineRule="auto"/>
        <w:ind w:left="0" w:firstLine="0"/>
        <w:rPr>
          <w:rFonts w:ascii="Calibri" w:eastAsia="SimSun" w:hAnsi="Calibri" w:cs="Calibri"/>
          <w:b/>
          <w:sz w:val="24"/>
          <w:szCs w:val="24"/>
          <w:highlight w:val="yellow"/>
          <w:lang w:eastAsia="zh-CN"/>
        </w:rPr>
      </w:pPr>
      <w:r w:rsidRPr="00507E05">
        <w:rPr>
          <w:rFonts w:ascii="Calibri" w:eastAsia="SimSun" w:hAnsi="Calibri" w:cs="Calibri"/>
          <w:bCs/>
          <w:sz w:val="24"/>
          <w:szCs w:val="24"/>
          <w:highlight w:val="yellow"/>
          <w:lang w:eastAsia="zh-CN"/>
        </w:rPr>
        <w:lastRenderedPageBreak/>
        <w:t xml:space="preserve">Lysis of </w:t>
      </w:r>
      <w:r w:rsidR="00C910CB" w:rsidRPr="00507E05">
        <w:rPr>
          <w:rFonts w:ascii="Calibri" w:eastAsia="SimSun" w:hAnsi="Calibri" w:cs="Calibri"/>
          <w:bCs/>
          <w:sz w:val="24"/>
          <w:szCs w:val="24"/>
          <w:highlight w:val="yellow"/>
          <w:lang w:eastAsia="zh-CN"/>
        </w:rPr>
        <w:t>specimen and quality control materials</w:t>
      </w:r>
    </w:p>
    <w:p w14:paraId="4FB0BC1C" w14:textId="77777777" w:rsidR="00E25809" w:rsidRPr="00507E05" w:rsidRDefault="00E25809" w:rsidP="00800414">
      <w:pPr>
        <w:rPr>
          <w:rFonts w:eastAsia="SimSun"/>
          <w:bCs/>
          <w:highlight w:val="yellow"/>
          <w:lang w:eastAsia="zh-CN"/>
        </w:rPr>
      </w:pPr>
    </w:p>
    <w:p w14:paraId="4D54A686" w14:textId="0E65868A"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Pre-equilibrate cell lysis buffer and negative control at 25 </w:t>
      </w:r>
      <w:r w:rsidR="00B50884" w:rsidRPr="00507E05">
        <w:rPr>
          <w:rFonts w:ascii="Calibri" w:eastAsia="SimSun" w:hAnsi="Calibri" w:cs="Calibri"/>
          <w:bCs/>
          <w:sz w:val="24"/>
          <w:szCs w:val="24"/>
          <w:highlight w:val="yellow"/>
          <w:lang w:eastAsia="zh-CN"/>
        </w:rPr>
        <w:t>°C</w:t>
      </w:r>
      <w:r w:rsidRPr="00507E05">
        <w:rPr>
          <w:rFonts w:ascii="Calibri" w:eastAsia="SimSun" w:hAnsi="Calibri" w:cs="Calibri"/>
          <w:bCs/>
          <w:sz w:val="24"/>
          <w:szCs w:val="24"/>
          <w:highlight w:val="yellow"/>
          <w:lang w:eastAsia="zh-CN"/>
        </w:rPr>
        <w:t xml:space="preserve"> for 15 min.</w:t>
      </w:r>
    </w:p>
    <w:p w14:paraId="04FCB070" w14:textId="77777777" w:rsidR="00E25809" w:rsidRPr="00507E05" w:rsidRDefault="00E25809" w:rsidP="00800414">
      <w:pPr>
        <w:rPr>
          <w:rFonts w:eastAsia="SimSun"/>
          <w:bCs/>
          <w:highlight w:val="yellow"/>
          <w:lang w:eastAsia="zh-CN"/>
        </w:rPr>
      </w:pPr>
    </w:p>
    <w:p w14:paraId="43854549" w14:textId="49D676DF"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Centrifuge the quality control materials at 1000</w:t>
      </w:r>
      <w:r w:rsidR="00B50884" w:rsidRPr="00507E05">
        <w:rPr>
          <w:rFonts w:ascii="Calibri" w:eastAsia="SimSun" w:hAnsi="Calibri" w:cs="Calibri"/>
          <w:bCs/>
          <w:sz w:val="24"/>
          <w:szCs w:val="24"/>
          <w:highlight w:val="yellow"/>
          <w:lang w:eastAsia="zh-CN"/>
        </w:rPr>
        <w:t xml:space="preserve"> </w:t>
      </w:r>
      <w:r w:rsidRPr="00507E05">
        <w:rPr>
          <w:rFonts w:ascii="Calibri" w:eastAsia="Segoe UI" w:hAnsi="Calibri" w:cs="Calibri"/>
          <w:sz w:val="24"/>
          <w:szCs w:val="24"/>
          <w:highlight w:val="yellow"/>
          <w:shd w:val="clear" w:color="auto" w:fill="FFFFFF"/>
        </w:rPr>
        <w:t>×</w:t>
      </w:r>
      <w:r w:rsidR="00B50884" w:rsidRPr="00507E05">
        <w:rPr>
          <w:rFonts w:ascii="Calibri" w:eastAsia="Segoe UI" w:hAnsi="Calibri" w:cs="Calibri"/>
          <w:sz w:val="24"/>
          <w:szCs w:val="24"/>
          <w:highlight w:val="yellow"/>
          <w:shd w:val="clear" w:color="auto" w:fill="FFFFFF"/>
        </w:rPr>
        <w:t xml:space="preserve"> </w:t>
      </w:r>
      <w:r w:rsidRPr="00507E05">
        <w:rPr>
          <w:rFonts w:ascii="Calibri" w:eastAsia="SimSun" w:hAnsi="Calibri" w:cs="Calibri"/>
          <w:bCs/>
          <w:i/>
          <w:iCs/>
          <w:sz w:val="24"/>
          <w:szCs w:val="24"/>
          <w:highlight w:val="yellow"/>
          <w:lang w:eastAsia="zh-CN"/>
        </w:rPr>
        <w:t>g</w:t>
      </w:r>
      <w:r w:rsidRPr="00507E05">
        <w:rPr>
          <w:rFonts w:ascii="Calibri" w:eastAsia="SimSun" w:hAnsi="Calibri" w:cs="Calibri"/>
          <w:bCs/>
          <w:sz w:val="24"/>
          <w:szCs w:val="24"/>
          <w:highlight w:val="yellow"/>
          <w:lang w:eastAsia="zh-CN"/>
        </w:rPr>
        <w:t xml:space="preserve"> for 10 s</w:t>
      </w:r>
      <w:r w:rsidR="00B50884" w:rsidRPr="00507E05">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 xml:space="preserve">at 25 </w:t>
      </w:r>
      <w:r w:rsidR="00B50884" w:rsidRPr="00507E05">
        <w:rPr>
          <w:rFonts w:ascii="Calibri" w:eastAsia="SimSun" w:hAnsi="Calibri" w:cs="Calibri"/>
          <w:bCs/>
          <w:sz w:val="24"/>
          <w:szCs w:val="24"/>
          <w:highlight w:val="yellow"/>
          <w:lang w:eastAsia="zh-CN"/>
        </w:rPr>
        <w:t>°C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to ensure that all powders settle at the bottom of the tube.</w:t>
      </w:r>
    </w:p>
    <w:p w14:paraId="67B7700F" w14:textId="77777777" w:rsidR="00E25809" w:rsidRPr="00507E05" w:rsidRDefault="00E25809" w:rsidP="00800414">
      <w:pPr>
        <w:rPr>
          <w:rFonts w:eastAsia="SimSun"/>
          <w:bCs/>
          <w:highlight w:val="yellow"/>
          <w:lang w:eastAsia="zh-CN"/>
        </w:rPr>
      </w:pPr>
    </w:p>
    <w:p w14:paraId="6ABFDCDB" w14:textId="442ECDD1"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Add 30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w:t>
      </w:r>
      <w:r w:rsidR="00B50884" w:rsidRPr="00507E05">
        <w:rPr>
          <w:rFonts w:ascii="Calibri" w:eastAsia="SimSun" w:hAnsi="Calibri" w:cs="Calibri"/>
          <w:bCs/>
          <w:sz w:val="24"/>
          <w:szCs w:val="24"/>
          <w:highlight w:val="yellow"/>
          <w:lang w:eastAsia="zh-CN"/>
        </w:rPr>
        <w:t xml:space="preserve">of </w:t>
      </w:r>
      <w:r w:rsidRPr="00507E05">
        <w:rPr>
          <w:rFonts w:ascii="Calibri" w:eastAsia="SimSun" w:hAnsi="Calibri" w:cs="Calibri"/>
          <w:bCs/>
          <w:sz w:val="24"/>
          <w:szCs w:val="24"/>
          <w:highlight w:val="yellow"/>
          <w:lang w:eastAsia="zh-CN"/>
        </w:rPr>
        <w:t xml:space="preserve">lysis buffer to the quality control materials and 20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to the specimens. </w:t>
      </w:r>
    </w:p>
    <w:p w14:paraId="0F4297AA" w14:textId="77777777" w:rsidR="00E25809" w:rsidRPr="00507E05" w:rsidRDefault="00E25809" w:rsidP="00800414">
      <w:pPr>
        <w:rPr>
          <w:rFonts w:eastAsia="SimSun"/>
          <w:bCs/>
          <w:highlight w:val="yellow"/>
          <w:lang w:eastAsia="zh-CN"/>
        </w:rPr>
      </w:pPr>
    </w:p>
    <w:p w14:paraId="5D88A781" w14:textId="7493F593"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Incubate for 10 min at 25</w:t>
      </w:r>
      <w:r w:rsidR="00B50884" w:rsidRPr="00507E05">
        <w:rPr>
          <w:rFonts w:ascii="Calibri" w:eastAsia="SimSun" w:hAnsi="Calibri" w:cs="Calibri"/>
          <w:bCs/>
          <w:sz w:val="24"/>
          <w:szCs w:val="24"/>
          <w:highlight w:val="yellow"/>
          <w:lang w:eastAsia="zh-CN"/>
        </w:rPr>
        <w:t xml:space="preserve"> °C</w:t>
      </w:r>
      <w:r w:rsidRPr="00507E05">
        <w:rPr>
          <w:rFonts w:ascii="Calibri" w:eastAsia="SimSun" w:hAnsi="Calibri" w:cs="Calibri"/>
          <w:bCs/>
          <w:sz w:val="24"/>
          <w:szCs w:val="24"/>
          <w:highlight w:val="yellow"/>
          <w:lang w:eastAsia="zh-CN"/>
        </w:rPr>
        <w:t xml:space="preserve">. </w:t>
      </w:r>
    </w:p>
    <w:p w14:paraId="6A111ACC" w14:textId="77777777" w:rsidR="00800414" w:rsidRPr="00507E05" w:rsidRDefault="00800414" w:rsidP="00036878">
      <w:pPr>
        <w:pStyle w:val="ListParagraph"/>
        <w:spacing w:after="0" w:line="240" w:lineRule="auto"/>
        <w:ind w:left="0"/>
        <w:rPr>
          <w:rFonts w:ascii="Calibri" w:eastAsia="SimSun" w:hAnsi="Calibri" w:cs="Calibri"/>
          <w:bCs/>
          <w:sz w:val="24"/>
          <w:szCs w:val="24"/>
          <w:highlight w:val="yellow"/>
          <w:lang w:eastAsia="zh-CN"/>
        </w:rPr>
      </w:pPr>
    </w:p>
    <w:p w14:paraId="2E16A874" w14:textId="5C705000" w:rsidR="00230057" w:rsidRPr="00507E05" w:rsidRDefault="00B50884" w:rsidP="00800414">
      <w:pPr>
        <w:rPr>
          <w:rFonts w:eastAsia="SimSun"/>
          <w:bCs/>
          <w:lang w:eastAsia="zh-CN"/>
        </w:rPr>
      </w:pPr>
      <w:r w:rsidRPr="00507E05">
        <w:rPr>
          <w:rFonts w:eastAsia="SimSun"/>
          <w:bCs/>
          <w:lang w:eastAsia="zh-CN"/>
        </w:rPr>
        <w:t>NOTE:</w:t>
      </w:r>
      <w:r w:rsidR="006118BD" w:rsidRPr="00507E05">
        <w:rPr>
          <w:rFonts w:eastAsia="SimSun"/>
          <w:bCs/>
          <w:lang w:eastAsia="zh-CN"/>
        </w:rPr>
        <w:t xml:space="preserve"> </w:t>
      </w:r>
      <w:r w:rsidRPr="00507E05">
        <w:rPr>
          <w:rFonts w:eastAsia="SimSun"/>
          <w:bCs/>
          <w:lang w:eastAsia="zh-CN"/>
        </w:rPr>
        <w:t xml:space="preserve">When using the cell lysis buffer, it is essential to mix it thoroughly. </w:t>
      </w:r>
      <w:r w:rsidR="006118BD" w:rsidRPr="00507E05">
        <w:rPr>
          <w:rFonts w:eastAsia="SimSun"/>
          <w:bCs/>
          <w:lang w:eastAsia="zh-CN"/>
        </w:rPr>
        <w:t xml:space="preserve">Mix by pipetting 15 times (200 </w:t>
      </w:r>
      <w:r w:rsidR="006118BD" w:rsidRPr="00507E05">
        <w:rPr>
          <w:rFonts w:eastAsia="Segoe UI"/>
          <w:shd w:val="clear" w:color="auto" w:fill="FFFFFF"/>
        </w:rPr>
        <w:t>μL</w:t>
      </w:r>
      <w:r w:rsidR="006118BD" w:rsidRPr="00507E05">
        <w:rPr>
          <w:rFonts w:eastAsiaTheme="minorEastAsia"/>
          <w:shd w:val="clear" w:color="auto" w:fill="FFFFFF"/>
          <w:lang w:eastAsia="zh-CN"/>
        </w:rPr>
        <w:t xml:space="preserve"> tip</w:t>
      </w:r>
      <w:r w:rsidR="006118BD" w:rsidRPr="00507E05">
        <w:rPr>
          <w:rFonts w:eastAsia="SimSun"/>
          <w:bCs/>
          <w:lang w:eastAsia="zh-CN"/>
        </w:rPr>
        <w:t>)</w:t>
      </w:r>
      <w:r w:rsidR="00261C10" w:rsidRPr="00507E05">
        <w:rPr>
          <w:rFonts w:eastAsia="SimSun"/>
          <w:bCs/>
          <w:lang w:eastAsia="zh-CN"/>
        </w:rPr>
        <w:t xml:space="preserve"> </w:t>
      </w:r>
      <w:r w:rsidR="006118BD" w:rsidRPr="00507E05">
        <w:rPr>
          <w:rFonts w:eastAsia="SimSun"/>
          <w:bCs/>
          <w:lang w:eastAsia="zh-CN"/>
        </w:rPr>
        <w:t>and a</w:t>
      </w:r>
      <w:r w:rsidRPr="00507E05">
        <w:rPr>
          <w:rFonts w:eastAsia="SimSun"/>
          <w:bCs/>
          <w:lang w:eastAsia="zh-CN"/>
        </w:rPr>
        <w:t xml:space="preserve">dd both the particles and the liquid to the precipitate. </w:t>
      </w:r>
      <w:r w:rsidR="009D2882" w:rsidRPr="00507E05">
        <w:rPr>
          <w:rFonts w:eastAsia="SimSun"/>
          <w:bCs/>
          <w:lang w:eastAsia="zh-CN"/>
        </w:rPr>
        <w:t>Handle positive control</w:t>
      </w:r>
      <w:r w:rsidRPr="00507E05">
        <w:rPr>
          <w:rFonts w:eastAsia="SimSun"/>
          <w:bCs/>
          <w:lang w:eastAsia="zh-CN"/>
        </w:rPr>
        <w:t xml:space="preserve"> in a</w:t>
      </w:r>
      <w:r w:rsidR="009D2882" w:rsidRPr="00507E05">
        <w:rPr>
          <w:rFonts w:eastAsia="SimSun"/>
          <w:bCs/>
          <w:lang w:eastAsia="zh-CN"/>
        </w:rPr>
        <w:t xml:space="preserve"> UV-treated Class II</w:t>
      </w:r>
      <w:r w:rsidRPr="00507E05">
        <w:rPr>
          <w:rFonts w:eastAsia="SimSun"/>
          <w:bCs/>
          <w:lang w:eastAsia="zh-CN"/>
        </w:rPr>
        <w:t xml:space="preserve"> biosafety cabinet</w:t>
      </w:r>
      <w:r w:rsidR="009D2882" w:rsidRPr="00507E05">
        <w:rPr>
          <w:rFonts w:eastAsia="SimSun"/>
          <w:bCs/>
          <w:lang w:eastAsia="zh-CN"/>
        </w:rPr>
        <w:t xml:space="preserve"> followed by 10% sodium hypochlorite decontamination</w:t>
      </w:r>
      <w:r w:rsidRPr="00507E05">
        <w:rPr>
          <w:rFonts w:eastAsia="SimSun"/>
          <w:bCs/>
          <w:lang w:eastAsia="zh-CN"/>
        </w:rPr>
        <w:t>.</w:t>
      </w:r>
    </w:p>
    <w:p w14:paraId="36493C30" w14:textId="77777777" w:rsidR="00230057" w:rsidRPr="00507E05" w:rsidRDefault="00230057" w:rsidP="00800414">
      <w:pPr>
        <w:rPr>
          <w:rFonts w:eastAsia="SimSun"/>
          <w:bCs/>
          <w:lang w:eastAsia="zh-CN"/>
        </w:rPr>
      </w:pPr>
    </w:p>
    <w:p w14:paraId="3296D34E" w14:textId="6B46B25F" w:rsidR="00230057" w:rsidRPr="00507E05" w:rsidRDefault="00000000" w:rsidP="00036878">
      <w:pPr>
        <w:numPr>
          <w:ilvl w:val="0"/>
          <w:numId w:val="1"/>
        </w:numPr>
        <w:ind w:left="0" w:firstLine="0"/>
        <w:rPr>
          <w:rFonts w:eastAsia="SimSun"/>
          <w:b/>
          <w:highlight w:val="yellow"/>
          <w:lang w:eastAsia="zh-CN"/>
        </w:rPr>
      </w:pPr>
      <w:r w:rsidRPr="00507E05">
        <w:rPr>
          <w:rFonts w:eastAsia="SimSun"/>
          <w:b/>
          <w:highlight w:val="yellow"/>
          <w:lang w:eastAsia="zh-CN"/>
        </w:rPr>
        <w:t xml:space="preserve">RNA </w:t>
      </w:r>
      <w:r w:rsidR="00C910CB" w:rsidRPr="00507E05">
        <w:rPr>
          <w:rFonts w:eastAsia="SimSun"/>
          <w:b/>
          <w:highlight w:val="yellow"/>
          <w:lang w:eastAsia="zh-CN"/>
        </w:rPr>
        <w:t>isothermal amplification</w:t>
      </w:r>
    </w:p>
    <w:p w14:paraId="0C6F3449" w14:textId="77777777" w:rsidR="00E25809" w:rsidRPr="00507E05" w:rsidRDefault="00E25809" w:rsidP="00800414">
      <w:pPr>
        <w:rPr>
          <w:rFonts w:eastAsia="SimSun"/>
          <w:b/>
          <w:highlight w:val="yellow"/>
          <w:lang w:eastAsia="zh-CN"/>
        </w:rPr>
      </w:pPr>
    </w:p>
    <w:p w14:paraId="2F2FDD43" w14:textId="5BB9E890" w:rsidR="009D2882" w:rsidRPr="00507E05" w:rsidRDefault="00000000"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Pre-equilibrat</w:t>
      </w:r>
      <w:r w:rsidR="00B50884" w:rsidRPr="00507E05">
        <w:rPr>
          <w:rFonts w:ascii="Calibri" w:eastAsia="SimSun" w:hAnsi="Calibri" w:cs="Calibri"/>
          <w:bCs/>
          <w:sz w:val="24"/>
          <w:szCs w:val="24"/>
          <w:highlight w:val="yellow"/>
          <w:lang w:eastAsia="zh-CN"/>
        </w:rPr>
        <w:t>ion of</w:t>
      </w:r>
      <w:r w:rsidRPr="00507E05">
        <w:rPr>
          <w:rFonts w:ascii="Calibri" w:eastAsia="SimSun" w:hAnsi="Calibri" w:cs="Calibri"/>
          <w:bCs/>
          <w:sz w:val="24"/>
          <w:szCs w:val="24"/>
          <w:highlight w:val="yellow"/>
          <w:lang w:eastAsia="zh-CN"/>
        </w:rPr>
        <w:t xml:space="preserve"> </w:t>
      </w:r>
      <w:r w:rsidR="00C910CB" w:rsidRPr="00507E05">
        <w:rPr>
          <w:rFonts w:ascii="Calibri" w:eastAsia="SimSun" w:hAnsi="Calibri" w:cs="Calibri"/>
          <w:bCs/>
          <w:sz w:val="24"/>
          <w:szCs w:val="24"/>
          <w:highlight w:val="yellow"/>
          <w:lang w:eastAsia="zh-CN"/>
        </w:rPr>
        <w:t>the amplification buffer</w:t>
      </w:r>
    </w:p>
    <w:p w14:paraId="53306509"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5F353751" w14:textId="2DE36B07" w:rsidR="00230057" w:rsidRPr="00507E05" w:rsidRDefault="009D2882"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Thaw the amplification buffer and equilibrate at 25 </w:t>
      </w:r>
      <w:r w:rsidR="00B50884" w:rsidRPr="00507E05">
        <w:rPr>
          <w:rFonts w:ascii="Calibri" w:eastAsia="SimSun" w:hAnsi="Calibri" w:cs="Calibri"/>
          <w:bCs/>
          <w:sz w:val="24"/>
          <w:szCs w:val="24"/>
          <w:highlight w:val="yellow"/>
          <w:lang w:eastAsia="zh-CN"/>
        </w:rPr>
        <w:t>°C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w:t>
      </w:r>
      <w:r w:rsidR="00B50884" w:rsidRPr="00507E05">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 xml:space="preserve">1 </w:t>
      </w:r>
      <w:r w:rsidR="00B50884" w:rsidRPr="00507E05">
        <w:rPr>
          <w:rFonts w:ascii="Calibri" w:eastAsia="SimSun" w:hAnsi="Calibri" w:cs="Calibri"/>
          <w:bCs/>
          <w:sz w:val="24"/>
          <w:szCs w:val="24"/>
          <w:highlight w:val="yellow"/>
          <w:lang w:eastAsia="zh-CN"/>
        </w:rPr>
        <w:t>°C</w:t>
      </w:r>
      <w:r w:rsidRPr="00507E05">
        <w:rPr>
          <w:rFonts w:ascii="Calibri" w:eastAsia="SimSun" w:hAnsi="Calibri" w:cs="Calibri"/>
          <w:bCs/>
          <w:sz w:val="24"/>
          <w:szCs w:val="24"/>
          <w:highlight w:val="yellow"/>
          <w:lang w:eastAsia="zh-CN"/>
        </w:rPr>
        <w:t xml:space="preserve"> for 15 min.</w:t>
      </w:r>
    </w:p>
    <w:p w14:paraId="067FD372" w14:textId="77777777" w:rsidR="00E25809" w:rsidRPr="00507E05" w:rsidRDefault="00E25809" w:rsidP="00800414">
      <w:pPr>
        <w:ind w:firstLineChars="50" w:firstLine="120"/>
        <w:rPr>
          <w:rFonts w:eastAsia="SimSun"/>
          <w:bCs/>
          <w:highlight w:val="yellow"/>
          <w:lang w:eastAsia="zh-CN"/>
        </w:rPr>
      </w:pPr>
    </w:p>
    <w:p w14:paraId="7E7F2CC9" w14:textId="3B5A6713" w:rsidR="00DE2EBC" w:rsidRPr="00507E05" w:rsidRDefault="00DE2EBC"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Control </w:t>
      </w:r>
      <w:r w:rsidR="00C910CB" w:rsidRPr="00507E05">
        <w:rPr>
          <w:rFonts w:ascii="Calibri" w:eastAsia="SimSun" w:hAnsi="Calibri" w:cs="Calibri"/>
          <w:bCs/>
          <w:sz w:val="24"/>
          <w:szCs w:val="24"/>
          <w:highlight w:val="yellow"/>
          <w:lang w:eastAsia="zh-CN"/>
        </w:rPr>
        <w:t>s</w:t>
      </w:r>
      <w:r w:rsidRPr="00507E05">
        <w:rPr>
          <w:rFonts w:ascii="Calibri" w:eastAsia="SimSun" w:hAnsi="Calibri" w:cs="Calibri"/>
          <w:bCs/>
          <w:sz w:val="24"/>
          <w:szCs w:val="24"/>
          <w:highlight w:val="yellow"/>
          <w:lang w:eastAsia="zh-CN"/>
        </w:rPr>
        <w:t>etup</w:t>
      </w:r>
    </w:p>
    <w:p w14:paraId="03E2E470"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1798126B" w14:textId="649FB9E7" w:rsidR="00230057" w:rsidRPr="00507E05" w:rsidRDefault="00DE2EBC"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Include both positive and negative control in each experimental run.</w:t>
      </w:r>
    </w:p>
    <w:p w14:paraId="4FC618C7" w14:textId="77777777" w:rsidR="00E25809" w:rsidRPr="00507E05" w:rsidRDefault="00E25809" w:rsidP="00800414">
      <w:pPr>
        <w:rPr>
          <w:rFonts w:eastAsia="SimSun"/>
          <w:bCs/>
          <w:highlight w:val="yellow"/>
          <w:lang w:eastAsia="zh-CN"/>
        </w:rPr>
      </w:pPr>
    </w:p>
    <w:p w14:paraId="00AC6CDE" w14:textId="7ED534B1" w:rsidR="00DE2EBC" w:rsidRPr="00507E05" w:rsidRDefault="00DE2EBC"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Tube </w:t>
      </w:r>
      <w:r w:rsidR="00C910CB" w:rsidRPr="00507E05">
        <w:rPr>
          <w:rFonts w:ascii="Calibri" w:eastAsia="SimSun" w:hAnsi="Calibri" w:cs="Calibri"/>
          <w:bCs/>
          <w:sz w:val="24"/>
          <w:szCs w:val="24"/>
          <w:highlight w:val="yellow"/>
          <w:lang w:eastAsia="zh-CN"/>
        </w:rPr>
        <w:t>l</w:t>
      </w:r>
      <w:r w:rsidRPr="00507E05">
        <w:rPr>
          <w:rFonts w:ascii="Calibri" w:eastAsia="SimSun" w:hAnsi="Calibri" w:cs="Calibri"/>
          <w:bCs/>
          <w:sz w:val="24"/>
          <w:szCs w:val="24"/>
          <w:highlight w:val="yellow"/>
          <w:lang w:eastAsia="zh-CN"/>
        </w:rPr>
        <w:t>abeling</w:t>
      </w:r>
    </w:p>
    <w:p w14:paraId="31A089E6"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40074D3E" w14:textId="2F5C3D67"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Label amplification tubes according to the number of specimens. </w:t>
      </w:r>
    </w:p>
    <w:p w14:paraId="3EF43C9C" w14:textId="77777777" w:rsidR="00E25809" w:rsidRPr="00507E05" w:rsidRDefault="00E25809" w:rsidP="00800414">
      <w:pPr>
        <w:rPr>
          <w:rFonts w:eastAsia="SimSun"/>
          <w:bCs/>
          <w:highlight w:val="yellow"/>
          <w:lang w:eastAsia="zh-CN"/>
        </w:rPr>
      </w:pPr>
    </w:p>
    <w:p w14:paraId="020511CD" w14:textId="595BF2EF" w:rsidR="00DE2EBC" w:rsidRPr="00507E05" w:rsidRDefault="00DE2EBC"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Reaction </w:t>
      </w:r>
      <w:r w:rsidR="00C910CB" w:rsidRPr="00507E05">
        <w:rPr>
          <w:rFonts w:ascii="Calibri" w:eastAsia="SimSun" w:hAnsi="Calibri" w:cs="Calibri"/>
          <w:bCs/>
          <w:sz w:val="24"/>
          <w:szCs w:val="24"/>
          <w:highlight w:val="yellow"/>
          <w:lang w:eastAsia="zh-CN"/>
        </w:rPr>
        <w:t>a</w:t>
      </w:r>
      <w:r w:rsidRPr="00507E05">
        <w:rPr>
          <w:rFonts w:ascii="Calibri" w:eastAsia="SimSun" w:hAnsi="Calibri" w:cs="Calibri"/>
          <w:bCs/>
          <w:sz w:val="24"/>
          <w:szCs w:val="24"/>
          <w:highlight w:val="yellow"/>
          <w:lang w:eastAsia="zh-CN"/>
        </w:rPr>
        <w:t>ssembly</w:t>
      </w:r>
    </w:p>
    <w:p w14:paraId="12468E1E"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732B0A1A" w14:textId="2DF16CDF" w:rsidR="00230057" w:rsidRPr="00507E05" w:rsidRDefault="00DE2EBC"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highlight w:val="yellow"/>
          <w:lang w:eastAsia="zh-CN"/>
        </w:rPr>
        <w:t xml:space="preserve">Pipette 17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of amplification buffer into each tube using a calibrated 20 </w:t>
      </w:r>
      <w:r w:rsidRPr="00507E05">
        <w:rPr>
          <w:rFonts w:ascii="Calibri" w:eastAsia="Segoe UI" w:hAnsi="Calibri" w:cs="Calibri"/>
          <w:sz w:val="24"/>
          <w:szCs w:val="24"/>
          <w:highlight w:val="yellow"/>
          <w:shd w:val="clear" w:color="auto" w:fill="FFFFFF"/>
        </w:rPr>
        <w:t>μL</w:t>
      </w:r>
      <w:r w:rsidRPr="00507E05">
        <w:rPr>
          <w:rFonts w:ascii="Calibri" w:eastAsiaTheme="minorEastAsia" w:hAnsi="Calibri" w:cs="Calibri"/>
          <w:sz w:val="24"/>
          <w:szCs w:val="24"/>
          <w:highlight w:val="yellow"/>
          <w:shd w:val="clear" w:color="auto" w:fill="FFFFFF"/>
          <w:lang w:eastAsia="zh-CN"/>
        </w:rPr>
        <w:t xml:space="preserve"> pipette. </w:t>
      </w:r>
      <w:r w:rsidR="00C910CB" w:rsidRPr="00507E05">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Add</w:t>
      </w:r>
      <w:r w:rsidR="00C910CB" w:rsidRPr="00507E05">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 xml:space="preserve">2 </w:t>
      </w:r>
      <w:r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of the specimen or control lysate directly into the buffer droplet.</w:t>
      </w:r>
    </w:p>
    <w:p w14:paraId="0063DDD2" w14:textId="77777777" w:rsidR="00800414" w:rsidRPr="00507E05" w:rsidRDefault="00800414" w:rsidP="00036878">
      <w:pPr>
        <w:pStyle w:val="ListParagraph"/>
        <w:spacing w:after="0" w:line="240" w:lineRule="auto"/>
        <w:ind w:left="0"/>
        <w:rPr>
          <w:rFonts w:ascii="Calibri" w:eastAsia="SimSun" w:hAnsi="Calibri" w:cs="Calibri"/>
          <w:bCs/>
          <w:sz w:val="24"/>
          <w:szCs w:val="24"/>
          <w:lang w:eastAsia="zh-CN"/>
        </w:rPr>
      </w:pPr>
    </w:p>
    <w:p w14:paraId="1C0EF612" w14:textId="3BC521A6" w:rsidR="00230057" w:rsidRPr="00507E05" w:rsidRDefault="00B50884" w:rsidP="00800414">
      <w:pPr>
        <w:rPr>
          <w:rFonts w:eastAsia="SimSun"/>
          <w:bCs/>
          <w:lang w:eastAsia="zh-CN"/>
        </w:rPr>
      </w:pPr>
      <w:r w:rsidRPr="00507E05">
        <w:rPr>
          <w:rFonts w:eastAsia="SimSun"/>
          <w:bCs/>
          <w:lang w:eastAsia="zh-CN"/>
        </w:rPr>
        <w:t xml:space="preserve">NOTE: </w:t>
      </w:r>
      <w:r w:rsidR="00DE2EBC" w:rsidRPr="00507E05">
        <w:rPr>
          <w:rFonts w:eastAsia="SimSun"/>
          <w:bCs/>
          <w:lang w:eastAsia="zh-CN"/>
        </w:rPr>
        <w:t xml:space="preserve">Ensure the lysate enters the buffer without contacting the tube wall (briefly centrifuge at 500 × </w:t>
      </w:r>
      <w:r w:rsidR="00DE2EBC" w:rsidRPr="00507E05">
        <w:rPr>
          <w:rFonts w:eastAsia="SimSun"/>
          <w:bCs/>
          <w:i/>
          <w:iCs/>
          <w:lang w:eastAsia="zh-CN"/>
        </w:rPr>
        <w:t>g</w:t>
      </w:r>
      <w:r w:rsidR="00DE2EBC" w:rsidRPr="00507E05">
        <w:rPr>
          <w:rFonts w:eastAsia="SimSun"/>
          <w:bCs/>
          <w:lang w:eastAsia="zh-CN"/>
        </w:rPr>
        <w:t xml:space="preserve"> for 5 s if necessary). I</w:t>
      </w:r>
      <w:r w:rsidR="0080096A" w:rsidRPr="00507E05">
        <w:rPr>
          <w:rFonts w:eastAsia="SimSun"/>
          <w:bCs/>
          <w:lang w:eastAsia="zh-CN"/>
        </w:rPr>
        <w:t>mmediately cap tubes to prevent aerosol contamination</w:t>
      </w:r>
      <w:r w:rsidRPr="00507E05">
        <w:rPr>
          <w:rFonts w:eastAsia="SimSun"/>
          <w:bCs/>
          <w:lang w:eastAsia="zh-CN"/>
        </w:rPr>
        <w:t>.</w:t>
      </w:r>
    </w:p>
    <w:p w14:paraId="7C526725" w14:textId="77777777" w:rsidR="00E25809" w:rsidRPr="00507E05" w:rsidRDefault="00E25809" w:rsidP="00800414">
      <w:pPr>
        <w:rPr>
          <w:rFonts w:eastAsia="SimSun"/>
          <w:bCs/>
          <w:highlight w:val="yellow"/>
          <w:lang w:eastAsia="zh-CN"/>
        </w:rPr>
      </w:pPr>
    </w:p>
    <w:p w14:paraId="3EBFD3F4" w14:textId="3469E1F7" w:rsidR="0080096A" w:rsidRPr="00507E05" w:rsidRDefault="0080096A"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Therma</w:t>
      </w:r>
      <w:r w:rsidR="00C910CB" w:rsidRPr="00507E05">
        <w:rPr>
          <w:rFonts w:ascii="Calibri" w:eastAsia="SimSun" w:hAnsi="Calibri" w:cs="Calibri"/>
          <w:bCs/>
          <w:sz w:val="24"/>
          <w:szCs w:val="24"/>
          <w:highlight w:val="yellow"/>
          <w:lang w:eastAsia="zh-CN"/>
        </w:rPr>
        <w:t>l activation</w:t>
      </w:r>
    </w:p>
    <w:p w14:paraId="6E00CF5C"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61E621A3" w14:textId="5D0E94A6" w:rsidR="0080096A"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Incubate tube</w:t>
      </w:r>
      <w:r w:rsidR="0080096A" w:rsidRPr="00507E05">
        <w:rPr>
          <w:rFonts w:ascii="Calibri" w:eastAsia="SimSun" w:hAnsi="Calibri" w:cs="Calibri"/>
          <w:bCs/>
          <w:sz w:val="24"/>
          <w:szCs w:val="24"/>
          <w:highlight w:val="yellow"/>
          <w:lang w:eastAsia="zh-CN"/>
        </w:rPr>
        <w:t>s</w:t>
      </w:r>
      <w:r w:rsidRPr="00507E05">
        <w:rPr>
          <w:rFonts w:ascii="Calibri" w:eastAsia="SimSun" w:hAnsi="Calibri" w:cs="Calibri"/>
          <w:bCs/>
          <w:sz w:val="24"/>
          <w:szCs w:val="24"/>
          <w:highlight w:val="yellow"/>
          <w:lang w:eastAsia="zh-CN"/>
        </w:rPr>
        <w:t xml:space="preserve"> </w:t>
      </w:r>
      <w:r w:rsidR="0080096A" w:rsidRPr="00507E05">
        <w:rPr>
          <w:rFonts w:ascii="Calibri" w:eastAsia="SimSun" w:hAnsi="Calibri" w:cs="Calibri"/>
          <w:bCs/>
          <w:sz w:val="24"/>
          <w:szCs w:val="24"/>
          <w:highlight w:val="yellow"/>
          <w:lang w:eastAsia="zh-CN"/>
        </w:rPr>
        <w:t>in a preheated thermal cycler under the following program:</w:t>
      </w:r>
    </w:p>
    <w:p w14:paraId="2F06DFC4" w14:textId="4C02EB1C" w:rsidR="0080096A" w:rsidRPr="00507E05" w:rsidRDefault="0080096A" w:rsidP="00800414">
      <w:pPr>
        <w:rPr>
          <w:rFonts w:eastAsia="SimSun"/>
          <w:bCs/>
          <w:highlight w:val="yellow"/>
          <w:lang w:eastAsia="zh-CN"/>
        </w:rPr>
      </w:pPr>
      <w:r w:rsidRPr="00507E05">
        <w:rPr>
          <w:rFonts w:eastAsia="SimSun"/>
          <w:bCs/>
          <w:highlight w:val="yellow"/>
          <w:lang w:eastAsia="zh-CN"/>
        </w:rPr>
        <w:t xml:space="preserve">Step 1:  95 </w:t>
      </w:r>
      <w:r w:rsidR="00B50884" w:rsidRPr="00507E05">
        <w:rPr>
          <w:rFonts w:eastAsia="SimSun"/>
          <w:bCs/>
          <w:highlight w:val="yellow"/>
          <w:lang w:eastAsia="zh-CN"/>
        </w:rPr>
        <w:t>°C</w:t>
      </w:r>
      <w:r w:rsidR="00B50884" w:rsidRPr="00507E05" w:rsidDel="00B50884">
        <w:rPr>
          <w:rFonts w:eastAsia="SimSun"/>
          <w:bCs/>
          <w:highlight w:val="yellow"/>
          <w:lang w:eastAsia="zh-CN"/>
        </w:rPr>
        <w:t xml:space="preserve"> </w:t>
      </w:r>
      <w:r w:rsidRPr="00507E05">
        <w:rPr>
          <w:rFonts w:eastAsia="SimSun"/>
          <w:bCs/>
          <w:highlight w:val="yellow"/>
          <w:lang w:eastAsia="zh-CN"/>
        </w:rPr>
        <w:t>for 2 min</w:t>
      </w:r>
      <w:r w:rsidR="00B50884" w:rsidRPr="00507E05">
        <w:rPr>
          <w:rFonts w:eastAsia="SimSun"/>
          <w:bCs/>
          <w:highlight w:val="yellow"/>
          <w:lang w:eastAsia="zh-CN"/>
        </w:rPr>
        <w:t xml:space="preserve"> </w:t>
      </w:r>
      <w:r w:rsidRPr="00507E05">
        <w:rPr>
          <w:rFonts w:eastAsia="SimSun"/>
          <w:bCs/>
          <w:highlight w:val="yellow"/>
          <w:lang w:eastAsia="zh-CN"/>
        </w:rPr>
        <w:t>(denaturation)</w:t>
      </w:r>
    </w:p>
    <w:p w14:paraId="0502D22E" w14:textId="221B0BE9" w:rsidR="00230057" w:rsidRPr="00507E05" w:rsidRDefault="0080096A" w:rsidP="00800414">
      <w:pPr>
        <w:rPr>
          <w:rFonts w:eastAsia="SimSun"/>
          <w:bCs/>
          <w:highlight w:val="yellow"/>
          <w:lang w:eastAsia="zh-CN"/>
        </w:rPr>
      </w:pPr>
      <w:r w:rsidRPr="00507E05">
        <w:rPr>
          <w:rFonts w:eastAsia="SimSun"/>
          <w:bCs/>
          <w:highlight w:val="yellow"/>
          <w:lang w:eastAsia="zh-CN"/>
        </w:rPr>
        <w:t xml:space="preserve">Step 2: 42 </w:t>
      </w:r>
      <w:r w:rsidR="00B50884" w:rsidRPr="00507E05">
        <w:rPr>
          <w:rFonts w:eastAsia="SimSun"/>
          <w:bCs/>
          <w:highlight w:val="yellow"/>
          <w:lang w:eastAsia="zh-CN"/>
        </w:rPr>
        <w:t>°C</w:t>
      </w:r>
      <w:r w:rsidR="00B50884" w:rsidRPr="00507E05" w:rsidDel="00B50884">
        <w:rPr>
          <w:rFonts w:eastAsia="SimSun"/>
          <w:bCs/>
          <w:highlight w:val="yellow"/>
          <w:lang w:eastAsia="zh-CN"/>
        </w:rPr>
        <w:t xml:space="preserve"> </w:t>
      </w:r>
      <w:r w:rsidRPr="00507E05">
        <w:rPr>
          <w:rFonts w:eastAsia="SimSun"/>
          <w:bCs/>
          <w:highlight w:val="yellow"/>
          <w:lang w:eastAsia="zh-CN"/>
        </w:rPr>
        <w:t xml:space="preserve"> for</w:t>
      </w:r>
      <w:r w:rsidR="00B50884" w:rsidRPr="00507E05">
        <w:rPr>
          <w:rFonts w:eastAsia="SimSun"/>
          <w:bCs/>
          <w:highlight w:val="yellow"/>
          <w:lang w:eastAsia="zh-CN"/>
        </w:rPr>
        <w:t xml:space="preserve"> </w:t>
      </w:r>
      <w:r w:rsidRPr="00507E05">
        <w:rPr>
          <w:rFonts w:eastAsia="SimSun"/>
          <w:bCs/>
          <w:highlight w:val="yellow"/>
          <w:lang w:eastAsia="zh-CN"/>
        </w:rPr>
        <w:t>2 min (primer annealing).</w:t>
      </w:r>
    </w:p>
    <w:p w14:paraId="1D18F37A" w14:textId="77777777" w:rsidR="00E25809" w:rsidRPr="00507E05" w:rsidRDefault="00E25809" w:rsidP="00800414">
      <w:pPr>
        <w:rPr>
          <w:rFonts w:eastAsia="SimSun"/>
          <w:bCs/>
          <w:highlight w:val="yellow"/>
          <w:lang w:eastAsia="zh-CN"/>
        </w:rPr>
      </w:pPr>
    </w:p>
    <w:p w14:paraId="69A3AE07" w14:textId="390EC7BE" w:rsidR="0080096A" w:rsidRPr="00507E05" w:rsidRDefault="0080096A"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lastRenderedPageBreak/>
        <w:t xml:space="preserve">Enzymatic </w:t>
      </w:r>
      <w:r w:rsidR="00C910CB" w:rsidRPr="00507E05">
        <w:rPr>
          <w:rFonts w:ascii="Calibri" w:eastAsia="SimSun" w:hAnsi="Calibri" w:cs="Calibri"/>
          <w:bCs/>
          <w:sz w:val="24"/>
          <w:szCs w:val="24"/>
          <w:highlight w:val="yellow"/>
          <w:lang w:eastAsia="zh-CN"/>
        </w:rPr>
        <w:t>amplification</w:t>
      </w:r>
    </w:p>
    <w:p w14:paraId="1A694AEF"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5845E6AE" w14:textId="6F0EDAAB"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highlight w:val="yellow"/>
          <w:lang w:eastAsia="zh-CN"/>
        </w:rPr>
        <w:t>Add 1</w:t>
      </w:r>
      <w:r w:rsidR="0080096A" w:rsidRPr="00507E05">
        <w:rPr>
          <w:rFonts w:ascii="Calibri" w:eastAsia="SimSun" w:hAnsi="Calibri" w:cs="Calibri"/>
          <w:bCs/>
          <w:sz w:val="24"/>
          <w:szCs w:val="24"/>
          <w:highlight w:val="yellow"/>
          <w:lang w:eastAsia="zh-CN"/>
        </w:rPr>
        <w:t xml:space="preserve"> </w:t>
      </w:r>
      <w:r w:rsidR="0080096A"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of amplification enzyme to </w:t>
      </w:r>
      <w:r w:rsidR="0080096A" w:rsidRPr="00507E05">
        <w:rPr>
          <w:rFonts w:ascii="Calibri" w:eastAsia="SimSun" w:hAnsi="Calibri" w:cs="Calibri"/>
          <w:bCs/>
          <w:sz w:val="24"/>
          <w:szCs w:val="24"/>
          <w:highlight w:val="yellow"/>
          <w:lang w:eastAsia="zh-CN"/>
        </w:rPr>
        <w:t>each</w:t>
      </w:r>
      <w:r w:rsidRPr="00507E05">
        <w:rPr>
          <w:rFonts w:ascii="Calibri" w:eastAsia="SimSun" w:hAnsi="Calibri" w:cs="Calibri"/>
          <w:bCs/>
          <w:sz w:val="24"/>
          <w:szCs w:val="24"/>
          <w:highlight w:val="yellow"/>
          <w:lang w:eastAsia="zh-CN"/>
        </w:rPr>
        <w:t xml:space="preserve"> tube and mix </w:t>
      </w:r>
      <w:r w:rsidR="0080096A" w:rsidRPr="00507E05">
        <w:rPr>
          <w:rFonts w:ascii="Calibri" w:eastAsia="SimSun" w:hAnsi="Calibri" w:cs="Calibri"/>
          <w:bCs/>
          <w:sz w:val="24"/>
          <w:szCs w:val="24"/>
          <w:highlight w:val="yellow"/>
          <w:lang w:eastAsia="zh-CN"/>
        </w:rPr>
        <w:t>by flicking the tube 5 times followed by brief centrifu</w:t>
      </w:r>
      <w:r w:rsidR="00F436C2" w:rsidRPr="00507E05">
        <w:rPr>
          <w:rFonts w:ascii="Calibri" w:eastAsia="SimSun" w:hAnsi="Calibri" w:cs="Calibri"/>
          <w:bCs/>
          <w:sz w:val="24"/>
          <w:szCs w:val="24"/>
          <w:highlight w:val="yellow"/>
          <w:lang w:eastAsia="zh-CN"/>
        </w:rPr>
        <w:t xml:space="preserve">gation (500 × </w:t>
      </w:r>
      <w:r w:rsidR="00F436C2" w:rsidRPr="00507E05">
        <w:rPr>
          <w:rFonts w:ascii="Calibri" w:eastAsia="SimSun" w:hAnsi="Calibri" w:cs="Calibri"/>
          <w:bCs/>
          <w:i/>
          <w:iCs/>
          <w:sz w:val="24"/>
          <w:szCs w:val="24"/>
          <w:highlight w:val="yellow"/>
          <w:lang w:eastAsia="zh-CN"/>
        </w:rPr>
        <w:t>g</w:t>
      </w:r>
      <w:r w:rsidR="00F436C2" w:rsidRPr="00507E05">
        <w:rPr>
          <w:rFonts w:ascii="Calibri" w:eastAsia="SimSun" w:hAnsi="Calibri" w:cs="Calibri"/>
          <w:bCs/>
          <w:sz w:val="24"/>
          <w:szCs w:val="24"/>
          <w:highlight w:val="yellow"/>
          <w:lang w:eastAsia="zh-CN"/>
        </w:rPr>
        <w:t xml:space="preserve"> for 5 s</w:t>
      </w:r>
      <w:r w:rsidR="00B50884" w:rsidRPr="00507E05">
        <w:rPr>
          <w:rFonts w:ascii="Calibri" w:eastAsia="SimSun" w:hAnsi="Calibri" w:cs="Calibri"/>
          <w:bCs/>
          <w:sz w:val="24"/>
          <w:szCs w:val="24"/>
          <w:highlight w:val="yellow"/>
          <w:lang w:eastAsia="zh-CN"/>
        </w:rPr>
        <w:t>)</w:t>
      </w:r>
      <w:r w:rsidRPr="00507E05">
        <w:rPr>
          <w:rFonts w:ascii="Calibri" w:eastAsia="SimSun" w:hAnsi="Calibri" w:cs="Calibri"/>
          <w:bCs/>
          <w:sz w:val="24"/>
          <w:szCs w:val="24"/>
          <w:highlight w:val="yellow"/>
          <w:lang w:eastAsia="zh-CN"/>
        </w:rPr>
        <w:t xml:space="preserve">. </w:t>
      </w:r>
      <w:r w:rsidR="00F436C2" w:rsidRPr="00507E05">
        <w:rPr>
          <w:rFonts w:ascii="Calibri" w:eastAsia="SimSun" w:hAnsi="Calibri" w:cs="Calibri"/>
          <w:bCs/>
          <w:sz w:val="24"/>
          <w:szCs w:val="24"/>
          <w:highlight w:val="yellow"/>
          <w:lang w:eastAsia="zh-CN"/>
        </w:rPr>
        <w:t xml:space="preserve">Transfer </w:t>
      </w:r>
      <w:r w:rsidRPr="00507E05">
        <w:rPr>
          <w:rFonts w:ascii="Calibri" w:eastAsia="SimSun" w:hAnsi="Calibri" w:cs="Calibri"/>
          <w:bCs/>
          <w:sz w:val="24"/>
          <w:szCs w:val="24"/>
          <w:highlight w:val="yellow"/>
          <w:lang w:eastAsia="zh-CN"/>
        </w:rPr>
        <w:t>the tube</w:t>
      </w:r>
      <w:r w:rsidR="00F436C2" w:rsidRPr="00507E05">
        <w:rPr>
          <w:rFonts w:ascii="Calibri" w:eastAsia="SimSun" w:hAnsi="Calibri" w:cs="Calibri"/>
          <w:bCs/>
          <w:sz w:val="24"/>
          <w:szCs w:val="24"/>
          <w:highlight w:val="yellow"/>
          <w:lang w:eastAsia="zh-CN"/>
        </w:rPr>
        <w:t>s to a second preheated thermal cycler</w:t>
      </w:r>
      <w:r w:rsidRPr="00507E05">
        <w:rPr>
          <w:rFonts w:ascii="Calibri" w:eastAsia="SimSun" w:hAnsi="Calibri" w:cs="Calibri"/>
          <w:bCs/>
          <w:sz w:val="24"/>
          <w:szCs w:val="24"/>
          <w:highlight w:val="yellow"/>
          <w:lang w:eastAsia="zh-CN"/>
        </w:rPr>
        <w:t xml:space="preserve"> at 42</w:t>
      </w:r>
      <w:r w:rsidR="00B50884" w:rsidRPr="00507E05">
        <w:rPr>
          <w:rFonts w:ascii="Calibri" w:eastAsia="SimSun" w:hAnsi="Calibri" w:cs="Calibri"/>
          <w:bCs/>
          <w:sz w:val="24"/>
          <w:szCs w:val="24"/>
          <w:highlight w:val="yellow"/>
          <w:lang w:eastAsia="zh-CN"/>
        </w:rPr>
        <w:t xml:space="preserve"> °C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for 45 min</w:t>
      </w:r>
      <w:r w:rsidR="00B50884" w:rsidRPr="00507E05">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immediately.</w:t>
      </w:r>
    </w:p>
    <w:p w14:paraId="520A825D" w14:textId="77777777" w:rsidR="00800414" w:rsidRPr="00507E05" w:rsidRDefault="00800414" w:rsidP="00036878">
      <w:pPr>
        <w:pStyle w:val="ListParagraph"/>
        <w:spacing w:after="0" w:line="240" w:lineRule="auto"/>
        <w:ind w:left="0"/>
        <w:rPr>
          <w:rFonts w:ascii="Calibri" w:eastAsia="SimSun" w:hAnsi="Calibri" w:cs="Calibri"/>
          <w:bCs/>
          <w:sz w:val="24"/>
          <w:szCs w:val="24"/>
          <w:lang w:eastAsia="zh-CN"/>
        </w:rPr>
      </w:pPr>
    </w:p>
    <w:p w14:paraId="47016600" w14:textId="6F92D0FC" w:rsidR="00230057" w:rsidRPr="00507E05" w:rsidRDefault="00B50884" w:rsidP="00800414">
      <w:pPr>
        <w:rPr>
          <w:rFonts w:eastAsia="SimSun"/>
          <w:bCs/>
          <w:lang w:eastAsia="zh-CN"/>
        </w:rPr>
      </w:pPr>
      <w:r w:rsidRPr="00507E05">
        <w:rPr>
          <w:rFonts w:eastAsia="SimSun"/>
          <w:bCs/>
          <w:lang w:eastAsia="zh-CN"/>
        </w:rPr>
        <w:t xml:space="preserve">NOTE: </w:t>
      </w:r>
      <w:r w:rsidR="00F436C2" w:rsidRPr="00507E05">
        <w:rPr>
          <w:rFonts w:eastAsia="SimSun"/>
          <w:bCs/>
          <w:lang w:eastAsia="zh-CN"/>
        </w:rPr>
        <w:t>Use separate</w:t>
      </w:r>
      <w:r w:rsidRPr="00507E05">
        <w:rPr>
          <w:rFonts w:eastAsia="SimSun"/>
          <w:bCs/>
          <w:lang w:eastAsia="zh-CN"/>
        </w:rPr>
        <w:t xml:space="preserve"> incubators </w:t>
      </w:r>
      <w:r w:rsidR="00F436C2" w:rsidRPr="00507E05">
        <w:rPr>
          <w:rFonts w:eastAsia="SimSun"/>
          <w:bCs/>
          <w:lang w:eastAsia="zh-CN"/>
        </w:rPr>
        <w:t>to avoid temperature fluctuations</w:t>
      </w:r>
      <w:r w:rsidRPr="00507E05">
        <w:rPr>
          <w:rFonts w:eastAsia="SimSun"/>
          <w:bCs/>
          <w:lang w:eastAsia="zh-CN"/>
        </w:rPr>
        <w:t>, one set to 95 °C</w:t>
      </w:r>
      <w:r w:rsidRPr="00507E05" w:rsidDel="00B50884">
        <w:rPr>
          <w:rFonts w:eastAsia="SimSun"/>
          <w:bCs/>
          <w:lang w:eastAsia="zh-CN"/>
        </w:rPr>
        <w:t xml:space="preserve"> </w:t>
      </w:r>
      <w:r w:rsidRPr="00507E05">
        <w:rPr>
          <w:rFonts w:eastAsia="SimSun"/>
          <w:bCs/>
          <w:lang w:eastAsia="zh-CN"/>
        </w:rPr>
        <w:t xml:space="preserve">and the other to 42 °C. </w:t>
      </w:r>
      <w:r w:rsidR="00F436C2" w:rsidRPr="00507E05">
        <w:rPr>
          <w:rFonts w:eastAsia="SimSun"/>
          <w:bCs/>
          <w:lang w:eastAsia="zh-CN"/>
        </w:rPr>
        <w:t>For multi-sample runs</w:t>
      </w:r>
      <w:r w:rsidRPr="00507E05">
        <w:rPr>
          <w:rFonts w:eastAsia="SimSun"/>
          <w:bCs/>
          <w:lang w:eastAsia="zh-CN"/>
        </w:rPr>
        <w:t>, maintain the remaining amplification tubes at 42 °C</w:t>
      </w:r>
      <w:r w:rsidRPr="00507E05" w:rsidDel="00B50884">
        <w:rPr>
          <w:rFonts w:eastAsia="SimSun"/>
          <w:bCs/>
          <w:lang w:eastAsia="zh-CN"/>
        </w:rPr>
        <w:t xml:space="preserve"> </w:t>
      </w:r>
      <w:r w:rsidRPr="00507E05">
        <w:rPr>
          <w:rFonts w:eastAsia="SimSun"/>
          <w:bCs/>
          <w:lang w:eastAsia="zh-CN"/>
        </w:rPr>
        <w:t xml:space="preserve"> while adding the amplification enzyme to the last amplification tube.</w:t>
      </w:r>
    </w:p>
    <w:p w14:paraId="1BB2F2B5" w14:textId="77777777" w:rsidR="00230057" w:rsidRPr="00507E05" w:rsidRDefault="00230057" w:rsidP="00800414">
      <w:pPr>
        <w:rPr>
          <w:rFonts w:eastAsia="SimSun"/>
          <w:lang w:eastAsia="zh-CN"/>
        </w:rPr>
      </w:pPr>
    </w:p>
    <w:p w14:paraId="3B15C207" w14:textId="1BB8002E" w:rsidR="00230057" w:rsidRPr="00507E05" w:rsidRDefault="00000000" w:rsidP="00036878">
      <w:pPr>
        <w:numPr>
          <w:ilvl w:val="0"/>
          <w:numId w:val="1"/>
        </w:numPr>
        <w:ind w:left="0" w:firstLine="0"/>
        <w:rPr>
          <w:rFonts w:eastAsia="SimSun"/>
          <w:b/>
          <w:highlight w:val="yellow"/>
          <w:lang w:eastAsia="zh-CN"/>
        </w:rPr>
      </w:pPr>
      <w:r w:rsidRPr="00507E05">
        <w:rPr>
          <w:rFonts w:eastAsia="SimSun"/>
          <w:b/>
          <w:highlight w:val="yellow"/>
          <w:lang w:eastAsia="zh-CN"/>
        </w:rPr>
        <w:t xml:space="preserve">Lateral </w:t>
      </w:r>
      <w:r w:rsidR="00C910CB" w:rsidRPr="00507E05">
        <w:rPr>
          <w:rFonts w:eastAsia="SimSun"/>
          <w:b/>
          <w:highlight w:val="yellow"/>
          <w:lang w:eastAsia="zh-CN"/>
        </w:rPr>
        <w:t>flow assay</w:t>
      </w:r>
    </w:p>
    <w:p w14:paraId="0C41D6D5" w14:textId="77777777" w:rsidR="00E25809" w:rsidRPr="00507E05" w:rsidRDefault="00E25809" w:rsidP="00800414">
      <w:pPr>
        <w:rPr>
          <w:rFonts w:eastAsia="SimSun"/>
          <w:bCs/>
          <w:highlight w:val="yellow"/>
          <w:lang w:eastAsia="zh-CN"/>
        </w:rPr>
      </w:pPr>
    </w:p>
    <w:p w14:paraId="216EF76B" w14:textId="7CEBAA04" w:rsidR="00C739D6" w:rsidRPr="00507E05" w:rsidRDefault="00C739D6"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Detection </w:t>
      </w:r>
      <w:r w:rsidR="00C910CB" w:rsidRPr="00507E05">
        <w:rPr>
          <w:rFonts w:ascii="Calibri" w:eastAsia="SimSun" w:hAnsi="Calibri" w:cs="Calibri"/>
          <w:bCs/>
          <w:sz w:val="24"/>
          <w:szCs w:val="24"/>
          <w:highlight w:val="yellow"/>
          <w:lang w:eastAsia="zh-CN"/>
        </w:rPr>
        <w:t>solution pre-equilibration</w:t>
      </w:r>
    </w:p>
    <w:p w14:paraId="3C98455F"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4CC149D4" w14:textId="33F737C6" w:rsidR="00230057" w:rsidRPr="00507E05" w:rsidRDefault="003F2EE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Transfer the detection solution to the incubator at 42</w:t>
      </w:r>
      <w:r w:rsidR="00B50884" w:rsidRPr="00507E05">
        <w:rPr>
          <w:rFonts w:ascii="Calibri" w:eastAsia="SimSun" w:hAnsi="Calibri" w:cs="Calibri"/>
          <w:bCs/>
          <w:sz w:val="24"/>
          <w:szCs w:val="24"/>
          <w:highlight w:val="yellow"/>
          <w:lang w:eastAsia="zh-CN"/>
        </w:rPr>
        <w:t xml:space="preserve"> °C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 xml:space="preserve"> for 10 min.</w:t>
      </w:r>
    </w:p>
    <w:p w14:paraId="3AE13A25" w14:textId="77777777" w:rsidR="00E25809" w:rsidRPr="00507E05" w:rsidRDefault="00E25809" w:rsidP="00800414">
      <w:pPr>
        <w:rPr>
          <w:rFonts w:eastAsia="SimSun"/>
          <w:bCs/>
          <w:highlight w:val="yellow"/>
          <w:lang w:eastAsia="zh-CN"/>
        </w:rPr>
      </w:pPr>
    </w:p>
    <w:p w14:paraId="502BDD85" w14:textId="2E71F794" w:rsidR="003F2EE0" w:rsidRPr="00507E05" w:rsidRDefault="003F2EE0"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Homogenization</w:t>
      </w:r>
    </w:p>
    <w:p w14:paraId="55BB45E2"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2E3A2834" w14:textId="20AE72A8" w:rsidR="00230057" w:rsidRPr="00507E05" w:rsidRDefault="003F2EE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Vortex the detection solution at 2,600 times/min for 15 s until the color is uniform.</w:t>
      </w:r>
    </w:p>
    <w:p w14:paraId="5AEB85AB" w14:textId="77777777" w:rsidR="00E25809" w:rsidRPr="00507E05" w:rsidRDefault="00E25809" w:rsidP="00800414">
      <w:pPr>
        <w:rPr>
          <w:rFonts w:eastAsia="SimSun"/>
          <w:bCs/>
          <w:highlight w:val="yellow"/>
          <w:lang w:eastAsia="zh-CN"/>
        </w:rPr>
      </w:pPr>
    </w:p>
    <w:p w14:paraId="528AC471" w14:textId="646E1469" w:rsidR="003F2EE0" w:rsidRPr="00507E05" w:rsidRDefault="003F2EE0"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Temperature </w:t>
      </w:r>
      <w:r w:rsidR="00C910CB" w:rsidRPr="00507E05">
        <w:rPr>
          <w:rFonts w:ascii="Calibri" w:eastAsia="SimSun" w:hAnsi="Calibri" w:cs="Calibri"/>
          <w:bCs/>
          <w:sz w:val="24"/>
          <w:szCs w:val="24"/>
          <w:highlight w:val="yellow"/>
          <w:lang w:eastAsia="zh-CN"/>
        </w:rPr>
        <w:t>maintenance</w:t>
      </w:r>
    </w:p>
    <w:p w14:paraId="6FCA3C40"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082512BC" w14:textId="7B148ABC"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Keep the detection solution at</w:t>
      </w:r>
      <w:r w:rsidR="00B50884" w:rsidRPr="00507E05">
        <w:rPr>
          <w:rFonts w:ascii="Calibri" w:eastAsia="SimSun" w:hAnsi="Calibri" w:cs="Calibri"/>
          <w:bCs/>
          <w:sz w:val="24"/>
          <w:szCs w:val="24"/>
          <w:highlight w:val="yellow"/>
          <w:lang w:eastAsia="zh-CN"/>
        </w:rPr>
        <w:t xml:space="preserve"> </w:t>
      </w:r>
      <w:r w:rsidR="003F2EE0" w:rsidRPr="00507E05">
        <w:rPr>
          <w:rFonts w:ascii="Calibri" w:eastAsia="SimSun" w:hAnsi="Calibri" w:cs="Calibri"/>
          <w:bCs/>
          <w:sz w:val="24"/>
          <w:szCs w:val="24"/>
          <w:highlight w:val="yellow"/>
          <w:lang w:eastAsia="zh-CN"/>
        </w:rPr>
        <w:t xml:space="preserve">25 </w:t>
      </w:r>
      <w:r w:rsidR="00B50884" w:rsidRPr="00507E05">
        <w:rPr>
          <w:rFonts w:ascii="Calibri" w:eastAsia="SimSun" w:hAnsi="Calibri" w:cs="Calibri"/>
          <w:bCs/>
          <w:sz w:val="24"/>
          <w:szCs w:val="24"/>
          <w:highlight w:val="yellow"/>
          <w:lang w:eastAsia="zh-CN"/>
        </w:rPr>
        <w:t>°C</w:t>
      </w:r>
      <w:r w:rsidR="00B50884" w:rsidRPr="00507E05" w:rsidDel="00B50884">
        <w:rPr>
          <w:rFonts w:ascii="Calibri" w:eastAsia="SimSun" w:hAnsi="Calibri" w:cs="Calibri"/>
          <w:bCs/>
          <w:sz w:val="24"/>
          <w:szCs w:val="24"/>
          <w:highlight w:val="yellow"/>
          <w:lang w:eastAsia="zh-CN"/>
        </w:rPr>
        <w:t xml:space="preserve"> </w:t>
      </w:r>
      <w:r w:rsidR="003F2EE0" w:rsidRPr="00507E05">
        <w:rPr>
          <w:rFonts w:ascii="Calibri" w:eastAsia="SimSun" w:hAnsi="Calibri" w:cs="Calibri"/>
          <w:bCs/>
          <w:sz w:val="24"/>
          <w:szCs w:val="24"/>
          <w:highlight w:val="yellow"/>
          <w:lang w:eastAsia="zh-CN"/>
        </w:rPr>
        <w:t>±</w:t>
      </w:r>
      <w:r w:rsidR="00B50884" w:rsidRPr="00507E05">
        <w:rPr>
          <w:rFonts w:ascii="Calibri" w:eastAsia="SimSun" w:hAnsi="Calibri" w:cs="Calibri"/>
          <w:bCs/>
          <w:sz w:val="24"/>
          <w:szCs w:val="24"/>
          <w:highlight w:val="yellow"/>
          <w:lang w:eastAsia="zh-CN"/>
        </w:rPr>
        <w:t xml:space="preserve"> </w:t>
      </w:r>
      <w:r w:rsidR="003F2EE0" w:rsidRPr="00507E05">
        <w:rPr>
          <w:rFonts w:ascii="Calibri" w:eastAsia="SimSun" w:hAnsi="Calibri" w:cs="Calibri"/>
          <w:bCs/>
          <w:sz w:val="24"/>
          <w:szCs w:val="24"/>
          <w:highlight w:val="yellow"/>
          <w:lang w:eastAsia="zh-CN"/>
        </w:rPr>
        <w:t xml:space="preserve">2 </w:t>
      </w:r>
      <w:r w:rsidR="00B50884" w:rsidRPr="00507E05">
        <w:rPr>
          <w:rFonts w:ascii="Calibri" w:eastAsia="SimSun" w:hAnsi="Calibri" w:cs="Calibri"/>
          <w:bCs/>
          <w:sz w:val="24"/>
          <w:szCs w:val="24"/>
          <w:highlight w:val="yellow"/>
          <w:lang w:eastAsia="zh-CN"/>
        </w:rPr>
        <w:t>°C</w:t>
      </w:r>
      <w:r w:rsidR="00B50884" w:rsidRPr="00507E05" w:rsidDel="00B50884">
        <w:rPr>
          <w:rFonts w:ascii="Calibri" w:eastAsia="SimSun" w:hAnsi="Calibri" w:cs="Calibri"/>
          <w:bCs/>
          <w:sz w:val="24"/>
          <w:szCs w:val="24"/>
          <w:highlight w:val="yellow"/>
          <w:lang w:eastAsia="zh-CN"/>
        </w:rPr>
        <w:t xml:space="preserve"> </w:t>
      </w:r>
      <w:r w:rsidR="003F2EE0" w:rsidRPr="00507E05">
        <w:rPr>
          <w:rFonts w:ascii="Calibri" w:eastAsia="SimSun" w:hAnsi="Calibri" w:cs="Calibri"/>
          <w:bCs/>
          <w:sz w:val="24"/>
          <w:szCs w:val="24"/>
          <w:highlight w:val="yellow"/>
          <w:lang w:eastAsia="zh-CN"/>
        </w:rPr>
        <w:t>for ≤30 min prior to</w:t>
      </w:r>
      <w:r w:rsidRPr="00507E05">
        <w:rPr>
          <w:rFonts w:ascii="Calibri" w:eastAsia="SimSun" w:hAnsi="Calibri" w:cs="Calibri"/>
          <w:bCs/>
          <w:sz w:val="24"/>
          <w:szCs w:val="24"/>
          <w:highlight w:val="yellow"/>
          <w:lang w:eastAsia="zh-CN"/>
        </w:rPr>
        <w:t xml:space="preserve"> use.</w:t>
      </w:r>
    </w:p>
    <w:p w14:paraId="0102266B" w14:textId="77777777" w:rsidR="00E25809" w:rsidRPr="00507E05" w:rsidRDefault="00E25809" w:rsidP="00800414">
      <w:pPr>
        <w:rPr>
          <w:rFonts w:eastAsia="SimSun"/>
          <w:bCs/>
          <w:highlight w:val="yellow"/>
          <w:lang w:eastAsia="zh-CN"/>
        </w:rPr>
      </w:pPr>
    </w:p>
    <w:p w14:paraId="64C43E4F" w14:textId="300D4178" w:rsidR="003F2EE0" w:rsidRPr="00507E05" w:rsidRDefault="003F2EE0"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Reaction </w:t>
      </w:r>
      <w:r w:rsidR="00C910CB" w:rsidRPr="00507E05">
        <w:rPr>
          <w:rFonts w:ascii="Calibri" w:eastAsia="SimSun" w:hAnsi="Calibri" w:cs="Calibri"/>
          <w:bCs/>
          <w:sz w:val="24"/>
          <w:szCs w:val="24"/>
          <w:highlight w:val="yellow"/>
          <w:lang w:eastAsia="zh-CN"/>
        </w:rPr>
        <w:t>i</w:t>
      </w:r>
      <w:r w:rsidRPr="00507E05">
        <w:rPr>
          <w:rFonts w:ascii="Calibri" w:eastAsia="SimSun" w:hAnsi="Calibri" w:cs="Calibri"/>
          <w:bCs/>
          <w:sz w:val="24"/>
          <w:szCs w:val="24"/>
          <w:highlight w:val="yellow"/>
          <w:lang w:eastAsia="zh-CN"/>
        </w:rPr>
        <w:t>nitiation</w:t>
      </w:r>
    </w:p>
    <w:p w14:paraId="61F87C04"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114C607C" w14:textId="5E1B54DE"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Add 30</w:t>
      </w:r>
      <w:r w:rsidR="003F2EE0" w:rsidRPr="00507E05">
        <w:rPr>
          <w:rFonts w:ascii="Calibri" w:eastAsia="SimSun" w:hAnsi="Calibri" w:cs="Calibri"/>
          <w:bCs/>
          <w:sz w:val="24"/>
          <w:szCs w:val="24"/>
          <w:highlight w:val="yellow"/>
          <w:lang w:eastAsia="zh-CN"/>
        </w:rPr>
        <w:t xml:space="preserve"> </w:t>
      </w:r>
      <w:r w:rsidR="003F2EE0" w:rsidRPr="00507E05">
        <w:rPr>
          <w:rFonts w:ascii="Calibri" w:eastAsia="Segoe UI" w:hAnsi="Calibri" w:cs="Calibri"/>
          <w:sz w:val="24"/>
          <w:szCs w:val="24"/>
          <w:highlight w:val="yellow"/>
          <w:shd w:val="clear" w:color="auto" w:fill="FFFFFF"/>
        </w:rPr>
        <w:t>μL</w:t>
      </w:r>
      <w:r w:rsidRPr="00507E05">
        <w:rPr>
          <w:rFonts w:ascii="Calibri" w:eastAsia="SimSun" w:hAnsi="Calibri" w:cs="Calibri"/>
          <w:bCs/>
          <w:sz w:val="24"/>
          <w:szCs w:val="24"/>
          <w:highlight w:val="yellow"/>
          <w:lang w:eastAsia="zh-CN"/>
        </w:rPr>
        <w:t xml:space="preserve"> of detection solution to each amplification tube</w:t>
      </w:r>
      <w:r w:rsidR="009A37C4" w:rsidRPr="00507E05">
        <w:rPr>
          <w:rFonts w:ascii="Calibri" w:eastAsia="SimSun" w:hAnsi="Calibri" w:cs="Calibri"/>
          <w:bCs/>
          <w:sz w:val="24"/>
          <w:szCs w:val="24"/>
          <w:highlight w:val="yellow"/>
          <w:lang w:eastAsia="zh-CN"/>
        </w:rPr>
        <w:t xml:space="preserve"> using a calibrated 20</w:t>
      </w:r>
      <w:r w:rsidR="00B50884" w:rsidRPr="00507E05">
        <w:rPr>
          <w:rFonts w:ascii="Calibri" w:eastAsia="SimSun" w:hAnsi="Calibri" w:cs="Calibri"/>
          <w:bCs/>
          <w:sz w:val="24"/>
          <w:szCs w:val="24"/>
          <w:highlight w:val="yellow"/>
          <w:lang w:eastAsia="zh-CN"/>
        </w:rPr>
        <w:t>–</w:t>
      </w:r>
      <w:r w:rsidR="009A37C4" w:rsidRPr="00507E05">
        <w:rPr>
          <w:rFonts w:ascii="Calibri" w:eastAsia="SimSun" w:hAnsi="Calibri" w:cs="Calibri"/>
          <w:bCs/>
          <w:sz w:val="24"/>
          <w:szCs w:val="24"/>
          <w:highlight w:val="yellow"/>
          <w:lang w:eastAsia="zh-CN"/>
        </w:rPr>
        <w:t xml:space="preserve">200 </w:t>
      </w:r>
      <w:r w:rsidR="009A37C4" w:rsidRPr="00507E05">
        <w:rPr>
          <w:rFonts w:ascii="Calibri" w:eastAsia="Segoe UI" w:hAnsi="Calibri" w:cs="Calibri"/>
          <w:sz w:val="24"/>
          <w:szCs w:val="24"/>
          <w:highlight w:val="yellow"/>
          <w:shd w:val="clear" w:color="auto" w:fill="FFFFFF"/>
        </w:rPr>
        <w:t>μL</w:t>
      </w:r>
      <w:r w:rsidR="009A37C4" w:rsidRPr="00507E05">
        <w:rPr>
          <w:rFonts w:ascii="Calibri" w:eastAsiaTheme="minorEastAsia" w:hAnsi="Calibri" w:cs="Calibri"/>
          <w:sz w:val="24"/>
          <w:szCs w:val="24"/>
          <w:highlight w:val="yellow"/>
          <w:shd w:val="clear" w:color="auto" w:fill="FFFFFF"/>
          <w:lang w:eastAsia="zh-CN"/>
        </w:rPr>
        <w:t xml:space="preserve"> pipette</w:t>
      </w:r>
      <w:r w:rsidRPr="00507E05">
        <w:rPr>
          <w:rFonts w:ascii="Calibri" w:eastAsia="SimSun" w:hAnsi="Calibri" w:cs="Calibri"/>
          <w:bCs/>
          <w:sz w:val="24"/>
          <w:szCs w:val="24"/>
          <w:highlight w:val="yellow"/>
          <w:lang w:eastAsia="zh-CN"/>
        </w:rPr>
        <w:t>.</w:t>
      </w:r>
    </w:p>
    <w:p w14:paraId="084C28A2" w14:textId="77777777" w:rsidR="00800414" w:rsidRPr="00507E05" w:rsidRDefault="00800414" w:rsidP="00036878">
      <w:pPr>
        <w:pStyle w:val="ListParagraph"/>
        <w:spacing w:after="0" w:line="240" w:lineRule="auto"/>
        <w:ind w:left="0"/>
        <w:rPr>
          <w:rFonts w:ascii="Calibri" w:eastAsia="SimSun" w:hAnsi="Calibri" w:cs="Calibri"/>
          <w:bCs/>
          <w:sz w:val="24"/>
          <w:szCs w:val="24"/>
          <w:highlight w:val="yellow"/>
          <w:lang w:eastAsia="zh-CN"/>
        </w:rPr>
      </w:pPr>
    </w:p>
    <w:p w14:paraId="5F15CD9E" w14:textId="5993AB2E" w:rsidR="009A37C4" w:rsidRPr="00507E05" w:rsidRDefault="00B50884" w:rsidP="00800414">
      <w:pPr>
        <w:rPr>
          <w:rFonts w:eastAsia="SimSun"/>
          <w:bCs/>
          <w:lang w:eastAsia="zh-CN"/>
        </w:rPr>
      </w:pPr>
      <w:r w:rsidRPr="00507E05">
        <w:rPr>
          <w:rFonts w:eastAsia="SimSun"/>
          <w:bCs/>
          <w:lang w:eastAsia="zh-CN"/>
        </w:rPr>
        <w:t>NOTE:</w:t>
      </w:r>
      <w:r w:rsidR="009A37C4" w:rsidRPr="00507E05">
        <w:rPr>
          <w:rFonts w:eastAsia="SimSun"/>
          <w:bCs/>
          <w:lang w:eastAsia="zh-CN"/>
        </w:rPr>
        <w:t xml:space="preserve"> Pipette tip must contact the tube wall at a 45° angle during dispensing to prevent bubble formation.</w:t>
      </w:r>
    </w:p>
    <w:p w14:paraId="67AF7154" w14:textId="77777777" w:rsidR="00E25809" w:rsidRPr="00507E05" w:rsidRDefault="00E25809" w:rsidP="00800414">
      <w:pPr>
        <w:rPr>
          <w:rFonts w:eastAsia="SimSun"/>
          <w:bCs/>
          <w:highlight w:val="yellow"/>
          <w:lang w:eastAsia="zh-CN"/>
        </w:rPr>
      </w:pPr>
    </w:p>
    <w:p w14:paraId="57D56FF4" w14:textId="1C413885" w:rsidR="009A37C4" w:rsidRPr="00507E05" w:rsidRDefault="009A37C4"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Hybridization</w:t>
      </w:r>
    </w:p>
    <w:p w14:paraId="5BB00C9B"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3A1E32A3" w14:textId="32A97FE0"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Mix the solution </w:t>
      </w:r>
      <w:r w:rsidR="009A37C4" w:rsidRPr="00507E05">
        <w:rPr>
          <w:rFonts w:ascii="Calibri" w:eastAsia="SimSun" w:hAnsi="Calibri" w:cs="Calibri"/>
          <w:bCs/>
          <w:sz w:val="24"/>
          <w:szCs w:val="24"/>
          <w:highlight w:val="yellow"/>
          <w:lang w:eastAsia="zh-CN"/>
        </w:rPr>
        <w:t xml:space="preserve">by pipetting up and down 5 times </w:t>
      </w:r>
      <w:r w:rsidRPr="00507E05">
        <w:rPr>
          <w:rFonts w:ascii="Calibri" w:eastAsia="SimSun" w:hAnsi="Calibri" w:cs="Calibri"/>
          <w:bCs/>
          <w:sz w:val="24"/>
          <w:szCs w:val="24"/>
          <w:highlight w:val="yellow"/>
          <w:lang w:eastAsia="zh-CN"/>
        </w:rPr>
        <w:t xml:space="preserve">and incubate </w:t>
      </w:r>
      <w:r w:rsidR="009A37C4" w:rsidRPr="00507E05">
        <w:rPr>
          <w:rFonts w:ascii="Calibri" w:eastAsia="SimSun" w:hAnsi="Calibri" w:cs="Calibri"/>
          <w:bCs/>
          <w:sz w:val="24"/>
          <w:szCs w:val="24"/>
          <w:highlight w:val="yellow"/>
          <w:lang w:eastAsia="zh-CN"/>
        </w:rPr>
        <w:t>in a preheated incubator</w:t>
      </w:r>
      <w:r w:rsidRPr="00507E05">
        <w:rPr>
          <w:rFonts w:ascii="Calibri" w:eastAsia="SimSun" w:hAnsi="Calibri" w:cs="Calibri"/>
          <w:bCs/>
          <w:sz w:val="24"/>
          <w:szCs w:val="24"/>
          <w:highlight w:val="yellow"/>
          <w:lang w:eastAsia="zh-CN"/>
        </w:rPr>
        <w:t xml:space="preserve"> at 53</w:t>
      </w:r>
      <w:r w:rsidR="00B50884" w:rsidRPr="00507E05">
        <w:rPr>
          <w:rFonts w:ascii="Calibri" w:eastAsia="SimSun" w:hAnsi="Calibri" w:cs="Calibri"/>
          <w:bCs/>
          <w:sz w:val="24"/>
          <w:szCs w:val="24"/>
          <w:highlight w:val="yellow"/>
          <w:lang w:eastAsia="zh-CN"/>
        </w:rPr>
        <w:t xml:space="preserve"> °C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 xml:space="preserve"> for 10 min.</w:t>
      </w:r>
    </w:p>
    <w:p w14:paraId="67956640" w14:textId="77777777" w:rsidR="00E25809" w:rsidRPr="00507E05" w:rsidRDefault="00E25809" w:rsidP="00800414">
      <w:pPr>
        <w:rPr>
          <w:rFonts w:eastAsia="SimSun"/>
          <w:bCs/>
          <w:highlight w:val="yellow"/>
          <w:lang w:eastAsia="zh-CN"/>
        </w:rPr>
      </w:pPr>
    </w:p>
    <w:p w14:paraId="05742F76" w14:textId="6ACF1A0C" w:rsidR="00F17C3B" w:rsidRPr="00507E05" w:rsidRDefault="00F17C3B"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Assay </w:t>
      </w:r>
      <w:r w:rsidR="00C910CB" w:rsidRPr="00507E05">
        <w:rPr>
          <w:rFonts w:ascii="Calibri" w:eastAsia="SimSun" w:hAnsi="Calibri" w:cs="Calibri"/>
          <w:bCs/>
          <w:sz w:val="24"/>
          <w:szCs w:val="24"/>
          <w:highlight w:val="yellow"/>
          <w:lang w:eastAsia="zh-CN"/>
        </w:rPr>
        <w:t>device preparation</w:t>
      </w:r>
    </w:p>
    <w:p w14:paraId="76B695A3"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33897CE5" w14:textId="4B2C56F4" w:rsidR="00230057" w:rsidRPr="00507E05" w:rsidRDefault="00F17C3B"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Remove the detection cards from foil po</w:t>
      </w:r>
      <w:r w:rsidR="00B50884" w:rsidRPr="00507E05">
        <w:rPr>
          <w:rFonts w:ascii="Calibri" w:eastAsia="SimSun" w:hAnsi="Calibri" w:cs="Calibri"/>
          <w:bCs/>
          <w:sz w:val="24"/>
          <w:szCs w:val="24"/>
          <w:highlight w:val="yellow"/>
          <w:lang w:eastAsia="zh-CN"/>
        </w:rPr>
        <w:t>u</w:t>
      </w:r>
      <w:r w:rsidRPr="00507E05">
        <w:rPr>
          <w:rFonts w:ascii="Calibri" w:eastAsia="SimSun" w:hAnsi="Calibri" w:cs="Calibri"/>
          <w:bCs/>
          <w:sz w:val="24"/>
          <w:szCs w:val="24"/>
          <w:highlight w:val="yellow"/>
          <w:lang w:eastAsia="zh-CN"/>
        </w:rPr>
        <w:t>ches.</w:t>
      </w:r>
    </w:p>
    <w:p w14:paraId="4F6DEDE4" w14:textId="77777777" w:rsidR="00B50884" w:rsidRPr="00507E05" w:rsidRDefault="00B50884" w:rsidP="00F501D0">
      <w:pPr>
        <w:pStyle w:val="ListParagraph"/>
        <w:spacing w:after="0" w:line="240" w:lineRule="auto"/>
        <w:ind w:left="0"/>
        <w:rPr>
          <w:rFonts w:ascii="Calibri" w:eastAsia="SimSun" w:hAnsi="Calibri" w:cs="Calibri"/>
          <w:bCs/>
          <w:sz w:val="24"/>
          <w:szCs w:val="24"/>
          <w:lang w:eastAsia="zh-CN"/>
        </w:rPr>
      </w:pPr>
    </w:p>
    <w:p w14:paraId="77BFCAF2" w14:textId="422CFED1" w:rsidR="00F17C3B" w:rsidRPr="00507E05" w:rsidRDefault="00B50884" w:rsidP="00800414">
      <w:pPr>
        <w:rPr>
          <w:rFonts w:eastAsia="SimSun"/>
          <w:bCs/>
          <w:lang w:eastAsia="zh-CN"/>
        </w:rPr>
      </w:pPr>
      <w:r w:rsidRPr="00507E05">
        <w:rPr>
          <w:rFonts w:eastAsia="SimSun"/>
          <w:bCs/>
          <w:lang w:eastAsia="zh-CN"/>
        </w:rPr>
        <w:t xml:space="preserve">NOTE: </w:t>
      </w:r>
      <w:r w:rsidR="00F17C3B" w:rsidRPr="00507E05">
        <w:rPr>
          <w:rFonts w:eastAsia="SimSun"/>
          <w:bCs/>
          <w:lang w:eastAsia="zh-CN"/>
        </w:rPr>
        <w:t>Avoid touching the sample application zone.</w:t>
      </w:r>
    </w:p>
    <w:p w14:paraId="180AFBA5" w14:textId="77777777" w:rsidR="00E25809" w:rsidRPr="00507E05" w:rsidRDefault="00E25809" w:rsidP="00800414">
      <w:pPr>
        <w:rPr>
          <w:rFonts w:eastAsia="SimSun"/>
          <w:bCs/>
          <w:highlight w:val="yellow"/>
          <w:lang w:eastAsia="zh-CN"/>
        </w:rPr>
      </w:pPr>
    </w:p>
    <w:p w14:paraId="6CA239DB" w14:textId="3B22B4D5" w:rsidR="00F17C3B" w:rsidRPr="00507E05" w:rsidRDefault="00F17C3B"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Sample </w:t>
      </w:r>
      <w:r w:rsidR="00C910CB" w:rsidRPr="00507E05">
        <w:rPr>
          <w:rFonts w:ascii="Calibri" w:eastAsia="SimSun" w:hAnsi="Calibri" w:cs="Calibri"/>
          <w:bCs/>
          <w:sz w:val="24"/>
          <w:szCs w:val="24"/>
          <w:highlight w:val="yellow"/>
          <w:lang w:eastAsia="zh-CN"/>
        </w:rPr>
        <w:t>a</w:t>
      </w:r>
      <w:r w:rsidRPr="00507E05">
        <w:rPr>
          <w:rFonts w:ascii="Calibri" w:eastAsia="SimSun" w:hAnsi="Calibri" w:cs="Calibri"/>
          <w:bCs/>
          <w:sz w:val="24"/>
          <w:szCs w:val="24"/>
          <w:highlight w:val="yellow"/>
          <w:lang w:eastAsia="zh-CN"/>
        </w:rPr>
        <w:t>pplication</w:t>
      </w:r>
    </w:p>
    <w:p w14:paraId="63EB6D09" w14:textId="77777777" w:rsidR="00E25809" w:rsidRPr="00507E05" w:rsidRDefault="00E25809" w:rsidP="00800414">
      <w:pPr>
        <w:rPr>
          <w:rFonts w:eastAsia="SimSun"/>
          <w:bCs/>
          <w:highlight w:val="yellow"/>
          <w:lang w:eastAsia="zh-CN"/>
        </w:rPr>
      </w:pPr>
    </w:p>
    <w:p w14:paraId="482DD6D6" w14:textId="2B9B8885" w:rsidR="00F17C3B" w:rsidRPr="00507E05" w:rsidRDefault="00876032"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Transfer </w:t>
      </w:r>
      <w:r w:rsidR="00B50884" w:rsidRPr="00507E05">
        <w:rPr>
          <w:rFonts w:ascii="Calibri" w:eastAsia="SimSun" w:hAnsi="Calibri" w:cs="Calibri"/>
          <w:bCs/>
          <w:sz w:val="24"/>
          <w:szCs w:val="24"/>
          <w:highlight w:val="yellow"/>
          <w:lang w:eastAsia="zh-CN"/>
        </w:rPr>
        <w:t xml:space="preserve">the </w:t>
      </w:r>
      <w:r w:rsidR="00F17C3B" w:rsidRPr="00507E05">
        <w:rPr>
          <w:rFonts w:ascii="Calibri" w:eastAsia="SimSun" w:hAnsi="Calibri" w:cs="Calibri"/>
          <w:bCs/>
          <w:sz w:val="24"/>
          <w:szCs w:val="24"/>
          <w:highlight w:val="yellow"/>
          <w:lang w:eastAsia="zh-CN"/>
        </w:rPr>
        <w:t>entire</w:t>
      </w:r>
      <w:r w:rsidRPr="00507E05">
        <w:rPr>
          <w:rFonts w:ascii="Calibri" w:eastAsia="SimSun" w:hAnsi="Calibri" w:cs="Calibri"/>
          <w:bCs/>
          <w:sz w:val="24"/>
          <w:szCs w:val="24"/>
          <w:highlight w:val="yellow"/>
          <w:lang w:eastAsia="zh-CN"/>
        </w:rPr>
        <w:t xml:space="preserve"> mixture to the specimen </w:t>
      </w:r>
      <w:r w:rsidR="00F17C3B" w:rsidRPr="00507E05">
        <w:rPr>
          <w:rFonts w:ascii="Calibri" w:eastAsia="SimSun" w:hAnsi="Calibri" w:cs="Calibri"/>
          <w:bCs/>
          <w:sz w:val="24"/>
          <w:szCs w:val="24"/>
          <w:highlight w:val="yellow"/>
          <w:lang w:eastAsia="zh-CN"/>
        </w:rPr>
        <w:t xml:space="preserve">port </w:t>
      </w:r>
      <w:r w:rsidRPr="00507E05">
        <w:rPr>
          <w:rFonts w:ascii="Calibri" w:eastAsia="SimSun" w:hAnsi="Calibri" w:cs="Calibri"/>
          <w:bCs/>
          <w:sz w:val="24"/>
          <w:szCs w:val="24"/>
          <w:highlight w:val="yellow"/>
          <w:lang w:eastAsia="zh-CN"/>
        </w:rPr>
        <w:t>of the detection card</w:t>
      </w:r>
      <w:r w:rsidR="00F17C3B" w:rsidRPr="00507E05">
        <w:rPr>
          <w:rFonts w:ascii="Calibri" w:eastAsia="SimSun" w:hAnsi="Calibri" w:cs="Calibri"/>
          <w:bCs/>
          <w:sz w:val="24"/>
          <w:szCs w:val="24"/>
          <w:highlight w:val="yellow"/>
          <w:lang w:eastAsia="zh-CN"/>
        </w:rPr>
        <w:t xml:space="preserve"> using a 20</w:t>
      </w:r>
      <w:r w:rsidR="00B50884" w:rsidRPr="00507E05">
        <w:rPr>
          <w:rFonts w:ascii="Calibri" w:eastAsia="SimSun" w:hAnsi="Calibri" w:cs="Calibri"/>
          <w:bCs/>
          <w:sz w:val="24"/>
          <w:szCs w:val="24"/>
          <w:highlight w:val="yellow"/>
          <w:lang w:eastAsia="zh-CN"/>
        </w:rPr>
        <w:t>–</w:t>
      </w:r>
      <w:r w:rsidR="00F17C3B" w:rsidRPr="00507E05">
        <w:rPr>
          <w:rFonts w:ascii="Calibri" w:eastAsia="SimSun" w:hAnsi="Calibri" w:cs="Calibri"/>
          <w:bCs/>
          <w:sz w:val="24"/>
          <w:szCs w:val="24"/>
          <w:highlight w:val="yellow"/>
          <w:lang w:eastAsia="zh-CN"/>
        </w:rPr>
        <w:t xml:space="preserve">200 </w:t>
      </w:r>
      <w:r w:rsidR="00F17C3B" w:rsidRPr="00507E05">
        <w:rPr>
          <w:rFonts w:ascii="Calibri" w:eastAsia="Segoe UI" w:hAnsi="Calibri" w:cs="Calibri"/>
          <w:sz w:val="24"/>
          <w:szCs w:val="24"/>
          <w:highlight w:val="yellow"/>
          <w:shd w:val="clear" w:color="auto" w:fill="FFFFFF"/>
        </w:rPr>
        <w:t>μL</w:t>
      </w:r>
      <w:r w:rsidR="00F17C3B" w:rsidRPr="00507E05">
        <w:rPr>
          <w:rFonts w:ascii="Calibri" w:eastAsiaTheme="minorEastAsia" w:hAnsi="Calibri" w:cs="Calibri"/>
          <w:sz w:val="24"/>
          <w:szCs w:val="24"/>
          <w:highlight w:val="yellow"/>
          <w:shd w:val="clear" w:color="auto" w:fill="FFFFFF"/>
          <w:lang w:eastAsia="zh-CN"/>
        </w:rPr>
        <w:t xml:space="preserve"> pipette</w:t>
      </w:r>
      <w:r w:rsidR="00F17C3B" w:rsidRPr="00507E05">
        <w:rPr>
          <w:rFonts w:ascii="Calibri" w:eastAsia="SimSun" w:hAnsi="Calibri" w:cs="Calibri"/>
          <w:bCs/>
          <w:sz w:val="24"/>
          <w:szCs w:val="24"/>
          <w:highlight w:val="yellow"/>
          <w:lang w:eastAsia="zh-CN"/>
        </w:rPr>
        <w:t>.</w:t>
      </w:r>
    </w:p>
    <w:p w14:paraId="72AF6F9A"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3C892353" w14:textId="07FF2B45" w:rsidR="00230057" w:rsidRPr="00507E05" w:rsidRDefault="00876032"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 </w:t>
      </w:r>
      <w:r w:rsidR="00F17C3B" w:rsidRPr="00507E05">
        <w:rPr>
          <w:rFonts w:ascii="Calibri" w:eastAsia="SimSun" w:hAnsi="Calibri" w:cs="Calibri"/>
          <w:bCs/>
          <w:sz w:val="24"/>
          <w:szCs w:val="24"/>
          <w:highlight w:val="yellow"/>
          <w:lang w:eastAsia="zh-CN"/>
        </w:rPr>
        <w:t>I</w:t>
      </w:r>
      <w:r w:rsidRPr="00507E05">
        <w:rPr>
          <w:rFonts w:ascii="Calibri" w:eastAsia="SimSun" w:hAnsi="Calibri" w:cs="Calibri"/>
          <w:bCs/>
          <w:sz w:val="24"/>
          <w:szCs w:val="24"/>
          <w:highlight w:val="yellow"/>
          <w:lang w:eastAsia="zh-CN"/>
        </w:rPr>
        <w:t>mmediately place the detection card in a  42</w:t>
      </w:r>
      <w:r w:rsidR="00B50884" w:rsidRPr="00507E05">
        <w:rPr>
          <w:rFonts w:ascii="Calibri" w:eastAsia="SimSun" w:hAnsi="Calibri" w:cs="Calibri"/>
          <w:bCs/>
          <w:sz w:val="24"/>
          <w:szCs w:val="24"/>
          <w:highlight w:val="yellow"/>
          <w:lang w:eastAsia="zh-CN"/>
        </w:rPr>
        <w:t xml:space="preserve"> °C</w:t>
      </w:r>
      <w:r w:rsidR="00B50884" w:rsidRPr="00507E05" w:rsidDel="00B50884">
        <w:rPr>
          <w:rFonts w:ascii="Calibri" w:eastAsia="SimSun" w:hAnsi="Calibri" w:cs="Calibri"/>
          <w:bCs/>
          <w:sz w:val="24"/>
          <w:szCs w:val="24"/>
          <w:highlight w:val="yellow"/>
          <w:lang w:eastAsia="zh-CN"/>
        </w:rPr>
        <w:t xml:space="preserve"> </w:t>
      </w:r>
      <w:r w:rsidRPr="00507E05">
        <w:rPr>
          <w:rFonts w:ascii="Calibri" w:eastAsia="SimSun" w:hAnsi="Calibri" w:cs="Calibri"/>
          <w:bCs/>
          <w:sz w:val="24"/>
          <w:szCs w:val="24"/>
          <w:highlight w:val="yellow"/>
          <w:lang w:eastAsia="zh-CN"/>
        </w:rPr>
        <w:t>incubator</w:t>
      </w:r>
      <w:r w:rsidR="00F17C3B" w:rsidRPr="00507E05">
        <w:rPr>
          <w:rFonts w:ascii="Calibri" w:eastAsia="SimSun" w:hAnsi="Calibri" w:cs="Calibri"/>
          <w:bCs/>
          <w:sz w:val="24"/>
          <w:szCs w:val="24"/>
          <w:highlight w:val="yellow"/>
          <w:lang w:eastAsia="zh-CN"/>
        </w:rPr>
        <w:t xml:space="preserve"> for 15 min</w:t>
      </w:r>
      <w:r w:rsidRPr="00507E05">
        <w:rPr>
          <w:rFonts w:ascii="Calibri" w:eastAsia="SimSun" w:hAnsi="Calibri" w:cs="Calibri"/>
          <w:bCs/>
          <w:sz w:val="24"/>
          <w:szCs w:val="24"/>
          <w:highlight w:val="yellow"/>
          <w:lang w:eastAsia="zh-CN"/>
        </w:rPr>
        <w:t xml:space="preserve">. </w:t>
      </w:r>
    </w:p>
    <w:p w14:paraId="741D0197" w14:textId="77777777" w:rsidR="00230057" w:rsidRPr="00507E05" w:rsidRDefault="00230057" w:rsidP="00800414">
      <w:pPr>
        <w:rPr>
          <w:rFonts w:eastAsia="SimSun"/>
          <w:bCs/>
          <w:lang w:eastAsia="zh-CN"/>
        </w:rPr>
      </w:pPr>
    </w:p>
    <w:p w14:paraId="17D2E0EA" w14:textId="7A65F18F" w:rsidR="00230057" w:rsidRPr="00507E05" w:rsidRDefault="00000000" w:rsidP="00036878">
      <w:pPr>
        <w:numPr>
          <w:ilvl w:val="0"/>
          <w:numId w:val="1"/>
        </w:numPr>
        <w:ind w:left="0" w:firstLine="0"/>
        <w:rPr>
          <w:rFonts w:eastAsia="SimSun"/>
          <w:b/>
          <w:highlight w:val="yellow"/>
          <w:lang w:eastAsia="zh-CN"/>
        </w:rPr>
      </w:pPr>
      <w:r w:rsidRPr="00507E05">
        <w:rPr>
          <w:rFonts w:eastAsia="SimSun"/>
          <w:b/>
          <w:highlight w:val="yellow"/>
          <w:lang w:eastAsia="zh-CN"/>
        </w:rPr>
        <w:t xml:space="preserve">Result </w:t>
      </w:r>
      <w:r w:rsidR="00C910CB" w:rsidRPr="00507E05">
        <w:rPr>
          <w:rFonts w:eastAsia="SimSun"/>
          <w:b/>
          <w:highlight w:val="yellow"/>
          <w:lang w:eastAsia="zh-CN"/>
        </w:rPr>
        <w:t>a</w:t>
      </w:r>
      <w:r w:rsidRPr="00507E05">
        <w:rPr>
          <w:rFonts w:eastAsia="SimSun"/>
          <w:b/>
          <w:highlight w:val="yellow"/>
          <w:lang w:eastAsia="zh-CN"/>
        </w:rPr>
        <w:t>nalysis</w:t>
      </w:r>
    </w:p>
    <w:p w14:paraId="48C27312" w14:textId="77777777" w:rsidR="00E25809" w:rsidRPr="00507E05" w:rsidRDefault="00E25809" w:rsidP="00800414">
      <w:pPr>
        <w:rPr>
          <w:rFonts w:eastAsia="SimSun"/>
          <w:bCs/>
          <w:highlight w:val="yellow"/>
          <w:lang w:eastAsia="zh-CN"/>
        </w:rPr>
      </w:pPr>
    </w:p>
    <w:p w14:paraId="7FE98A59" w14:textId="33F0E5B9" w:rsidR="00F17C3B" w:rsidRPr="00507E05" w:rsidRDefault="00F17C3B"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Controlled </w:t>
      </w:r>
      <w:r w:rsidR="00C910CB" w:rsidRPr="00507E05">
        <w:rPr>
          <w:rFonts w:ascii="Calibri" w:eastAsia="SimSun" w:hAnsi="Calibri" w:cs="Calibri"/>
          <w:bCs/>
          <w:sz w:val="24"/>
          <w:szCs w:val="24"/>
          <w:highlight w:val="yellow"/>
          <w:lang w:eastAsia="zh-CN"/>
        </w:rPr>
        <w:t>environment for readout</w:t>
      </w:r>
    </w:p>
    <w:p w14:paraId="7E189E65"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100B2995" w14:textId="632B9A8E" w:rsidR="00230057" w:rsidRPr="00507E05" w:rsidRDefault="00F17C3B"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Maintain the detection cards in a </w:t>
      </w:r>
      <w:r w:rsidR="004F45F6" w:rsidRPr="00507E05">
        <w:rPr>
          <w:rFonts w:ascii="Calibri" w:eastAsia="SimSun" w:hAnsi="Calibri" w:cs="Calibri"/>
          <w:bCs/>
          <w:sz w:val="24"/>
          <w:szCs w:val="24"/>
          <w:highlight w:val="yellow"/>
          <w:lang w:eastAsia="zh-CN"/>
        </w:rPr>
        <w:t xml:space="preserve">preheated incubator at </w:t>
      </w:r>
      <w:r w:rsidRPr="00507E05">
        <w:rPr>
          <w:rFonts w:ascii="Calibri" w:eastAsia="SimSun" w:hAnsi="Calibri" w:cs="Calibri"/>
          <w:bCs/>
          <w:sz w:val="24"/>
          <w:szCs w:val="24"/>
          <w:highlight w:val="yellow"/>
          <w:lang w:eastAsia="zh-CN"/>
        </w:rPr>
        <w:t>53</w:t>
      </w:r>
      <w:r w:rsidR="00B50884" w:rsidRPr="00507E05">
        <w:rPr>
          <w:rFonts w:ascii="Calibri" w:eastAsia="SimSun" w:hAnsi="Calibri" w:cs="Calibri"/>
          <w:bCs/>
          <w:sz w:val="24"/>
          <w:szCs w:val="24"/>
          <w:highlight w:val="yellow"/>
          <w:lang w:eastAsia="zh-CN"/>
        </w:rPr>
        <w:t xml:space="preserve"> °C</w:t>
      </w:r>
      <w:r w:rsidRPr="00507E05">
        <w:rPr>
          <w:rFonts w:ascii="Calibri" w:eastAsia="SimSun" w:hAnsi="Calibri" w:cs="Calibri"/>
          <w:bCs/>
          <w:sz w:val="24"/>
          <w:szCs w:val="24"/>
          <w:highlight w:val="yellow"/>
          <w:lang w:eastAsia="zh-CN"/>
        </w:rPr>
        <w:t xml:space="preserve"> </w:t>
      </w:r>
      <w:r w:rsidR="004F45F6" w:rsidRPr="00507E05">
        <w:rPr>
          <w:rFonts w:ascii="Calibri" w:eastAsia="SimSun" w:hAnsi="Calibri" w:cs="Calibri"/>
          <w:bCs/>
          <w:sz w:val="24"/>
          <w:szCs w:val="24"/>
          <w:highlight w:val="yellow"/>
          <w:lang w:eastAsia="zh-CN"/>
        </w:rPr>
        <w:t>during</w:t>
      </w:r>
      <w:r w:rsidR="00F00A48" w:rsidRPr="00507E05">
        <w:rPr>
          <w:rFonts w:ascii="Calibri" w:eastAsia="SimSun" w:hAnsi="Calibri" w:cs="Calibri"/>
          <w:bCs/>
          <w:sz w:val="24"/>
          <w:szCs w:val="24"/>
          <w:highlight w:val="yellow"/>
          <w:lang w:eastAsia="zh-CN"/>
        </w:rPr>
        <w:t xml:space="preserve"> </w:t>
      </w:r>
      <w:r w:rsidR="004F45F6" w:rsidRPr="00507E05">
        <w:rPr>
          <w:rFonts w:ascii="Calibri" w:eastAsia="SimSun" w:hAnsi="Calibri" w:cs="Calibri"/>
          <w:bCs/>
          <w:sz w:val="24"/>
          <w:szCs w:val="24"/>
          <w:highlight w:val="yellow"/>
          <w:lang w:eastAsia="zh-CN"/>
        </w:rPr>
        <w:t>visual interpretation to stabilize signal intensity</w:t>
      </w:r>
      <w:r w:rsidRPr="00507E05">
        <w:rPr>
          <w:rFonts w:ascii="Calibri" w:eastAsia="SimSun" w:hAnsi="Calibri" w:cs="Calibri"/>
          <w:bCs/>
          <w:sz w:val="24"/>
          <w:szCs w:val="24"/>
          <w:highlight w:val="yellow"/>
          <w:lang w:eastAsia="zh-CN"/>
        </w:rPr>
        <w:t>.</w:t>
      </w:r>
    </w:p>
    <w:p w14:paraId="75B57463" w14:textId="77777777" w:rsidR="00E25809" w:rsidRPr="00507E05" w:rsidRDefault="00E25809" w:rsidP="00800414">
      <w:pPr>
        <w:rPr>
          <w:rFonts w:eastAsia="SimSun"/>
          <w:bCs/>
          <w:highlight w:val="yellow"/>
          <w:lang w:eastAsia="zh-CN"/>
        </w:rPr>
      </w:pPr>
    </w:p>
    <w:p w14:paraId="7DE53F7B" w14:textId="3919BF49" w:rsidR="004F45F6" w:rsidRPr="00507E05" w:rsidRDefault="004F45F6" w:rsidP="00036878">
      <w:pPr>
        <w:pStyle w:val="ListParagraph"/>
        <w:numPr>
          <w:ilvl w:val="1"/>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 xml:space="preserve">Visual </w:t>
      </w:r>
      <w:r w:rsidR="00C910CB" w:rsidRPr="00507E05">
        <w:rPr>
          <w:rFonts w:ascii="Calibri" w:eastAsia="SimSun" w:hAnsi="Calibri" w:cs="Calibri"/>
          <w:bCs/>
          <w:sz w:val="24"/>
          <w:szCs w:val="24"/>
          <w:highlight w:val="yellow"/>
          <w:lang w:eastAsia="zh-CN"/>
        </w:rPr>
        <w:t>interpretation protocol</w:t>
      </w:r>
    </w:p>
    <w:p w14:paraId="114AD290" w14:textId="77777777" w:rsidR="00C910CB" w:rsidRPr="00507E05" w:rsidRDefault="00C910CB" w:rsidP="00036878">
      <w:pPr>
        <w:pStyle w:val="ListParagraph"/>
        <w:spacing w:after="0" w:line="240" w:lineRule="auto"/>
        <w:ind w:left="0"/>
        <w:rPr>
          <w:rFonts w:ascii="Calibri" w:eastAsia="SimSun" w:hAnsi="Calibri" w:cs="Calibri"/>
          <w:bCs/>
          <w:sz w:val="24"/>
          <w:szCs w:val="24"/>
          <w:highlight w:val="yellow"/>
          <w:lang w:eastAsia="zh-CN"/>
        </w:rPr>
      </w:pPr>
    </w:p>
    <w:p w14:paraId="1746F1ED" w14:textId="106E7AC4" w:rsidR="00230057" w:rsidRPr="00507E05" w:rsidRDefault="00000000" w:rsidP="00036878">
      <w:pPr>
        <w:pStyle w:val="ListParagraph"/>
        <w:numPr>
          <w:ilvl w:val="2"/>
          <w:numId w:val="1"/>
        </w:numPr>
        <w:spacing w:after="0" w:line="240" w:lineRule="auto"/>
        <w:ind w:left="0" w:firstLine="0"/>
        <w:rPr>
          <w:rFonts w:ascii="Calibri" w:eastAsia="SimSun" w:hAnsi="Calibri" w:cs="Calibri"/>
          <w:bCs/>
          <w:sz w:val="24"/>
          <w:szCs w:val="24"/>
          <w:highlight w:val="yellow"/>
          <w:lang w:eastAsia="zh-CN"/>
        </w:rPr>
      </w:pPr>
      <w:r w:rsidRPr="00507E05">
        <w:rPr>
          <w:rFonts w:ascii="Calibri" w:eastAsia="SimSun" w:hAnsi="Calibri" w:cs="Calibri"/>
          <w:bCs/>
          <w:sz w:val="24"/>
          <w:szCs w:val="24"/>
          <w:highlight w:val="yellow"/>
          <w:lang w:eastAsia="zh-CN"/>
        </w:rPr>
        <w:t>Read the test results directly by visual inspection of the bands on the detection cards within 10</w:t>
      </w:r>
      <w:r w:rsidR="00B50884" w:rsidRPr="00507E05">
        <w:rPr>
          <w:rFonts w:ascii="Calibri" w:eastAsia="SimSun" w:hAnsi="Calibri" w:cs="Calibri"/>
          <w:bCs/>
          <w:sz w:val="24"/>
          <w:szCs w:val="24"/>
          <w:highlight w:val="yellow"/>
          <w:lang w:eastAsia="zh-CN"/>
        </w:rPr>
        <w:t>–</w:t>
      </w:r>
      <w:r w:rsidRPr="00507E05">
        <w:rPr>
          <w:rFonts w:ascii="Calibri" w:eastAsia="SimSun" w:hAnsi="Calibri" w:cs="Calibri"/>
          <w:bCs/>
          <w:sz w:val="24"/>
          <w:szCs w:val="24"/>
          <w:highlight w:val="yellow"/>
          <w:lang w:eastAsia="zh-CN"/>
        </w:rPr>
        <w:t>20 min.</w:t>
      </w:r>
    </w:p>
    <w:p w14:paraId="31BB13D1" w14:textId="77777777" w:rsidR="00800414" w:rsidRPr="00507E05" w:rsidRDefault="00800414" w:rsidP="00036878">
      <w:pPr>
        <w:pStyle w:val="ListParagraph"/>
        <w:spacing w:after="0" w:line="240" w:lineRule="auto"/>
        <w:ind w:left="0"/>
        <w:rPr>
          <w:rFonts w:ascii="Calibri" w:eastAsia="SimSun" w:hAnsi="Calibri" w:cs="Calibri"/>
          <w:bCs/>
          <w:sz w:val="24"/>
          <w:szCs w:val="24"/>
          <w:lang w:eastAsia="zh-CN"/>
        </w:rPr>
      </w:pPr>
    </w:p>
    <w:p w14:paraId="17BBDECD" w14:textId="79686460" w:rsidR="00230057" w:rsidRPr="00507E05" w:rsidRDefault="00B50884" w:rsidP="00800414">
      <w:pPr>
        <w:rPr>
          <w:rFonts w:eastAsia="SimSun"/>
          <w:bCs/>
          <w:lang w:eastAsia="zh-CN"/>
        </w:rPr>
      </w:pPr>
      <w:r w:rsidRPr="00507E05">
        <w:rPr>
          <w:rFonts w:eastAsia="SimSun"/>
          <w:bCs/>
          <w:lang w:eastAsia="zh-CN"/>
        </w:rPr>
        <w:t>NOTE: The result becomes invalid after 20 min.</w:t>
      </w:r>
    </w:p>
    <w:p w14:paraId="6C740768" w14:textId="77777777" w:rsidR="00C910CB" w:rsidRPr="00507E05" w:rsidRDefault="00C910CB" w:rsidP="00800414">
      <w:pPr>
        <w:rPr>
          <w:rFonts w:eastAsia="SimSun"/>
          <w:bCs/>
          <w:lang w:eastAsia="zh-CN"/>
        </w:rPr>
      </w:pPr>
    </w:p>
    <w:p w14:paraId="1D5F1FD0" w14:textId="34DFB967" w:rsidR="00230057" w:rsidRPr="00507E05" w:rsidRDefault="006F0D0C" w:rsidP="00036878">
      <w:pPr>
        <w:pStyle w:val="ListParagraph"/>
        <w:numPr>
          <w:ilvl w:val="1"/>
          <w:numId w:val="1"/>
        </w:numPr>
        <w:spacing w:after="0" w:line="240" w:lineRule="auto"/>
        <w:ind w:left="0" w:firstLine="0"/>
        <w:rPr>
          <w:rFonts w:ascii="Calibri" w:eastAsia="SimSun" w:hAnsi="Calibri" w:cs="Calibri"/>
          <w:bCs/>
          <w:sz w:val="24"/>
          <w:szCs w:val="24"/>
          <w:lang w:eastAsia="zh-CN"/>
        </w:rPr>
      </w:pPr>
      <w:r w:rsidRPr="00507E05">
        <w:rPr>
          <w:rFonts w:ascii="Calibri" w:eastAsia="SimSun" w:hAnsi="Calibri" w:cs="Calibri"/>
          <w:bCs/>
          <w:sz w:val="24"/>
          <w:szCs w:val="24"/>
          <w:lang w:eastAsia="zh-CN"/>
        </w:rPr>
        <w:t>For the i</w:t>
      </w:r>
      <w:r w:rsidR="004F45F6" w:rsidRPr="00507E05">
        <w:rPr>
          <w:rFonts w:ascii="Calibri" w:eastAsia="SimSun" w:hAnsi="Calibri" w:cs="Calibri"/>
          <w:bCs/>
          <w:sz w:val="24"/>
          <w:szCs w:val="24"/>
          <w:lang w:eastAsia="zh-CN"/>
        </w:rPr>
        <w:t xml:space="preserve">nterpretation </w:t>
      </w:r>
      <w:r w:rsidRPr="00507E05">
        <w:rPr>
          <w:rFonts w:ascii="Calibri" w:eastAsia="SimSun" w:hAnsi="Calibri" w:cs="Calibri"/>
          <w:bCs/>
          <w:sz w:val="24"/>
          <w:szCs w:val="24"/>
          <w:lang w:eastAsia="zh-CN"/>
        </w:rPr>
        <w:t>m</w:t>
      </w:r>
      <w:r w:rsidR="004F45F6" w:rsidRPr="00507E05">
        <w:rPr>
          <w:rFonts w:ascii="Calibri" w:eastAsia="SimSun" w:hAnsi="Calibri" w:cs="Calibri"/>
          <w:bCs/>
          <w:sz w:val="24"/>
          <w:szCs w:val="24"/>
          <w:lang w:eastAsia="zh-CN"/>
        </w:rPr>
        <w:t>atrix</w:t>
      </w:r>
      <w:r w:rsidR="008E25F6" w:rsidRPr="00507E05">
        <w:rPr>
          <w:rFonts w:ascii="Calibri" w:eastAsia="SimSun" w:hAnsi="Calibri" w:cs="Calibri"/>
          <w:bCs/>
          <w:sz w:val="24"/>
          <w:szCs w:val="24"/>
          <w:lang w:eastAsia="zh-CN"/>
        </w:rPr>
        <w:t xml:space="preserve"> for RGT result interpretation</w:t>
      </w:r>
      <w:r w:rsidRPr="00507E05">
        <w:rPr>
          <w:rFonts w:ascii="Calibri" w:eastAsia="SimSun" w:hAnsi="Calibri" w:cs="Calibri"/>
          <w:bCs/>
          <w:sz w:val="24"/>
          <w:szCs w:val="24"/>
          <w:lang w:eastAsia="zh-CN"/>
        </w:rPr>
        <w:t xml:space="preserve">, refer to </w:t>
      </w:r>
      <w:r w:rsidR="00B50884" w:rsidRPr="00507E05">
        <w:rPr>
          <w:rFonts w:ascii="Calibri" w:eastAsia="SimSun" w:hAnsi="Calibri" w:cs="Calibri"/>
          <w:b/>
          <w:sz w:val="24"/>
          <w:szCs w:val="24"/>
          <w:lang w:eastAsia="zh-CN"/>
        </w:rPr>
        <w:t xml:space="preserve">Supplementary </w:t>
      </w:r>
      <w:r w:rsidRPr="00507E05">
        <w:rPr>
          <w:rFonts w:ascii="Calibri" w:eastAsia="SimSun" w:hAnsi="Calibri" w:cs="Calibri"/>
          <w:b/>
          <w:sz w:val="24"/>
          <w:szCs w:val="24"/>
          <w:lang w:eastAsia="zh-CN"/>
        </w:rPr>
        <w:t>Table 5</w:t>
      </w:r>
      <w:r w:rsidRPr="00507E05">
        <w:rPr>
          <w:rFonts w:ascii="Calibri" w:eastAsia="SimSun" w:hAnsi="Calibri" w:cs="Calibri"/>
          <w:bCs/>
          <w:sz w:val="24"/>
          <w:szCs w:val="24"/>
          <w:lang w:eastAsia="zh-CN"/>
        </w:rPr>
        <w:t>.</w:t>
      </w:r>
    </w:p>
    <w:p w14:paraId="08897034" w14:textId="77777777" w:rsidR="00B50884" w:rsidRPr="00507E05" w:rsidRDefault="00B50884" w:rsidP="00800414">
      <w:pPr>
        <w:rPr>
          <w:rFonts w:eastAsia="SimSun"/>
          <w:bCs/>
          <w:lang w:eastAsia="zh-CN"/>
        </w:rPr>
      </w:pPr>
    </w:p>
    <w:p w14:paraId="4A0B0937" w14:textId="5A1DA1ED" w:rsidR="004F45F6" w:rsidRPr="00507E05" w:rsidRDefault="00B50884" w:rsidP="00800414">
      <w:pPr>
        <w:rPr>
          <w:rFonts w:eastAsia="SimSun"/>
          <w:bCs/>
          <w:lang w:eastAsia="zh-CN"/>
        </w:rPr>
      </w:pPr>
      <w:r w:rsidRPr="00507E05">
        <w:rPr>
          <w:rFonts w:eastAsia="SimSun"/>
          <w:bCs/>
          <w:lang w:eastAsia="zh-CN"/>
        </w:rPr>
        <w:t xml:space="preserve">NOTE: </w:t>
      </w:r>
      <w:r w:rsidR="004F45F6" w:rsidRPr="00507E05">
        <w:rPr>
          <w:rFonts w:eastAsia="SimSun"/>
          <w:bCs/>
          <w:lang w:eastAsia="zh-CN"/>
        </w:rPr>
        <w:t>Visual interpretation</w:t>
      </w:r>
      <w:r w:rsidR="004F45F6" w:rsidRPr="00507E05">
        <w:rPr>
          <w:rFonts w:eastAsia="SimSun"/>
          <w:b/>
          <w:lang w:eastAsia="zh-CN"/>
        </w:rPr>
        <w:t xml:space="preserve"> </w:t>
      </w:r>
      <w:r w:rsidRPr="00507E05">
        <w:rPr>
          <w:rFonts w:eastAsia="SimSun"/>
          <w:bCs/>
          <w:lang w:eastAsia="zh-CN"/>
        </w:rPr>
        <w:t xml:space="preserve">of the result is shown in </w:t>
      </w:r>
      <w:r w:rsidR="004F45F6" w:rsidRPr="00507E05">
        <w:rPr>
          <w:rFonts w:eastAsia="SimSun"/>
          <w:b/>
          <w:lang w:eastAsia="zh-CN"/>
        </w:rPr>
        <w:t>Figure 1</w:t>
      </w:r>
      <w:r w:rsidR="004F45F6" w:rsidRPr="00507E05">
        <w:rPr>
          <w:rFonts w:eastAsia="SimSun"/>
          <w:bCs/>
          <w:lang w:eastAsia="zh-CN"/>
        </w:rPr>
        <w:t>.</w:t>
      </w:r>
    </w:p>
    <w:p w14:paraId="2762B7F5" w14:textId="77777777" w:rsidR="00230057" w:rsidRPr="00507E05" w:rsidRDefault="00230057" w:rsidP="00800414">
      <w:pPr>
        <w:rPr>
          <w:b/>
        </w:rPr>
      </w:pPr>
    </w:p>
    <w:p w14:paraId="1137F3CB" w14:textId="77777777" w:rsidR="00230057" w:rsidRPr="00507E05" w:rsidRDefault="00000000" w:rsidP="00800414">
      <w:pPr>
        <w:rPr>
          <w:rFonts w:eastAsiaTheme="minorEastAsia"/>
          <w:lang w:eastAsia="zh-CN"/>
        </w:rPr>
      </w:pPr>
      <w:r w:rsidRPr="00507E05">
        <w:rPr>
          <w:b/>
        </w:rPr>
        <w:t xml:space="preserve">REPRESENTATIVE RESULTS:  </w:t>
      </w:r>
    </w:p>
    <w:p w14:paraId="2A9078A8" w14:textId="3A0AE28E" w:rsidR="00230057" w:rsidRPr="00507E05" w:rsidRDefault="000664E7" w:rsidP="00036878">
      <w:pPr>
        <w:rPr>
          <w:rFonts w:eastAsia="SimSun"/>
          <w:b/>
          <w:lang w:eastAsia="zh-CN"/>
        </w:rPr>
      </w:pPr>
      <w:r>
        <w:rPr>
          <w:rFonts w:eastAsia="SimSun"/>
          <w:b/>
          <w:lang w:eastAsia="zh-CN"/>
        </w:rPr>
        <w:t>C</w:t>
      </w:r>
      <w:r w:rsidR="00000000" w:rsidRPr="00507E05">
        <w:rPr>
          <w:rFonts w:eastAsia="SimSun"/>
          <w:b/>
          <w:lang w:eastAsia="zh-CN"/>
        </w:rPr>
        <w:t>onsistency of the RGT and PCR fluorescence probing methods</w:t>
      </w:r>
    </w:p>
    <w:p w14:paraId="03718A92" w14:textId="04DBAEEC" w:rsidR="00230057" w:rsidRPr="00507E05" w:rsidRDefault="00000000" w:rsidP="00800414">
      <w:pPr>
        <w:rPr>
          <w:rFonts w:eastAsia="SimSun"/>
          <w:bCs/>
          <w:lang w:eastAsia="zh-CN"/>
        </w:rPr>
      </w:pPr>
      <w:r w:rsidRPr="00507E05">
        <w:rPr>
          <w:rFonts w:eastAsia="SimSun"/>
          <w:bCs/>
          <w:lang w:eastAsia="zh-CN"/>
        </w:rPr>
        <w:t>A total of 310 samples were analyzed for NG, consisting of 161 females and 149 males. The positive coincidence rate was 98.78% (95%</w:t>
      </w:r>
      <w:r w:rsidRPr="00507E05">
        <w:rPr>
          <w:rFonts w:eastAsia="SimSun"/>
          <w:bCs/>
          <w:i/>
          <w:iCs/>
          <w:lang w:eastAsia="zh-CN"/>
        </w:rPr>
        <w:t xml:space="preserve"> </w:t>
      </w:r>
      <w:r w:rsidRPr="00507E05">
        <w:rPr>
          <w:rFonts w:eastAsia="SimSun"/>
          <w:bCs/>
          <w:lang w:eastAsia="zh-CN"/>
        </w:rPr>
        <w:t>CI: 93.39%</w:t>
      </w:r>
      <w:r w:rsidR="00B50884" w:rsidRPr="00507E05">
        <w:rPr>
          <w:rFonts w:eastAsia="SimSun"/>
          <w:bCs/>
          <w:lang w:eastAsia="zh-CN"/>
        </w:rPr>
        <w:t>–</w:t>
      </w:r>
      <w:r w:rsidRPr="00507E05">
        <w:rPr>
          <w:rFonts w:eastAsia="SimSun"/>
          <w:bCs/>
          <w:lang w:eastAsia="zh-CN"/>
        </w:rPr>
        <w:t>99.97%), while the negative coincidence rate was 99.12% (95% CI: 96.87%</w:t>
      </w:r>
      <w:r w:rsidR="00B50884" w:rsidRPr="00507E05">
        <w:rPr>
          <w:rFonts w:eastAsia="SimSun"/>
          <w:bCs/>
          <w:lang w:eastAsia="zh-CN"/>
        </w:rPr>
        <w:t>–</w:t>
      </w:r>
      <w:r w:rsidRPr="00507E05">
        <w:rPr>
          <w:rFonts w:eastAsia="SimSun"/>
          <w:bCs/>
          <w:lang w:eastAsia="zh-CN"/>
        </w:rPr>
        <w:t>99.89%). The overall coincidence rate was 99.03% (95% CI: 97.20%</w:t>
      </w:r>
      <w:r w:rsidR="00B50884" w:rsidRPr="00507E05">
        <w:rPr>
          <w:rFonts w:eastAsia="SimSun"/>
          <w:bCs/>
          <w:lang w:eastAsia="zh-CN"/>
        </w:rPr>
        <w:t>–</w:t>
      </w:r>
      <w:r w:rsidRPr="00507E05">
        <w:rPr>
          <w:rFonts w:eastAsia="SimSun"/>
          <w:bCs/>
          <w:lang w:eastAsia="zh-CN"/>
        </w:rPr>
        <w:t>99.80%). The Kappa consistency value was 0.975 (95% CI: 0.947</w:t>
      </w:r>
      <w:r w:rsidR="00B50884" w:rsidRPr="00507E05">
        <w:rPr>
          <w:rFonts w:eastAsia="SimSun"/>
          <w:bCs/>
          <w:lang w:eastAsia="zh-CN"/>
        </w:rPr>
        <w:t>–</w:t>
      </w:r>
      <w:r w:rsidRPr="00507E05">
        <w:rPr>
          <w:rFonts w:eastAsia="SimSun"/>
          <w:bCs/>
          <w:lang w:eastAsia="zh-CN"/>
        </w:rPr>
        <w:t xml:space="preserve">1.003, </w:t>
      </w:r>
      <w:r w:rsidRPr="00507E05">
        <w:rPr>
          <w:rFonts w:eastAsia="SimSun"/>
          <w:bCs/>
          <w:i/>
          <w:iCs/>
          <w:lang w:eastAsia="zh-CN"/>
        </w:rPr>
        <w:t>Z</w:t>
      </w:r>
      <w:r w:rsidRPr="00507E05">
        <w:rPr>
          <w:rFonts w:eastAsia="SimSun"/>
          <w:bCs/>
          <w:lang w:eastAsia="zh-CN"/>
        </w:rPr>
        <w:t xml:space="preserve"> = 17.171, </w:t>
      </w:r>
      <w:r w:rsidRPr="00507E05">
        <w:rPr>
          <w:rFonts w:eastAsia="SimSun"/>
          <w:bCs/>
          <w:i/>
          <w:iCs/>
          <w:lang w:eastAsia="zh-CN"/>
        </w:rPr>
        <w:t xml:space="preserve">P </w:t>
      </w:r>
      <w:r w:rsidRPr="00507E05">
        <w:rPr>
          <w:rFonts w:eastAsia="SimSun"/>
          <w:bCs/>
          <w:lang w:eastAsia="zh-CN"/>
        </w:rPr>
        <w:t>&lt; 0.05)</w:t>
      </w:r>
      <w:r w:rsidR="00900580" w:rsidRPr="00507E05">
        <w:rPr>
          <w:rFonts w:eastAsia="SimSun"/>
          <w:bCs/>
          <w:lang w:eastAsia="zh-CN"/>
        </w:rPr>
        <w:t xml:space="preserve"> </w:t>
      </w:r>
      <w:r w:rsidRPr="00507E05">
        <w:rPr>
          <w:rFonts w:eastAsia="SimSun"/>
          <w:bCs/>
          <w:lang w:eastAsia="zh-CN"/>
        </w:rPr>
        <w:t>(</w:t>
      </w:r>
      <w:r w:rsidRPr="00507E05">
        <w:rPr>
          <w:rFonts w:eastAsia="SimSun"/>
          <w:b/>
          <w:lang w:eastAsia="zh-CN"/>
        </w:rPr>
        <w:t>Table 1</w:t>
      </w:r>
      <w:r w:rsidRPr="00507E05">
        <w:rPr>
          <w:rFonts w:eastAsia="SimSun"/>
          <w:bCs/>
          <w:lang w:eastAsia="zh-CN"/>
        </w:rPr>
        <w:t xml:space="preserve">). There were three samples with inconsistent results: one sample tested positive using the PCR fluorescence probing method but negative with RGT, and the gene sequencing review confirmed a negative result. </w:t>
      </w:r>
      <w:r w:rsidR="006E42A9" w:rsidRPr="00507E05">
        <w:rPr>
          <w:rFonts w:eastAsia="SimSun"/>
          <w:bCs/>
          <w:lang w:eastAsia="zh-CN"/>
        </w:rPr>
        <w:t>Among the two samples that tested RGT-positive but PCR-negative, gene sequencing confirmed one true positive (RGT result concordant with sequencing) and one false positive (RGT-positive but sequencing-negative).</w:t>
      </w:r>
    </w:p>
    <w:p w14:paraId="3D99E29A" w14:textId="77777777" w:rsidR="00800414" w:rsidRPr="00507E05" w:rsidRDefault="00800414" w:rsidP="00800414">
      <w:pPr>
        <w:rPr>
          <w:rFonts w:eastAsia="SimSun"/>
          <w:bCs/>
          <w:lang w:eastAsia="zh-CN"/>
        </w:rPr>
      </w:pPr>
    </w:p>
    <w:p w14:paraId="35DDA5BB" w14:textId="6322CA4F" w:rsidR="00230057" w:rsidRPr="00507E05" w:rsidRDefault="00000000" w:rsidP="00800414">
      <w:pPr>
        <w:rPr>
          <w:rFonts w:eastAsia="SimSun"/>
          <w:bCs/>
          <w:lang w:eastAsia="zh-CN"/>
        </w:rPr>
      </w:pPr>
      <w:r w:rsidRPr="00507E05">
        <w:rPr>
          <w:rFonts w:eastAsia="SimSun"/>
          <w:bCs/>
          <w:lang w:eastAsia="zh-CN"/>
        </w:rPr>
        <w:t>For the CT analysis, a total of 160 samples were included, consisting of 80 females and 80 males. The positive coincidence rate was 100.00% (95%</w:t>
      </w:r>
      <w:r w:rsidRPr="00507E05">
        <w:rPr>
          <w:rFonts w:eastAsia="SimSun"/>
          <w:bCs/>
          <w:i/>
          <w:iCs/>
          <w:lang w:eastAsia="zh-CN"/>
        </w:rPr>
        <w:t xml:space="preserve"> </w:t>
      </w:r>
      <w:r w:rsidRPr="00507E05">
        <w:rPr>
          <w:rFonts w:eastAsia="SimSun"/>
          <w:bCs/>
          <w:lang w:eastAsia="zh-CN"/>
        </w:rPr>
        <w:t>CI: 93.02%</w:t>
      </w:r>
      <w:r w:rsidR="00B50884" w:rsidRPr="00507E05">
        <w:rPr>
          <w:rFonts w:eastAsia="SimSun"/>
          <w:bCs/>
          <w:lang w:eastAsia="zh-CN"/>
        </w:rPr>
        <w:t>–</w:t>
      </w:r>
      <w:r w:rsidRPr="00507E05">
        <w:rPr>
          <w:rFonts w:eastAsia="SimSun"/>
          <w:bCs/>
          <w:lang w:eastAsia="zh-CN"/>
        </w:rPr>
        <w:t>100.00%). The negative coincidence rate was 99.08% (95%</w:t>
      </w:r>
      <w:r w:rsidRPr="00507E05">
        <w:rPr>
          <w:rFonts w:eastAsia="SimSun"/>
          <w:bCs/>
          <w:i/>
          <w:iCs/>
          <w:lang w:eastAsia="zh-CN"/>
        </w:rPr>
        <w:t xml:space="preserve"> </w:t>
      </w:r>
      <w:r w:rsidRPr="00507E05">
        <w:rPr>
          <w:rFonts w:eastAsia="SimSun"/>
          <w:bCs/>
          <w:lang w:eastAsia="zh-CN"/>
        </w:rPr>
        <w:t>CI: 94.99%</w:t>
      </w:r>
      <w:r w:rsidR="00B50884" w:rsidRPr="00507E05">
        <w:rPr>
          <w:rFonts w:eastAsia="SimSun"/>
          <w:bCs/>
          <w:lang w:eastAsia="zh-CN"/>
        </w:rPr>
        <w:t>–</w:t>
      </w:r>
      <w:r w:rsidRPr="00507E05">
        <w:rPr>
          <w:rFonts w:eastAsia="SimSun"/>
          <w:bCs/>
          <w:lang w:eastAsia="zh-CN"/>
        </w:rPr>
        <w:t>99.98%). The overall coincidence rate was 99.38% (95% CI: 96.57%</w:t>
      </w:r>
      <w:r w:rsidR="00B50884" w:rsidRPr="00507E05">
        <w:rPr>
          <w:rFonts w:eastAsia="SimSun"/>
          <w:bCs/>
          <w:lang w:eastAsia="zh-CN"/>
        </w:rPr>
        <w:t>–</w:t>
      </w:r>
      <w:r w:rsidRPr="00507E05">
        <w:rPr>
          <w:rFonts w:eastAsia="SimSun"/>
          <w:bCs/>
          <w:lang w:eastAsia="zh-CN"/>
        </w:rPr>
        <w:t>99.98%). The Kappa consistency value was 0.986 (95% CI: 0.958</w:t>
      </w:r>
      <w:r w:rsidR="00B50884" w:rsidRPr="00507E05">
        <w:rPr>
          <w:rFonts w:eastAsia="SimSun"/>
          <w:bCs/>
          <w:lang w:eastAsia="zh-CN"/>
        </w:rPr>
        <w:t>–</w:t>
      </w:r>
      <w:r w:rsidRPr="00507E05">
        <w:rPr>
          <w:rFonts w:eastAsia="SimSun"/>
          <w:bCs/>
          <w:lang w:eastAsia="zh-CN"/>
        </w:rPr>
        <w:t xml:space="preserve">1.014, </w:t>
      </w:r>
      <w:r w:rsidRPr="00507E05">
        <w:rPr>
          <w:rFonts w:eastAsia="SimSun"/>
          <w:bCs/>
          <w:i/>
          <w:iCs/>
          <w:lang w:eastAsia="zh-CN"/>
        </w:rPr>
        <w:t>Z</w:t>
      </w:r>
      <w:r w:rsidRPr="00507E05">
        <w:rPr>
          <w:rFonts w:eastAsia="SimSun"/>
          <w:bCs/>
          <w:lang w:eastAsia="zh-CN"/>
        </w:rPr>
        <w:t xml:space="preserve"> = 12.469, </w:t>
      </w:r>
      <w:r w:rsidRPr="00507E05">
        <w:rPr>
          <w:rFonts w:eastAsia="SimSun"/>
          <w:bCs/>
          <w:i/>
          <w:iCs/>
          <w:lang w:eastAsia="zh-CN"/>
        </w:rPr>
        <w:t>P</w:t>
      </w:r>
      <w:r w:rsidRPr="00507E05">
        <w:rPr>
          <w:rFonts w:eastAsia="SimSun"/>
          <w:bCs/>
          <w:lang w:eastAsia="zh-CN"/>
        </w:rPr>
        <w:t xml:space="preserve"> &lt; 0.05)</w:t>
      </w:r>
      <w:r w:rsidR="00900580" w:rsidRPr="00507E05">
        <w:rPr>
          <w:rFonts w:eastAsia="SimSun"/>
          <w:bCs/>
          <w:lang w:eastAsia="zh-CN"/>
        </w:rPr>
        <w:t xml:space="preserve"> </w:t>
      </w:r>
      <w:r w:rsidRPr="00507E05">
        <w:rPr>
          <w:rFonts w:eastAsia="SimSun"/>
          <w:bCs/>
          <w:lang w:eastAsia="zh-CN"/>
        </w:rPr>
        <w:t>(</w:t>
      </w:r>
      <w:r w:rsidRPr="00507E05">
        <w:rPr>
          <w:rFonts w:eastAsia="SimSun"/>
          <w:b/>
          <w:lang w:eastAsia="zh-CN"/>
        </w:rPr>
        <w:t>Table 2</w:t>
      </w:r>
      <w:r w:rsidRPr="00507E05">
        <w:rPr>
          <w:rFonts w:eastAsia="SimSun"/>
          <w:bCs/>
          <w:lang w:eastAsia="zh-CN"/>
        </w:rPr>
        <w:t>). There was one sample with inconsistent results; it was negative according to the PCR fluorescence probing method but positive with the RGT. The gene sequencing review confirmed a negative result.</w:t>
      </w:r>
    </w:p>
    <w:p w14:paraId="079157BA" w14:textId="77777777" w:rsidR="00800414" w:rsidRPr="00507E05" w:rsidRDefault="00800414" w:rsidP="00800414">
      <w:pPr>
        <w:rPr>
          <w:rFonts w:eastAsia="SimSun"/>
          <w:bCs/>
          <w:lang w:eastAsia="zh-CN"/>
        </w:rPr>
      </w:pPr>
    </w:p>
    <w:p w14:paraId="3F0C92D8" w14:textId="77777777" w:rsidR="00800414" w:rsidRPr="00507E05" w:rsidRDefault="00800414" w:rsidP="00800414">
      <w:pPr>
        <w:rPr>
          <w:rFonts w:eastAsia="SimSun"/>
          <w:bCs/>
          <w:lang w:eastAsia="zh-CN"/>
        </w:rPr>
      </w:pPr>
    </w:p>
    <w:p w14:paraId="132BD499" w14:textId="1B0F2C64" w:rsidR="00230057" w:rsidRPr="00507E05" w:rsidRDefault="00000000" w:rsidP="00800414">
      <w:pPr>
        <w:rPr>
          <w:rFonts w:eastAsia="SimSun"/>
          <w:bCs/>
          <w:lang w:eastAsia="zh-CN"/>
        </w:rPr>
      </w:pPr>
      <w:r w:rsidRPr="00507E05">
        <w:rPr>
          <w:rFonts w:eastAsia="SimSun"/>
          <w:bCs/>
          <w:lang w:eastAsia="zh-CN"/>
        </w:rPr>
        <w:t>For UU, a total of 306 samples were analyzed, consisting of 154 females and 152 males. The positive coincidence rate was 98.25% (95% CI: 93.81%</w:t>
      </w:r>
      <w:r w:rsidR="00B50884" w:rsidRPr="00507E05">
        <w:rPr>
          <w:rFonts w:eastAsia="SimSun"/>
          <w:bCs/>
          <w:lang w:eastAsia="zh-CN"/>
        </w:rPr>
        <w:t>–</w:t>
      </w:r>
      <w:r w:rsidRPr="00507E05">
        <w:rPr>
          <w:rFonts w:eastAsia="SimSun"/>
          <w:bCs/>
          <w:lang w:eastAsia="zh-CN"/>
        </w:rPr>
        <w:t>99.79%), while the negative coincidence rate was 99.48% (95%</w:t>
      </w:r>
      <w:r w:rsidRPr="00507E05">
        <w:rPr>
          <w:rFonts w:eastAsia="SimSun"/>
          <w:bCs/>
          <w:i/>
          <w:iCs/>
          <w:lang w:eastAsia="zh-CN"/>
        </w:rPr>
        <w:t xml:space="preserve"> </w:t>
      </w:r>
      <w:r w:rsidRPr="00507E05">
        <w:rPr>
          <w:rFonts w:eastAsia="SimSun"/>
          <w:bCs/>
          <w:lang w:eastAsia="zh-CN"/>
        </w:rPr>
        <w:t>CI: 97.13%</w:t>
      </w:r>
      <w:r w:rsidR="00B50884" w:rsidRPr="00507E05">
        <w:rPr>
          <w:rFonts w:eastAsia="SimSun"/>
          <w:bCs/>
          <w:lang w:eastAsia="zh-CN"/>
        </w:rPr>
        <w:t>–</w:t>
      </w:r>
      <w:r w:rsidRPr="00507E05">
        <w:rPr>
          <w:rFonts w:eastAsia="SimSun"/>
          <w:bCs/>
          <w:lang w:eastAsia="zh-CN"/>
        </w:rPr>
        <w:t>99.99%). The overall coincidence rate was 99.02% (95% CI: 97.16%</w:t>
      </w:r>
      <w:r w:rsidR="00B50884" w:rsidRPr="00507E05">
        <w:rPr>
          <w:rFonts w:eastAsia="SimSun"/>
          <w:bCs/>
          <w:lang w:eastAsia="zh-CN"/>
        </w:rPr>
        <w:t>–</w:t>
      </w:r>
      <w:r w:rsidRPr="00507E05">
        <w:rPr>
          <w:rFonts w:eastAsia="SimSun"/>
          <w:bCs/>
          <w:lang w:eastAsia="zh-CN"/>
        </w:rPr>
        <w:t>99.80%). The Kappa consistency value was 0.979 (95% CI: 0.955</w:t>
      </w:r>
      <w:r w:rsidR="00B50884" w:rsidRPr="00507E05">
        <w:rPr>
          <w:rFonts w:eastAsia="SimSun"/>
          <w:bCs/>
          <w:lang w:eastAsia="zh-CN"/>
        </w:rPr>
        <w:t>–</w:t>
      </w:r>
      <w:r w:rsidRPr="00507E05">
        <w:rPr>
          <w:rFonts w:eastAsia="SimSun"/>
          <w:bCs/>
          <w:lang w:eastAsia="zh-CN"/>
        </w:rPr>
        <w:t xml:space="preserve">1.003, </w:t>
      </w:r>
      <w:r w:rsidRPr="00507E05">
        <w:rPr>
          <w:rFonts w:eastAsia="SimSun"/>
          <w:bCs/>
          <w:i/>
          <w:iCs/>
          <w:lang w:eastAsia="zh-CN"/>
        </w:rPr>
        <w:t>Z</w:t>
      </w:r>
      <w:r w:rsidRPr="00507E05">
        <w:rPr>
          <w:rFonts w:eastAsia="SimSun"/>
          <w:bCs/>
          <w:lang w:eastAsia="zh-CN"/>
        </w:rPr>
        <w:t xml:space="preserve"> = 17.129, </w:t>
      </w:r>
      <w:r w:rsidRPr="00507E05">
        <w:rPr>
          <w:rFonts w:eastAsia="SimSun"/>
          <w:bCs/>
          <w:i/>
          <w:iCs/>
          <w:lang w:eastAsia="zh-CN"/>
        </w:rPr>
        <w:t>P</w:t>
      </w:r>
      <w:r w:rsidRPr="00507E05">
        <w:rPr>
          <w:rFonts w:eastAsia="SimSun"/>
          <w:bCs/>
          <w:lang w:eastAsia="zh-CN"/>
        </w:rPr>
        <w:t xml:space="preserve"> &lt; 0.05)</w:t>
      </w:r>
      <w:r w:rsidR="00900580" w:rsidRPr="00507E05">
        <w:rPr>
          <w:rFonts w:eastAsia="SimSun"/>
          <w:bCs/>
          <w:lang w:eastAsia="zh-CN"/>
        </w:rPr>
        <w:t xml:space="preserve"> </w:t>
      </w:r>
      <w:r w:rsidRPr="00507E05">
        <w:rPr>
          <w:rFonts w:eastAsia="SimSun"/>
          <w:bCs/>
          <w:lang w:eastAsia="zh-CN"/>
        </w:rPr>
        <w:t>(</w:t>
      </w:r>
      <w:r w:rsidRPr="00507E05">
        <w:rPr>
          <w:rFonts w:eastAsia="SimSun"/>
          <w:b/>
          <w:lang w:eastAsia="zh-CN"/>
        </w:rPr>
        <w:t>Table 3</w:t>
      </w:r>
      <w:r w:rsidRPr="00507E05">
        <w:rPr>
          <w:rFonts w:eastAsia="SimSun"/>
          <w:bCs/>
          <w:lang w:eastAsia="zh-CN"/>
        </w:rPr>
        <w:t>). There were three samples with inconsistent results: two samples tested positive using the PCR fluorescence probing method but negative with the rapid diagnostic test (RGT). Gene sequencing revealed one of these samples as positive and the other as negative. Additionally, one sample was negative with the PCR fluorescence probing method but positive with the RGT, and gene sequencing confirmed this sample as positive.</w:t>
      </w:r>
    </w:p>
    <w:p w14:paraId="1387A702" w14:textId="77777777" w:rsidR="00230057" w:rsidRPr="00507E05" w:rsidRDefault="00230057" w:rsidP="00800414">
      <w:pPr>
        <w:rPr>
          <w:rFonts w:eastAsiaTheme="minorEastAsia"/>
          <w:lang w:eastAsia="zh-CN"/>
        </w:rPr>
      </w:pPr>
    </w:p>
    <w:p w14:paraId="561EBEC2" w14:textId="12CD62D9" w:rsidR="00230057" w:rsidRPr="00507E05" w:rsidRDefault="000664E7" w:rsidP="00800414">
      <w:pPr>
        <w:rPr>
          <w:rFonts w:eastAsia="SimSun"/>
          <w:b/>
          <w:lang w:eastAsia="zh-CN"/>
        </w:rPr>
      </w:pPr>
      <w:r>
        <w:rPr>
          <w:rFonts w:eastAsia="SimSun"/>
          <w:b/>
          <w:lang w:eastAsia="zh-CN"/>
        </w:rPr>
        <w:t>C</w:t>
      </w:r>
      <w:r w:rsidR="00000000" w:rsidRPr="00507E05">
        <w:rPr>
          <w:rFonts w:eastAsia="SimSun"/>
          <w:b/>
          <w:lang w:eastAsia="zh-CN"/>
        </w:rPr>
        <w:t>onsistency of RGT and gene sequencing</w:t>
      </w:r>
    </w:p>
    <w:p w14:paraId="7488F9CE" w14:textId="1204A53B" w:rsidR="00230057" w:rsidRPr="00507E05" w:rsidRDefault="00000000" w:rsidP="00800414">
      <w:pPr>
        <w:rPr>
          <w:rFonts w:eastAsia="SimSun"/>
          <w:bCs/>
          <w:lang w:eastAsia="zh-CN"/>
        </w:rPr>
      </w:pPr>
      <w:r w:rsidRPr="00507E05">
        <w:rPr>
          <w:rFonts w:eastAsia="SimSun"/>
          <w:bCs/>
          <w:lang w:eastAsia="zh-CN"/>
        </w:rPr>
        <w:t>A total of 240 samples were analyzed for NG, consisting of 121 females and 119 males. The positive coincidence rate was 98.57% (95% CI: 92.30%</w:t>
      </w:r>
      <w:r w:rsidR="00B50884" w:rsidRPr="00507E05">
        <w:rPr>
          <w:rFonts w:eastAsia="SimSun"/>
          <w:bCs/>
          <w:lang w:eastAsia="zh-CN"/>
        </w:rPr>
        <w:t>–</w:t>
      </w:r>
      <w:r w:rsidRPr="00507E05">
        <w:rPr>
          <w:rFonts w:eastAsia="SimSun"/>
          <w:bCs/>
          <w:lang w:eastAsia="zh-CN"/>
        </w:rPr>
        <w:t>99.96%), while the negative coincidence rate was 99.41% (95% CI: 96.77%</w:t>
      </w:r>
      <w:r w:rsidR="00B50884" w:rsidRPr="00507E05">
        <w:rPr>
          <w:rFonts w:eastAsia="SimSun"/>
          <w:bCs/>
          <w:lang w:eastAsia="zh-CN"/>
        </w:rPr>
        <w:t>–</w:t>
      </w:r>
      <w:r w:rsidRPr="00507E05">
        <w:rPr>
          <w:rFonts w:eastAsia="SimSun"/>
          <w:bCs/>
          <w:lang w:eastAsia="zh-CN"/>
        </w:rPr>
        <w:t>99.99%). The overall coincidence rate was 99.17% (95% CI: 97.02%</w:t>
      </w:r>
      <w:r w:rsidR="00B50884" w:rsidRPr="00507E05">
        <w:rPr>
          <w:rFonts w:eastAsia="SimSun"/>
          <w:bCs/>
          <w:lang w:eastAsia="zh-CN"/>
        </w:rPr>
        <w:t>–</w:t>
      </w:r>
      <w:r w:rsidRPr="00507E05">
        <w:rPr>
          <w:rFonts w:eastAsia="SimSun"/>
          <w:bCs/>
          <w:lang w:eastAsia="zh-CN"/>
        </w:rPr>
        <w:t>99.90%). The Kappa consistency value was 0.980 (95% CI: 0.952</w:t>
      </w:r>
      <w:r w:rsidR="00B50884" w:rsidRPr="00507E05">
        <w:rPr>
          <w:rFonts w:eastAsia="SimSun"/>
          <w:bCs/>
          <w:lang w:eastAsia="zh-CN"/>
        </w:rPr>
        <w:t>–</w:t>
      </w:r>
      <w:r w:rsidRPr="00507E05">
        <w:rPr>
          <w:rFonts w:eastAsia="SimSun"/>
          <w:bCs/>
          <w:lang w:eastAsia="zh-CN"/>
        </w:rPr>
        <w:t xml:space="preserve">1.008, </w:t>
      </w:r>
      <w:r w:rsidRPr="00507E05">
        <w:rPr>
          <w:rFonts w:eastAsia="SimSun"/>
          <w:bCs/>
          <w:i/>
          <w:iCs/>
          <w:lang w:eastAsia="zh-CN"/>
        </w:rPr>
        <w:t>Z</w:t>
      </w:r>
      <w:r w:rsidRPr="00507E05">
        <w:rPr>
          <w:rFonts w:eastAsia="SimSun"/>
          <w:bCs/>
          <w:lang w:eastAsia="zh-CN"/>
        </w:rPr>
        <w:t xml:space="preserve"> = 15.180, </w:t>
      </w:r>
      <w:r w:rsidRPr="00507E05">
        <w:rPr>
          <w:rFonts w:eastAsia="SimSun"/>
          <w:bCs/>
          <w:i/>
          <w:iCs/>
          <w:lang w:eastAsia="zh-CN"/>
        </w:rPr>
        <w:t xml:space="preserve">P </w:t>
      </w:r>
      <w:r w:rsidRPr="00507E05">
        <w:rPr>
          <w:rFonts w:eastAsia="SimSun"/>
          <w:bCs/>
          <w:lang w:eastAsia="zh-CN"/>
        </w:rPr>
        <w:t>&lt; 0.05)</w:t>
      </w:r>
      <w:r w:rsidR="00900580" w:rsidRPr="00507E05">
        <w:rPr>
          <w:rFonts w:eastAsia="SimSun"/>
          <w:bCs/>
          <w:lang w:eastAsia="zh-CN"/>
        </w:rPr>
        <w:t xml:space="preserve"> </w:t>
      </w:r>
      <w:r w:rsidRPr="00507E05">
        <w:rPr>
          <w:rFonts w:eastAsia="SimSun"/>
          <w:bCs/>
          <w:lang w:eastAsia="zh-CN"/>
        </w:rPr>
        <w:t>(</w:t>
      </w:r>
      <w:r w:rsidRPr="00507E05">
        <w:rPr>
          <w:rFonts w:eastAsia="SimSun"/>
          <w:b/>
          <w:lang w:eastAsia="zh-CN"/>
        </w:rPr>
        <w:t>Table 4</w:t>
      </w:r>
      <w:r w:rsidRPr="00507E05">
        <w:rPr>
          <w:rFonts w:eastAsia="SimSun"/>
          <w:bCs/>
          <w:lang w:eastAsia="zh-CN"/>
        </w:rPr>
        <w:t>). There were two samples with inconsistent results: one sample tested positive by gene sequencing but negative by RGT, and another sample tested negative by gene sequencing but positive by RGT.</w:t>
      </w:r>
    </w:p>
    <w:p w14:paraId="7F9CC47B" w14:textId="77777777" w:rsidR="00800414" w:rsidRPr="00507E05" w:rsidRDefault="00800414" w:rsidP="00800414">
      <w:pPr>
        <w:rPr>
          <w:rFonts w:eastAsia="SimSun"/>
          <w:bCs/>
          <w:lang w:eastAsia="zh-CN"/>
        </w:rPr>
      </w:pPr>
    </w:p>
    <w:p w14:paraId="45E4522A" w14:textId="3EE374E7" w:rsidR="00230057" w:rsidRPr="00507E05" w:rsidRDefault="00000000" w:rsidP="00800414">
      <w:pPr>
        <w:rPr>
          <w:rFonts w:eastAsia="SimSun"/>
          <w:bCs/>
          <w:lang w:eastAsia="zh-CN"/>
        </w:rPr>
      </w:pPr>
      <w:r w:rsidRPr="00507E05">
        <w:rPr>
          <w:rFonts w:eastAsia="SimSun"/>
          <w:bCs/>
          <w:lang w:eastAsia="zh-CN"/>
        </w:rPr>
        <w:t>For the CT analysis, a total of 190 samples were included, consisting of 95 females and 95 males. The positive coincidence rate was 100.00% (95% CI: 94.31%</w:t>
      </w:r>
      <w:r w:rsidR="00B50884" w:rsidRPr="00507E05">
        <w:rPr>
          <w:rFonts w:eastAsia="SimSun"/>
          <w:bCs/>
          <w:lang w:eastAsia="zh-CN"/>
        </w:rPr>
        <w:t>–</w:t>
      </w:r>
      <w:r w:rsidRPr="00507E05">
        <w:rPr>
          <w:rFonts w:eastAsia="SimSun"/>
          <w:bCs/>
          <w:lang w:eastAsia="zh-CN"/>
        </w:rPr>
        <w:t>99.81%). The negative coincidence rate was 98.43% (95% CI: 94.43%</w:t>
      </w:r>
      <w:r w:rsidR="00B50884" w:rsidRPr="00507E05">
        <w:rPr>
          <w:rFonts w:eastAsia="SimSun"/>
          <w:bCs/>
          <w:lang w:eastAsia="zh-CN"/>
        </w:rPr>
        <w:t>–</w:t>
      </w:r>
      <w:r w:rsidRPr="00507E05">
        <w:rPr>
          <w:rFonts w:eastAsia="SimSun"/>
          <w:bCs/>
          <w:lang w:eastAsia="zh-CN"/>
        </w:rPr>
        <w:t>99.81%). The overall coincidence rate was 98.95% (95% CI: 96.25%</w:t>
      </w:r>
      <w:r w:rsidR="00B50884" w:rsidRPr="00507E05">
        <w:rPr>
          <w:rFonts w:eastAsia="SimSun"/>
          <w:bCs/>
          <w:lang w:eastAsia="zh-CN"/>
        </w:rPr>
        <w:t>–</w:t>
      </w:r>
      <w:r w:rsidRPr="00507E05">
        <w:rPr>
          <w:rFonts w:eastAsia="SimSun"/>
          <w:bCs/>
          <w:lang w:eastAsia="zh-CN"/>
        </w:rPr>
        <w:t>99.87%). The Kappa consistency value was 0.976 (95% CI: 0.944</w:t>
      </w:r>
      <w:r w:rsidR="00B50884" w:rsidRPr="00507E05">
        <w:rPr>
          <w:rFonts w:eastAsia="SimSun"/>
          <w:bCs/>
          <w:lang w:eastAsia="zh-CN"/>
        </w:rPr>
        <w:t>–</w:t>
      </w:r>
      <w:r w:rsidRPr="00507E05">
        <w:rPr>
          <w:rFonts w:eastAsia="SimSun"/>
          <w:bCs/>
          <w:lang w:eastAsia="zh-CN"/>
        </w:rPr>
        <w:t xml:space="preserve">1.009, </w:t>
      </w:r>
      <w:r w:rsidRPr="00507E05">
        <w:rPr>
          <w:rFonts w:eastAsia="SimSun"/>
          <w:bCs/>
          <w:i/>
          <w:iCs/>
          <w:lang w:eastAsia="zh-CN"/>
        </w:rPr>
        <w:t>Z</w:t>
      </w:r>
      <w:r w:rsidRPr="00507E05">
        <w:rPr>
          <w:rFonts w:eastAsia="SimSun"/>
          <w:bCs/>
          <w:lang w:eastAsia="zh-CN"/>
        </w:rPr>
        <w:t xml:space="preserve"> = 13.463, </w:t>
      </w:r>
      <w:r w:rsidRPr="00507E05">
        <w:rPr>
          <w:rFonts w:eastAsia="SimSun"/>
          <w:bCs/>
          <w:i/>
          <w:iCs/>
          <w:lang w:eastAsia="zh-CN"/>
        </w:rPr>
        <w:t>P</w:t>
      </w:r>
      <w:r w:rsidRPr="00507E05">
        <w:rPr>
          <w:rFonts w:eastAsia="SimSun"/>
          <w:bCs/>
          <w:lang w:eastAsia="zh-CN"/>
        </w:rPr>
        <w:t xml:space="preserve"> &lt; 0.05)</w:t>
      </w:r>
      <w:r w:rsidR="00900580" w:rsidRPr="00507E05">
        <w:rPr>
          <w:rFonts w:eastAsia="SimSun"/>
          <w:bCs/>
          <w:lang w:eastAsia="zh-CN"/>
        </w:rPr>
        <w:t xml:space="preserve"> </w:t>
      </w:r>
      <w:r w:rsidRPr="00507E05">
        <w:rPr>
          <w:rFonts w:eastAsia="SimSun"/>
          <w:bCs/>
          <w:lang w:eastAsia="zh-CN"/>
        </w:rPr>
        <w:t>(</w:t>
      </w:r>
      <w:r w:rsidRPr="00507E05">
        <w:rPr>
          <w:rFonts w:eastAsia="SimSun"/>
          <w:b/>
          <w:lang w:eastAsia="zh-CN"/>
        </w:rPr>
        <w:t>Table 5</w:t>
      </w:r>
      <w:r w:rsidRPr="00507E05">
        <w:rPr>
          <w:rFonts w:eastAsia="SimSun"/>
          <w:bCs/>
          <w:lang w:eastAsia="zh-CN"/>
        </w:rPr>
        <w:t>). There were 2 samples with inconsistent results; these samples were negative by gene sequencing but positive by RGT.</w:t>
      </w:r>
    </w:p>
    <w:p w14:paraId="600BD347" w14:textId="77777777" w:rsidR="00800414" w:rsidRPr="00507E05" w:rsidRDefault="00800414" w:rsidP="00800414">
      <w:pPr>
        <w:rPr>
          <w:rFonts w:eastAsia="SimSun"/>
          <w:bCs/>
          <w:lang w:eastAsia="zh-CN"/>
        </w:rPr>
      </w:pPr>
    </w:p>
    <w:p w14:paraId="6330F8B0" w14:textId="47DE146A" w:rsidR="00230057" w:rsidRPr="00507E05" w:rsidRDefault="00000000" w:rsidP="00800414">
      <w:pPr>
        <w:rPr>
          <w:rFonts w:eastAsia="SimSun"/>
          <w:bCs/>
          <w:lang w:eastAsia="zh-CN"/>
        </w:rPr>
      </w:pPr>
      <w:r w:rsidRPr="00507E05">
        <w:rPr>
          <w:rFonts w:eastAsia="SimSun"/>
          <w:bCs/>
          <w:lang w:eastAsia="zh-CN"/>
        </w:rPr>
        <w:t>For UU, a total of 176 samples were analyzed, consisting of 90 females and 86 males. The positive coincidence rate was 98.70% (95% CI: 92.98%</w:t>
      </w:r>
      <w:r w:rsidR="00B50884" w:rsidRPr="00507E05">
        <w:rPr>
          <w:rFonts w:eastAsia="SimSun"/>
          <w:bCs/>
          <w:lang w:eastAsia="zh-CN"/>
        </w:rPr>
        <w:t>–</w:t>
      </w:r>
      <w:r w:rsidRPr="00507E05">
        <w:rPr>
          <w:rFonts w:eastAsia="SimSun"/>
          <w:bCs/>
          <w:lang w:eastAsia="zh-CN"/>
        </w:rPr>
        <w:t>99.97%). The negative coincidence rate was 97.98% (95% CI: 92.89%</w:t>
      </w:r>
      <w:r w:rsidR="00B50884" w:rsidRPr="00507E05">
        <w:rPr>
          <w:rFonts w:eastAsia="SimSun"/>
          <w:bCs/>
          <w:lang w:eastAsia="zh-CN"/>
        </w:rPr>
        <w:t>–</w:t>
      </w:r>
      <w:r w:rsidRPr="00507E05">
        <w:rPr>
          <w:rFonts w:eastAsia="SimSun"/>
          <w:bCs/>
          <w:lang w:eastAsia="zh-CN"/>
        </w:rPr>
        <w:t>99.75%). The overall coincidence rate was 98.30% (95% CI: 95.10%</w:t>
      </w:r>
      <w:r w:rsidR="00B50884" w:rsidRPr="00507E05">
        <w:rPr>
          <w:rFonts w:eastAsia="SimSun"/>
          <w:bCs/>
          <w:lang w:eastAsia="zh-CN"/>
        </w:rPr>
        <w:t>–</w:t>
      </w:r>
      <w:r w:rsidRPr="00507E05">
        <w:rPr>
          <w:rFonts w:eastAsia="SimSun"/>
          <w:bCs/>
          <w:lang w:eastAsia="zh-CN"/>
        </w:rPr>
        <w:t>99.65%). The Kappa consistency value was 0.965 (95% CI: 0.927</w:t>
      </w:r>
      <w:r w:rsidR="00B50884" w:rsidRPr="00507E05">
        <w:rPr>
          <w:rFonts w:eastAsia="SimSun"/>
          <w:bCs/>
          <w:lang w:eastAsia="zh-CN"/>
        </w:rPr>
        <w:t>–</w:t>
      </w:r>
      <w:r w:rsidRPr="00507E05">
        <w:rPr>
          <w:rFonts w:eastAsia="SimSun"/>
          <w:bCs/>
          <w:lang w:eastAsia="zh-CN"/>
        </w:rPr>
        <w:t xml:space="preserve">1.004, </w:t>
      </w:r>
      <w:r w:rsidRPr="00507E05">
        <w:rPr>
          <w:rFonts w:eastAsia="SimSun"/>
          <w:bCs/>
          <w:i/>
          <w:iCs/>
          <w:lang w:eastAsia="zh-CN"/>
        </w:rPr>
        <w:t>Z</w:t>
      </w:r>
      <w:r w:rsidRPr="00507E05">
        <w:rPr>
          <w:rFonts w:eastAsia="SimSun"/>
          <w:bCs/>
          <w:lang w:eastAsia="zh-CN"/>
        </w:rPr>
        <w:t xml:space="preserve"> = 12.809, </w:t>
      </w:r>
      <w:r w:rsidRPr="00507E05">
        <w:rPr>
          <w:rFonts w:eastAsia="SimSun"/>
          <w:bCs/>
          <w:i/>
          <w:iCs/>
          <w:lang w:eastAsia="zh-CN"/>
        </w:rPr>
        <w:t xml:space="preserve">P </w:t>
      </w:r>
      <w:r w:rsidRPr="00507E05">
        <w:rPr>
          <w:rFonts w:eastAsia="SimSun"/>
          <w:bCs/>
          <w:lang w:eastAsia="zh-CN"/>
        </w:rPr>
        <w:t>&lt; 0.05)</w:t>
      </w:r>
      <w:r w:rsidR="00900580" w:rsidRPr="00507E05">
        <w:rPr>
          <w:rFonts w:eastAsia="SimSun"/>
          <w:bCs/>
          <w:lang w:eastAsia="zh-CN"/>
        </w:rPr>
        <w:t xml:space="preserve"> </w:t>
      </w:r>
      <w:r w:rsidRPr="00507E05">
        <w:rPr>
          <w:rFonts w:eastAsia="SimSun"/>
          <w:b/>
          <w:lang w:eastAsia="zh-CN"/>
        </w:rPr>
        <w:t>(Table 6)</w:t>
      </w:r>
      <w:r w:rsidRPr="00507E05">
        <w:rPr>
          <w:rFonts w:eastAsia="SimSun"/>
          <w:bCs/>
          <w:lang w:eastAsia="zh-CN"/>
        </w:rPr>
        <w:t>. There were three samples with inconsistent results: one sample was positive by gene sequencing but negative by RGT, while two samples were negative by gene sequencing but positive by RGT.</w:t>
      </w:r>
    </w:p>
    <w:p w14:paraId="68C15333" w14:textId="77777777" w:rsidR="00230057" w:rsidRPr="00507E05" w:rsidRDefault="00230057" w:rsidP="00800414">
      <w:pPr>
        <w:rPr>
          <w:rFonts w:eastAsia="SimSun"/>
          <w:bCs/>
          <w:lang w:eastAsia="zh-CN"/>
        </w:rPr>
      </w:pPr>
    </w:p>
    <w:p w14:paraId="5BA1AE82" w14:textId="4750D6BB" w:rsidR="00230057" w:rsidRPr="00507E05" w:rsidRDefault="000664E7" w:rsidP="00036878">
      <w:pPr>
        <w:rPr>
          <w:rFonts w:eastAsia="SimSun"/>
          <w:b/>
          <w:lang w:eastAsia="zh-CN"/>
        </w:rPr>
      </w:pPr>
      <w:r>
        <w:rPr>
          <w:rFonts w:eastAsia="SimSun"/>
          <w:b/>
          <w:lang w:eastAsia="zh-CN"/>
        </w:rPr>
        <w:t>C</w:t>
      </w:r>
      <w:r w:rsidR="00000000" w:rsidRPr="00507E05">
        <w:rPr>
          <w:rFonts w:eastAsia="SimSun"/>
          <w:b/>
          <w:lang w:eastAsia="zh-CN"/>
        </w:rPr>
        <w:t>onsistency of RGT and pathogen isolating culture method</w:t>
      </w:r>
    </w:p>
    <w:p w14:paraId="64B0890A" w14:textId="2DC1F110" w:rsidR="00230057" w:rsidRPr="00507E05" w:rsidRDefault="00000000" w:rsidP="00036878">
      <w:pPr>
        <w:rPr>
          <w:rFonts w:eastAsia="SimSun"/>
          <w:bCs/>
          <w:lang w:eastAsia="zh-CN"/>
        </w:rPr>
      </w:pPr>
      <w:r w:rsidRPr="00507E05">
        <w:rPr>
          <w:rFonts w:eastAsia="SimSun"/>
          <w:bCs/>
          <w:lang w:eastAsia="zh-CN"/>
        </w:rPr>
        <w:t>A total of 34 positive samples were analyzed regarding the consistency between the RGT and the pathogen isolation culture method, consi</w:t>
      </w:r>
      <w:r w:rsidR="00F00A48" w:rsidRPr="00507E05">
        <w:rPr>
          <w:rFonts w:eastAsia="SimSun"/>
          <w:bCs/>
          <w:lang w:eastAsia="zh-CN"/>
        </w:rPr>
        <w:t>s</w:t>
      </w:r>
      <w:r w:rsidRPr="00507E05">
        <w:rPr>
          <w:rFonts w:eastAsia="SimSun"/>
          <w:bCs/>
          <w:lang w:eastAsia="zh-CN"/>
        </w:rPr>
        <w:t>ting of 17 females and 17 males. RGT detected 9 cases of NG positive, 17 cases of CT positive, and 8 cases of UU positive, with all positive rates reaching 100.00%.</w:t>
      </w:r>
    </w:p>
    <w:p w14:paraId="63864056" w14:textId="77777777" w:rsidR="00230057" w:rsidRPr="00507E05" w:rsidRDefault="00230057" w:rsidP="00800414">
      <w:pPr>
        <w:rPr>
          <w:lang w:eastAsia="zh-CN"/>
        </w:rPr>
      </w:pPr>
    </w:p>
    <w:p w14:paraId="305F1F2D" w14:textId="77777777" w:rsidR="00230057" w:rsidRPr="00507E05" w:rsidRDefault="00000000" w:rsidP="00800414">
      <w:r w:rsidRPr="00507E05">
        <w:rPr>
          <w:b/>
        </w:rPr>
        <w:t>FIGURE AND TABLE LEGENDS:</w:t>
      </w:r>
    </w:p>
    <w:p w14:paraId="0C8B1552" w14:textId="514EC715" w:rsidR="00230057" w:rsidRPr="00507E05" w:rsidRDefault="00000000" w:rsidP="00F501D0">
      <w:pPr>
        <w:pStyle w:val="NormalWeb"/>
        <w:widowControl/>
        <w:spacing w:beforeAutospacing="0" w:afterAutospacing="0"/>
        <w:jc w:val="both"/>
        <w:rPr>
          <w:rStyle w:val="font11"/>
          <w:rFonts w:ascii="Calibri" w:hAnsi="Calibri" w:cs="Calibri" w:hint="default"/>
          <w:b w:val="0"/>
          <w:bCs w:val="0"/>
          <w:color w:val="auto"/>
          <w:kern w:val="2"/>
          <w:sz w:val="24"/>
          <w:szCs w:val="24"/>
          <w:lang w:bidi="ar"/>
        </w:rPr>
      </w:pPr>
      <w:r w:rsidRPr="00507E05">
        <w:rPr>
          <w:rStyle w:val="font11"/>
          <w:rFonts w:ascii="Calibri" w:hAnsi="Calibri" w:cs="Calibri" w:hint="default"/>
          <w:color w:val="auto"/>
          <w:kern w:val="2"/>
          <w:sz w:val="24"/>
          <w:szCs w:val="24"/>
          <w:lang w:bidi="ar"/>
        </w:rPr>
        <w:t>Figure 1</w:t>
      </w:r>
      <w:r w:rsidR="00800414" w:rsidRPr="00507E05">
        <w:rPr>
          <w:rStyle w:val="font11"/>
          <w:rFonts w:ascii="Calibri" w:hAnsi="Calibri" w:cs="Calibri" w:hint="default"/>
          <w:color w:val="auto"/>
          <w:kern w:val="2"/>
          <w:sz w:val="24"/>
          <w:szCs w:val="24"/>
          <w:lang w:bidi="ar"/>
        </w:rPr>
        <w:t>:</w:t>
      </w:r>
      <w:r w:rsidRPr="00507E05">
        <w:rPr>
          <w:rStyle w:val="font11"/>
          <w:rFonts w:ascii="Calibri" w:hAnsi="Calibri" w:cs="Calibri" w:hint="default"/>
          <w:color w:val="auto"/>
          <w:kern w:val="2"/>
          <w:sz w:val="24"/>
          <w:szCs w:val="24"/>
          <w:lang w:bidi="ar"/>
        </w:rPr>
        <w:t xml:space="preserve"> Interpretation criteria for lateral flow assay results. </w:t>
      </w:r>
      <w:r w:rsidRPr="00507E05">
        <w:rPr>
          <w:rStyle w:val="font11"/>
          <w:rFonts w:ascii="Calibri" w:hAnsi="Calibri" w:cs="Calibri" w:hint="default"/>
          <w:b w:val="0"/>
          <w:bCs w:val="0"/>
          <w:color w:val="auto"/>
          <w:kern w:val="2"/>
          <w:sz w:val="24"/>
          <w:szCs w:val="24"/>
          <w:lang w:bidi="ar"/>
        </w:rPr>
        <w:t>(</w:t>
      </w:r>
      <w:r w:rsidRPr="00507E05">
        <w:rPr>
          <w:rStyle w:val="font11"/>
          <w:rFonts w:ascii="Calibri" w:hAnsi="Calibri" w:cs="Calibri" w:hint="default"/>
          <w:color w:val="auto"/>
          <w:kern w:val="2"/>
          <w:sz w:val="24"/>
          <w:szCs w:val="24"/>
          <w:lang w:bidi="ar"/>
        </w:rPr>
        <w:t>A</w:t>
      </w:r>
      <w:r w:rsidR="00800414" w:rsidRPr="00507E05">
        <w:rPr>
          <w:rStyle w:val="font11"/>
          <w:rFonts w:ascii="Calibri" w:hAnsi="Calibri" w:cs="Calibri" w:hint="default"/>
          <w:color w:val="auto"/>
          <w:kern w:val="2"/>
          <w:sz w:val="24"/>
          <w:szCs w:val="24"/>
          <w:lang w:bidi="ar"/>
        </w:rPr>
        <w:t>,</w:t>
      </w:r>
      <w:r w:rsidRPr="00507E05">
        <w:rPr>
          <w:rStyle w:val="font11"/>
          <w:rFonts w:ascii="Calibri" w:hAnsi="Calibri" w:cs="Calibri" w:hint="default"/>
          <w:color w:val="auto"/>
          <w:kern w:val="2"/>
          <w:sz w:val="24"/>
          <w:szCs w:val="24"/>
          <w:lang w:bidi="ar"/>
        </w:rPr>
        <w:t>B</w:t>
      </w:r>
      <w:r w:rsidRPr="00507E05">
        <w:rPr>
          <w:rStyle w:val="font11"/>
          <w:rFonts w:ascii="Calibri" w:hAnsi="Calibri" w:cs="Calibri" w:hint="default"/>
          <w:b w:val="0"/>
          <w:bCs w:val="0"/>
          <w:color w:val="auto"/>
          <w:kern w:val="2"/>
          <w:sz w:val="24"/>
          <w:szCs w:val="24"/>
          <w:lang w:bidi="ar"/>
        </w:rPr>
        <w:t xml:space="preserve">) A valid positive result is defined by the presence of bands on both </w:t>
      </w:r>
      <w:r w:rsidR="00B50884" w:rsidRPr="00507E05">
        <w:rPr>
          <w:rStyle w:val="font11"/>
          <w:rFonts w:ascii="Calibri" w:hAnsi="Calibri" w:cs="Calibri" w:hint="default"/>
          <w:b w:val="0"/>
          <w:bCs w:val="0"/>
          <w:color w:val="auto"/>
          <w:kern w:val="2"/>
          <w:sz w:val="24"/>
          <w:szCs w:val="24"/>
          <w:lang w:bidi="ar"/>
        </w:rPr>
        <w:t xml:space="preserve">the </w:t>
      </w:r>
      <w:r w:rsidRPr="00507E05">
        <w:rPr>
          <w:rStyle w:val="font11"/>
          <w:rFonts w:ascii="Calibri" w:hAnsi="Calibri" w:cs="Calibri" w:hint="default"/>
          <w:b w:val="0"/>
          <w:bCs w:val="0"/>
          <w:color w:val="auto"/>
          <w:kern w:val="2"/>
          <w:sz w:val="24"/>
          <w:szCs w:val="24"/>
          <w:lang w:bidi="ar"/>
        </w:rPr>
        <w:t xml:space="preserve">Control line (C) and Test line (T), irrespective of the </w:t>
      </w:r>
      <w:r w:rsidRPr="00507E05">
        <w:rPr>
          <w:rStyle w:val="font11"/>
          <w:rFonts w:ascii="Calibri" w:hAnsi="Calibri" w:cs="Calibri" w:hint="default"/>
          <w:b w:val="0"/>
          <w:bCs w:val="0"/>
          <w:color w:val="auto"/>
          <w:kern w:val="2"/>
          <w:sz w:val="24"/>
          <w:szCs w:val="24"/>
          <w:lang w:bidi="ar"/>
        </w:rPr>
        <w:lastRenderedPageBreak/>
        <w:t xml:space="preserve">visibility of the Internal Control line (N). </w:t>
      </w:r>
      <w:r w:rsidR="004B6204" w:rsidRPr="00507E05">
        <w:rPr>
          <w:rStyle w:val="font11"/>
          <w:rFonts w:ascii="Calibri" w:hAnsi="Calibri" w:cs="Calibri" w:hint="default"/>
          <w:b w:val="0"/>
          <w:bCs w:val="0"/>
          <w:color w:val="auto"/>
          <w:kern w:val="2"/>
          <w:sz w:val="24"/>
          <w:szCs w:val="24"/>
          <w:lang w:bidi="ar"/>
        </w:rPr>
        <w:t>(</w:t>
      </w:r>
      <w:r w:rsidR="004B6204" w:rsidRPr="00507E05">
        <w:rPr>
          <w:rStyle w:val="font11"/>
          <w:rFonts w:ascii="Calibri" w:hAnsi="Calibri" w:cs="Calibri" w:hint="default"/>
          <w:color w:val="auto"/>
          <w:kern w:val="2"/>
          <w:sz w:val="24"/>
          <w:szCs w:val="24"/>
          <w:lang w:bidi="ar"/>
        </w:rPr>
        <w:t>B</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The absence of an N-line band with a visible T-line may indicate competitive inhibition of 18S rRNA amplification due to high target RNA concentrations.</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w:t>
      </w:r>
      <w:r w:rsidRPr="00507E05">
        <w:rPr>
          <w:rStyle w:val="font11"/>
          <w:rFonts w:ascii="Calibri" w:hAnsi="Calibri" w:cs="Calibri" w:hint="default"/>
          <w:color w:val="auto"/>
          <w:kern w:val="2"/>
          <w:sz w:val="24"/>
          <w:szCs w:val="24"/>
          <w:lang w:bidi="ar"/>
        </w:rPr>
        <w:t>C</w:t>
      </w:r>
      <w:r w:rsidRPr="00507E05">
        <w:rPr>
          <w:rStyle w:val="font11"/>
          <w:rFonts w:ascii="Calibri" w:hAnsi="Calibri" w:cs="Calibri" w:hint="default"/>
          <w:b w:val="0"/>
          <w:bCs w:val="0"/>
          <w:color w:val="auto"/>
          <w:kern w:val="2"/>
          <w:sz w:val="24"/>
          <w:szCs w:val="24"/>
          <w:lang w:bidi="ar"/>
        </w:rPr>
        <w:t xml:space="preserve">) A valid negative result requires concurrent visibility of bands on </w:t>
      </w:r>
      <w:r w:rsidR="00B50884" w:rsidRPr="00507E05">
        <w:rPr>
          <w:rStyle w:val="font11"/>
          <w:rFonts w:ascii="Calibri" w:hAnsi="Calibri" w:cs="Calibri" w:hint="default"/>
          <w:b w:val="0"/>
          <w:bCs w:val="0"/>
          <w:color w:val="auto"/>
          <w:kern w:val="2"/>
          <w:sz w:val="24"/>
          <w:szCs w:val="24"/>
          <w:lang w:bidi="ar"/>
        </w:rPr>
        <w:t xml:space="preserve">the </w:t>
      </w:r>
      <w:r w:rsidRPr="00507E05">
        <w:rPr>
          <w:rStyle w:val="font11"/>
          <w:rFonts w:ascii="Calibri" w:hAnsi="Calibri" w:cs="Calibri" w:hint="default"/>
          <w:b w:val="0"/>
          <w:bCs w:val="0"/>
          <w:color w:val="auto"/>
          <w:kern w:val="2"/>
          <w:sz w:val="24"/>
          <w:szCs w:val="24"/>
          <w:lang w:bidi="ar"/>
        </w:rPr>
        <w:t>C-line and N-line, with no T-line signal.</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w:t>
      </w:r>
      <w:r w:rsidRPr="00507E05">
        <w:rPr>
          <w:rStyle w:val="font11"/>
          <w:rFonts w:ascii="Calibri" w:hAnsi="Calibri" w:cs="Calibri" w:hint="default"/>
          <w:color w:val="auto"/>
          <w:kern w:val="2"/>
          <w:sz w:val="24"/>
          <w:szCs w:val="24"/>
          <w:lang w:bidi="ar"/>
        </w:rPr>
        <w:t>D</w:t>
      </w:r>
      <w:r w:rsidR="004B6204" w:rsidRPr="00507E05">
        <w:rPr>
          <w:rStyle w:val="font11"/>
          <w:rFonts w:ascii="Calibri" w:hAnsi="Calibri" w:cs="Calibri" w:hint="default"/>
          <w:color w:val="auto"/>
          <w:kern w:val="2"/>
          <w:sz w:val="24"/>
          <w:szCs w:val="24"/>
          <w:lang w:bidi="ar"/>
        </w:rPr>
        <w:t>–</w:t>
      </w:r>
      <w:r w:rsidRPr="00507E05">
        <w:rPr>
          <w:rStyle w:val="font11"/>
          <w:rFonts w:ascii="Calibri" w:hAnsi="Calibri" w:cs="Calibri" w:hint="default"/>
          <w:color w:val="auto"/>
          <w:kern w:val="2"/>
          <w:sz w:val="24"/>
          <w:szCs w:val="24"/>
          <w:lang w:bidi="ar"/>
        </w:rPr>
        <w:t>H</w:t>
      </w:r>
      <w:r w:rsidRPr="00507E05">
        <w:rPr>
          <w:rStyle w:val="font11"/>
          <w:rFonts w:ascii="Calibri" w:hAnsi="Calibri" w:cs="Calibri" w:hint="default"/>
          <w:b w:val="0"/>
          <w:bCs w:val="0"/>
          <w:color w:val="auto"/>
          <w:kern w:val="2"/>
          <w:sz w:val="24"/>
          <w:szCs w:val="24"/>
          <w:lang w:bidi="ar"/>
        </w:rPr>
        <w:t>) Invalid results</w:t>
      </w:r>
      <w:r w:rsidR="00B50884" w:rsidRPr="00507E05">
        <w:rPr>
          <w:rStyle w:val="font11"/>
          <w:rFonts w:ascii="Calibri" w:hAnsi="Calibri" w:cs="Calibri" w:hint="default"/>
          <w:b w:val="0"/>
          <w:bCs w:val="0"/>
          <w:color w:val="auto"/>
          <w:kern w:val="2"/>
          <w:sz w:val="24"/>
          <w:szCs w:val="24"/>
          <w:lang w:bidi="ar"/>
        </w:rPr>
        <w:t xml:space="preserve">: </w:t>
      </w:r>
      <w:r w:rsidR="004B6204" w:rsidRPr="00507E05">
        <w:rPr>
          <w:rStyle w:val="font11"/>
          <w:rFonts w:ascii="Calibri" w:hAnsi="Calibri" w:cs="Calibri" w:hint="default"/>
          <w:b w:val="0"/>
          <w:bCs w:val="0"/>
          <w:color w:val="auto"/>
          <w:kern w:val="2"/>
          <w:sz w:val="24"/>
          <w:szCs w:val="24"/>
          <w:lang w:bidi="ar"/>
        </w:rPr>
        <w:t>(</w:t>
      </w:r>
      <w:r w:rsidR="004B6204" w:rsidRPr="00507E05">
        <w:rPr>
          <w:rStyle w:val="font11"/>
          <w:rFonts w:ascii="Calibri" w:hAnsi="Calibri" w:cs="Calibri" w:hint="default"/>
          <w:color w:val="auto"/>
          <w:kern w:val="2"/>
          <w:sz w:val="24"/>
          <w:szCs w:val="24"/>
          <w:lang w:bidi="ar"/>
        </w:rPr>
        <w:t>D, E, G, H</w:t>
      </w:r>
      <w:r w:rsidR="004B6204" w:rsidRPr="00507E05">
        <w:rPr>
          <w:rStyle w:val="font11"/>
          <w:rFonts w:ascii="Calibri" w:hAnsi="Calibri" w:cs="Calibri" w:hint="default"/>
          <w:b w:val="0"/>
          <w:bCs w:val="0"/>
          <w:color w:val="auto"/>
          <w:kern w:val="2"/>
          <w:sz w:val="24"/>
          <w:szCs w:val="24"/>
          <w:lang w:bidi="ar"/>
        </w:rPr>
        <w:t>)</w:t>
      </w:r>
      <w:r w:rsidR="004B6204" w:rsidRPr="00507E05">
        <w:rPr>
          <w:rStyle w:val="font11"/>
          <w:rFonts w:ascii="Calibri" w:hAnsi="Calibri" w:cs="Calibri" w:hint="default"/>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Complete absence of the C-line band, regardless of N/T-line visibility.</w:t>
      </w:r>
      <w:r w:rsidR="004B6204" w:rsidRPr="00507E05">
        <w:rPr>
          <w:rStyle w:val="font11"/>
          <w:rFonts w:ascii="Calibri" w:hAnsi="Calibri" w:cs="Calibri" w:hint="default"/>
          <w:b w:val="0"/>
          <w:bCs w:val="0"/>
          <w:color w:val="auto"/>
          <w:kern w:val="2"/>
          <w:sz w:val="24"/>
          <w:szCs w:val="24"/>
          <w:lang w:bidi="ar"/>
        </w:rPr>
        <w:t xml:space="preserve"> (</w:t>
      </w:r>
      <w:r w:rsidR="004B6204" w:rsidRPr="00507E05">
        <w:rPr>
          <w:rStyle w:val="font11"/>
          <w:rFonts w:ascii="Calibri" w:hAnsi="Calibri" w:cs="Calibri" w:hint="default"/>
          <w:color w:val="auto"/>
          <w:kern w:val="2"/>
          <w:sz w:val="24"/>
          <w:szCs w:val="24"/>
          <w:lang w:bidi="ar"/>
        </w:rPr>
        <w:t>F</w:t>
      </w:r>
      <w:r w:rsidR="004B6204" w:rsidRPr="00507E05">
        <w:rPr>
          <w:rStyle w:val="font11"/>
          <w:rFonts w:ascii="Calibri" w:hAnsi="Calibri" w:cs="Calibri" w:hint="default"/>
          <w:b w:val="0"/>
          <w:bCs w:val="0"/>
          <w:color w:val="auto"/>
          <w:kern w:val="2"/>
          <w:sz w:val="24"/>
          <w:szCs w:val="24"/>
          <w:lang w:bidi="ar"/>
        </w:rPr>
        <w:t>)</w:t>
      </w:r>
      <w:r w:rsidR="004B6204" w:rsidRPr="00507E05">
        <w:rPr>
          <w:rStyle w:val="font11"/>
          <w:rFonts w:ascii="Calibri" w:hAnsi="Calibri" w:cs="Calibri" w:hint="default"/>
          <w:color w:val="auto"/>
          <w:kern w:val="2"/>
          <w:sz w:val="24"/>
          <w:szCs w:val="24"/>
          <w:lang w:bidi="ar"/>
        </w:rPr>
        <w:t xml:space="preserve"> </w:t>
      </w:r>
      <w:r w:rsidR="00B50884" w:rsidRPr="00507E05">
        <w:rPr>
          <w:rStyle w:val="font11"/>
          <w:rFonts w:ascii="Calibri" w:hAnsi="Calibri" w:cs="Calibri" w:hint="default"/>
          <w:b w:val="0"/>
          <w:bCs w:val="0"/>
          <w:color w:val="auto"/>
          <w:kern w:val="2"/>
          <w:sz w:val="24"/>
          <w:szCs w:val="24"/>
          <w:lang w:bidi="ar"/>
        </w:rPr>
        <w:t xml:space="preserve">The presence </w:t>
      </w:r>
      <w:r w:rsidRPr="00507E05">
        <w:rPr>
          <w:rStyle w:val="font11"/>
          <w:rFonts w:ascii="Calibri" w:hAnsi="Calibri" w:cs="Calibri" w:hint="default"/>
          <w:b w:val="0"/>
          <w:bCs w:val="0"/>
          <w:color w:val="auto"/>
          <w:kern w:val="2"/>
          <w:sz w:val="24"/>
          <w:szCs w:val="24"/>
          <w:lang w:bidi="ar"/>
        </w:rPr>
        <w:t xml:space="preserve">of a C-line band with </w:t>
      </w:r>
      <w:r w:rsidR="00B50884" w:rsidRPr="00507E05">
        <w:rPr>
          <w:rStyle w:val="font11"/>
          <w:rFonts w:ascii="Calibri" w:hAnsi="Calibri" w:cs="Calibri" w:hint="default"/>
          <w:b w:val="0"/>
          <w:bCs w:val="0"/>
          <w:color w:val="auto"/>
          <w:kern w:val="2"/>
          <w:sz w:val="24"/>
          <w:szCs w:val="24"/>
          <w:lang w:bidi="ar"/>
        </w:rPr>
        <w:t xml:space="preserve">the </w:t>
      </w:r>
      <w:r w:rsidRPr="00507E05">
        <w:rPr>
          <w:rStyle w:val="font11"/>
          <w:rFonts w:ascii="Calibri" w:hAnsi="Calibri" w:cs="Calibri" w:hint="default"/>
          <w:b w:val="0"/>
          <w:bCs w:val="0"/>
          <w:color w:val="auto"/>
          <w:kern w:val="2"/>
          <w:sz w:val="24"/>
          <w:szCs w:val="24"/>
          <w:lang w:bidi="ar"/>
        </w:rPr>
        <w:t xml:space="preserve">simultaneous absence of both N-line and T-line signals </w:t>
      </w:r>
      <w:r w:rsidR="00B50884" w:rsidRPr="00507E05">
        <w:rPr>
          <w:rStyle w:val="font11"/>
          <w:rFonts w:ascii="Calibri" w:hAnsi="Calibri" w:cs="Calibri" w:hint="default"/>
          <w:b w:val="0"/>
          <w:bCs w:val="0"/>
          <w:color w:val="auto"/>
          <w:kern w:val="2"/>
          <w:sz w:val="24"/>
          <w:szCs w:val="24"/>
          <w:lang w:bidi="ar"/>
        </w:rPr>
        <w:t xml:space="preserve">suggests </w:t>
      </w:r>
      <w:r w:rsidRPr="00507E05">
        <w:rPr>
          <w:rStyle w:val="font11"/>
          <w:rFonts w:ascii="Calibri" w:hAnsi="Calibri" w:cs="Calibri" w:hint="default"/>
          <w:b w:val="0"/>
          <w:bCs w:val="0"/>
          <w:color w:val="auto"/>
          <w:kern w:val="2"/>
          <w:sz w:val="24"/>
          <w:szCs w:val="24"/>
          <w:lang w:bidi="ar"/>
        </w:rPr>
        <w:t>specimen contamination with amplification inhibitors or improper collection/storage.</w:t>
      </w:r>
    </w:p>
    <w:p w14:paraId="4EBD9712" w14:textId="77777777" w:rsidR="00230057" w:rsidRPr="00507E05" w:rsidRDefault="00230057" w:rsidP="00F501D0">
      <w:pPr>
        <w:pStyle w:val="NormalWeb"/>
        <w:widowControl/>
        <w:spacing w:beforeAutospacing="0" w:afterAutospacing="0"/>
        <w:jc w:val="both"/>
        <w:rPr>
          <w:rStyle w:val="font11"/>
          <w:rFonts w:ascii="Calibri" w:hAnsi="Calibri" w:cs="Calibri" w:hint="default"/>
          <w:color w:val="auto"/>
          <w:kern w:val="2"/>
          <w:sz w:val="24"/>
          <w:szCs w:val="24"/>
          <w:lang w:bidi="ar"/>
        </w:rPr>
      </w:pPr>
    </w:p>
    <w:p w14:paraId="269D4AAD" w14:textId="5638527C" w:rsidR="00230057" w:rsidRPr="00507E05" w:rsidRDefault="00000000" w:rsidP="00F501D0">
      <w:pPr>
        <w:pStyle w:val="NormalWeb"/>
        <w:widowControl/>
        <w:spacing w:beforeAutospacing="0" w:afterAutospacing="0"/>
        <w:jc w:val="both"/>
        <w:rPr>
          <w:rStyle w:val="font11"/>
          <w:rFonts w:ascii="Calibri" w:hAnsi="Calibri" w:cs="Calibri" w:hint="default"/>
          <w:b w:val="0"/>
          <w:bCs w:val="0"/>
          <w:color w:val="auto"/>
          <w:kern w:val="2"/>
          <w:sz w:val="24"/>
          <w:szCs w:val="24"/>
          <w:lang w:bidi="ar"/>
        </w:rPr>
      </w:pPr>
      <w:r w:rsidRPr="00507E05">
        <w:rPr>
          <w:rStyle w:val="font11"/>
          <w:rFonts w:ascii="Calibri" w:hAnsi="Calibri" w:cs="Calibri" w:hint="default"/>
          <w:color w:val="auto"/>
          <w:kern w:val="2"/>
          <w:sz w:val="24"/>
          <w:szCs w:val="24"/>
          <w:lang w:bidi="ar"/>
        </w:rPr>
        <w:t>Table 1</w:t>
      </w:r>
      <w:r w:rsidR="004B6204" w:rsidRPr="00507E05">
        <w:rPr>
          <w:rStyle w:val="font11"/>
          <w:rFonts w:ascii="Calibri" w:hAnsi="Calibri" w:cs="Calibri" w:hint="default"/>
          <w:color w:val="auto"/>
          <w:kern w:val="2"/>
          <w:sz w:val="24"/>
          <w:szCs w:val="24"/>
          <w:lang w:bidi="ar"/>
        </w:rPr>
        <w:t xml:space="preserve">: </w:t>
      </w:r>
      <w:r w:rsidRPr="00507E05">
        <w:rPr>
          <w:rStyle w:val="font11"/>
          <w:rFonts w:ascii="Calibri" w:hAnsi="Calibri" w:cs="Calibri" w:hint="default"/>
          <w:color w:val="auto"/>
          <w:kern w:val="2"/>
          <w:sz w:val="24"/>
          <w:szCs w:val="24"/>
          <w:lang w:bidi="ar"/>
        </w:rPr>
        <w:t>Comparative analysis of </w:t>
      </w:r>
      <w:r w:rsidRPr="00507E05">
        <w:rPr>
          <w:rStyle w:val="font11"/>
          <w:rFonts w:ascii="Calibri" w:hAnsi="Calibri" w:cs="Calibri" w:hint="default"/>
          <w:i/>
          <w:iCs/>
          <w:color w:val="auto"/>
          <w:kern w:val="2"/>
          <w:sz w:val="24"/>
          <w:szCs w:val="24"/>
          <w:lang w:bidi="ar"/>
        </w:rPr>
        <w:t>Neisseria gonorrhoeae</w:t>
      </w:r>
      <w:r w:rsidRPr="00507E05">
        <w:rPr>
          <w:rStyle w:val="font11"/>
          <w:rFonts w:ascii="Calibri" w:hAnsi="Calibri" w:cs="Calibri" w:hint="default"/>
          <w:color w:val="auto"/>
          <w:kern w:val="2"/>
          <w:sz w:val="24"/>
          <w:szCs w:val="24"/>
          <w:lang w:bidi="ar"/>
        </w:rPr>
        <w:t> (NG) detection between RNA amplification lateral flow assay (RGT) and PCR fluorescence probing (n</w:t>
      </w:r>
      <w:r w:rsidR="004B6204" w:rsidRPr="00507E05">
        <w:rPr>
          <w:rStyle w:val="font11"/>
          <w:rFonts w:ascii="Calibri" w:hAnsi="Calibri" w:cs="Calibri" w:hint="default"/>
          <w:color w:val="auto"/>
          <w:kern w:val="2"/>
          <w:sz w:val="24"/>
          <w:szCs w:val="24"/>
          <w:lang w:bidi="ar"/>
        </w:rPr>
        <w:t xml:space="preserve"> </w:t>
      </w:r>
      <w:r w:rsidRPr="00507E05">
        <w:rPr>
          <w:rStyle w:val="font11"/>
          <w:rFonts w:ascii="Calibri" w:hAnsi="Calibri" w:cs="Calibri" w:hint="default"/>
          <w:color w:val="auto"/>
          <w:kern w:val="2"/>
          <w:sz w:val="24"/>
          <w:szCs w:val="24"/>
          <w:lang w:bidi="ar"/>
        </w:rPr>
        <w:t>=</w:t>
      </w:r>
      <w:r w:rsidR="004B6204" w:rsidRPr="00507E05">
        <w:rPr>
          <w:rStyle w:val="font11"/>
          <w:rFonts w:ascii="Calibri" w:hAnsi="Calibri" w:cs="Calibri" w:hint="default"/>
          <w:color w:val="auto"/>
          <w:kern w:val="2"/>
          <w:sz w:val="24"/>
          <w:szCs w:val="24"/>
          <w:lang w:bidi="ar"/>
        </w:rPr>
        <w:t xml:space="preserve"> </w:t>
      </w:r>
      <w:r w:rsidRPr="00507E05">
        <w:rPr>
          <w:rStyle w:val="font11"/>
          <w:rFonts w:ascii="Calibri" w:hAnsi="Calibri" w:cs="Calibri" w:hint="default"/>
          <w:color w:val="auto"/>
          <w:kern w:val="2"/>
          <w:sz w:val="24"/>
          <w:szCs w:val="24"/>
          <w:lang w:bidi="ar"/>
        </w:rPr>
        <w:t>310).</w:t>
      </w:r>
      <w:r w:rsidR="00AD31E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Definition of positivity:</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RGT: Visible band on both Control (C) and Test (T) lines</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PCR: Cycle threshold (Ct) &lt;35.0 with S-shaped amplification curve.</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Statistical analysis:</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Sensitivity: 98.78% (81/82, 95% CI: 93.39–99.97</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Specificity: 99.12% (226/228, 95% CI: 96.87–99.89</w:t>
      </w:r>
      <w:r w:rsidR="004B6204" w:rsidRPr="00507E05">
        <w:rPr>
          <w:rStyle w:val="font11"/>
          <w:rFonts w:ascii="Calibri" w:hAnsi="Calibri" w:cs="Calibri" w:hint="default"/>
          <w:b w:val="0"/>
          <w:bCs w:val="0"/>
          <w:color w:val="auto"/>
          <w:kern w:val="2"/>
          <w:sz w:val="24"/>
          <w:szCs w:val="24"/>
          <w:lang w:bidi="ar"/>
        </w:rPr>
        <w:t xml:space="preserve">%); </w:t>
      </w:r>
      <w:r w:rsidR="00B50884" w:rsidRPr="00507E05">
        <w:rPr>
          <w:rStyle w:val="font11"/>
          <w:rFonts w:ascii="Calibri" w:hAnsi="Calibri" w:cs="Calibri" w:hint="default"/>
          <w:b w:val="0"/>
          <w:bCs w:val="0"/>
          <w:color w:val="auto"/>
          <w:kern w:val="2"/>
          <w:sz w:val="24"/>
          <w:szCs w:val="24"/>
          <w:lang w:bidi="ar"/>
        </w:rPr>
        <w:t xml:space="preserve">Cohen's </w:t>
      </w:r>
      <w:r w:rsidRPr="00507E05">
        <w:rPr>
          <w:rStyle w:val="font11"/>
          <w:rFonts w:ascii="Calibri" w:hAnsi="Calibri" w:cs="Calibri" w:hint="default"/>
          <w:b w:val="0"/>
          <w:bCs w:val="0"/>
          <w:color w:val="auto"/>
          <w:kern w:val="2"/>
          <w:sz w:val="24"/>
          <w:szCs w:val="24"/>
          <w:lang w:bidi="ar"/>
        </w:rPr>
        <w:t>Kappa (κ): 0.975 (95% CI: 0.947–1.003), indicating excellent agreement (Landis &amp; Koch criteria: κ &gt;0.80).</w:t>
      </w:r>
      <w:r w:rsidR="004B6204" w:rsidRPr="00507E05">
        <w:rPr>
          <w:rStyle w:val="font11"/>
          <w:rFonts w:ascii="Calibri" w:hAnsi="Calibri" w:cs="Calibri" w:hint="default"/>
          <w:b w:val="0"/>
          <w:bCs w:val="0"/>
          <w:color w:val="auto"/>
          <w:kern w:val="2"/>
          <w:sz w:val="24"/>
          <w:szCs w:val="24"/>
          <w:lang w:bidi="ar"/>
        </w:rPr>
        <w:t xml:space="preserve"> </w:t>
      </w:r>
      <w:r w:rsidRPr="00507E05">
        <w:rPr>
          <w:rStyle w:val="font11"/>
          <w:rFonts w:ascii="Calibri" w:hAnsi="Calibri" w:cs="Calibri" w:hint="default"/>
          <w:b w:val="0"/>
          <w:bCs w:val="0"/>
          <w:color w:val="auto"/>
          <w:kern w:val="2"/>
          <w:sz w:val="24"/>
          <w:szCs w:val="24"/>
          <w:lang w:bidi="ar"/>
        </w:rPr>
        <w:t xml:space="preserve">Error reporting: Confidence intervals calculated using </w:t>
      </w:r>
      <w:r w:rsidR="00B50884" w:rsidRPr="00507E05">
        <w:rPr>
          <w:rStyle w:val="font11"/>
          <w:rFonts w:ascii="Calibri" w:hAnsi="Calibri" w:cs="Calibri" w:hint="default"/>
          <w:b w:val="0"/>
          <w:bCs w:val="0"/>
          <w:color w:val="auto"/>
          <w:kern w:val="2"/>
          <w:sz w:val="24"/>
          <w:szCs w:val="24"/>
          <w:lang w:bidi="ar"/>
        </w:rPr>
        <w:t xml:space="preserve">the </w:t>
      </w:r>
      <w:r w:rsidRPr="00507E05">
        <w:rPr>
          <w:rStyle w:val="font11"/>
          <w:rFonts w:ascii="Calibri" w:hAnsi="Calibri" w:cs="Calibri" w:hint="default"/>
          <w:b w:val="0"/>
          <w:bCs w:val="0"/>
          <w:color w:val="auto"/>
          <w:kern w:val="2"/>
          <w:sz w:val="24"/>
          <w:szCs w:val="24"/>
          <w:lang w:bidi="ar"/>
        </w:rPr>
        <w:t>Wilson score method.</w:t>
      </w:r>
    </w:p>
    <w:p w14:paraId="7B468E62" w14:textId="77777777" w:rsidR="00230057" w:rsidRPr="00507E05" w:rsidRDefault="00230057" w:rsidP="00B50884">
      <w:pPr>
        <w:rPr>
          <w:rStyle w:val="font11"/>
          <w:rFonts w:ascii="Calibri" w:hAnsi="Calibri" w:cs="Calibri" w:hint="default"/>
          <w:color w:val="auto"/>
          <w:sz w:val="24"/>
          <w:szCs w:val="24"/>
          <w:lang w:eastAsia="zh-CN" w:bidi="ar"/>
        </w:rPr>
      </w:pPr>
    </w:p>
    <w:p w14:paraId="564FEE8F" w14:textId="49C1416D" w:rsidR="00230057" w:rsidRPr="00507E05" w:rsidRDefault="00000000" w:rsidP="00B50884">
      <w:pPr>
        <w:rPr>
          <w:rStyle w:val="font11"/>
          <w:rFonts w:ascii="Calibri" w:hAnsi="Calibri" w:cs="Calibri" w:hint="default"/>
          <w:b w:val="0"/>
          <w:bCs w:val="0"/>
          <w:color w:val="auto"/>
          <w:sz w:val="24"/>
          <w:szCs w:val="24"/>
          <w:lang w:eastAsia="zh-CN" w:bidi="ar"/>
        </w:rPr>
      </w:pPr>
      <w:r w:rsidRPr="00507E05">
        <w:rPr>
          <w:rStyle w:val="font11"/>
          <w:rFonts w:ascii="Calibri" w:hAnsi="Calibri" w:cs="Calibri" w:hint="default"/>
          <w:color w:val="auto"/>
          <w:sz w:val="24"/>
          <w:szCs w:val="24"/>
          <w:lang w:eastAsia="zh-CN" w:bidi="ar"/>
        </w:rPr>
        <w:t>Table 2</w:t>
      </w:r>
      <w:r w:rsidR="004B620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Comparative analysis of</w:t>
      </w:r>
      <w:r w:rsidRPr="00507E05">
        <w:rPr>
          <w:rStyle w:val="font11"/>
          <w:rFonts w:ascii="Calibri" w:hAnsi="Calibri" w:cs="Calibri" w:hint="default"/>
          <w:i/>
          <w:iCs/>
          <w:color w:val="auto"/>
          <w:sz w:val="24"/>
          <w:szCs w:val="24"/>
          <w:lang w:eastAsia="zh-CN" w:bidi="ar"/>
        </w:rPr>
        <w:t> Chlamydia trachomatis</w:t>
      </w:r>
      <w:r w:rsidRPr="00507E05">
        <w:rPr>
          <w:rStyle w:val="font11"/>
          <w:rFonts w:ascii="Calibri" w:hAnsi="Calibri" w:cs="Calibri" w:hint="default"/>
          <w:color w:val="auto"/>
          <w:sz w:val="24"/>
          <w:szCs w:val="24"/>
          <w:lang w:eastAsia="zh-CN" w:bidi="ar"/>
        </w:rPr>
        <w:t> (CT) detection between RNA amplification lateral flow assay (RGT) and PCR fluorescence probing (n</w:t>
      </w:r>
      <w:r w:rsidR="00AD31E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w:t>
      </w:r>
      <w:r w:rsidR="00AD31E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160).</w:t>
      </w:r>
      <w:r w:rsidR="00AD31E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Definition of positivity:</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RGT: Visible band on both Control (C) and Test (T) lines</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PCR: Cycle threshold (Ct) &lt;35.0 with S-shaped amplification curve.</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Statistical analysis:</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Sensitivity: 100.00% (51/51, 95% CI: 93.02–100.00</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Specificity: 99.08% (108/109, 95% CI: 94.99–99.98</w:t>
      </w:r>
      <w:r w:rsidR="004B6204" w:rsidRPr="00507E05">
        <w:rPr>
          <w:rStyle w:val="font11"/>
          <w:rFonts w:ascii="Calibri" w:hAnsi="Calibri" w:cs="Calibri" w:hint="default"/>
          <w:b w:val="0"/>
          <w:bCs w:val="0"/>
          <w:color w:val="auto"/>
          <w:sz w:val="24"/>
          <w:szCs w:val="24"/>
          <w:lang w:eastAsia="zh-CN" w:bidi="ar"/>
        </w:rPr>
        <w:t xml:space="preserve">%); </w:t>
      </w:r>
      <w:r w:rsidR="00B50884" w:rsidRPr="00507E05">
        <w:rPr>
          <w:rStyle w:val="font11"/>
          <w:rFonts w:ascii="Calibri" w:hAnsi="Calibri" w:cs="Calibri" w:hint="default"/>
          <w:b w:val="0"/>
          <w:bCs w:val="0"/>
          <w:color w:val="auto"/>
          <w:sz w:val="24"/>
          <w:szCs w:val="24"/>
          <w:lang w:eastAsia="zh-CN" w:bidi="ar"/>
        </w:rPr>
        <w:t xml:space="preserve">Cohen's </w:t>
      </w:r>
      <w:r w:rsidRPr="00507E05">
        <w:rPr>
          <w:rStyle w:val="font11"/>
          <w:rFonts w:ascii="Calibri" w:hAnsi="Calibri" w:cs="Calibri" w:hint="default"/>
          <w:b w:val="0"/>
          <w:bCs w:val="0"/>
          <w:color w:val="auto"/>
          <w:sz w:val="24"/>
          <w:szCs w:val="24"/>
          <w:lang w:eastAsia="zh-CN" w:bidi="ar"/>
        </w:rPr>
        <w:t>Kappa (κ): 0.986 (95% CI: 0.958–1.014), indicating excellent agreement (Landis &amp; Koch criteria: κ &gt;0.80).</w:t>
      </w:r>
      <w:r w:rsidR="004B620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 xml:space="preserve">Error reporting: Confidence intervals calculated using </w:t>
      </w:r>
      <w:r w:rsidR="00B50884" w:rsidRPr="00507E05">
        <w:rPr>
          <w:rStyle w:val="font11"/>
          <w:rFonts w:ascii="Calibri" w:hAnsi="Calibri" w:cs="Calibri" w:hint="default"/>
          <w:b w:val="0"/>
          <w:bCs w:val="0"/>
          <w:color w:val="auto"/>
          <w:sz w:val="24"/>
          <w:szCs w:val="24"/>
          <w:lang w:eastAsia="zh-CN" w:bidi="ar"/>
        </w:rPr>
        <w:t xml:space="preserve">the </w:t>
      </w:r>
      <w:r w:rsidRPr="00507E05">
        <w:rPr>
          <w:rStyle w:val="font11"/>
          <w:rFonts w:ascii="Calibri" w:hAnsi="Calibri" w:cs="Calibri" w:hint="default"/>
          <w:b w:val="0"/>
          <w:bCs w:val="0"/>
          <w:color w:val="auto"/>
          <w:sz w:val="24"/>
          <w:szCs w:val="24"/>
          <w:lang w:eastAsia="zh-CN" w:bidi="ar"/>
        </w:rPr>
        <w:t>Wilson score method.</w:t>
      </w:r>
    </w:p>
    <w:p w14:paraId="537FB7DE" w14:textId="77777777" w:rsidR="00230057" w:rsidRPr="00507E05" w:rsidRDefault="00230057" w:rsidP="00B50884"/>
    <w:p w14:paraId="65BDAA45" w14:textId="15F7DF65" w:rsidR="00230057" w:rsidRPr="00507E05" w:rsidRDefault="00000000" w:rsidP="00B50884">
      <w:r w:rsidRPr="00507E05">
        <w:rPr>
          <w:rStyle w:val="font11"/>
          <w:rFonts w:ascii="Calibri" w:hAnsi="Calibri" w:cs="Calibri" w:hint="default"/>
          <w:color w:val="auto"/>
          <w:sz w:val="24"/>
          <w:szCs w:val="24"/>
          <w:lang w:eastAsia="zh-CN" w:bidi="ar"/>
        </w:rPr>
        <w:t>Table 3</w:t>
      </w:r>
      <w:r w:rsidR="004B620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 xml:space="preserve">Comparative analysis of </w:t>
      </w:r>
      <w:r w:rsidRPr="00507E05">
        <w:rPr>
          <w:rStyle w:val="font21"/>
          <w:rFonts w:ascii="Calibri" w:hAnsi="Calibri" w:cs="Calibri" w:hint="default"/>
          <w:color w:val="auto"/>
          <w:sz w:val="24"/>
          <w:szCs w:val="24"/>
          <w:lang w:eastAsia="zh-CN" w:bidi="ar"/>
        </w:rPr>
        <w:t>Ureaplasma urealyticum</w:t>
      </w:r>
      <w:r w:rsidRPr="00507E05">
        <w:rPr>
          <w:rStyle w:val="font11"/>
          <w:rFonts w:ascii="Calibri" w:hAnsi="Calibri" w:cs="Calibri" w:hint="default"/>
          <w:color w:val="auto"/>
          <w:sz w:val="24"/>
          <w:szCs w:val="24"/>
          <w:lang w:eastAsia="zh-CN" w:bidi="ar"/>
        </w:rPr>
        <w:t xml:space="preserve"> (UU) detection between RNA amplification lateral flow assay (RGT) and PCR fluorescence probing (n</w:t>
      </w:r>
      <w:r w:rsidR="00AD31E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w:t>
      </w:r>
      <w:r w:rsidR="00AD31E4" w:rsidRPr="00507E05">
        <w:rPr>
          <w:rStyle w:val="font11"/>
          <w:rFonts w:ascii="Calibri" w:hAnsi="Calibri" w:cs="Calibri" w:hint="default"/>
          <w:color w:val="auto"/>
          <w:sz w:val="24"/>
          <w:szCs w:val="24"/>
          <w:lang w:eastAsia="zh-CN" w:bidi="ar"/>
        </w:rPr>
        <w:t xml:space="preserve"> </w:t>
      </w:r>
      <w:r w:rsidRPr="00507E05">
        <w:rPr>
          <w:rStyle w:val="font11"/>
          <w:rFonts w:ascii="Calibri" w:hAnsi="Calibri" w:cs="Calibri" w:hint="default"/>
          <w:color w:val="auto"/>
          <w:sz w:val="24"/>
          <w:szCs w:val="24"/>
          <w:lang w:eastAsia="zh-CN" w:bidi="ar"/>
        </w:rPr>
        <w:t>306).</w:t>
      </w:r>
      <w:r w:rsidR="00AD31E4" w:rsidRPr="00507E05">
        <w:rPr>
          <w:rStyle w:val="font11"/>
          <w:rFonts w:ascii="Calibri" w:hAnsi="Calibri" w:cs="Calibri" w:hint="default"/>
          <w:b w:val="0"/>
          <w:bCs w:val="0"/>
          <w:color w:val="auto"/>
          <w:sz w:val="24"/>
          <w:szCs w:val="24"/>
          <w:lang w:eastAsia="zh-CN" w:bidi="ar"/>
        </w:rPr>
        <w:t xml:space="preserve"> </w:t>
      </w:r>
      <w:r w:rsidRPr="00507E05">
        <w:rPr>
          <w:rStyle w:val="font11"/>
          <w:rFonts w:ascii="Calibri" w:hAnsi="Calibri" w:cs="Calibri" w:hint="default"/>
          <w:b w:val="0"/>
          <w:bCs w:val="0"/>
          <w:color w:val="auto"/>
          <w:sz w:val="24"/>
          <w:szCs w:val="24"/>
          <w:lang w:eastAsia="zh-CN" w:bidi="ar"/>
        </w:rPr>
        <w:t>Definition of positivity:</w:t>
      </w:r>
      <w:r w:rsidR="004B6204" w:rsidRPr="00507E05">
        <w:rPr>
          <w:rStyle w:val="font31"/>
          <w:rFonts w:ascii="Calibri" w:hAnsi="Calibri" w:cs="Calibri" w:hint="default"/>
          <w:color w:val="auto"/>
          <w:sz w:val="24"/>
          <w:szCs w:val="24"/>
          <w:lang w:eastAsia="zh-CN" w:bidi="ar"/>
        </w:rPr>
        <w:t xml:space="preserve"> </w:t>
      </w:r>
      <w:r w:rsidRPr="00507E05">
        <w:rPr>
          <w:rStyle w:val="font31"/>
          <w:rFonts w:ascii="Calibri" w:hAnsi="Calibri" w:cs="Calibri" w:hint="default"/>
          <w:color w:val="auto"/>
          <w:sz w:val="24"/>
          <w:szCs w:val="24"/>
          <w:lang w:eastAsia="zh-CN" w:bidi="ar"/>
        </w:rPr>
        <w:t>RGT: Visible band on both Control (C) and Test (T) lines</w:t>
      </w:r>
      <w:r w:rsidR="004B6204" w:rsidRPr="00507E05">
        <w:rPr>
          <w:rStyle w:val="font31"/>
          <w:rFonts w:ascii="Calibri" w:hAnsi="Calibri" w:cs="Calibri" w:hint="default"/>
          <w:color w:val="auto"/>
          <w:sz w:val="24"/>
          <w:szCs w:val="24"/>
          <w:lang w:eastAsia="zh-CN" w:bidi="ar"/>
        </w:rPr>
        <w:t xml:space="preserve">; </w:t>
      </w:r>
      <w:r w:rsidRPr="00507E05">
        <w:rPr>
          <w:rStyle w:val="font31"/>
          <w:rFonts w:ascii="Calibri" w:hAnsi="Calibri" w:cs="Calibri" w:hint="default"/>
          <w:color w:val="auto"/>
          <w:sz w:val="24"/>
          <w:szCs w:val="24"/>
          <w:lang w:eastAsia="zh-CN" w:bidi="ar"/>
        </w:rPr>
        <w:t>PCR: Cycle threshold (Ct) &lt;35.0 with S-shaped amplification curve.</w:t>
      </w:r>
      <w:r w:rsidR="004B6204" w:rsidRPr="00507E05">
        <w:rPr>
          <w:rStyle w:val="font11"/>
          <w:rFonts w:ascii="Calibri" w:hAnsi="Calibri" w:cs="Calibri" w:hint="default"/>
          <w:color w:val="auto"/>
          <w:sz w:val="24"/>
          <w:szCs w:val="24"/>
          <w:lang w:eastAsia="zh-CN" w:bidi="ar"/>
        </w:rPr>
        <w:t xml:space="preserve"> </w:t>
      </w:r>
      <w:r w:rsidR="00AD31E4" w:rsidRPr="00507E05">
        <w:rPr>
          <w:rFonts w:eastAsia="DengXian"/>
          <w:lang w:eastAsia="zh-CN" w:bidi="ar"/>
        </w:rPr>
        <w:t xml:space="preserve">Statistical analysis: </w:t>
      </w:r>
      <w:r w:rsidRPr="00507E05">
        <w:rPr>
          <w:rStyle w:val="font31"/>
          <w:rFonts w:ascii="Calibri" w:hAnsi="Calibri" w:cs="Calibri" w:hint="default"/>
          <w:color w:val="auto"/>
          <w:sz w:val="24"/>
          <w:szCs w:val="24"/>
          <w:lang w:eastAsia="zh-CN" w:bidi="ar"/>
        </w:rPr>
        <w:t>Sensitivity: 98.25% (112/114, 95% CI: 93.81–99.79</w:t>
      </w:r>
      <w:r w:rsidR="004B6204" w:rsidRPr="00507E05">
        <w:rPr>
          <w:rStyle w:val="font31"/>
          <w:rFonts w:ascii="Calibri" w:hAnsi="Calibri" w:cs="Calibri" w:hint="default"/>
          <w:color w:val="auto"/>
          <w:sz w:val="24"/>
          <w:szCs w:val="24"/>
          <w:lang w:eastAsia="zh-CN" w:bidi="ar"/>
        </w:rPr>
        <w:t xml:space="preserve">%); </w:t>
      </w:r>
      <w:r w:rsidRPr="00507E05">
        <w:rPr>
          <w:rStyle w:val="font31"/>
          <w:rFonts w:ascii="Calibri" w:hAnsi="Calibri" w:cs="Calibri" w:hint="default"/>
          <w:color w:val="auto"/>
          <w:sz w:val="24"/>
          <w:szCs w:val="24"/>
          <w:lang w:eastAsia="zh-CN" w:bidi="ar"/>
        </w:rPr>
        <w:t>Specificity: 99.48% (191/192, 95% CI: 97.13–99.99%)</w:t>
      </w:r>
      <w:r w:rsidR="004B6204" w:rsidRPr="00507E05">
        <w:rPr>
          <w:rStyle w:val="font31"/>
          <w:rFonts w:ascii="Calibri" w:hAnsi="Calibri" w:cs="Calibri" w:hint="default"/>
          <w:color w:val="auto"/>
          <w:sz w:val="24"/>
          <w:szCs w:val="24"/>
          <w:lang w:eastAsia="zh-CN" w:bidi="ar"/>
        </w:rPr>
        <w:t xml:space="preserve">; </w:t>
      </w:r>
      <w:r w:rsidR="00B50884" w:rsidRPr="00507E05">
        <w:rPr>
          <w:rStyle w:val="font31"/>
          <w:rFonts w:ascii="Calibri" w:hAnsi="Calibri" w:cs="Calibri" w:hint="default"/>
          <w:color w:val="auto"/>
          <w:sz w:val="24"/>
          <w:szCs w:val="24"/>
          <w:lang w:eastAsia="zh-CN" w:bidi="ar"/>
        </w:rPr>
        <w:t xml:space="preserve">Cohen's </w:t>
      </w:r>
      <w:r w:rsidRPr="00507E05">
        <w:rPr>
          <w:rStyle w:val="font31"/>
          <w:rFonts w:ascii="Calibri" w:hAnsi="Calibri" w:cs="Calibri" w:hint="default"/>
          <w:color w:val="auto"/>
          <w:sz w:val="24"/>
          <w:szCs w:val="24"/>
          <w:lang w:eastAsia="zh-CN" w:bidi="ar"/>
        </w:rPr>
        <w:t>Kappa (κ): 0.979 (95% CI: 0.955–1.003), indicating excellent agreement (Landis &amp; Koch criteria: κ &gt;0.80).</w:t>
      </w:r>
      <w:r w:rsidR="004B6204" w:rsidRPr="00507E05">
        <w:rPr>
          <w:rStyle w:val="font11"/>
          <w:rFonts w:ascii="Calibri" w:hAnsi="Calibri" w:cs="Calibri" w:hint="default"/>
          <w:color w:val="auto"/>
          <w:sz w:val="24"/>
          <w:szCs w:val="24"/>
          <w:lang w:eastAsia="zh-CN" w:bidi="ar"/>
        </w:rPr>
        <w:t xml:space="preserve"> </w:t>
      </w:r>
      <w:r w:rsidR="00AD31E4" w:rsidRPr="00507E05">
        <w:rPr>
          <w:rFonts w:eastAsia="DengXian"/>
          <w:lang w:eastAsia="zh-CN" w:bidi="ar"/>
        </w:rPr>
        <w:t xml:space="preserve">Error reporting: </w:t>
      </w:r>
      <w:r w:rsidRPr="00507E05">
        <w:rPr>
          <w:rStyle w:val="font31"/>
          <w:rFonts w:ascii="Calibri" w:hAnsi="Calibri" w:cs="Calibri" w:hint="default"/>
          <w:color w:val="auto"/>
          <w:sz w:val="24"/>
          <w:szCs w:val="24"/>
          <w:lang w:eastAsia="zh-CN" w:bidi="ar"/>
        </w:rPr>
        <w:t xml:space="preserve">Confidence intervals calculated using </w:t>
      </w:r>
      <w:r w:rsidR="00B50884" w:rsidRPr="00507E05">
        <w:rPr>
          <w:rStyle w:val="font31"/>
          <w:rFonts w:ascii="Calibri" w:hAnsi="Calibri" w:cs="Calibri" w:hint="default"/>
          <w:color w:val="auto"/>
          <w:sz w:val="24"/>
          <w:szCs w:val="24"/>
          <w:lang w:eastAsia="zh-CN" w:bidi="ar"/>
        </w:rPr>
        <w:t xml:space="preserve">the </w:t>
      </w:r>
      <w:r w:rsidRPr="00507E05">
        <w:rPr>
          <w:rStyle w:val="font31"/>
          <w:rFonts w:ascii="Calibri" w:hAnsi="Calibri" w:cs="Calibri" w:hint="default"/>
          <w:color w:val="auto"/>
          <w:sz w:val="24"/>
          <w:szCs w:val="24"/>
          <w:lang w:eastAsia="zh-CN" w:bidi="ar"/>
        </w:rPr>
        <w:t>Wilson score method</w:t>
      </w:r>
      <w:r w:rsidRPr="00507E05">
        <w:rPr>
          <w:rStyle w:val="font11"/>
          <w:rFonts w:ascii="Calibri" w:hAnsi="Calibri" w:cs="Calibri" w:hint="default"/>
          <w:color w:val="auto"/>
          <w:sz w:val="24"/>
          <w:szCs w:val="24"/>
          <w:lang w:eastAsia="zh-CN" w:bidi="ar"/>
        </w:rPr>
        <w:t>.</w:t>
      </w:r>
    </w:p>
    <w:p w14:paraId="383A051D" w14:textId="77777777" w:rsidR="00230057" w:rsidRPr="00507E05" w:rsidRDefault="00230057" w:rsidP="00B50884">
      <w:pPr>
        <w:rPr>
          <w:rFonts w:eastAsia="DengXian"/>
          <w:b/>
          <w:bCs/>
          <w:lang w:eastAsia="zh-CN" w:bidi="ar"/>
        </w:rPr>
      </w:pPr>
    </w:p>
    <w:p w14:paraId="67807638" w14:textId="6141F5A3" w:rsidR="00230057" w:rsidRPr="00507E05" w:rsidRDefault="00000000" w:rsidP="00B50884">
      <w:pPr>
        <w:rPr>
          <w:rFonts w:eastAsia="DengXian"/>
          <w:lang w:eastAsia="zh-CN" w:bidi="ar"/>
        </w:rPr>
      </w:pPr>
      <w:r w:rsidRPr="00507E05">
        <w:rPr>
          <w:rFonts w:eastAsia="DengXian"/>
          <w:b/>
          <w:bCs/>
          <w:lang w:eastAsia="zh-CN" w:bidi="ar"/>
        </w:rPr>
        <w:t>Table 4</w:t>
      </w:r>
      <w:r w:rsidR="004B6204" w:rsidRPr="00507E05">
        <w:rPr>
          <w:rFonts w:eastAsia="DengXian"/>
          <w:b/>
          <w:bCs/>
          <w:lang w:eastAsia="zh-CN" w:bidi="ar"/>
        </w:rPr>
        <w:t xml:space="preserve">: </w:t>
      </w:r>
      <w:r w:rsidRPr="00507E05">
        <w:rPr>
          <w:rFonts w:eastAsia="DengXian"/>
          <w:b/>
          <w:bCs/>
          <w:lang w:eastAsia="zh-CN" w:bidi="ar"/>
        </w:rPr>
        <w:t>Comparative analysis of </w:t>
      </w:r>
      <w:r w:rsidRPr="00507E05">
        <w:rPr>
          <w:rFonts w:eastAsia="DengXian"/>
          <w:b/>
          <w:bCs/>
          <w:i/>
          <w:iCs/>
          <w:lang w:eastAsia="zh-CN" w:bidi="ar"/>
        </w:rPr>
        <w:t>Neisseria gonorrhoeae</w:t>
      </w:r>
      <w:r w:rsidRPr="00507E05">
        <w:rPr>
          <w:rFonts w:eastAsia="DengXian"/>
          <w:b/>
          <w:bCs/>
          <w:lang w:eastAsia="zh-CN" w:bidi="ar"/>
        </w:rPr>
        <w:t> (NG) detection between RNA amplification lateral flow assay (RGT) and gene sequencing (n</w:t>
      </w:r>
      <w:r w:rsidR="00AD31E4" w:rsidRPr="00507E05">
        <w:rPr>
          <w:rFonts w:eastAsia="DengXian"/>
          <w:b/>
          <w:bCs/>
          <w:lang w:eastAsia="zh-CN" w:bidi="ar"/>
        </w:rPr>
        <w:t xml:space="preserve"> </w:t>
      </w:r>
      <w:r w:rsidRPr="00507E05">
        <w:rPr>
          <w:rFonts w:eastAsia="DengXian"/>
          <w:b/>
          <w:bCs/>
          <w:lang w:eastAsia="zh-CN" w:bidi="ar"/>
        </w:rPr>
        <w:t>=</w:t>
      </w:r>
      <w:r w:rsidR="00AD31E4" w:rsidRPr="00507E05">
        <w:rPr>
          <w:rFonts w:eastAsia="DengXian"/>
          <w:b/>
          <w:bCs/>
          <w:lang w:eastAsia="zh-CN" w:bidi="ar"/>
        </w:rPr>
        <w:t xml:space="preserve"> </w:t>
      </w:r>
      <w:r w:rsidRPr="00507E05">
        <w:rPr>
          <w:rFonts w:eastAsia="DengXian"/>
          <w:b/>
          <w:bCs/>
          <w:lang w:eastAsia="zh-CN" w:bidi="ar"/>
        </w:rPr>
        <w:t>240).</w:t>
      </w:r>
      <w:r w:rsidR="00AD31E4" w:rsidRPr="00507E05">
        <w:rPr>
          <w:rFonts w:eastAsia="DengXian"/>
          <w:lang w:eastAsia="zh-CN" w:bidi="ar"/>
        </w:rPr>
        <w:t xml:space="preserve"> </w:t>
      </w:r>
      <w:r w:rsidRPr="00507E05">
        <w:rPr>
          <w:rFonts w:eastAsia="DengXian"/>
          <w:lang w:eastAsia="zh-CN" w:bidi="ar"/>
        </w:rPr>
        <w:t>Definition of positivity:</w:t>
      </w:r>
      <w:r w:rsidR="004B6204" w:rsidRPr="00507E05">
        <w:rPr>
          <w:rFonts w:eastAsia="DengXian"/>
          <w:lang w:eastAsia="zh-CN" w:bidi="ar"/>
        </w:rPr>
        <w:t xml:space="preserve"> </w:t>
      </w:r>
      <w:r w:rsidRPr="00507E05">
        <w:rPr>
          <w:rFonts w:eastAsia="DengXian"/>
          <w:lang w:eastAsia="zh-CN" w:bidi="ar"/>
        </w:rPr>
        <w:t>RGT: Visible band on both Control (C) and Test (T) lines</w:t>
      </w:r>
      <w:r w:rsidR="004B6204" w:rsidRPr="00507E05">
        <w:rPr>
          <w:rFonts w:eastAsia="DengXian"/>
          <w:lang w:eastAsia="zh-CN" w:bidi="ar"/>
        </w:rPr>
        <w:t xml:space="preserve">; </w:t>
      </w:r>
      <w:r w:rsidRPr="00507E05">
        <w:rPr>
          <w:rFonts w:eastAsia="DengXian"/>
          <w:lang w:eastAsia="zh-CN" w:bidi="ar"/>
        </w:rPr>
        <w:t>PCR: Cycle threshold (Ct) &lt;35.0 with S-shaped amplification curve.</w:t>
      </w:r>
      <w:r w:rsidR="004B6204" w:rsidRPr="00507E05">
        <w:rPr>
          <w:rFonts w:eastAsia="DengXian"/>
          <w:lang w:eastAsia="zh-CN" w:bidi="ar"/>
        </w:rPr>
        <w:t xml:space="preserve"> </w:t>
      </w:r>
      <w:r w:rsidRPr="00507E05">
        <w:rPr>
          <w:rFonts w:eastAsia="DengXian"/>
          <w:lang w:eastAsia="zh-CN" w:bidi="ar"/>
        </w:rPr>
        <w:t>Statistical analysis:</w:t>
      </w:r>
      <w:r w:rsidR="004B6204" w:rsidRPr="00507E05">
        <w:rPr>
          <w:rFonts w:eastAsia="DengXian"/>
          <w:lang w:eastAsia="zh-CN" w:bidi="ar"/>
        </w:rPr>
        <w:t xml:space="preserve"> </w:t>
      </w:r>
      <w:r w:rsidRPr="00507E05">
        <w:rPr>
          <w:rFonts w:eastAsia="DengXian"/>
          <w:lang w:eastAsia="zh-CN" w:bidi="ar"/>
        </w:rPr>
        <w:t>Sensitivity: 98.57% (69/70, 95% CI: 92.30–99.96</w:t>
      </w:r>
      <w:r w:rsidR="004B6204" w:rsidRPr="00507E05">
        <w:rPr>
          <w:rFonts w:eastAsia="DengXian"/>
          <w:lang w:eastAsia="zh-CN" w:bidi="ar"/>
        </w:rPr>
        <w:t xml:space="preserve">%); </w:t>
      </w:r>
      <w:r w:rsidRPr="00507E05">
        <w:rPr>
          <w:rFonts w:eastAsia="DengXian"/>
          <w:lang w:eastAsia="zh-CN" w:bidi="ar"/>
        </w:rPr>
        <w:t>Specificity: 99.41% (169/170, 95% CI: 96.77–99.99%)</w:t>
      </w:r>
      <w:r w:rsidR="004B6204" w:rsidRPr="00507E05">
        <w:rPr>
          <w:rFonts w:eastAsia="DengXian"/>
          <w:lang w:eastAsia="zh-CN" w:bidi="ar"/>
        </w:rPr>
        <w:t xml:space="preserve">; </w:t>
      </w:r>
      <w:r w:rsidR="00B50884" w:rsidRPr="00507E05">
        <w:rPr>
          <w:rFonts w:eastAsia="DengXian"/>
          <w:lang w:eastAsia="zh-CN" w:bidi="ar"/>
        </w:rPr>
        <w:t xml:space="preserve">Cohen's </w:t>
      </w:r>
      <w:r w:rsidRPr="00507E05">
        <w:rPr>
          <w:rFonts w:eastAsia="DengXian"/>
          <w:lang w:eastAsia="zh-CN" w:bidi="ar"/>
        </w:rPr>
        <w:t>Kappa (κ): 0.980(95% CI: 0.952–1.008), indicating excellent agreement (Landis &amp; Koch criteria: κ &gt;0.80).</w:t>
      </w:r>
      <w:r w:rsidR="004B6204" w:rsidRPr="00507E05">
        <w:rPr>
          <w:rFonts w:eastAsia="DengXian"/>
          <w:lang w:eastAsia="zh-CN" w:bidi="ar"/>
        </w:rPr>
        <w:t xml:space="preserve"> </w:t>
      </w:r>
      <w:r w:rsidRPr="00507E05">
        <w:rPr>
          <w:rFonts w:eastAsia="DengXian"/>
          <w:lang w:eastAsia="zh-CN" w:bidi="ar"/>
        </w:rPr>
        <w:t xml:space="preserve">Error reporting: Confidence intervals calculated using </w:t>
      </w:r>
      <w:r w:rsidR="00B50884" w:rsidRPr="00507E05">
        <w:rPr>
          <w:rFonts w:eastAsia="DengXian"/>
          <w:lang w:eastAsia="zh-CN" w:bidi="ar"/>
        </w:rPr>
        <w:t xml:space="preserve">the </w:t>
      </w:r>
      <w:r w:rsidRPr="00507E05">
        <w:rPr>
          <w:rFonts w:eastAsia="DengXian"/>
          <w:lang w:eastAsia="zh-CN" w:bidi="ar"/>
        </w:rPr>
        <w:t>Wilson score method.</w:t>
      </w:r>
    </w:p>
    <w:p w14:paraId="4644264C" w14:textId="77777777" w:rsidR="00230057" w:rsidRPr="00507E05" w:rsidRDefault="00230057" w:rsidP="00B50884"/>
    <w:p w14:paraId="3F7E174A" w14:textId="3A796726" w:rsidR="00230057" w:rsidRPr="00507E05" w:rsidRDefault="00000000" w:rsidP="00B50884">
      <w:pPr>
        <w:rPr>
          <w:rFonts w:eastAsia="DengXian"/>
          <w:lang w:eastAsia="zh-CN" w:bidi="ar"/>
        </w:rPr>
      </w:pPr>
      <w:r w:rsidRPr="00507E05">
        <w:rPr>
          <w:rFonts w:eastAsia="DengXian"/>
          <w:b/>
          <w:bCs/>
          <w:lang w:eastAsia="zh-CN" w:bidi="ar"/>
        </w:rPr>
        <w:t>Table 5</w:t>
      </w:r>
      <w:r w:rsidR="004B6204" w:rsidRPr="00507E05">
        <w:rPr>
          <w:rFonts w:eastAsia="DengXian"/>
          <w:b/>
          <w:bCs/>
          <w:lang w:eastAsia="zh-CN" w:bidi="ar"/>
        </w:rPr>
        <w:t xml:space="preserve">: </w:t>
      </w:r>
      <w:r w:rsidRPr="00507E05">
        <w:rPr>
          <w:rFonts w:eastAsia="DengXian"/>
          <w:b/>
          <w:bCs/>
          <w:lang w:eastAsia="zh-CN" w:bidi="ar"/>
        </w:rPr>
        <w:t>Comparative analysis of</w:t>
      </w:r>
      <w:r w:rsidRPr="00507E05">
        <w:rPr>
          <w:rStyle w:val="font01"/>
          <w:rFonts w:ascii="Calibri" w:hAnsi="Calibri" w:cs="Calibri" w:hint="default"/>
          <w:color w:val="auto"/>
          <w:sz w:val="24"/>
          <w:szCs w:val="24"/>
          <w:lang w:eastAsia="zh-CN" w:bidi="ar"/>
        </w:rPr>
        <w:t xml:space="preserve"> Chlamydia trachomatis</w:t>
      </w:r>
      <w:r w:rsidRPr="00507E05">
        <w:rPr>
          <w:rFonts w:eastAsia="DengXian"/>
          <w:b/>
          <w:bCs/>
          <w:lang w:eastAsia="zh-CN" w:bidi="ar"/>
        </w:rPr>
        <w:t xml:space="preserve"> (CT) detection between RNA amplification lateral flow assay (RGT) and gene sequencing (n</w:t>
      </w:r>
      <w:r w:rsidR="00AD31E4" w:rsidRPr="00507E05">
        <w:rPr>
          <w:rFonts w:eastAsia="DengXian"/>
          <w:b/>
          <w:bCs/>
          <w:lang w:eastAsia="zh-CN" w:bidi="ar"/>
        </w:rPr>
        <w:t xml:space="preserve"> </w:t>
      </w:r>
      <w:r w:rsidRPr="00507E05">
        <w:rPr>
          <w:rFonts w:eastAsia="DengXian"/>
          <w:b/>
          <w:bCs/>
          <w:lang w:eastAsia="zh-CN" w:bidi="ar"/>
        </w:rPr>
        <w:t>=</w:t>
      </w:r>
      <w:r w:rsidR="00AD31E4" w:rsidRPr="00507E05">
        <w:rPr>
          <w:rFonts w:eastAsia="DengXian"/>
          <w:b/>
          <w:bCs/>
          <w:lang w:eastAsia="zh-CN" w:bidi="ar"/>
        </w:rPr>
        <w:t xml:space="preserve"> </w:t>
      </w:r>
      <w:r w:rsidRPr="00507E05">
        <w:rPr>
          <w:rFonts w:eastAsia="DengXian"/>
          <w:b/>
          <w:bCs/>
          <w:lang w:eastAsia="zh-CN" w:bidi="ar"/>
        </w:rPr>
        <w:t>190).</w:t>
      </w:r>
      <w:r w:rsidR="00AD31E4" w:rsidRPr="00507E05">
        <w:rPr>
          <w:rFonts w:eastAsia="DengXian"/>
          <w:lang w:eastAsia="zh-CN" w:bidi="ar"/>
        </w:rPr>
        <w:t xml:space="preserve"> </w:t>
      </w:r>
      <w:r w:rsidRPr="00507E05">
        <w:rPr>
          <w:rFonts w:eastAsia="DengXian"/>
          <w:lang w:eastAsia="zh-CN" w:bidi="ar"/>
        </w:rPr>
        <w:t>Definition of positivity:</w:t>
      </w:r>
      <w:r w:rsidR="004B6204" w:rsidRPr="00507E05">
        <w:rPr>
          <w:rFonts w:eastAsia="DengXian"/>
          <w:lang w:eastAsia="zh-CN" w:bidi="ar"/>
        </w:rPr>
        <w:t xml:space="preserve"> </w:t>
      </w:r>
      <w:r w:rsidRPr="00507E05">
        <w:rPr>
          <w:rFonts w:eastAsia="DengXian"/>
          <w:lang w:eastAsia="zh-CN" w:bidi="ar"/>
        </w:rPr>
        <w:t>RGT: Visible band on both Control (C) and Test (T) lines</w:t>
      </w:r>
      <w:r w:rsidR="004B6204" w:rsidRPr="00507E05">
        <w:rPr>
          <w:rFonts w:eastAsia="DengXian"/>
          <w:lang w:eastAsia="zh-CN" w:bidi="ar"/>
        </w:rPr>
        <w:t xml:space="preserve">; </w:t>
      </w:r>
      <w:r w:rsidRPr="00507E05">
        <w:rPr>
          <w:rFonts w:eastAsia="DengXian"/>
          <w:lang w:eastAsia="zh-CN" w:bidi="ar"/>
        </w:rPr>
        <w:t>PCR: Cycle threshold (Ct) &lt;35.0 with S-shaped amplification curve.</w:t>
      </w:r>
      <w:r w:rsidR="004B6204" w:rsidRPr="00507E05">
        <w:rPr>
          <w:rFonts w:eastAsia="DengXian"/>
          <w:lang w:eastAsia="zh-CN" w:bidi="ar"/>
        </w:rPr>
        <w:t xml:space="preserve"> </w:t>
      </w:r>
      <w:r w:rsidRPr="00507E05">
        <w:rPr>
          <w:rFonts w:eastAsia="DengXian"/>
          <w:lang w:eastAsia="zh-CN" w:bidi="ar"/>
        </w:rPr>
        <w:t>Statistical analysis:</w:t>
      </w:r>
      <w:r w:rsidR="004B6204" w:rsidRPr="00507E05">
        <w:rPr>
          <w:rFonts w:eastAsia="DengXian"/>
          <w:lang w:eastAsia="zh-CN" w:bidi="ar"/>
        </w:rPr>
        <w:t xml:space="preserve"> </w:t>
      </w:r>
      <w:r w:rsidRPr="00507E05">
        <w:rPr>
          <w:rFonts w:eastAsia="DengXian"/>
          <w:lang w:eastAsia="zh-CN" w:bidi="ar"/>
        </w:rPr>
        <w:t>Sensitivity: 100.00% (63/63, 95% CI: 94.31–</w:t>
      </w:r>
      <w:r w:rsidRPr="00507E05">
        <w:rPr>
          <w:rFonts w:eastAsia="DengXian"/>
          <w:lang w:eastAsia="zh-CN" w:bidi="ar"/>
        </w:rPr>
        <w:lastRenderedPageBreak/>
        <w:t>100.00</w:t>
      </w:r>
      <w:r w:rsidR="004B6204" w:rsidRPr="00507E05">
        <w:rPr>
          <w:rFonts w:eastAsia="DengXian"/>
          <w:lang w:eastAsia="zh-CN" w:bidi="ar"/>
        </w:rPr>
        <w:t xml:space="preserve">%); </w:t>
      </w:r>
      <w:r w:rsidRPr="00507E05">
        <w:rPr>
          <w:rFonts w:eastAsia="DengXian"/>
          <w:lang w:eastAsia="zh-CN" w:bidi="ar"/>
        </w:rPr>
        <w:t>Specificity: 98.43% (125/127, 95% CI: 94.43–99.81%)</w:t>
      </w:r>
      <w:r w:rsidR="004B6204" w:rsidRPr="00507E05">
        <w:rPr>
          <w:rFonts w:eastAsia="DengXian"/>
          <w:lang w:eastAsia="zh-CN" w:bidi="ar"/>
        </w:rPr>
        <w:t xml:space="preserve">; </w:t>
      </w:r>
      <w:r w:rsidR="00B50884" w:rsidRPr="00507E05">
        <w:rPr>
          <w:rFonts w:eastAsia="DengXian"/>
          <w:lang w:eastAsia="zh-CN" w:bidi="ar"/>
        </w:rPr>
        <w:t xml:space="preserve">Cohen's </w:t>
      </w:r>
      <w:r w:rsidRPr="00507E05">
        <w:rPr>
          <w:rFonts w:eastAsia="DengXian"/>
          <w:lang w:eastAsia="zh-CN" w:bidi="ar"/>
        </w:rPr>
        <w:t>Kappa (κ): 0.976 (95% CI: 0.944–1.009), indicating excellent agreement (Landis &amp; Koch criteria: κ &gt;0.80).</w:t>
      </w:r>
      <w:r w:rsidR="004B6204" w:rsidRPr="00507E05">
        <w:rPr>
          <w:rFonts w:eastAsia="DengXian"/>
          <w:lang w:eastAsia="zh-CN" w:bidi="ar"/>
        </w:rPr>
        <w:t xml:space="preserve"> </w:t>
      </w:r>
      <w:r w:rsidRPr="00507E05">
        <w:rPr>
          <w:rFonts w:eastAsia="DengXian"/>
          <w:lang w:eastAsia="zh-CN" w:bidi="ar"/>
        </w:rPr>
        <w:t xml:space="preserve">Error reporting: Confidence intervals calculated using </w:t>
      </w:r>
      <w:r w:rsidR="00B50884" w:rsidRPr="00507E05">
        <w:rPr>
          <w:rFonts w:eastAsia="DengXian"/>
          <w:lang w:eastAsia="zh-CN" w:bidi="ar"/>
        </w:rPr>
        <w:t xml:space="preserve">the </w:t>
      </w:r>
      <w:r w:rsidRPr="00507E05">
        <w:rPr>
          <w:rFonts w:eastAsia="DengXian"/>
          <w:lang w:eastAsia="zh-CN" w:bidi="ar"/>
        </w:rPr>
        <w:t>Wilson score method.</w:t>
      </w:r>
    </w:p>
    <w:p w14:paraId="63503804" w14:textId="77777777" w:rsidR="00230057" w:rsidRPr="00507E05" w:rsidRDefault="00230057" w:rsidP="00B50884">
      <w:pPr>
        <w:rPr>
          <w:rFonts w:eastAsia="DengXian"/>
          <w:lang w:eastAsia="zh-CN" w:bidi="ar"/>
        </w:rPr>
      </w:pPr>
    </w:p>
    <w:p w14:paraId="1781CBE5" w14:textId="5E76FD16" w:rsidR="00230057" w:rsidRPr="00507E05" w:rsidRDefault="00000000" w:rsidP="00B50884">
      <w:pPr>
        <w:rPr>
          <w:rFonts w:eastAsia="DengXian"/>
          <w:b/>
          <w:bCs/>
          <w:lang w:eastAsia="zh-CN" w:bidi="ar"/>
        </w:rPr>
      </w:pPr>
      <w:r w:rsidRPr="00507E05">
        <w:rPr>
          <w:rFonts w:eastAsia="DengXian"/>
          <w:b/>
          <w:bCs/>
          <w:lang w:eastAsia="zh-CN" w:bidi="ar"/>
        </w:rPr>
        <w:t>Table 6</w:t>
      </w:r>
      <w:r w:rsidR="004B6204" w:rsidRPr="00507E05">
        <w:rPr>
          <w:rFonts w:eastAsia="DengXian"/>
          <w:b/>
          <w:bCs/>
          <w:lang w:eastAsia="zh-CN" w:bidi="ar"/>
        </w:rPr>
        <w:t xml:space="preserve">: </w:t>
      </w:r>
      <w:r w:rsidRPr="00507E05">
        <w:rPr>
          <w:rFonts w:eastAsia="DengXian"/>
          <w:b/>
          <w:bCs/>
          <w:lang w:eastAsia="zh-CN" w:bidi="ar"/>
        </w:rPr>
        <w:t xml:space="preserve">Comparative analysis of </w:t>
      </w:r>
      <w:r w:rsidRPr="00507E05">
        <w:rPr>
          <w:rFonts w:eastAsia="DengXian"/>
          <w:b/>
          <w:bCs/>
          <w:i/>
          <w:iCs/>
          <w:lang w:eastAsia="zh-CN" w:bidi="ar"/>
        </w:rPr>
        <w:t>Ureaplasma urealyticum</w:t>
      </w:r>
      <w:r w:rsidRPr="00507E05">
        <w:rPr>
          <w:rFonts w:eastAsia="DengXian"/>
          <w:b/>
          <w:bCs/>
          <w:lang w:eastAsia="zh-CN" w:bidi="ar"/>
        </w:rPr>
        <w:t xml:space="preserve"> (UU) detection between RNA amplification lateral flow assay (RGT) and gene sequencing (n</w:t>
      </w:r>
      <w:r w:rsidR="00AD31E4" w:rsidRPr="00507E05">
        <w:rPr>
          <w:rFonts w:eastAsia="DengXian"/>
          <w:b/>
          <w:bCs/>
          <w:lang w:eastAsia="zh-CN" w:bidi="ar"/>
        </w:rPr>
        <w:t xml:space="preserve"> </w:t>
      </w:r>
      <w:r w:rsidRPr="00507E05">
        <w:rPr>
          <w:rFonts w:eastAsia="DengXian"/>
          <w:b/>
          <w:bCs/>
          <w:lang w:eastAsia="zh-CN" w:bidi="ar"/>
        </w:rPr>
        <w:t>=</w:t>
      </w:r>
      <w:r w:rsidR="00AD31E4" w:rsidRPr="00507E05">
        <w:rPr>
          <w:rFonts w:eastAsia="DengXian"/>
          <w:b/>
          <w:bCs/>
          <w:lang w:eastAsia="zh-CN" w:bidi="ar"/>
        </w:rPr>
        <w:t xml:space="preserve"> </w:t>
      </w:r>
      <w:r w:rsidRPr="00507E05">
        <w:rPr>
          <w:rFonts w:eastAsia="DengXian"/>
          <w:b/>
          <w:bCs/>
          <w:lang w:eastAsia="zh-CN" w:bidi="ar"/>
        </w:rPr>
        <w:t>176).</w:t>
      </w:r>
      <w:r w:rsidR="00AD31E4" w:rsidRPr="00507E05">
        <w:rPr>
          <w:rFonts w:eastAsia="DengXian"/>
          <w:b/>
          <w:bCs/>
          <w:lang w:eastAsia="zh-CN" w:bidi="ar"/>
        </w:rPr>
        <w:t xml:space="preserve"> </w:t>
      </w:r>
      <w:r w:rsidRPr="00507E05">
        <w:rPr>
          <w:rFonts w:eastAsia="DengXian"/>
          <w:lang w:eastAsia="zh-CN" w:bidi="ar"/>
        </w:rPr>
        <w:t>Definition of positivity:</w:t>
      </w:r>
      <w:r w:rsidR="004B6204" w:rsidRPr="00507E05">
        <w:rPr>
          <w:rFonts w:eastAsia="DengXian"/>
          <w:lang w:eastAsia="zh-CN" w:bidi="ar"/>
        </w:rPr>
        <w:t xml:space="preserve"> </w:t>
      </w:r>
      <w:r w:rsidRPr="00507E05">
        <w:rPr>
          <w:rFonts w:eastAsia="DengXian"/>
          <w:lang w:eastAsia="zh-CN" w:bidi="ar"/>
        </w:rPr>
        <w:t>RGT: Visible band on both Control (C) and Test (T) lines</w:t>
      </w:r>
      <w:r w:rsidR="004B6204" w:rsidRPr="00507E05">
        <w:rPr>
          <w:rFonts w:eastAsia="DengXian"/>
          <w:lang w:eastAsia="zh-CN" w:bidi="ar"/>
        </w:rPr>
        <w:t xml:space="preserve">; </w:t>
      </w:r>
      <w:r w:rsidRPr="00507E05">
        <w:rPr>
          <w:rFonts w:eastAsia="DengXian"/>
          <w:lang w:eastAsia="zh-CN" w:bidi="ar"/>
        </w:rPr>
        <w:t>PCR: Cycle threshold (Ct) &lt;35.0 with S-shaped amplification curve.</w:t>
      </w:r>
      <w:r w:rsidR="004B6204" w:rsidRPr="00507E05">
        <w:rPr>
          <w:rFonts w:eastAsia="DengXian"/>
          <w:lang w:eastAsia="zh-CN" w:bidi="ar"/>
        </w:rPr>
        <w:t xml:space="preserve"> </w:t>
      </w:r>
      <w:r w:rsidRPr="00507E05">
        <w:rPr>
          <w:rFonts w:eastAsia="DengXian"/>
          <w:lang w:eastAsia="zh-CN" w:bidi="ar"/>
        </w:rPr>
        <w:t>Statistical analysis:</w:t>
      </w:r>
      <w:r w:rsidR="004B6204" w:rsidRPr="00507E05">
        <w:rPr>
          <w:rFonts w:eastAsia="DengXian"/>
          <w:lang w:eastAsia="zh-CN" w:bidi="ar"/>
        </w:rPr>
        <w:t xml:space="preserve"> </w:t>
      </w:r>
      <w:r w:rsidRPr="00507E05">
        <w:rPr>
          <w:rFonts w:eastAsia="DengXian"/>
          <w:lang w:eastAsia="zh-CN" w:bidi="ar"/>
        </w:rPr>
        <w:t>Sensitivity: 98.70% (76/77, 95% CI: 92.98–99.97%)</w:t>
      </w:r>
      <w:r w:rsidR="004B6204" w:rsidRPr="00507E05">
        <w:rPr>
          <w:rFonts w:eastAsia="DengXian"/>
          <w:lang w:eastAsia="zh-CN" w:bidi="ar"/>
        </w:rPr>
        <w:t xml:space="preserve">; </w:t>
      </w:r>
      <w:r w:rsidRPr="00507E05">
        <w:rPr>
          <w:rFonts w:eastAsia="DengXian"/>
          <w:lang w:eastAsia="zh-CN" w:bidi="ar"/>
        </w:rPr>
        <w:t>Specificity: 97.98% (97/99, 95% CI: 92.89–99.75%)</w:t>
      </w:r>
      <w:r w:rsidR="004B6204" w:rsidRPr="00507E05">
        <w:rPr>
          <w:rFonts w:eastAsia="DengXian"/>
          <w:lang w:eastAsia="zh-CN" w:bidi="ar"/>
        </w:rPr>
        <w:t xml:space="preserve">; </w:t>
      </w:r>
      <w:r w:rsidR="00B50884" w:rsidRPr="00507E05">
        <w:rPr>
          <w:rFonts w:eastAsia="DengXian"/>
          <w:lang w:eastAsia="zh-CN" w:bidi="ar"/>
        </w:rPr>
        <w:t xml:space="preserve">Cohen's </w:t>
      </w:r>
      <w:r w:rsidRPr="00507E05">
        <w:rPr>
          <w:rFonts w:eastAsia="DengXian"/>
          <w:lang w:eastAsia="zh-CN" w:bidi="ar"/>
        </w:rPr>
        <w:t>Kappa (κ): 0.965 (95% CI: 0.927–1.004), indicating excellent agreement (Landis &amp; Koch criteria: κ &gt;0.80).</w:t>
      </w:r>
      <w:r w:rsidR="004B6204" w:rsidRPr="00507E05">
        <w:rPr>
          <w:rFonts w:eastAsia="DengXian"/>
          <w:lang w:eastAsia="zh-CN" w:bidi="ar"/>
        </w:rPr>
        <w:t xml:space="preserve"> </w:t>
      </w:r>
      <w:r w:rsidRPr="00507E05">
        <w:rPr>
          <w:rFonts w:eastAsia="DengXian"/>
          <w:lang w:eastAsia="zh-CN" w:bidi="ar"/>
        </w:rPr>
        <w:t xml:space="preserve">Error reporting: Confidence intervals calculated using </w:t>
      </w:r>
      <w:r w:rsidR="00B50884" w:rsidRPr="00507E05">
        <w:rPr>
          <w:rFonts w:eastAsia="DengXian"/>
          <w:lang w:eastAsia="zh-CN" w:bidi="ar"/>
        </w:rPr>
        <w:t xml:space="preserve">the </w:t>
      </w:r>
      <w:r w:rsidRPr="00507E05">
        <w:rPr>
          <w:rFonts w:eastAsia="DengXian"/>
          <w:lang w:eastAsia="zh-CN" w:bidi="ar"/>
        </w:rPr>
        <w:t>Wilson score method.</w:t>
      </w:r>
    </w:p>
    <w:p w14:paraId="6977CCE2" w14:textId="77777777" w:rsidR="00230057" w:rsidRPr="00507E05" w:rsidRDefault="00230057" w:rsidP="00B50884">
      <w:pPr>
        <w:rPr>
          <w:rFonts w:eastAsia="DengXian"/>
          <w:b/>
          <w:bCs/>
          <w:lang w:eastAsia="zh-CN" w:bidi="ar"/>
        </w:rPr>
      </w:pPr>
    </w:p>
    <w:p w14:paraId="3AD630FF" w14:textId="40481662" w:rsidR="00230057" w:rsidRPr="00507E05" w:rsidRDefault="00000000" w:rsidP="00B50884">
      <w:pPr>
        <w:rPr>
          <w:rFonts w:eastAsia="DengXian"/>
          <w:lang w:eastAsia="zh-CN" w:bidi="ar"/>
        </w:rPr>
      </w:pPr>
      <w:r w:rsidRPr="00507E05">
        <w:rPr>
          <w:rFonts w:eastAsia="DengXian"/>
          <w:b/>
          <w:bCs/>
          <w:lang w:eastAsia="zh-CN" w:bidi="ar"/>
        </w:rPr>
        <w:t>Supplementa</w:t>
      </w:r>
      <w:r w:rsidR="006F0D0C" w:rsidRPr="00507E05">
        <w:rPr>
          <w:rFonts w:eastAsia="DengXian"/>
          <w:b/>
          <w:bCs/>
          <w:lang w:eastAsia="zh-CN" w:bidi="ar"/>
        </w:rPr>
        <w:t>ry</w:t>
      </w:r>
      <w:r w:rsidRPr="00507E05">
        <w:rPr>
          <w:rFonts w:eastAsia="DengXian"/>
          <w:b/>
          <w:bCs/>
          <w:lang w:eastAsia="zh-CN" w:bidi="ar"/>
        </w:rPr>
        <w:t xml:space="preserve"> Table 1</w:t>
      </w:r>
      <w:r w:rsidR="006F0D0C" w:rsidRPr="00507E05">
        <w:rPr>
          <w:rFonts w:eastAsia="DengXian"/>
          <w:b/>
          <w:bCs/>
          <w:lang w:eastAsia="zh-CN" w:bidi="ar"/>
        </w:rPr>
        <w:t>:</w:t>
      </w:r>
      <w:r w:rsidRPr="00507E05">
        <w:rPr>
          <w:rFonts w:eastAsia="DengXian"/>
          <w:b/>
          <w:bCs/>
          <w:lang w:eastAsia="zh-CN" w:bidi="ar"/>
        </w:rPr>
        <w:t xml:space="preserve"> Distribution of clinical samples analyzed by RNA amplification lateral flow assay (RGT) compared to reference methods, stratified by pathogen and sex.</w:t>
      </w:r>
      <w:r w:rsidR="00AD31E4" w:rsidRPr="00507E05">
        <w:rPr>
          <w:rFonts w:eastAsia="DengXian"/>
          <w:b/>
          <w:bCs/>
          <w:lang w:eastAsia="zh-CN" w:bidi="ar"/>
        </w:rPr>
        <w:t xml:space="preserve"> </w:t>
      </w:r>
      <w:r w:rsidRPr="00507E05">
        <w:rPr>
          <w:rFonts w:eastAsia="DengXian"/>
          <w:lang w:eastAsia="zh-CN" w:bidi="ar"/>
        </w:rPr>
        <w:t>Abbreviations:</w:t>
      </w:r>
      <w:r w:rsidR="004B6204" w:rsidRPr="00507E05">
        <w:rPr>
          <w:rFonts w:eastAsia="DengXian"/>
          <w:lang w:eastAsia="zh-CN" w:bidi="ar"/>
        </w:rPr>
        <w:t xml:space="preserve"> </w:t>
      </w:r>
      <w:r w:rsidRPr="00507E05">
        <w:rPr>
          <w:rFonts w:eastAsia="DengXian"/>
          <w:lang w:eastAsia="zh-CN" w:bidi="ar"/>
        </w:rPr>
        <w:t>RGT: RNA amplification lateral flow assay</w:t>
      </w:r>
      <w:r w:rsidR="00AD31E4" w:rsidRPr="00507E05">
        <w:rPr>
          <w:rFonts w:eastAsia="DengXian"/>
          <w:lang w:eastAsia="zh-CN" w:bidi="ar"/>
        </w:rPr>
        <w:t xml:space="preserve">; </w:t>
      </w:r>
      <w:r w:rsidRPr="00507E05">
        <w:rPr>
          <w:rFonts w:eastAsia="DengXian"/>
          <w:lang w:eastAsia="zh-CN" w:bidi="ar"/>
        </w:rPr>
        <w:t>NG: </w:t>
      </w:r>
      <w:r w:rsidRPr="00507E05">
        <w:rPr>
          <w:rFonts w:eastAsia="DengXian"/>
          <w:i/>
          <w:iCs/>
          <w:lang w:eastAsia="zh-CN" w:bidi="ar"/>
        </w:rPr>
        <w:t>Neisseria gonorrhoeae</w:t>
      </w:r>
      <w:r w:rsidRPr="00507E05">
        <w:rPr>
          <w:rFonts w:eastAsia="DengXian"/>
          <w:lang w:eastAsia="zh-CN" w:bidi="ar"/>
        </w:rPr>
        <w:t>; CT: </w:t>
      </w:r>
      <w:r w:rsidRPr="00507E05">
        <w:rPr>
          <w:rFonts w:eastAsia="DengXian"/>
          <w:i/>
          <w:iCs/>
          <w:lang w:eastAsia="zh-CN" w:bidi="ar"/>
        </w:rPr>
        <w:t>Chlamydia trachomatis</w:t>
      </w:r>
      <w:r w:rsidRPr="00507E05">
        <w:rPr>
          <w:rFonts w:eastAsia="DengXian"/>
          <w:lang w:eastAsia="zh-CN" w:bidi="ar"/>
        </w:rPr>
        <w:t>; UU: </w:t>
      </w:r>
      <w:r w:rsidRPr="00507E05">
        <w:rPr>
          <w:rFonts w:eastAsia="DengXian"/>
          <w:i/>
          <w:iCs/>
          <w:lang w:eastAsia="zh-CN" w:bidi="ar"/>
        </w:rPr>
        <w:t>Ureaplasma urealyticum</w:t>
      </w:r>
      <w:r w:rsidRPr="00507E05">
        <w:rPr>
          <w:rFonts w:eastAsia="DengXian"/>
          <w:lang w:eastAsia="zh-CN" w:bidi="ar"/>
        </w:rPr>
        <w:t>.</w:t>
      </w:r>
      <w:r w:rsidR="00AD31E4" w:rsidRPr="00507E05">
        <w:rPr>
          <w:rFonts w:eastAsia="DengXian"/>
          <w:lang w:eastAsia="zh-CN" w:bidi="ar"/>
        </w:rPr>
        <w:t xml:space="preserve"> </w:t>
      </w:r>
      <w:r w:rsidRPr="00507E05">
        <w:rPr>
          <w:rFonts w:eastAsia="DengXian"/>
          <w:lang w:eastAsia="zh-CN" w:bidi="ar"/>
        </w:rPr>
        <w:t>Sample criteria:</w:t>
      </w:r>
      <w:r w:rsidR="00AD31E4" w:rsidRPr="00507E05">
        <w:rPr>
          <w:rFonts w:eastAsia="DengXian"/>
          <w:lang w:eastAsia="zh-CN" w:bidi="ar"/>
        </w:rPr>
        <w:t xml:space="preserve"> </w:t>
      </w:r>
      <w:r w:rsidRPr="00507E05">
        <w:rPr>
          <w:rFonts w:eastAsia="DengXian"/>
          <w:lang w:eastAsia="zh-CN" w:bidi="ar"/>
        </w:rPr>
        <w:t>All specimens were collected from patients clinically suspected of sexually transmitted infections (STIs) who had not received antibiotic therapy within 14 days prior to sampling.</w:t>
      </w:r>
      <w:r w:rsidR="00AD31E4" w:rsidRPr="00507E05">
        <w:rPr>
          <w:rFonts w:eastAsia="DengXian"/>
          <w:lang w:eastAsia="zh-CN" w:bidi="ar"/>
        </w:rPr>
        <w:t xml:space="preserve"> </w:t>
      </w:r>
      <w:r w:rsidRPr="00507E05">
        <w:rPr>
          <w:rFonts w:eastAsia="DengXian"/>
          <w:lang w:eastAsia="zh-CN" w:bidi="ar"/>
        </w:rPr>
        <w:t>Sex distribution:</w:t>
      </w:r>
      <w:r w:rsidR="00AD31E4" w:rsidRPr="00507E05">
        <w:rPr>
          <w:rFonts w:eastAsia="DengXian"/>
          <w:lang w:eastAsia="zh-CN" w:bidi="ar"/>
        </w:rPr>
        <w:t xml:space="preserve"> </w:t>
      </w:r>
      <w:r w:rsidRPr="00507E05">
        <w:rPr>
          <w:rFonts w:eastAsia="DengXian"/>
          <w:lang w:eastAsia="zh-CN" w:bidi="ar"/>
        </w:rPr>
        <w:t>Female: 50.6% (716/1,416); Male: 49.4% (700/1,416).</w:t>
      </w:r>
      <w:r w:rsidR="00AD31E4" w:rsidRPr="00507E05">
        <w:rPr>
          <w:rFonts w:eastAsia="DengXian"/>
          <w:lang w:eastAsia="zh-CN" w:bidi="ar"/>
        </w:rPr>
        <w:t xml:space="preserve"> </w:t>
      </w:r>
      <w:r w:rsidRPr="00507E05">
        <w:rPr>
          <w:rFonts w:eastAsia="DengXian"/>
          <w:lang w:eastAsia="zh-CN" w:bidi="ar"/>
        </w:rPr>
        <w:t>Reference method details:</w:t>
      </w:r>
      <w:r w:rsidR="00AD31E4" w:rsidRPr="00507E05">
        <w:rPr>
          <w:rFonts w:eastAsia="DengXian"/>
          <w:lang w:eastAsia="zh-CN" w:bidi="ar"/>
        </w:rPr>
        <w:t xml:space="preserve"> </w:t>
      </w:r>
      <w:r w:rsidRPr="00507E05">
        <w:rPr>
          <w:rFonts w:eastAsia="DengXian"/>
          <w:lang w:eastAsia="zh-CN" w:bidi="ar"/>
        </w:rPr>
        <w:t>PCR positivity threshold: Cycle threshold (Ct) &lt;35.0.</w:t>
      </w:r>
      <w:r w:rsidR="00AD31E4" w:rsidRPr="00507E05">
        <w:rPr>
          <w:rFonts w:eastAsia="DengXian"/>
          <w:lang w:eastAsia="zh-CN" w:bidi="ar"/>
        </w:rPr>
        <w:t xml:space="preserve"> </w:t>
      </w:r>
      <w:r w:rsidRPr="00507E05">
        <w:rPr>
          <w:rFonts w:eastAsia="DengXian"/>
          <w:lang w:eastAsia="zh-CN" w:bidi="ar"/>
        </w:rPr>
        <w:t>Pathogen isolation culture: Performed adher</w:t>
      </w:r>
      <w:r w:rsidR="00B50884" w:rsidRPr="00507E05">
        <w:rPr>
          <w:rFonts w:eastAsia="DengXian"/>
          <w:lang w:eastAsia="zh-CN" w:bidi="ar"/>
        </w:rPr>
        <w:t>enc</w:t>
      </w:r>
      <w:r w:rsidRPr="00507E05">
        <w:rPr>
          <w:rFonts w:eastAsia="DengXian"/>
          <w:lang w:eastAsia="zh-CN" w:bidi="ar"/>
        </w:rPr>
        <w:t>e to the specified culture protocols or guidelines for distinct pathogens.</w:t>
      </w:r>
    </w:p>
    <w:p w14:paraId="2D643535" w14:textId="77777777" w:rsidR="006F0D0C" w:rsidRPr="00507E05" w:rsidRDefault="006F0D0C" w:rsidP="00B50884">
      <w:pPr>
        <w:rPr>
          <w:rFonts w:eastAsia="DengXian"/>
          <w:lang w:eastAsia="zh-CN" w:bidi="ar"/>
        </w:rPr>
      </w:pPr>
    </w:p>
    <w:p w14:paraId="40F76724" w14:textId="3D390168" w:rsidR="006F0D0C" w:rsidRPr="00507E05" w:rsidRDefault="006F0D0C" w:rsidP="00800414">
      <w:pPr>
        <w:rPr>
          <w:rFonts w:eastAsia="DengXian"/>
          <w:b/>
          <w:lang w:eastAsia="zh-CN" w:bidi="ar"/>
        </w:rPr>
      </w:pPr>
      <w:r w:rsidRPr="00507E05">
        <w:rPr>
          <w:rFonts w:eastAsia="DengXian"/>
          <w:b/>
          <w:lang w:eastAsia="zh-CN" w:bidi="ar"/>
        </w:rPr>
        <w:t xml:space="preserve">Supplementary Table 2: </w:t>
      </w:r>
      <w:r w:rsidRPr="00507E05">
        <w:rPr>
          <w:rFonts w:eastAsia="SimSun"/>
          <w:b/>
          <w:lang w:eastAsia="zh-CN"/>
        </w:rPr>
        <w:t>Reagents of NG nucleic acid assay</w:t>
      </w:r>
    </w:p>
    <w:p w14:paraId="74926C3A" w14:textId="77777777" w:rsidR="006F0D0C" w:rsidRPr="00507E05" w:rsidRDefault="006F0D0C" w:rsidP="00800414">
      <w:pPr>
        <w:rPr>
          <w:rFonts w:eastAsia="DengXian"/>
          <w:b/>
          <w:lang w:eastAsia="zh-CN" w:bidi="ar"/>
        </w:rPr>
      </w:pPr>
    </w:p>
    <w:p w14:paraId="2386A877" w14:textId="12D0B26C" w:rsidR="006F0D0C" w:rsidRPr="00507E05" w:rsidRDefault="006F0D0C" w:rsidP="00800414">
      <w:pPr>
        <w:rPr>
          <w:rFonts w:eastAsia="DengXian"/>
          <w:b/>
          <w:lang w:eastAsia="zh-CN" w:bidi="ar"/>
        </w:rPr>
      </w:pPr>
      <w:r w:rsidRPr="00507E05">
        <w:rPr>
          <w:rFonts w:eastAsia="DengXian"/>
          <w:b/>
          <w:lang w:eastAsia="zh-CN" w:bidi="ar"/>
        </w:rPr>
        <w:t xml:space="preserve">Supplementary Table 3: </w:t>
      </w:r>
      <w:r w:rsidRPr="00507E05">
        <w:rPr>
          <w:rFonts w:eastAsia="SimSun"/>
          <w:b/>
          <w:lang w:eastAsia="zh-CN"/>
        </w:rPr>
        <w:t>Reagents of CT nucleic acid assay.</w:t>
      </w:r>
    </w:p>
    <w:p w14:paraId="6EB8841D" w14:textId="3402B307" w:rsidR="006F0D0C" w:rsidRPr="00507E05" w:rsidRDefault="006F0D0C" w:rsidP="00800414">
      <w:pPr>
        <w:rPr>
          <w:rFonts w:eastAsia="DengXian"/>
          <w:b/>
          <w:lang w:eastAsia="zh-CN" w:bidi="ar"/>
        </w:rPr>
      </w:pPr>
    </w:p>
    <w:p w14:paraId="77C0BAEE" w14:textId="6506A945" w:rsidR="006F0D0C" w:rsidRPr="00507E05" w:rsidRDefault="006F0D0C" w:rsidP="00800414">
      <w:pPr>
        <w:rPr>
          <w:b/>
          <w:lang w:eastAsia="zh-CN"/>
        </w:rPr>
      </w:pPr>
      <w:r w:rsidRPr="00507E05">
        <w:rPr>
          <w:rFonts w:eastAsia="DengXian"/>
          <w:b/>
          <w:lang w:eastAsia="zh-CN" w:bidi="ar"/>
        </w:rPr>
        <w:t xml:space="preserve">Supplementary Table 4: </w:t>
      </w:r>
      <w:r w:rsidRPr="00507E05">
        <w:rPr>
          <w:rFonts w:eastAsia="SimSun"/>
          <w:b/>
          <w:lang w:eastAsia="zh-CN"/>
        </w:rPr>
        <w:t>Reagents of UU nucleic acid assay.</w:t>
      </w:r>
    </w:p>
    <w:p w14:paraId="4BBFEB1D" w14:textId="2F857E63" w:rsidR="006F0D0C" w:rsidRPr="00507E05" w:rsidRDefault="006F0D0C" w:rsidP="00800414">
      <w:pPr>
        <w:rPr>
          <w:rFonts w:eastAsia="SimSun"/>
          <w:b/>
          <w:highlight w:val="yellow"/>
          <w:lang w:eastAsia="zh-CN"/>
        </w:rPr>
      </w:pPr>
    </w:p>
    <w:p w14:paraId="2225AE9E" w14:textId="15D81E7E" w:rsidR="006F0D0C" w:rsidRPr="00507E05" w:rsidRDefault="00B50884" w:rsidP="00800414">
      <w:pPr>
        <w:rPr>
          <w:rFonts w:eastAsia="SimSun"/>
          <w:bCs/>
          <w:lang w:eastAsia="zh-CN"/>
        </w:rPr>
      </w:pPr>
      <w:r w:rsidRPr="00507E05">
        <w:rPr>
          <w:rFonts w:eastAsia="SimSun"/>
          <w:b/>
          <w:lang w:eastAsia="zh-CN"/>
        </w:rPr>
        <w:t xml:space="preserve">Supplementary </w:t>
      </w:r>
      <w:r w:rsidR="006F0D0C" w:rsidRPr="00507E05">
        <w:rPr>
          <w:rFonts w:eastAsia="SimSun"/>
          <w:b/>
          <w:lang w:eastAsia="zh-CN"/>
        </w:rPr>
        <w:t xml:space="preserve">Table 5: Interpretation matrix for RGT result interpretation. </w:t>
      </w:r>
      <w:r w:rsidR="006F0D0C" w:rsidRPr="00507E05">
        <w:rPr>
          <w:rFonts w:eastAsia="SimSun"/>
          <w:bCs/>
          <w:lang w:eastAsia="zh-CN"/>
        </w:rPr>
        <w:t>C-line: Nitrocellulose-immobilized IgG control; N-line: 18S rRNA internal control probe; T-line: Pathogen-specific RNA detection probe; +: Visible band; -: No band.</w:t>
      </w:r>
    </w:p>
    <w:p w14:paraId="34799C10" w14:textId="1AA89B4D" w:rsidR="00230057" w:rsidRPr="00507E05" w:rsidRDefault="00230057" w:rsidP="00800414">
      <w:pPr>
        <w:rPr>
          <w:rFonts w:eastAsia="SimSun"/>
          <w:b/>
          <w:lang w:eastAsia="zh-CN"/>
        </w:rPr>
      </w:pPr>
    </w:p>
    <w:p w14:paraId="3864E06A" w14:textId="77777777" w:rsidR="00230057" w:rsidRPr="00507E05" w:rsidRDefault="00000000" w:rsidP="00800414">
      <w:pPr>
        <w:rPr>
          <w:b/>
        </w:rPr>
      </w:pPr>
      <w:r w:rsidRPr="00507E05">
        <w:rPr>
          <w:b/>
        </w:rPr>
        <w:t xml:space="preserve">DISCUSSION: </w:t>
      </w:r>
    </w:p>
    <w:p w14:paraId="11020ABE" w14:textId="1F169806" w:rsidR="00230057" w:rsidRPr="00507E05" w:rsidRDefault="00000000" w:rsidP="00800414">
      <w:pPr>
        <w:rPr>
          <w:rFonts w:eastAsia="SimSun"/>
          <w:bCs/>
          <w:lang w:eastAsia="zh-CN"/>
        </w:rPr>
      </w:pPr>
      <w:r w:rsidRPr="00507E05">
        <w:rPr>
          <w:rFonts w:eastAsia="SimSun"/>
          <w:bCs/>
          <w:lang w:eastAsia="zh-CN"/>
        </w:rPr>
        <w:t>In this study, RGT was employed to detect STI pathogens, including NG, CT, and UU. When performed under stringent operational protocols, the RGT assay demonstrated strong concordance with established diagnostic methods such as PCR fluorescence probing, gene sequencing, and pathogen isolation culture techniques. The sensitivity and specificity of the RGT assay were comparable to or exceeded those of previously reported methodologies, as evidenced by comparative analyses with established benchmarks</w:t>
      </w:r>
      <w:r w:rsidRPr="00507E05">
        <w:rPr>
          <w:rFonts w:eastAsia="SimSun"/>
          <w:bCs/>
          <w:vertAlign w:val="superscript"/>
          <w:lang w:eastAsia="zh-CN"/>
        </w:rPr>
        <w:t>10,11</w:t>
      </w:r>
      <w:r w:rsidRPr="00507E05">
        <w:rPr>
          <w:rFonts w:eastAsia="SimSun"/>
          <w:bCs/>
          <w:lang w:eastAsia="zh-CN"/>
        </w:rPr>
        <w:t>.</w:t>
      </w:r>
    </w:p>
    <w:p w14:paraId="73A3480C" w14:textId="77777777" w:rsidR="00AD31E4" w:rsidRPr="00507E05" w:rsidRDefault="00AD31E4" w:rsidP="00800414">
      <w:pPr>
        <w:rPr>
          <w:rFonts w:eastAsia="SimSun"/>
          <w:bCs/>
          <w:lang w:eastAsia="zh-CN"/>
        </w:rPr>
      </w:pPr>
    </w:p>
    <w:p w14:paraId="1662D266" w14:textId="0A1FF1B7" w:rsidR="00230057" w:rsidRPr="00507E05" w:rsidRDefault="00000000" w:rsidP="00800414">
      <w:pPr>
        <w:rPr>
          <w:rFonts w:eastAsia="SimSun"/>
          <w:bCs/>
          <w:lang w:eastAsia="zh-CN"/>
        </w:rPr>
      </w:pPr>
      <w:r w:rsidRPr="00507E05">
        <w:rPr>
          <w:rFonts w:eastAsia="SimSun"/>
          <w:bCs/>
          <w:lang w:eastAsia="zh-CN"/>
        </w:rPr>
        <w:t xml:space="preserve">The </w:t>
      </w:r>
      <w:r w:rsidR="005A2F81" w:rsidRPr="00507E05">
        <w:rPr>
          <w:rFonts w:eastAsia="SimSun"/>
          <w:bCs/>
          <w:lang w:eastAsia="zh-CN"/>
        </w:rPr>
        <w:t>reliability</w:t>
      </w:r>
      <w:r w:rsidRPr="00507E05">
        <w:rPr>
          <w:rFonts w:eastAsia="SimSun"/>
          <w:bCs/>
          <w:lang w:eastAsia="zh-CN"/>
        </w:rPr>
        <w:t xml:space="preserve"> of the RGT methodology </w:t>
      </w:r>
      <w:r w:rsidR="005A2F81" w:rsidRPr="00507E05">
        <w:rPr>
          <w:rFonts w:eastAsia="SimSun"/>
          <w:bCs/>
          <w:lang w:eastAsia="zh-CN"/>
        </w:rPr>
        <w:t>hinges on several critical protocol steps</w:t>
      </w:r>
      <w:r w:rsidRPr="00507E05">
        <w:rPr>
          <w:rFonts w:eastAsia="SimSun"/>
          <w:bCs/>
          <w:lang w:eastAsia="zh-CN"/>
        </w:rPr>
        <w:t xml:space="preserve">. </w:t>
      </w:r>
      <w:r w:rsidR="005A2F81" w:rsidRPr="00507E05">
        <w:rPr>
          <w:rFonts w:eastAsia="SimSun"/>
          <w:bCs/>
          <w:lang w:eastAsia="zh-CN"/>
        </w:rPr>
        <w:t xml:space="preserve">Sample homogenization must be performed at 2,600 times/min for 10 s to ensure complete cell detachment from swabs. </w:t>
      </w:r>
      <w:r w:rsidRPr="00507E05">
        <w:rPr>
          <w:rFonts w:eastAsia="SimSun"/>
          <w:bCs/>
          <w:lang w:eastAsia="zh-CN"/>
        </w:rPr>
        <w:t xml:space="preserve">Proper homogenization of the amplification buffer and detection solution through gentle agitation followed by prompt centrifugation is essential to achieve </w:t>
      </w:r>
      <w:r w:rsidRPr="00507E05">
        <w:rPr>
          <w:rFonts w:eastAsia="SimSun"/>
          <w:bCs/>
          <w:lang w:eastAsia="zh-CN"/>
        </w:rPr>
        <w:lastRenderedPageBreak/>
        <w:t xml:space="preserve">homogeneity and prevent diminished amplification efficiency. The introduction of air bubbles during reagent transfer must be meticulously avoided, as such artifacts may compromise reaction reproducibility. Owing to the minimal volumetric requirement (1 µL), precise pipetting of the amplification enzyme </w:t>
      </w:r>
      <w:r w:rsidR="00AB0F43" w:rsidRPr="00507E05">
        <w:rPr>
          <w:rFonts w:eastAsia="SimSun"/>
          <w:bCs/>
          <w:lang w:eastAsia="zh-CN"/>
        </w:rPr>
        <w:t xml:space="preserve">using low-retention tips </w:t>
      </w:r>
      <w:r w:rsidRPr="00507E05">
        <w:rPr>
          <w:rFonts w:eastAsia="SimSun"/>
          <w:bCs/>
          <w:lang w:eastAsia="zh-CN"/>
        </w:rPr>
        <w:t xml:space="preserve">to the </w:t>
      </w:r>
      <w:r w:rsidR="00B50884" w:rsidRPr="00507E05">
        <w:rPr>
          <w:rFonts w:eastAsia="SimSun"/>
          <w:bCs/>
          <w:lang w:eastAsia="zh-CN"/>
        </w:rPr>
        <w:t xml:space="preserve">microchip's </w:t>
      </w:r>
      <w:r w:rsidRPr="00507E05">
        <w:rPr>
          <w:rFonts w:eastAsia="SimSun"/>
          <w:bCs/>
          <w:lang w:eastAsia="zh-CN"/>
        </w:rPr>
        <w:t>reaction chamber is imperative to ensure optimal substrate contact. Furthermore, the presence of persistent insoluble particulate matter within the detection solution post-reconstitution necessitates reagent discard, as residual precipitates may interfere with optical readouts or reaction kinetics.</w:t>
      </w:r>
    </w:p>
    <w:p w14:paraId="7824250F" w14:textId="77777777" w:rsidR="00AD31E4" w:rsidRPr="00507E05" w:rsidRDefault="00AD31E4" w:rsidP="00800414">
      <w:pPr>
        <w:rPr>
          <w:rFonts w:eastAsia="SimSun"/>
          <w:bCs/>
          <w:lang w:eastAsia="zh-CN"/>
        </w:rPr>
      </w:pPr>
    </w:p>
    <w:p w14:paraId="682E4F72" w14:textId="2FD10CAE" w:rsidR="00230057" w:rsidRPr="00507E05" w:rsidRDefault="00000000" w:rsidP="00800414">
      <w:pPr>
        <w:rPr>
          <w:rFonts w:eastAsia="SimSun"/>
          <w:bCs/>
          <w:lang w:eastAsia="zh-CN"/>
        </w:rPr>
      </w:pPr>
      <w:r w:rsidRPr="00507E05">
        <w:rPr>
          <w:rFonts w:eastAsia="SimSun"/>
          <w:bCs/>
          <w:lang w:eastAsia="zh-CN"/>
        </w:rPr>
        <w:t xml:space="preserve">For the RGT assay, pathogens </w:t>
      </w:r>
      <w:r w:rsidR="00AB0F43" w:rsidRPr="00507E05">
        <w:rPr>
          <w:rFonts w:eastAsia="SimSun"/>
          <w:bCs/>
          <w:lang w:eastAsia="zh-CN"/>
        </w:rPr>
        <w:t>are</w:t>
      </w:r>
      <w:r w:rsidRPr="00507E05">
        <w:rPr>
          <w:rFonts w:eastAsia="SimSun"/>
          <w:bCs/>
          <w:lang w:eastAsia="zh-CN"/>
        </w:rPr>
        <w:t xml:space="preserve"> capable of </w:t>
      </w:r>
      <w:r w:rsidR="00AB0F43" w:rsidRPr="00507E05">
        <w:rPr>
          <w:rFonts w:eastAsia="SimSun"/>
          <w:bCs/>
          <w:lang w:eastAsia="zh-CN"/>
        </w:rPr>
        <w:t>semi-</w:t>
      </w:r>
      <w:r w:rsidRPr="00507E05">
        <w:rPr>
          <w:rFonts w:eastAsia="SimSun"/>
          <w:bCs/>
          <w:lang w:eastAsia="zh-CN"/>
        </w:rPr>
        <w:t>quantitative detection of pathogens. The detection limitation</w:t>
      </w:r>
      <w:r w:rsidR="00B50884" w:rsidRPr="00507E05">
        <w:rPr>
          <w:rFonts w:eastAsia="SimSun"/>
          <w:bCs/>
          <w:lang w:eastAsia="zh-CN"/>
        </w:rPr>
        <w:t>s</w:t>
      </w:r>
      <w:r w:rsidRPr="00507E05">
        <w:rPr>
          <w:rFonts w:eastAsia="SimSun"/>
          <w:bCs/>
          <w:lang w:eastAsia="zh-CN"/>
        </w:rPr>
        <w:t xml:space="preserve"> of NG, CT</w:t>
      </w:r>
      <w:r w:rsidR="00B50884" w:rsidRPr="00507E05">
        <w:rPr>
          <w:rFonts w:eastAsia="SimSun"/>
          <w:bCs/>
          <w:lang w:eastAsia="zh-CN"/>
        </w:rPr>
        <w:t>,</w:t>
      </w:r>
      <w:r w:rsidRPr="00507E05">
        <w:rPr>
          <w:rFonts w:eastAsia="SimSun"/>
          <w:bCs/>
          <w:lang w:eastAsia="zh-CN"/>
        </w:rPr>
        <w:t xml:space="preserve"> and UU for this assay are 1 × 10³ CFU/mL, 1 × 10³ </w:t>
      </w:r>
      <w:r w:rsidR="00B50884" w:rsidRPr="00507E05">
        <w:rPr>
          <w:rFonts w:eastAsia="SimSun"/>
          <w:bCs/>
          <w:lang w:eastAsia="zh-CN"/>
        </w:rPr>
        <w:t>infectious units [</w:t>
      </w:r>
      <w:r w:rsidRPr="00507E05">
        <w:rPr>
          <w:rFonts w:eastAsia="SimSun"/>
          <w:bCs/>
          <w:lang w:eastAsia="zh-CN"/>
        </w:rPr>
        <w:t>IFU</w:t>
      </w:r>
      <w:r w:rsidR="00B50884" w:rsidRPr="00507E05">
        <w:rPr>
          <w:rFonts w:eastAsia="SimSun"/>
          <w:bCs/>
          <w:lang w:eastAsia="zh-CN"/>
        </w:rPr>
        <w:t>]</w:t>
      </w:r>
      <w:r w:rsidRPr="00507E05">
        <w:rPr>
          <w:rFonts w:eastAsia="SimSun"/>
          <w:bCs/>
          <w:lang w:eastAsia="zh-CN"/>
        </w:rPr>
        <w:t>/mL, and 1 × 10⁴</w:t>
      </w:r>
      <w:r w:rsidR="00B50884" w:rsidRPr="00507E05">
        <w:rPr>
          <w:rFonts w:eastAsia="SimSun"/>
          <w:bCs/>
          <w:lang w:eastAsia="zh-CN"/>
        </w:rPr>
        <w:t xml:space="preserve"> color-changing units [</w:t>
      </w:r>
      <w:r w:rsidRPr="00507E05">
        <w:rPr>
          <w:rFonts w:eastAsia="SimSun"/>
          <w:bCs/>
          <w:lang w:eastAsia="zh-CN"/>
        </w:rPr>
        <w:t>CCU</w:t>
      </w:r>
      <w:r w:rsidR="00B50884" w:rsidRPr="00507E05">
        <w:rPr>
          <w:rFonts w:eastAsia="SimSun"/>
          <w:bCs/>
          <w:lang w:eastAsia="zh-CN"/>
        </w:rPr>
        <w:t>]</w:t>
      </w:r>
      <w:r w:rsidRPr="00507E05">
        <w:rPr>
          <w:rFonts w:eastAsia="SimSun"/>
          <w:bCs/>
          <w:lang w:eastAsia="zh-CN"/>
        </w:rPr>
        <w:t>/mL, respectively. For samples with extremely low concentrations, the detection rate of RGT assay may be lower compared to some highly sensitive molecular technologies</w:t>
      </w:r>
      <w:r w:rsidRPr="00507E05">
        <w:rPr>
          <w:rFonts w:eastAsia="SimSun"/>
          <w:bCs/>
          <w:vertAlign w:val="superscript"/>
          <w:lang w:eastAsia="zh-CN"/>
        </w:rPr>
        <w:t>12,13</w:t>
      </w:r>
      <w:r w:rsidRPr="00507E05">
        <w:rPr>
          <w:rFonts w:eastAsia="SimSun"/>
          <w:bCs/>
          <w:lang w:eastAsia="zh-CN"/>
        </w:rPr>
        <w:t>.</w:t>
      </w:r>
    </w:p>
    <w:p w14:paraId="2C4673AC" w14:textId="77777777" w:rsidR="00AD31E4" w:rsidRPr="00507E05" w:rsidRDefault="00AD31E4" w:rsidP="00800414">
      <w:pPr>
        <w:rPr>
          <w:rFonts w:eastAsia="SimSun"/>
          <w:bCs/>
          <w:lang w:eastAsia="zh-CN"/>
        </w:rPr>
      </w:pPr>
    </w:p>
    <w:p w14:paraId="778629C0" w14:textId="20894CCF" w:rsidR="00AD31E4" w:rsidRPr="00507E05" w:rsidRDefault="00000000" w:rsidP="00800414">
      <w:pPr>
        <w:rPr>
          <w:rFonts w:eastAsia="SimSun"/>
          <w:bCs/>
          <w:lang w:eastAsia="zh-CN"/>
        </w:rPr>
      </w:pPr>
      <w:r w:rsidRPr="00507E05">
        <w:rPr>
          <w:rFonts w:eastAsia="SimSun"/>
          <w:bCs/>
          <w:lang w:eastAsia="zh-CN"/>
        </w:rPr>
        <w:t>The RGT method demonstrates distinct advantages relative to established and emerging diagnostic platforms. Compared to PCR and nucleic acid amplification tests (NAATs), which remain benchmark methodologies for sensitivity and quantitative precision, RGT circumvents dependencies on thermocycling equipment, purified nucleic acid templates, and specialized technical expertise. This enables its application in resource-limited settings, as the method operates efficiently under low-temperature isothermal conditions (37–42</w:t>
      </w:r>
      <w:r w:rsidR="00B50884" w:rsidRPr="00507E05">
        <w:rPr>
          <w:rFonts w:eastAsia="SimSun"/>
          <w:bCs/>
          <w:lang w:eastAsia="zh-CN"/>
        </w:rPr>
        <w:t xml:space="preserve"> °C</w:t>
      </w:r>
      <w:r w:rsidRPr="00507E05">
        <w:rPr>
          <w:rFonts w:eastAsia="SimSun"/>
          <w:bCs/>
          <w:lang w:eastAsia="zh-CN"/>
        </w:rPr>
        <w:t>) and tolerates crude sample inputs, such as direct clinical swab extracts, thereby facilitating rapid diagnostics in decentralized clinical or field environments</w:t>
      </w:r>
      <w:r w:rsidRPr="00507E05">
        <w:rPr>
          <w:rFonts w:eastAsia="SimSun"/>
          <w:bCs/>
          <w:vertAlign w:val="superscript"/>
          <w:lang w:eastAsia="zh-CN"/>
        </w:rPr>
        <w:t>10,14</w:t>
      </w:r>
      <w:r w:rsidRPr="00507E05">
        <w:rPr>
          <w:rFonts w:eastAsia="SimSun"/>
          <w:bCs/>
          <w:lang w:eastAsia="zh-CN"/>
        </w:rPr>
        <w:t>. Such operational flexibility positions RGT as a pragmatic alternative for regions lacking access to conventional NAAT infrastructure</w:t>
      </w:r>
      <w:r w:rsidRPr="00507E05">
        <w:rPr>
          <w:rFonts w:eastAsia="SimSun"/>
          <w:bCs/>
          <w:vertAlign w:val="superscript"/>
          <w:lang w:eastAsia="zh-CN"/>
        </w:rPr>
        <w:t>15</w:t>
      </w:r>
      <w:r w:rsidRPr="00507E05">
        <w:rPr>
          <w:rFonts w:eastAsia="SimSun"/>
          <w:bCs/>
          <w:lang w:eastAsia="zh-CN"/>
        </w:rPr>
        <w:t xml:space="preserve">. </w:t>
      </w:r>
    </w:p>
    <w:p w14:paraId="455A3F6F" w14:textId="77777777" w:rsidR="00AD31E4" w:rsidRPr="00507E05" w:rsidRDefault="00AD31E4" w:rsidP="00800414">
      <w:pPr>
        <w:rPr>
          <w:rFonts w:eastAsia="SimSun"/>
          <w:bCs/>
          <w:lang w:eastAsia="zh-CN"/>
        </w:rPr>
      </w:pPr>
    </w:p>
    <w:p w14:paraId="53AAB1B0" w14:textId="4E546C21" w:rsidR="00230057" w:rsidRPr="00507E05" w:rsidRDefault="00000000" w:rsidP="00800414">
      <w:pPr>
        <w:rPr>
          <w:rFonts w:eastAsia="SimSun"/>
          <w:bCs/>
          <w:lang w:eastAsia="zh-CN"/>
        </w:rPr>
      </w:pPr>
      <w:r w:rsidRPr="00507E05">
        <w:rPr>
          <w:rFonts w:eastAsia="SimSun"/>
          <w:bCs/>
          <w:lang w:eastAsia="zh-CN"/>
        </w:rPr>
        <w:t>Traditional culture-based approaches for pathogens like NG and CT, while historically foundational, are constrained by prolonged incubation periods (3–7 days) and variable sensitivity. In contrast, RGT delivers results within &lt;2 h while preserving diagnostic specificity comparable to culture methods</w:t>
      </w:r>
      <w:r w:rsidRPr="00507E05">
        <w:rPr>
          <w:rFonts w:eastAsia="SimSun"/>
          <w:bCs/>
          <w:vertAlign w:val="superscript"/>
          <w:lang w:eastAsia="zh-CN"/>
        </w:rPr>
        <w:t>11</w:t>
      </w:r>
      <w:r w:rsidRPr="00507E05">
        <w:rPr>
          <w:rFonts w:eastAsia="SimSun"/>
          <w:bCs/>
          <w:lang w:eastAsia="zh-CN"/>
        </w:rPr>
        <w:t>. Emerging CRISPR-based diagnostic platforms, despite their high specificity, frequently require labor-intensive pre-amplification steps</w:t>
      </w:r>
      <w:r w:rsidRPr="00507E05">
        <w:rPr>
          <w:rFonts w:eastAsia="SimSun"/>
          <w:bCs/>
          <w:vertAlign w:val="superscript"/>
          <w:lang w:eastAsia="zh-CN"/>
        </w:rPr>
        <w:t>16,17</w:t>
      </w:r>
      <w:r w:rsidRPr="00507E05">
        <w:rPr>
          <w:rFonts w:eastAsia="SimSun"/>
          <w:bCs/>
          <w:lang w:eastAsia="zh-CN"/>
        </w:rPr>
        <w:t>. RGT addresses this limitation by consolidating nucleic acid amplification and detection within a unified microfluidic system, significantly reducing procedural complexity and manual handling. The results of this study also indicate that RGT was a rapid, sensitive, and specific method for NG, CT, and UU detection. Collectively, these attributes position RGT as a hybrid solution bridging the gap between low-sensitivity rapid assays and high-complexity molecular techniques, effectively addressing unmet needs in scenarios requiring both rapid turnaround and analytical rigor.</w:t>
      </w:r>
    </w:p>
    <w:p w14:paraId="5AD3CDC0" w14:textId="77777777" w:rsidR="00AD31E4" w:rsidRPr="00507E05" w:rsidRDefault="00AD31E4" w:rsidP="00800414">
      <w:pPr>
        <w:rPr>
          <w:rFonts w:eastAsia="SimSun"/>
          <w:bCs/>
          <w:lang w:eastAsia="zh-CN"/>
        </w:rPr>
      </w:pPr>
    </w:p>
    <w:p w14:paraId="566F8EA5" w14:textId="1B235A30" w:rsidR="00230057" w:rsidRPr="00507E05" w:rsidRDefault="00110469" w:rsidP="00800414">
      <w:pPr>
        <w:rPr>
          <w:rFonts w:eastAsia="SimSun"/>
          <w:bCs/>
          <w:lang w:eastAsia="zh-CN"/>
        </w:rPr>
      </w:pPr>
      <w:r w:rsidRPr="00507E05">
        <w:rPr>
          <w:rFonts w:eastAsia="SimSun"/>
          <w:bCs/>
          <w:lang w:eastAsia="zh-CN"/>
        </w:rPr>
        <w:t>NAAT methods targeting microbial DNA or RNA in clinical specimens are currently regarded as the gold standard for diagnosing numerous STIs</w:t>
      </w:r>
      <w:r w:rsidRPr="00507E05">
        <w:rPr>
          <w:rFonts w:eastAsia="SimSun"/>
          <w:bCs/>
          <w:vertAlign w:val="superscript"/>
          <w:lang w:eastAsia="zh-CN"/>
        </w:rPr>
        <w:t>18</w:t>
      </w:r>
      <w:r w:rsidRPr="00507E05">
        <w:rPr>
          <w:rFonts w:eastAsia="SimSun"/>
          <w:bCs/>
          <w:lang w:eastAsia="zh-CN"/>
        </w:rPr>
        <w:t xml:space="preserve">. Molecular biology testing primarily encompasses two major categories: DNA and RNA. In this study, </w:t>
      </w:r>
      <w:r w:rsidR="00B50884" w:rsidRPr="00507E05">
        <w:rPr>
          <w:rFonts w:eastAsia="SimSun"/>
          <w:bCs/>
          <w:lang w:eastAsia="zh-CN"/>
        </w:rPr>
        <w:t xml:space="preserve">the </w:t>
      </w:r>
      <w:r w:rsidRPr="00507E05">
        <w:rPr>
          <w:rFonts w:eastAsia="SimSun"/>
          <w:bCs/>
          <w:lang w:eastAsia="zh-CN"/>
        </w:rPr>
        <w:t>RGT method was employed to detect RNA in reproductive tract samples, which leveraged the inherent advantages of RNA-based detection. Given the presence of multiple RNA copies in non-viral pathogenic microbial cells, this technique demonstrates superior sensitivity and accuracy compared to DNA-targeted PCR and other conventional methods</w:t>
      </w:r>
      <w:r w:rsidRPr="00507E05">
        <w:rPr>
          <w:rFonts w:eastAsia="SimSun"/>
          <w:bCs/>
          <w:vertAlign w:val="superscript"/>
          <w:lang w:eastAsia="zh-CN"/>
        </w:rPr>
        <w:t>19</w:t>
      </w:r>
      <w:r w:rsidRPr="00507E05">
        <w:rPr>
          <w:rFonts w:eastAsia="SimSun"/>
          <w:bCs/>
          <w:lang w:eastAsia="zh-CN"/>
        </w:rPr>
        <w:t xml:space="preserve">. The RGT method is applicable to various sample types, including urine specimens, and exhibits excellent consistency across samples obtained from </w:t>
      </w:r>
      <w:r w:rsidRPr="00507E05">
        <w:rPr>
          <w:rFonts w:eastAsia="SimSun"/>
          <w:bCs/>
          <w:lang w:eastAsia="zh-CN"/>
        </w:rPr>
        <w:lastRenderedPageBreak/>
        <w:t>different anatomical sites. In male patients, studies have demonstrated nearly perfect agreement between urine and urethral swab results using this method</w:t>
      </w:r>
      <w:r w:rsidRPr="00507E05">
        <w:rPr>
          <w:rFonts w:eastAsia="SimSun"/>
          <w:bCs/>
          <w:vertAlign w:val="superscript"/>
          <w:lang w:eastAsia="zh-CN"/>
        </w:rPr>
        <w:t>20</w:t>
      </w:r>
      <w:r w:rsidRPr="00507E05">
        <w:rPr>
          <w:rFonts w:eastAsia="SimSun"/>
          <w:bCs/>
          <w:lang w:eastAsia="zh-CN"/>
        </w:rPr>
        <w:t>. Furthermore, since RNA is exclusively present in viable pathogenic microorganisms</w:t>
      </w:r>
      <w:r w:rsidRPr="00507E05">
        <w:rPr>
          <w:rFonts w:eastAsia="SimSun"/>
          <w:bCs/>
          <w:vertAlign w:val="superscript"/>
          <w:lang w:eastAsia="zh-CN"/>
        </w:rPr>
        <w:t>21</w:t>
      </w:r>
      <w:r w:rsidRPr="00507E05">
        <w:rPr>
          <w:rFonts w:eastAsia="SimSun"/>
          <w:bCs/>
          <w:lang w:eastAsia="zh-CN"/>
        </w:rPr>
        <w:t xml:space="preserve">, RNA-based testing provides more timely and clinically relevant data for therapeutic efficacy evaluation compared to DNA testing, thereby aligning with the principles of precision medicine. </w:t>
      </w:r>
    </w:p>
    <w:p w14:paraId="13371A01" w14:textId="77777777" w:rsidR="00AD31E4" w:rsidRPr="00507E05" w:rsidRDefault="00AD31E4" w:rsidP="00800414">
      <w:pPr>
        <w:rPr>
          <w:rFonts w:eastAsia="SimSun"/>
          <w:bCs/>
          <w:lang w:eastAsia="zh-CN"/>
        </w:rPr>
      </w:pPr>
    </w:p>
    <w:p w14:paraId="10C02464" w14:textId="17C4FA0B" w:rsidR="00230057" w:rsidRPr="00507E05" w:rsidRDefault="00000000" w:rsidP="00800414">
      <w:pPr>
        <w:rPr>
          <w:rFonts w:eastAsia="SimSun"/>
          <w:bCs/>
          <w:lang w:eastAsia="zh-CN"/>
        </w:rPr>
      </w:pPr>
      <w:r w:rsidRPr="00507E05">
        <w:rPr>
          <w:rFonts w:eastAsia="SimSun"/>
          <w:bCs/>
          <w:lang w:eastAsia="zh-CN"/>
        </w:rPr>
        <w:t>Consequently, the RGT methodology demonstrates substantial potential for resolving pivotal challenges in diverse healthcare and research applications.</w:t>
      </w:r>
      <w:r w:rsidR="006566C7" w:rsidRPr="00507E05">
        <w:rPr>
          <w:rFonts w:eastAsia="SimSun"/>
          <w:bCs/>
          <w:lang w:eastAsia="zh-CN"/>
        </w:rPr>
        <w:t xml:space="preserve"> </w:t>
      </w:r>
      <w:r w:rsidRPr="00507E05">
        <w:rPr>
          <w:rFonts w:eastAsia="SimSun"/>
          <w:bCs/>
          <w:lang w:eastAsia="zh-CN"/>
        </w:rPr>
        <w:t xml:space="preserve">This innovative approach offers significant advantages in clinical diagnostics and therapeutic monitoring, particularly through its capacity to detect viable pathogens with enhanced sensitivity and specificity and its adaptability to various biological specimens, which positions it as a valuable tool for advancing precision medicine initiatives. </w:t>
      </w:r>
    </w:p>
    <w:p w14:paraId="3640B8A4" w14:textId="77777777" w:rsidR="00230057" w:rsidRPr="00507E05" w:rsidRDefault="00230057" w:rsidP="00036878">
      <w:pPr>
        <w:rPr>
          <w:rFonts w:eastAsia="SimSun"/>
          <w:bCs/>
          <w:lang w:eastAsia="zh-CN"/>
        </w:rPr>
      </w:pPr>
    </w:p>
    <w:p w14:paraId="21F5C9A2" w14:textId="77777777" w:rsidR="00230057" w:rsidRPr="00507E05" w:rsidRDefault="00000000" w:rsidP="00800414">
      <w:r w:rsidRPr="00507E05">
        <w:rPr>
          <w:b/>
        </w:rPr>
        <w:t xml:space="preserve">ACKNOWLEDGMENTS:  </w:t>
      </w:r>
    </w:p>
    <w:p w14:paraId="6D45222B" w14:textId="49E4A8DC" w:rsidR="00230057" w:rsidRPr="00507E05" w:rsidRDefault="00B50884" w:rsidP="00800414">
      <w:pPr>
        <w:rPr>
          <w:rFonts w:eastAsia="SimSun"/>
          <w:lang w:eastAsia="zh-CN"/>
        </w:rPr>
      </w:pPr>
      <w:r w:rsidRPr="00507E05">
        <w:rPr>
          <w:rFonts w:eastAsia="SimSun"/>
          <w:lang w:eastAsia="zh-CN"/>
        </w:rPr>
        <w:t xml:space="preserve">We thank </w:t>
      </w:r>
      <w:r w:rsidRPr="00507E05">
        <w:rPr>
          <w:rFonts w:eastAsia="SimSun"/>
          <w:bCs/>
          <w:lang w:eastAsia="zh-CN"/>
        </w:rPr>
        <w:t>Wuhan Zhongzhi Bio-technologies Inc.</w:t>
      </w:r>
      <w:r w:rsidRPr="00507E05" w:rsidDel="00B50884">
        <w:rPr>
          <w:rFonts w:eastAsia="SimSun"/>
          <w:lang w:eastAsia="zh-CN"/>
        </w:rPr>
        <w:t xml:space="preserve"> </w:t>
      </w:r>
      <w:r w:rsidRPr="00507E05">
        <w:rPr>
          <w:rFonts w:eastAsia="SimSun"/>
          <w:lang w:eastAsia="zh-CN"/>
        </w:rPr>
        <w:t>for the reagents and technical guidance offered for this study</w:t>
      </w:r>
      <w:r w:rsidRPr="00507E05">
        <w:rPr>
          <w:rFonts w:eastAsia="SimSun"/>
          <w:bCs/>
          <w:lang w:eastAsia="zh-CN"/>
        </w:rPr>
        <w:t xml:space="preserve">. </w:t>
      </w:r>
    </w:p>
    <w:p w14:paraId="103CAF0E" w14:textId="77777777" w:rsidR="00230057" w:rsidRPr="00507E05" w:rsidRDefault="00230057" w:rsidP="00800414">
      <w:pPr>
        <w:rPr>
          <w:b/>
        </w:rPr>
      </w:pPr>
    </w:p>
    <w:p w14:paraId="03146110" w14:textId="77777777" w:rsidR="00230057" w:rsidRPr="00507E05" w:rsidRDefault="00000000" w:rsidP="00800414">
      <w:r w:rsidRPr="00507E05">
        <w:rPr>
          <w:b/>
        </w:rPr>
        <w:t xml:space="preserve">DISCLOSURES: </w:t>
      </w:r>
    </w:p>
    <w:p w14:paraId="3FDC6666" w14:textId="77777777" w:rsidR="00230057" w:rsidRPr="00507E05" w:rsidRDefault="00000000" w:rsidP="00800414">
      <w:pPr>
        <w:rPr>
          <w:rFonts w:eastAsia="SimSun"/>
          <w:bCs/>
          <w:lang w:eastAsia="zh-CN"/>
        </w:rPr>
      </w:pPr>
      <w:r w:rsidRPr="00507E05">
        <w:rPr>
          <w:rFonts w:eastAsia="SimSun"/>
          <w:bCs/>
          <w:lang w:eastAsia="zh-CN"/>
        </w:rPr>
        <w:t>The authors have no conflicts of interest to disclose.</w:t>
      </w:r>
    </w:p>
    <w:p w14:paraId="05512AC1" w14:textId="77777777" w:rsidR="00230057" w:rsidRPr="00507E05" w:rsidRDefault="00230057" w:rsidP="00800414">
      <w:pPr>
        <w:widowControl/>
        <w:shd w:val="clear" w:color="auto" w:fill="FFFFFF"/>
        <w:ind w:right="45"/>
        <w:jc w:val="left"/>
        <w:rPr>
          <w:bCs/>
          <w:lang w:eastAsia="zh-CN"/>
        </w:rPr>
      </w:pPr>
    </w:p>
    <w:p w14:paraId="15E1F479" w14:textId="77777777" w:rsidR="00230057" w:rsidRPr="00507E05" w:rsidRDefault="00000000" w:rsidP="00800414">
      <w:pPr>
        <w:rPr>
          <w:b/>
        </w:rPr>
      </w:pPr>
      <w:r w:rsidRPr="00507E05">
        <w:rPr>
          <w:b/>
        </w:rPr>
        <w:t>REFERENCES:</w:t>
      </w:r>
    </w:p>
    <w:p w14:paraId="26F88223" w14:textId="5F591AEC"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bookmarkStart w:id="1" w:name="_Hlk198850748"/>
      <w:r w:rsidRPr="00507E05">
        <w:rPr>
          <w:rFonts w:cs="Calibri"/>
        </w:rPr>
        <w:t xml:space="preserve">Hufstetler, K., Llata, E., Miele, K., Quilter, L. A. S. Clinical updates in sexually transmitted infections, 2024. </w:t>
      </w:r>
      <w:r w:rsidRPr="00507E05">
        <w:rPr>
          <w:rStyle w:val="Emphasis"/>
          <w:rFonts w:cs="Calibri"/>
        </w:rPr>
        <w:t>J Womens Health (Larchmt).</w:t>
      </w:r>
      <w:r w:rsidRPr="00507E05">
        <w:rPr>
          <w:rFonts w:cs="Calibri"/>
        </w:rPr>
        <w:t xml:space="preserve"> </w:t>
      </w:r>
      <w:r w:rsidRPr="00507E05">
        <w:rPr>
          <w:rStyle w:val="Strong"/>
          <w:rFonts w:cs="Calibri"/>
        </w:rPr>
        <w:t>33</w:t>
      </w:r>
      <w:r w:rsidRPr="00507E05">
        <w:rPr>
          <w:rFonts w:cs="Calibri"/>
        </w:rPr>
        <w:t xml:space="preserve"> (6), 827–837 (2024).</w:t>
      </w:r>
    </w:p>
    <w:p w14:paraId="26A551A8"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Sunkavalli, A., McClure, R., Genco, C. Molecular regulatory mechanisms drive emergent pathogenetic properties of Neisseria gonorrhoeae. </w:t>
      </w:r>
      <w:r w:rsidRPr="00507E05">
        <w:rPr>
          <w:rStyle w:val="Emphasis"/>
          <w:rFonts w:cs="Calibri"/>
        </w:rPr>
        <w:t>Microorganisms.</w:t>
      </w:r>
      <w:r w:rsidRPr="00507E05">
        <w:rPr>
          <w:rFonts w:cs="Calibri"/>
        </w:rPr>
        <w:t xml:space="preserve"> </w:t>
      </w:r>
      <w:r w:rsidRPr="00507E05">
        <w:rPr>
          <w:rStyle w:val="Strong"/>
          <w:rFonts w:cs="Calibri"/>
        </w:rPr>
        <w:t>10</w:t>
      </w:r>
      <w:r w:rsidRPr="00507E05">
        <w:rPr>
          <w:rFonts w:cs="Calibri"/>
        </w:rPr>
        <w:t xml:space="preserve"> (5), 922 (2022).</w:t>
      </w:r>
    </w:p>
    <w:p w14:paraId="2F3A64D0" w14:textId="2B43F1A2"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Quillin, S. J., Seifert, H. S. Neisseria gonorrhoeae host adaptation and pathogenesis. </w:t>
      </w:r>
      <w:r w:rsidRPr="00507E05">
        <w:rPr>
          <w:rStyle w:val="Emphasis"/>
          <w:rFonts w:cs="Calibri"/>
        </w:rPr>
        <w:t>Nat Rev Microbiol.</w:t>
      </w:r>
      <w:r w:rsidRPr="00507E05">
        <w:rPr>
          <w:rFonts w:cs="Calibri"/>
        </w:rPr>
        <w:t xml:space="preserve"> </w:t>
      </w:r>
      <w:r w:rsidRPr="00507E05">
        <w:rPr>
          <w:rStyle w:val="Strong"/>
          <w:rFonts w:cs="Calibri"/>
        </w:rPr>
        <w:t>16</w:t>
      </w:r>
      <w:r w:rsidRPr="00507E05">
        <w:rPr>
          <w:rFonts w:cs="Calibri"/>
        </w:rPr>
        <w:t xml:space="preserve"> (4), 226–240 (2018).</w:t>
      </w:r>
    </w:p>
    <w:p w14:paraId="6E3A3DAD" w14:textId="60CDC99D"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Rowley, J. et al. Chlamydia, gonorrhoea, trichomoniasis, and syphilis: global prevalence and incidence estimates, 2016. </w:t>
      </w:r>
      <w:r w:rsidRPr="00507E05">
        <w:rPr>
          <w:rStyle w:val="Emphasis"/>
          <w:rFonts w:cs="Calibri"/>
        </w:rPr>
        <w:t>Bull World Health Organ.</w:t>
      </w:r>
      <w:r w:rsidRPr="00507E05">
        <w:rPr>
          <w:rFonts w:cs="Calibri"/>
        </w:rPr>
        <w:t xml:space="preserve"> </w:t>
      </w:r>
      <w:r w:rsidRPr="00507E05">
        <w:rPr>
          <w:rStyle w:val="Strong"/>
          <w:rFonts w:cs="Calibri"/>
        </w:rPr>
        <w:t>97</w:t>
      </w:r>
      <w:r w:rsidRPr="00507E05">
        <w:rPr>
          <w:rFonts w:cs="Calibri"/>
        </w:rPr>
        <w:t xml:space="preserve"> (8), 548–562P (2019).</w:t>
      </w:r>
    </w:p>
    <w:p w14:paraId="4B5D05F1" w14:textId="6521F383"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Rittenschober-Boehm, J. et al. Intrauterine detection of Ureaplasma species after vaginal colonization in pregnancy and neonatal outcome. </w:t>
      </w:r>
      <w:r w:rsidRPr="00507E05">
        <w:rPr>
          <w:rStyle w:val="Emphasis"/>
          <w:rFonts w:cs="Calibri"/>
        </w:rPr>
        <w:t>Neonatology.</w:t>
      </w:r>
      <w:r w:rsidRPr="00507E05">
        <w:rPr>
          <w:rFonts w:cs="Calibri"/>
        </w:rPr>
        <w:t xml:space="preserve"> </w:t>
      </w:r>
      <w:r w:rsidRPr="00507E05">
        <w:rPr>
          <w:rStyle w:val="Strong"/>
          <w:rFonts w:cs="Calibri"/>
        </w:rPr>
        <w:t>121</w:t>
      </w:r>
      <w:r w:rsidRPr="00507E05">
        <w:rPr>
          <w:rFonts w:cs="Calibri"/>
        </w:rPr>
        <w:t xml:space="preserve"> (2), 187–194 (2024).</w:t>
      </w:r>
    </w:p>
    <w:p w14:paraId="4AB9BE33"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Liu, T. et al. Analysis of Ureaplasma urealyticum, Chlamydia trachomatis, Mycoplasma genitalium and Neisseria gonorrhoeae infections among obstetrics and gynecological outpatients in southwest China: a retrospective study. </w:t>
      </w:r>
      <w:r w:rsidRPr="00507E05">
        <w:rPr>
          <w:rStyle w:val="Emphasis"/>
          <w:rFonts w:cs="Calibri"/>
        </w:rPr>
        <w:t>BMC Infect Dis.</w:t>
      </w:r>
      <w:r w:rsidRPr="00507E05">
        <w:rPr>
          <w:rFonts w:cs="Calibri"/>
        </w:rPr>
        <w:t xml:space="preserve"> </w:t>
      </w:r>
      <w:r w:rsidRPr="00507E05">
        <w:rPr>
          <w:rStyle w:val="Strong"/>
          <w:rFonts w:cs="Calibri"/>
        </w:rPr>
        <w:t>22</w:t>
      </w:r>
      <w:r w:rsidRPr="00507E05">
        <w:rPr>
          <w:rFonts w:cs="Calibri"/>
        </w:rPr>
        <w:t xml:space="preserve"> (1), 283 (2022).</w:t>
      </w:r>
    </w:p>
    <w:p w14:paraId="52C28796" w14:textId="7017FE95"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Song, J., Zhang, L., Zeng, L., Xu, X. Visualized lateral flow assay for dual viral RNA fragment detection. </w:t>
      </w:r>
      <w:r w:rsidRPr="00507E05">
        <w:rPr>
          <w:rStyle w:val="Emphasis"/>
          <w:rFonts w:cs="Calibri"/>
        </w:rPr>
        <w:t>Anal Chem.</w:t>
      </w:r>
      <w:r w:rsidRPr="00507E05">
        <w:rPr>
          <w:rFonts w:cs="Calibri"/>
        </w:rPr>
        <w:t xml:space="preserve"> </w:t>
      </w:r>
      <w:r w:rsidRPr="00507E05">
        <w:rPr>
          <w:rStyle w:val="Strong"/>
          <w:rFonts w:cs="Calibri"/>
        </w:rPr>
        <w:t>95</w:t>
      </w:r>
      <w:r w:rsidRPr="00507E05">
        <w:rPr>
          <w:rFonts w:cs="Calibri"/>
        </w:rPr>
        <w:t xml:space="preserve"> (30), 11187–11192 (2023).</w:t>
      </w:r>
    </w:p>
    <w:p w14:paraId="0BD87643"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Dighe, K., Moitra, P., Alafeef, M., Gunaseelan, N., Pan, D. A rapid RNA extraction-free lateral flow assay for molecular point-of-care detection of SARS-CoV-2 augmented by chemical probes. </w:t>
      </w:r>
      <w:r w:rsidRPr="00507E05">
        <w:rPr>
          <w:rStyle w:val="Emphasis"/>
          <w:rFonts w:cs="Calibri"/>
        </w:rPr>
        <w:t>Biosens Bioelectron.</w:t>
      </w:r>
      <w:r w:rsidRPr="00507E05">
        <w:rPr>
          <w:rFonts w:cs="Calibri"/>
        </w:rPr>
        <w:t xml:space="preserve"> </w:t>
      </w:r>
      <w:r w:rsidRPr="00507E05">
        <w:rPr>
          <w:rStyle w:val="Strong"/>
          <w:rFonts w:cs="Calibri"/>
        </w:rPr>
        <w:t>200</w:t>
      </w:r>
      <w:r w:rsidRPr="00507E05">
        <w:rPr>
          <w:rFonts w:cs="Calibri"/>
        </w:rPr>
        <w:t>, 113900 (2002).</w:t>
      </w:r>
    </w:p>
    <w:p w14:paraId="0A3DA9FB" w14:textId="770FE0ED"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Liu, C. C., Yeung, C. Y., Chen, P. H., Yeh, M. K., Hou, S. Y. Salmonella detection using 16S ribosomal DNA/RNA probe-gold nanoparticles and lateral flow immunoassay. </w:t>
      </w:r>
      <w:r w:rsidRPr="00507E05">
        <w:rPr>
          <w:rStyle w:val="Emphasis"/>
          <w:rFonts w:cs="Calibri"/>
        </w:rPr>
        <w:t>Food Chem.</w:t>
      </w:r>
      <w:r w:rsidRPr="00507E05">
        <w:rPr>
          <w:rFonts w:cs="Calibri"/>
        </w:rPr>
        <w:t xml:space="preserve"> </w:t>
      </w:r>
      <w:r w:rsidRPr="00507E05">
        <w:rPr>
          <w:rStyle w:val="Strong"/>
          <w:rFonts w:cs="Calibri"/>
        </w:rPr>
        <w:t>141</w:t>
      </w:r>
      <w:r w:rsidRPr="00507E05">
        <w:rPr>
          <w:rFonts w:cs="Calibri"/>
        </w:rPr>
        <w:t xml:space="preserve"> (3), 2526–2532 (2013).</w:t>
      </w:r>
    </w:p>
    <w:p w14:paraId="7AAEBA27" w14:textId="3B8CCDF0"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lastRenderedPageBreak/>
        <w:t xml:space="preserve">Pereyre, S., Caméléna, F., Hénin, N., Berçot, B., Bébéar, C. Clinical performance of four multiplex real-time PCR kits detecting urogenital and sexually transmitted pathogens. </w:t>
      </w:r>
      <w:r w:rsidRPr="00507E05">
        <w:rPr>
          <w:rStyle w:val="Emphasis"/>
          <w:rFonts w:cs="Calibri"/>
        </w:rPr>
        <w:t>Clin Microbiol Infect.</w:t>
      </w:r>
      <w:r w:rsidRPr="00507E05">
        <w:rPr>
          <w:rFonts w:cs="Calibri"/>
        </w:rPr>
        <w:t xml:space="preserve"> </w:t>
      </w:r>
      <w:r w:rsidRPr="00507E05">
        <w:rPr>
          <w:rStyle w:val="Strong"/>
          <w:rFonts w:cs="Calibri"/>
        </w:rPr>
        <w:t>28</w:t>
      </w:r>
      <w:r w:rsidRPr="00507E05">
        <w:rPr>
          <w:rFonts w:cs="Calibri"/>
        </w:rPr>
        <w:t xml:space="preserve"> (5), 733.e7–733.e13 (2022).</w:t>
      </w:r>
    </w:p>
    <w:p w14:paraId="1C285E4F" w14:textId="6C1E1734"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Morris, S. R., Bristow, C. C., Wierzbicki, M. R. et al. Performance of a single-use, rapid, point-of-care PCR device for the detection of Neisseria gonorrhoeae, Chlamydia trachomatis, and Trichomonas vaginalis: a cross-sectional study. </w:t>
      </w:r>
      <w:r w:rsidRPr="00507E05">
        <w:rPr>
          <w:rStyle w:val="Emphasis"/>
          <w:rFonts w:cs="Calibri"/>
        </w:rPr>
        <w:t>Lancet Infect Dis.</w:t>
      </w:r>
      <w:r w:rsidRPr="00507E05">
        <w:rPr>
          <w:rFonts w:cs="Calibri"/>
        </w:rPr>
        <w:t xml:space="preserve"> </w:t>
      </w:r>
      <w:r w:rsidRPr="00507E05">
        <w:rPr>
          <w:rStyle w:val="Strong"/>
          <w:rFonts w:cs="Calibri"/>
        </w:rPr>
        <w:t>21</w:t>
      </w:r>
      <w:r w:rsidRPr="00507E05">
        <w:rPr>
          <w:rFonts w:cs="Calibri"/>
        </w:rPr>
        <w:t xml:space="preserve"> (5), 668–676 (2021).</w:t>
      </w:r>
    </w:p>
    <w:p w14:paraId="53B6C527"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Pflüger, L. S., Nörz, D., Grunwald, M. et al. Analytical and clinical validation of a multiplex PCR assay for detection of Neisseria gonorrhoeae and Chlamydia trachomatis including simultaneous LGV serotyping on an automated high-throughput PCR system. </w:t>
      </w:r>
      <w:r w:rsidRPr="00507E05">
        <w:rPr>
          <w:rStyle w:val="Emphasis"/>
          <w:rFonts w:cs="Calibri"/>
        </w:rPr>
        <w:t>Microbiol Spectr.</w:t>
      </w:r>
      <w:r w:rsidRPr="00507E05">
        <w:rPr>
          <w:rFonts w:cs="Calibri"/>
        </w:rPr>
        <w:t xml:space="preserve"> </w:t>
      </w:r>
      <w:r w:rsidRPr="00507E05">
        <w:rPr>
          <w:rStyle w:val="Strong"/>
          <w:rFonts w:cs="Calibri"/>
        </w:rPr>
        <w:t>12</w:t>
      </w:r>
      <w:r w:rsidRPr="00507E05">
        <w:rPr>
          <w:rFonts w:cs="Calibri"/>
        </w:rPr>
        <w:t xml:space="preserve"> (3), e0275623 (2024).</w:t>
      </w:r>
    </w:p>
    <w:p w14:paraId="25B65BCF"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Huang, Y. et al. Droplet digital PCR (ddPCR) for the detection and quantification of Ureaplasma spp. </w:t>
      </w:r>
      <w:r w:rsidRPr="00507E05">
        <w:rPr>
          <w:rStyle w:val="Emphasis"/>
          <w:rFonts w:cs="Calibri"/>
        </w:rPr>
        <w:t>BMC Infect Dis.</w:t>
      </w:r>
      <w:r w:rsidRPr="00507E05">
        <w:rPr>
          <w:rFonts w:cs="Calibri"/>
        </w:rPr>
        <w:t xml:space="preserve"> </w:t>
      </w:r>
      <w:r w:rsidRPr="00507E05">
        <w:rPr>
          <w:rStyle w:val="Strong"/>
          <w:rFonts w:cs="Calibri"/>
        </w:rPr>
        <w:t>21</w:t>
      </w:r>
      <w:r w:rsidRPr="00507E05">
        <w:rPr>
          <w:rFonts w:cs="Calibri"/>
        </w:rPr>
        <w:t xml:space="preserve"> (1), 804 (2021).</w:t>
      </w:r>
    </w:p>
    <w:p w14:paraId="5FECEA97"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Ma, Y. et al. Comparison of analytical sensitivity of DNA-based and RNA-based nucleic acid amplification tests for reproductive tract infection pathogens: implications for clinical applications. </w:t>
      </w:r>
      <w:r w:rsidRPr="00507E05">
        <w:rPr>
          <w:rStyle w:val="Emphasis"/>
          <w:rFonts w:cs="Calibri"/>
        </w:rPr>
        <w:t>Microbiol Spectr.</w:t>
      </w:r>
      <w:r w:rsidRPr="00507E05">
        <w:rPr>
          <w:rFonts w:cs="Calibri"/>
        </w:rPr>
        <w:t xml:space="preserve"> </w:t>
      </w:r>
      <w:r w:rsidRPr="00507E05">
        <w:rPr>
          <w:rStyle w:val="Strong"/>
          <w:rFonts w:cs="Calibri"/>
        </w:rPr>
        <w:t>11</w:t>
      </w:r>
      <w:r w:rsidRPr="00507E05">
        <w:rPr>
          <w:rFonts w:cs="Calibri"/>
        </w:rPr>
        <w:t xml:space="preserve"> (5), e0149723 (2023).</w:t>
      </w:r>
    </w:p>
    <w:p w14:paraId="1EF08D42"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Van Der Pol, B. et al. Multicenter comparison of nucleic acid amplification tests for the diagnosis of rectal and oropharyngeal Chlamydia trachomatis and Neisseria gonorrhoeae infections. </w:t>
      </w:r>
      <w:r w:rsidRPr="00507E05">
        <w:rPr>
          <w:rStyle w:val="Emphasis"/>
          <w:rFonts w:cs="Calibri"/>
        </w:rPr>
        <w:t>J Clin Microbiol.</w:t>
      </w:r>
      <w:r w:rsidRPr="00507E05">
        <w:rPr>
          <w:rFonts w:cs="Calibri"/>
        </w:rPr>
        <w:t xml:space="preserve"> </w:t>
      </w:r>
      <w:r w:rsidRPr="00507E05">
        <w:rPr>
          <w:rStyle w:val="Strong"/>
          <w:rFonts w:cs="Calibri"/>
        </w:rPr>
        <w:t>60</w:t>
      </w:r>
      <w:r w:rsidRPr="00507E05">
        <w:rPr>
          <w:rFonts w:cs="Calibri"/>
        </w:rPr>
        <w:t xml:space="preserve"> (1), e0136321 (2022).</w:t>
      </w:r>
    </w:p>
    <w:p w14:paraId="0D67CDC2"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Luo, H. et al. An isothermal CRISPR-based diagnostic assay for Neisseria gonorrhoeae and Chlamydia trachomatis detection. </w:t>
      </w:r>
      <w:r w:rsidRPr="00507E05">
        <w:rPr>
          <w:rStyle w:val="Emphasis"/>
          <w:rFonts w:cs="Calibri"/>
        </w:rPr>
        <w:t>Microbiol Spectr.</w:t>
      </w:r>
      <w:r w:rsidRPr="00507E05">
        <w:rPr>
          <w:rFonts w:cs="Calibri"/>
        </w:rPr>
        <w:t xml:space="preserve"> </w:t>
      </w:r>
      <w:r w:rsidRPr="00507E05">
        <w:rPr>
          <w:rStyle w:val="Strong"/>
          <w:rFonts w:cs="Calibri"/>
        </w:rPr>
        <w:t>11</w:t>
      </w:r>
      <w:r w:rsidRPr="00507E05">
        <w:rPr>
          <w:rFonts w:cs="Calibri"/>
        </w:rPr>
        <w:t xml:space="preserve"> (6), e0046423 (2023).</w:t>
      </w:r>
    </w:p>
    <w:p w14:paraId="624D4877"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Tu, Q. et al. Point-of-care detection of Neisseria gonorrhoeae based on RPA-CRISPR/Cas12a. </w:t>
      </w:r>
      <w:r w:rsidRPr="00507E05">
        <w:rPr>
          <w:rStyle w:val="Emphasis"/>
          <w:rFonts w:cs="Calibri"/>
        </w:rPr>
        <w:t>AMB Express.</w:t>
      </w:r>
      <w:r w:rsidRPr="00507E05">
        <w:rPr>
          <w:rFonts w:cs="Calibri"/>
        </w:rPr>
        <w:t xml:space="preserve"> </w:t>
      </w:r>
      <w:r w:rsidRPr="00507E05">
        <w:rPr>
          <w:rStyle w:val="Strong"/>
          <w:rFonts w:cs="Calibri"/>
        </w:rPr>
        <w:t>13</w:t>
      </w:r>
      <w:r w:rsidRPr="00507E05">
        <w:rPr>
          <w:rFonts w:cs="Calibri"/>
        </w:rPr>
        <w:t xml:space="preserve"> (1), 50 (2023).</w:t>
      </w:r>
    </w:p>
    <w:p w14:paraId="49E1F7E3"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Caruso, G., Giammanco, A., Virruso, R., Fasciana, T. Current and future trends in the laboratory diagnosis of sexually transmitted infections. </w:t>
      </w:r>
      <w:r w:rsidRPr="00507E05">
        <w:rPr>
          <w:rStyle w:val="Emphasis"/>
          <w:rFonts w:cs="Calibri"/>
        </w:rPr>
        <w:t>Int J Environ Res Public Health.</w:t>
      </w:r>
      <w:r w:rsidRPr="00507E05">
        <w:rPr>
          <w:rFonts w:cs="Calibri"/>
        </w:rPr>
        <w:t xml:space="preserve"> </w:t>
      </w:r>
      <w:r w:rsidRPr="00507E05">
        <w:rPr>
          <w:rStyle w:val="Strong"/>
          <w:rFonts w:cs="Calibri"/>
        </w:rPr>
        <w:t>18</w:t>
      </w:r>
      <w:r w:rsidRPr="00507E05">
        <w:rPr>
          <w:rFonts w:cs="Calibri"/>
        </w:rPr>
        <w:t xml:space="preserve"> (3), 1038 (2021).</w:t>
      </w:r>
    </w:p>
    <w:p w14:paraId="7CEFA690" w14:textId="6E9B6E08"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Yang, J. L. et al. Comparison of an rRNA-based and DNA-based nucleic acid amplification test for the detection of Chlamydia trachomatis in trachoma. </w:t>
      </w:r>
      <w:r w:rsidRPr="00507E05">
        <w:rPr>
          <w:rStyle w:val="Emphasis"/>
          <w:rFonts w:cs="Calibri"/>
        </w:rPr>
        <w:t>Br J Ophthalmol.</w:t>
      </w:r>
      <w:r w:rsidRPr="00507E05">
        <w:rPr>
          <w:rFonts w:cs="Calibri"/>
        </w:rPr>
        <w:t xml:space="preserve"> </w:t>
      </w:r>
      <w:r w:rsidRPr="00507E05">
        <w:rPr>
          <w:rStyle w:val="Strong"/>
          <w:rFonts w:cs="Calibri"/>
        </w:rPr>
        <w:t>91</w:t>
      </w:r>
      <w:r w:rsidRPr="00507E05">
        <w:rPr>
          <w:rFonts w:cs="Calibri"/>
        </w:rPr>
        <w:t xml:space="preserve"> (3), 293–295 (2007).</w:t>
      </w:r>
    </w:p>
    <w:p w14:paraId="10D5E01F" w14:textId="65D86274"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Luo, Z. G., Li, R. P., Wang, Y. B., Shang, X. J., Zhu, J. Y. Real-time fluorescence constant-temperature simultaneous amplification and testing of nucleic acid for detection of Mycoplasma genitalium infection in the genitourinary tract. </w:t>
      </w:r>
      <w:r w:rsidRPr="00507E05">
        <w:rPr>
          <w:rStyle w:val="Emphasis"/>
          <w:rFonts w:cs="Calibri"/>
        </w:rPr>
        <w:t>Zhonghua Nan Ke Xue.</w:t>
      </w:r>
      <w:r w:rsidRPr="00507E05">
        <w:rPr>
          <w:rFonts w:cs="Calibri"/>
        </w:rPr>
        <w:t xml:space="preserve"> </w:t>
      </w:r>
      <w:r w:rsidRPr="00507E05">
        <w:rPr>
          <w:rStyle w:val="Strong"/>
          <w:rFonts w:cs="Calibri"/>
        </w:rPr>
        <w:t>25</w:t>
      </w:r>
      <w:r w:rsidRPr="00507E05">
        <w:rPr>
          <w:rFonts w:cs="Calibri"/>
        </w:rPr>
        <w:t xml:space="preserve"> (6), 535–538 (2019). Chinese.</w:t>
      </w:r>
    </w:p>
    <w:p w14:paraId="7803B7D6" w14:textId="77777777" w:rsidR="00B50884" w:rsidRPr="00507E05" w:rsidRDefault="00B50884" w:rsidP="00F501D0">
      <w:pPr>
        <w:pStyle w:val="NormalWeb"/>
        <w:widowControl/>
        <w:numPr>
          <w:ilvl w:val="0"/>
          <w:numId w:val="4"/>
        </w:numPr>
        <w:tabs>
          <w:tab w:val="clear" w:pos="720"/>
          <w:tab w:val="num" w:pos="426"/>
        </w:tabs>
        <w:spacing w:beforeAutospacing="0" w:afterAutospacing="0"/>
        <w:ind w:left="0" w:firstLine="0"/>
        <w:jc w:val="both"/>
        <w:rPr>
          <w:rFonts w:cs="Calibri"/>
        </w:rPr>
      </w:pPr>
      <w:r w:rsidRPr="00507E05">
        <w:rPr>
          <w:rFonts w:cs="Calibri"/>
        </w:rPr>
        <w:t xml:space="preserve">Zhang, T. et al. Light-up RNA aptamer signaling-CRISPR-Cas13a-based mix-and-read assays for profiling viable pathogenic bacteria. </w:t>
      </w:r>
      <w:r w:rsidRPr="00507E05">
        <w:rPr>
          <w:rStyle w:val="Emphasis"/>
          <w:rFonts w:cs="Calibri"/>
        </w:rPr>
        <w:t>Biosens Bioelectron.</w:t>
      </w:r>
      <w:r w:rsidRPr="00507E05">
        <w:rPr>
          <w:rFonts w:cs="Calibri"/>
        </w:rPr>
        <w:t xml:space="preserve"> </w:t>
      </w:r>
      <w:r w:rsidRPr="00507E05">
        <w:rPr>
          <w:rStyle w:val="Strong"/>
          <w:rFonts w:cs="Calibri"/>
        </w:rPr>
        <w:t>176</w:t>
      </w:r>
      <w:r w:rsidRPr="00507E05">
        <w:rPr>
          <w:rFonts w:cs="Calibri"/>
        </w:rPr>
        <w:t>, 112906 (2021).</w:t>
      </w:r>
    </w:p>
    <w:p w14:paraId="41B07DE2" w14:textId="77777777" w:rsidR="00B50884" w:rsidRPr="00507E05" w:rsidRDefault="00B50884" w:rsidP="00B50884"/>
    <w:bookmarkEnd w:id="1"/>
    <w:p w14:paraId="6FD76724" w14:textId="11C3DEE2" w:rsidR="00230057" w:rsidRPr="00507E05" w:rsidRDefault="00230057" w:rsidP="00F501D0">
      <w:pPr>
        <w:rPr>
          <w:lang w:eastAsia="zh-CN"/>
        </w:rPr>
      </w:pPr>
    </w:p>
    <w:sectPr w:rsidR="00230057" w:rsidRPr="00507E0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DA41" w14:textId="77777777" w:rsidR="00810A5C" w:rsidRDefault="00810A5C">
      <w:r>
        <w:separator/>
      </w:r>
    </w:p>
  </w:endnote>
  <w:endnote w:type="continuationSeparator" w:id="0">
    <w:p w14:paraId="1DF76665" w14:textId="77777777" w:rsidR="00810A5C" w:rsidRDefault="0081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7242" w14:textId="77777777" w:rsidR="00230057" w:rsidRDefault="00230057">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ED0F" w14:textId="77777777" w:rsidR="00810A5C" w:rsidRDefault="00810A5C">
      <w:r>
        <w:separator/>
      </w:r>
    </w:p>
  </w:footnote>
  <w:footnote w:type="continuationSeparator" w:id="0">
    <w:p w14:paraId="7542AF01" w14:textId="77777777" w:rsidR="00810A5C" w:rsidRDefault="0081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C9DF" w14:textId="77777777" w:rsidR="00230057" w:rsidRDefault="00230057">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473E" w14:textId="77777777" w:rsidR="00230057" w:rsidRDefault="00000000">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3DE" w14:textId="30A2AEAD" w:rsidR="00230057" w:rsidRDefault="00230057">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8E6A31"/>
    <w:multiLevelType w:val="multilevel"/>
    <w:tmpl w:val="ED4286D0"/>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b w:val="0"/>
        <w:bCs/>
        <w:sz w:val="24"/>
        <w:szCs w:val="24"/>
      </w:rPr>
    </w:lvl>
    <w:lvl w:ilvl="2">
      <w:start w:val="1"/>
      <w:numFmt w:val="decimal"/>
      <w:lvlText w:val="%1.%2.%3."/>
      <w:lvlJc w:val="left"/>
      <w:pPr>
        <w:ind w:left="1224" w:hanging="504"/>
      </w:pPr>
      <w:rPr>
        <w:rFonts w:ascii="Calibri" w:hAnsi="Calibri" w:cs="Calibri" w:hint="default"/>
        <w:b w:val="0"/>
        <w:bCs/>
        <w:sz w:val="24"/>
        <w:szCs w:val="24"/>
      </w:rPr>
    </w:lvl>
    <w:lvl w:ilvl="3">
      <w:start w:val="1"/>
      <w:numFmt w:val="decimal"/>
      <w:lvlText w:val="%1.%2.%3.%4."/>
      <w:lvlJc w:val="left"/>
      <w:pPr>
        <w:ind w:left="1728" w:hanging="648"/>
      </w:pPr>
      <w:rPr>
        <w:rFonts w:ascii="Calibri" w:hAnsi="Calibri" w:cs="Calibri" w:hint="default"/>
        <w:b w:val="0"/>
        <w:bCs/>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D82FEF2E"/>
    <w:multiLevelType w:val="singleLevel"/>
    <w:tmpl w:val="D82FEF2E"/>
    <w:lvl w:ilvl="0">
      <w:start w:val="1"/>
      <w:numFmt w:val="decimal"/>
      <w:suff w:val="space"/>
      <w:lvlText w:val="%1."/>
      <w:lvlJc w:val="left"/>
    </w:lvl>
  </w:abstractNum>
  <w:abstractNum w:abstractNumId="2" w15:restartNumberingAfterBreak="0">
    <w:nsid w:val="6EA61D11"/>
    <w:multiLevelType w:val="multilevel"/>
    <w:tmpl w:val="A772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902BE4"/>
    <w:multiLevelType w:val="multilevel"/>
    <w:tmpl w:val="73902BE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62326447">
    <w:abstractNumId w:val="0"/>
  </w:num>
  <w:num w:numId="2" w16cid:durableId="1256861153">
    <w:abstractNumId w:val="1"/>
  </w:num>
  <w:num w:numId="3" w16cid:durableId="1116363201">
    <w:abstractNumId w:val="3"/>
  </w:num>
  <w:num w:numId="4" w16cid:durableId="116997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kFAEbWoPktAAAA"/>
  </w:docVars>
  <w:rsids>
    <w:rsidRoot w:val="006E4797"/>
    <w:rsid w:val="0000515B"/>
    <w:rsid w:val="00011457"/>
    <w:rsid w:val="00013652"/>
    <w:rsid w:val="00024263"/>
    <w:rsid w:val="000252E5"/>
    <w:rsid w:val="00034DD1"/>
    <w:rsid w:val="00035296"/>
    <w:rsid w:val="00036878"/>
    <w:rsid w:val="000404FC"/>
    <w:rsid w:val="0004355D"/>
    <w:rsid w:val="00044195"/>
    <w:rsid w:val="00057B67"/>
    <w:rsid w:val="00061E0E"/>
    <w:rsid w:val="000621D4"/>
    <w:rsid w:val="000664E7"/>
    <w:rsid w:val="0007506F"/>
    <w:rsid w:val="00076815"/>
    <w:rsid w:val="00081F44"/>
    <w:rsid w:val="00082A5F"/>
    <w:rsid w:val="000A49E9"/>
    <w:rsid w:val="000B347F"/>
    <w:rsid w:val="000B41B6"/>
    <w:rsid w:val="000B7491"/>
    <w:rsid w:val="000C1E50"/>
    <w:rsid w:val="000D7698"/>
    <w:rsid w:val="000E2ABF"/>
    <w:rsid w:val="000E3F21"/>
    <w:rsid w:val="000E4C51"/>
    <w:rsid w:val="00110469"/>
    <w:rsid w:val="00111D32"/>
    <w:rsid w:val="001419F7"/>
    <w:rsid w:val="00147CBA"/>
    <w:rsid w:val="0015327B"/>
    <w:rsid w:val="0016247D"/>
    <w:rsid w:val="001624E4"/>
    <w:rsid w:val="00165DEB"/>
    <w:rsid w:val="00172A9D"/>
    <w:rsid w:val="00176318"/>
    <w:rsid w:val="00181A81"/>
    <w:rsid w:val="00186B9D"/>
    <w:rsid w:val="00193404"/>
    <w:rsid w:val="00193B10"/>
    <w:rsid w:val="00194C04"/>
    <w:rsid w:val="00194CE8"/>
    <w:rsid w:val="001959A2"/>
    <w:rsid w:val="001A1CA1"/>
    <w:rsid w:val="001B1733"/>
    <w:rsid w:val="001E0F91"/>
    <w:rsid w:val="001E47B3"/>
    <w:rsid w:val="001F3109"/>
    <w:rsid w:val="00210DD6"/>
    <w:rsid w:val="00211E88"/>
    <w:rsid w:val="00214319"/>
    <w:rsid w:val="00215102"/>
    <w:rsid w:val="00230057"/>
    <w:rsid w:val="0023296D"/>
    <w:rsid w:val="00232DDC"/>
    <w:rsid w:val="00242919"/>
    <w:rsid w:val="00252077"/>
    <w:rsid w:val="00261C10"/>
    <w:rsid w:val="00262992"/>
    <w:rsid w:val="00273EDD"/>
    <w:rsid w:val="002B63CC"/>
    <w:rsid w:val="002D14EA"/>
    <w:rsid w:val="002F2949"/>
    <w:rsid w:val="00302D91"/>
    <w:rsid w:val="00304483"/>
    <w:rsid w:val="0031658E"/>
    <w:rsid w:val="003212C7"/>
    <w:rsid w:val="00324001"/>
    <w:rsid w:val="0032687C"/>
    <w:rsid w:val="00334D24"/>
    <w:rsid w:val="00341DDE"/>
    <w:rsid w:val="00351087"/>
    <w:rsid w:val="003548DA"/>
    <w:rsid w:val="0036011C"/>
    <w:rsid w:val="0037056F"/>
    <w:rsid w:val="00370FD5"/>
    <w:rsid w:val="00387CDA"/>
    <w:rsid w:val="003A3352"/>
    <w:rsid w:val="003A5297"/>
    <w:rsid w:val="003D67E2"/>
    <w:rsid w:val="003E58EB"/>
    <w:rsid w:val="003F2EE0"/>
    <w:rsid w:val="0040579A"/>
    <w:rsid w:val="00412B16"/>
    <w:rsid w:val="00414ADE"/>
    <w:rsid w:val="00422AE2"/>
    <w:rsid w:val="0042600E"/>
    <w:rsid w:val="004361C8"/>
    <w:rsid w:val="00436F4D"/>
    <w:rsid w:val="00445496"/>
    <w:rsid w:val="004620C9"/>
    <w:rsid w:val="0046664E"/>
    <w:rsid w:val="004673A3"/>
    <w:rsid w:val="004939EE"/>
    <w:rsid w:val="004969D3"/>
    <w:rsid w:val="004A6320"/>
    <w:rsid w:val="004B6204"/>
    <w:rsid w:val="004C0985"/>
    <w:rsid w:val="004C1388"/>
    <w:rsid w:val="004D362E"/>
    <w:rsid w:val="004F45F6"/>
    <w:rsid w:val="004F5B8B"/>
    <w:rsid w:val="004F6AD9"/>
    <w:rsid w:val="005027E9"/>
    <w:rsid w:val="00507E05"/>
    <w:rsid w:val="00513CCF"/>
    <w:rsid w:val="00516914"/>
    <w:rsid w:val="00517717"/>
    <w:rsid w:val="00551D82"/>
    <w:rsid w:val="005578B5"/>
    <w:rsid w:val="005734D7"/>
    <w:rsid w:val="00573F5F"/>
    <w:rsid w:val="00575E55"/>
    <w:rsid w:val="00585BF5"/>
    <w:rsid w:val="00594BE8"/>
    <w:rsid w:val="005A2F81"/>
    <w:rsid w:val="005A637B"/>
    <w:rsid w:val="005B2A16"/>
    <w:rsid w:val="005E1EE7"/>
    <w:rsid w:val="00604100"/>
    <w:rsid w:val="006118BD"/>
    <w:rsid w:val="00615035"/>
    <w:rsid w:val="00622578"/>
    <w:rsid w:val="006239A1"/>
    <w:rsid w:val="00634672"/>
    <w:rsid w:val="00640284"/>
    <w:rsid w:val="006566C7"/>
    <w:rsid w:val="006755EE"/>
    <w:rsid w:val="00677DF0"/>
    <w:rsid w:val="006824BF"/>
    <w:rsid w:val="00685838"/>
    <w:rsid w:val="006D34AC"/>
    <w:rsid w:val="006E42A9"/>
    <w:rsid w:val="006E4797"/>
    <w:rsid w:val="006E7C64"/>
    <w:rsid w:val="006F0D0C"/>
    <w:rsid w:val="00701EBB"/>
    <w:rsid w:val="00702ADE"/>
    <w:rsid w:val="0070444F"/>
    <w:rsid w:val="007136E8"/>
    <w:rsid w:val="00714BE0"/>
    <w:rsid w:val="00736371"/>
    <w:rsid w:val="00741302"/>
    <w:rsid w:val="007510AD"/>
    <w:rsid w:val="00751D3D"/>
    <w:rsid w:val="00752C76"/>
    <w:rsid w:val="007935C3"/>
    <w:rsid w:val="007A05DB"/>
    <w:rsid w:val="007A4BBA"/>
    <w:rsid w:val="007B488F"/>
    <w:rsid w:val="007B72A4"/>
    <w:rsid w:val="007C0ED5"/>
    <w:rsid w:val="007C46F7"/>
    <w:rsid w:val="007D47D3"/>
    <w:rsid w:val="007D6BE0"/>
    <w:rsid w:val="007E0F74"/>
    <w:rsid w:val="007F13E9"/>
    <w:rsid w:val="007F2030"/>
    <w:rsid w:val="00800414"/>
    <w:rsid w:val="0080096A"/>
    <w:rsid w:val="008013D6"/>
    <w:rsid w:val="00807176"/>
    <w:rsid w:val="00807402"/>
    <w:rsid w:val="00810A5C"/>
    <w:rsid w:val="00815BB2"/>
    <w:rsid w:val="00831786"/>
    <w:rsid w:val="00833B96"/>
    <w:rsid w:val="008425A4"/>
    <w:rsid w:val="008425E7"/>
    <w:rsid w:val="00844A9E"/>
    <w:rsid w:val="008461C6"/>
    <w:rsid w:val="008470CE"/>
    <w:rsid w:val="0085421A"/>
    <w:rsid w:val="0085548D"/>
    <w:rsid w:val="0086729E"/>
    <w:rsid w:val="00873E38"/>
    <w:rsid w:val="00876032"/>
    <w:rsid w:val="00876F15"/>
    <w:rsid w:val="008879B1"/>
    <w:rsid w:val="00892B02"/>
    <w:rsid w:val="008A4859"/>
    <w:rsid w:val="008B2D50"/>
    <w:rsid w:val="008B35D2"/>
    <w:rsid w:val="008B4226"/>
    <w:rsid w:val="008D09D6"/>
    <w:rsid w:val="008D1083"/>
    <w:rsid w:val="008D293E"/>
    <w:rsid w:val="008E19AC"/>
    <w:rsid w:val="008E25F6"/>
    <w:rsid w:val="008E4252"/>
    <w:rsid w:val="008F4349"/>
    <w:rsid w:val="00900580"/>
    <w:rsid w:val="00905B5F"/>
    <w:rsid w:val="009149B3"/>
    <w:rsid w:val="00914C11"/>
    <w:rsid w:val="00917D4F"/>
    <w:rsid w:val="009269E8"/>
    <w:rsid w:val="009271F9"/>
    <w:rsid w:val="009409EA"/>
    <w:rsid w:val="009434D8"/>
    <w:rsid w:val="00960A30"/>
    <w:rsid w:val="00963173"/>
    <w:rsid w:val="0096645C"/>
    <w:rsid w:val="00966D56"/>
    <w:rsid w:val="00986D9E"/>
    <w:rsid w:val="00994F50"/>
    <w:rsid w:val="009A37C4"/>
    <w:rsid w:val="009B27A7"/>
    <w:rsid w:val="009B2BA0"/>
    <w:rsid w:val="009C650A"/>
    <w:rsid w:val="009D13A1"/>
    <w:rsid w:val="009D2882"/>
    <w:rsid w:val="009D40C3"/>
    <w:rsid w:val="009E7842"/>
    <w:rsid w:val="00A01189"/>
    <w:rsid w:val="00A1684A"/>
    <w:rsid w:val="00A27B46"/>
    <w:rsid w:val="00A61636"/>
    <w:rsid w:val="00A624BE"/>
    <w:rsid w:val="00A858E3"/>
    <w:rsid w:val="00AB0F43"/>
    <w:rsid w:val="00AB4038"/>
    <w:rsid w:val="00AD31E4"/>
    <w:rsid w:val="00AF1071"/>
    <w:rsid w:val="00B07FBB"/>
    <w:rsid w:val="00B50884"/>
    <w:rsid w:val="00B56D16"/>
    <w:rsid w:val="00B66177"/>
    <w:rsid w:val="00B70ECF"/>
    <w:rsid w:val="00B80274"/>
    <w:rsid w:val="00B81064"/>
    <w:rsid w:val="00B87681"/>
    <w:rsid w:val="00BD3767"/>
    <w:rsid w:val="00BE22A2"/>
    <w:rsid w:val="00BE2769"/>
    <w:rsid w:val="00BF6BAA"/>
    <w:rsid w:val="00C11D93"/>
    <w:rsid w:val="00C17612"/>
    <w:rsid w:val="00C20A47"/>
    <w:rsid w:val="00C27C71"/>
    <w:rsid w:val="00C3124D"/>
    <w:rsid w:val="00C35DF0"/>
    <w:rsid w:val="00C366E0"/>
    <w:rsid w:val="00C4180D"/>
    <w:rsid w:val="00C43613"/>
    <w:rsid w:val="00C51ACD"/>
    <w:rsid w:val="00C550F3"/>
    <w:rsid w:val="00C652D8"/>
    <w:rsid w:val="00C66116"/>
    <w:rsid w:val="00C710AA"/>
    <w:rsid w:val="00C739D6"/>
    <w:rsid w:val="00C875D1"/>
    <w:rsid w:val="00C910CB"/>
    <w:rsid w:val="00CB1713"/>
    <w:rsid w:val="00CB1783"/>
    <w:rsid w:val="00CB7FA9"/>
    <w:rsid w:val="00CC17E3"/>
    <w:rsid w:val="00CD504F"/>
    <w:rsid w:val="00CE7EA4"/>
    <w:rsid w:val="00CF2D74"/>
    <w:rsid w:val="00D07A90"/>
    <w:rsid w:val="00D16EDD"/>
    <w:rsid w:val="00D21CF9"/>
    <w:rsid w:val="00D2510B"/>
    <w:rsid w:val="00D3465C"/>
    <w:rsid w:val="00D45048"/>
    <w:rsid w:val="00D47F9A"/>
    <w:rsid w:val="00D5339A"/>
    <w:rsid w:val="00D55B5A"/>
    <w:rsid w:val="00D57F1F"/>
    <w:rsid w:val="00D661BB"/>
    <w:rsid w:val="00D77AE8"/>
    <w:rsid w:val="00D86D57"/>
    <w:rsid w:val="00D87F5F"/>
    <w:rsid w:val="00D959E7"/>
    <w:rsid w:val="00DA154A"/>
    <w:rsid w:val="00DA3C5C"/>
    <w:rsid w:val="00DB6CAC"/>
    <w:rsid w:val="00DC0E61"/>
    <w:rsid w:val="00DC18A7"/>
    <w:rsid w:val="00DD0D2A"/>
    <w:rsid w:val="00DD3268"/>
    <w:rsid w:val="00DD3647"/>
    <w:rsid w:val="00DD7BEF"/>
    <w:rsid w:val="00DE2EBC"/>
    <w:rsid w:val="00DE7F4D"/>
    <w:rsid w:val="00DF2535"/>
    <w:rsid w:val="00DF2591"/>
    <w:rsid w:val="00DF2B7B"/>
    <w:rsid w:val="00E03054"/>
    <w:rsid w:val="00E10E75"/>
    <w:rsid w:val="00E20C8B"/>
    <w:rsid w:val="00E25809"/>
    <w:rsid w:val="00E27DBF"/>
    <w:rsid w:val="00E30366"/>
    <w:rsid w:val="00E32387"/>
    <w:rsid w:val="00E3697E"/>
    <w:rsid w:val="00E401D5"/>
    <w:rsid w:val="00E611FC"/>
    <w:rsid w:val="00E64A16"/>
    <w:rsid w:val="00E843CA"/>
    <w:rsid w:val="00E930DF"/>
    <w:rsid w:val="00EB1E68"/>
    <w:rsid w:val="00EB61D1"/>
    <w:rsid w:val="00EC0649"/>
    <w:rsid w:val="00EC10E1"/>
    <w:rsid w:val="00EC57F0"/>
    <w:rsid w:val="00F00A48"/>
    <w:rsid w:val="00F05B51"/>
    <w:rsid w:val="00F17C3B"/>
    <w:rsid w:val="00F22FB1"/>
    <w:rsid w:val="00F23424"/>
    <w:rsid w:val="00F36869"/>
    <w:rsid w:val="00F41DE1"/>
    <w:rsid w:val="00F436C2"/>
    <w:rsid w:val="00F437ED"/>
    <w:rsid w:val="00F501D0"/>
    <w:rsid w:val="00F643BF"/>
    <w:rsid w:val="00F72213"/>
    <w:rsid w:val="00F74E50"/>
    <w:rsid w:val="00F87642"/>
    <w:rsid w:val="00FA3B53"/>
    <w:rsid w:val="00FA6C9C"/>
    <w:rsid w:val="00FB314E"/>
    <w:rsid w:val="02725803"/>
    <w:rsid w:val="02C752B4"/>
    <w:rsid w:val="03323B79"/>
    <w:rsid w:val="038C37DA"/>
    <w:rsid w:val="0522063C"/>
    <w:rsid w:val="05E34317"/>
    <w:rsid w:val="08092B61"/>
    <w:rsid w:val="0BFB43C6"/>
    <w:rsid w:val="0CE37E92"/>
    <w:rsid w:val="0D664BDB"/>
    <w:rsid w:val="12BD7039"/>
    <w:rsid w:val="17F47A5C"/>
    <w:rsid w:val="18616381"/>
    <w:rsid w:val="1BFB4D43"/>
    <w:rsid w:val="1C77106E"/>
    <w:rsid w:val="1E9E56FE"/>
    <w:rsid w:val="1EE6152D"/>
    <w:rsid w:val="1FFF54AE"/>
    <w:rsid w:val="27394F3C"/>
    <w:rsid w:val="2A1462F8"/>
    <w:rsid w:val="2A4B0693"/>
    <w:rsid w:val="2BBE4A4A"/>
    <w:rsid w:val="2E0A2728"/>
    <w:rsid w:val="2E55143B"/>
    <w:rsid w:val="30EA713A"/>
    <w:rsid w:val="312B6AA6"/>
    <w:rsid w:val="315E4034"/>
    <w:rsid w:val="337D0BE2"/>
    <w:rsid w:val="34D21B10"/>
    <w:rsid w:val="36A52DAB"/>
    <w:rsid w:val="38670E83"/>
    <w:rsid w:val="3A186442"/>
    <w:rsid w:val="3A7742B0"/>
    <w:rsid w:val="3C643411"/>
    <w:rsid w:val="43D40B29"/>
    <w:rsid w:val="44C0118A"/>
    <w:rsid w:val="46043292"/>
    <w:rsid w:val="49B4454C"/>
    <w:rsid w:val="4AAC2948"/>
    <w:rsid w:val="4FB53601"/>
    <w:rsid w:val="595D4A51"/>
    <w:rsid w:val="59930F10"/>
    <w:rsid w:val="5C796DC6"/>
    <w:rsid w:val="5DCC40EB"/>
    <w:rsid w:val="5E170FB8"/>
    <w:rsid w:val="5F554EA4"/>
    <w:rsid w:val="60E06607"/>
    <w:rsid w:val="66D9649F"/>
    <w:rsid w:val="69D74901"/>
    <w:rsid w:val="6A4D48DE"/>
    <w:rsid w:val="6BD72EF4"/>
    <w:rsid w:val="6C8C5B38"/>
    <w:rsid w:val="6CEC067A"/>
    <w:rsid w:val="707F4CDA"/>
    <w:rsid w:val="769F4177"/>
    <w:rsid w:val="7A7F0CBF"/>
    <w:rsid w:val="7BFF152F"/>
    <w:rsid w:val="7CD10179"/>
    <w:rsid w:val="7D842E0A"/>
    <w:rsid w:val="7F38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4CBBA"/>
  <w15:docId w15:val="{CE1E144D-3C72-4531-AB43-3B7AB00C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qFormat/>
    <w:pPr>
      <w:spacing w:beforeAutospacing="1" w:afterAutospacing="1"/>
      <w:jc w:val="left"/>
    </w:pPr>
    <w:rPr>
      <w:rFonts w:cs="Times New Roman"/>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paragraph" w:customStyle="1" w:styleId="10">
    <w:name w:val="修订1"/>
    <w:hidden/>
    <w:uiPriority w:val="99"/>
    <w:semiHidden/>
    <w:qFormat/>
    <w:rPr>
      <w:rFonts w:ascii="Calibri" w:eastAsia="Calibri" w:hAnsi="Calibri" w:cs="Calibri"/>
      <w:sz w:val="24"/>
      <w:szCs w:val="24"/>
      <w:lang w:eastAsia="en-US"/>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character" w:customStyle="1" w:styleId="font11">
    <w:name w:val="font11"/>
    <w:basedOn w:val="DefaultParagraphFont"/>
    <w:qFormat/>
    <w:rPr>
      <w:rFonts w:ascii="DengXian" w:eastAsia="DengXian" w:hAnsi="DengXian" w:cs="DengXian" w:hint="eastAsia"/>
      <w:b/>
      <w:bCs/>
      <w:color w:val="000000"/>
      <w:sz w:val="22"/>
      <w:szCs w:val="22"/>
      <w:u w:val="none"/>
    </w:rPr>
  </w:style>
  <w:style w:type="character" w:customStyle="1" w:styleId="font21">
    <w:name w:val="font21"/>
    <w:basedOn w:val="DefaultParagraphFont"/>
    <w:qFormat/>
    <w:rPr>
      <w:rFonts w:ascii="DengXian" w:eastAsia="DengXian" w:hAnsi="DengXian" w:cs="DengXian" w:hint="eastAsia"/>
      <w:b/>
      <w:bCs/>
      <w:i/>
      <w:iCs/>
      <w:color w:val="000000"/>
      <w:sz w:val="22"/>
      <w:szCs w:val="22"/>
      <w:u w:val="none"/>
    </w:rPr>
  </w:style>
  <w:style w:type="character" w:customStyle="1" w:styleId="font31">
    <w:name w:val="font31"/>
    <w:basedOn w:val="DefaultParagraphFont"/>
    <w:qFormat/>
    <w:rPr>
      <w:rFonts w:ascii="DengXian" w:eastAsia="DengXian" w:hAnsi="DengXian" w:cs="DengXian" w:hint="eastAsia"/>
      <w:color w:val="000000"/>
      <w:sz w:val="22"/>
      <w:szCs w:val="22"/>
      <w:u w:val="none"/>
    </w:rPr>
  </w:style>
  <w:style w:type="character" w:customStyle="1" w:styleId="font01">
    <w:name w:val="font01"/>
    <w:basedOn w:val="DefaultParagraphFont"/>
    <w:qFormat/>
    <w:rPr>
      <w:rFonts w:ascii="DengXian" w:eastAsia="DengXian" w:hAnsi="DengXian" w:cs="DengXian" w:hint="eastAsia"/>
      <w:b/>
      <w:bCs/>
      <w:i/>
      <w:iCs/>
      <w:color w:val="000000"/>
      <w:sz w:val="22"/>
      <w:szCs w:val="22"/>
      <w:u w:val="none"/>
    </w:rPr>
  </w:style>
  <w:style w:type="paragraph" w:styleId="Revision">
    <w:name w:val="Revision"/>
    <w:hidden/>
    <w:uiPriority w:val="99"/>
    <w:unhideWhenUsed/>
    <w:rsid w:val="006118B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679A18A-2458-43BE-9BAB-E7B8182A20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5198</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Amit Krishnan</cp:lastModifiedBy>
  <cp:revision>20</cp:revision>
  <dcterms:created xsi:type="dcterms:W3CDTF">2025-05-22T18:36:00Z</dcterms:created>
  <dcterms:modified xsi:type="dcterms:W3CDTF">2025-05-22T19:52:00Z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2052-11.8.2.11019</vt:lpwstr>
  </property>
  <property fmtid="{D5CDD505-2E9C-101B-9397-08002B2CF9AE}" pid="4" name="ICV">
    <vt:lpwstr>6CB213AB3B9747E88D36F74978B24CDD</vt:lpwstr>
  </property>
</Properties>
</file>