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FAB8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5D9C">
        <w:rPr>
          <w:rFonts w:eastAsia="Times New Roman" w:cstheme="minorHAnsi"/>
          <w:b/>
        </w:rPr>
        <w:t>68391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13BC81CE" w14:textId="4DA1E999" w:rsidR="00105D9C" w:rsidRDefault="004E0C5A" w:rsidP="004E0C5A">
      <w:pPr>
        <w:outlineLvl w:val="0"/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77A9D" w:rsidRPr="00A53FE8">
          <w:rPr>
            <w:rStyle w:val="Hyperlink"/>
          </w:rPr>
          <w:t>https://review.jove.com/account/file-uploader?src=20859303</w:t>
        </w:r>
      </w:hyperlink>
    </w:p>
    <w:p w14:paraId="7CE5DEDA" w14:textId="77777777" w:rsidR="00977A9D" w:rsidRDefault="00977A9D" w:rsidP="004E0C5A">
      <w:pPr>
        <w:outlineLvl w:val="0"/>
        <w:rPr>
          <w:rFonts w:eastAsia="Times New Roman" w:cstheme="minorHAnsi"/>
          <w:b/>
        </w:rPr>
      </w:pPr>
    </w:p>
    <w:p w14:paraId="21C1C0EE" w14:textId="77777777" w:rsidR="00105D9C" w:rsidRPr="00B07A3B" w:rsidRDefault="00105D9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6718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02E6" w:rsidRPr="000902E6">
        <w:rPr>
          <w:rStyle w:val="ArticleTitle"/>
          <w:rFonts w:cstheme="minorHAnsi"/>
        </w:rPr>
        <w:t>An Olfactory Preference Test for Measuring Olfactory Hedonic Biases in Mouse Models of Depression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34D9D2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lang w:val="fr-FR"/>
        </w:rPr>
        <w:t>Claire-Hélène de Badts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1,2*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Gilles Gheusi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Pierre-Marie Lledo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Mariana Alonso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</w:p>
    <w:p w14:paraId="6393A502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22E1984" w14:textId="77251460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Institut Pasteur, Université Paris Cité, Centre National de la Recherche Scientifique, Unité Mixte de Recherche 3571, Perception and Action Unit</w:t>
      </w:r>
    </w:p>
    <w:p w14:paraId="2D95A3F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Ecole Doctorale 158 - Cerveau, Cognition, Comportement, Université Paris Cité.</w:t>
      </w:r>
    </w:p>
    <w:p w14:paraId="60C0DBE1" w14:textId="58C9E7B9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 xml:space="preserve">Laboratoire d’Ethologie Expérimentale et Comparée – UR 4443, Université Sorbonne Paris Nord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9C7F85" w14:textId="77777777" w:rsidR="000902E6" w:rsidRPr="000902E6" w:rsidRDefault="000902E6" w:rsidP="000902E6">
      <w:pPr>
        <w:outlineLvl w:val="0"/>
        <w:rPr>
          <w:rFonts w:eastAsia="Times New Roman" w:cstheme="minorHAnsi"/>
        </w:rPr>
      </w:pPr>
      <w:bookmarkStart w:id="0" w:name="_Hlk25233958"/>
      <w:r w:rsidRPr="000902E6">
        <w:rPr>
          <w:rFonts w:eastAsia="Times New Roman" w:cstheme="minorHAnsi"/>
        </w:rPr>
        <w:t xml:space="preserve">Claire-Hélène de </w:t>
      </w:r>
      <w:proofErr w:type="spellStart"/>
      <w:r w:rsidRPr="000902E6">
        <w:rPr>
          <w:rFonts w:eastAsia="Times New Roman" w:cstheme="minorHAnsi"/>
        </w:rPr>
        <w:t>Badts</w:t>
      </w:r>
      <w:proofErr w:type="spellEnd"/>
      <w:r w:rsidRPr="000902E6">
        <w:rPr>
          <w:rFonts w:eastAsia="Times New Roman" w:cstheme="minorHAnsi"/>
        </w:rPr>
        <w:tab/>
        <w:t>(claire-helene.de-badts@pasteur.fr)</w:t>
      </w:r>
    </w:p>
    <w:p w14:paraId="5196A52A" w14:textId="18D4CA0A" w:rsidR="004E0C5A" w:rsidRDefault="000902E6" w:rsidP="000902E6">
      <w:pPr>
        <w:outlineLvl w:val="0"/>
        <w:rPr>
          <w:rFonts w:eastAsia="Times New Roman" w:cstheme="minorHAnsi"/>
        </w:rPr>
      </w:pPr>
      <w:r w:rsidRPr="000902E6">
        <w:rPr>
          <w:rFonts w:eastAsia="Times New Roman" w:cstheme="minorHAnsi"/>
        </w:rPr>
        <w:t>Mariana Alonso</w:t>
      </w:r>
      <w:r w:rsidRPr="000902E6">
        <w:rPr>
          <w:rFonts w:eastAsia="Times New Roman" w:cstheme="minorHAnsi"/>
        </w:rPr>
        <w:tab/>
      </w:r>
      <w:r w:rsidRPr="000902E6">
        <w:rPr>
          <w:rFonts w:eastAsia="Times New Roman" w:cstheme="minorHAnsi"/>
        </w:rPr>
        <w:tab/>
        <w:t>(mariana.alonso@pasteur.fr)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57A85E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 xml:space="preserve">Claire-Hélène de </w:t>
      </w:r>
      <w:proofErr w:type="spellStart"/>
      <w:r w:rsidRPr="000543E6">
        <w:rPr>
          <w:rFonts w:ascii="Calibri" w:eastAsia="Times New Roman" w:hAnsi="Calibri" w:cs="Calibri"/>
        </w:rPr>
        <w:t>Badts</w:t>
      </w:r>
      <w:proofErr w:type="spellEnd"/>
      <w:r w:rsidRPr="000543E6">
        <w:rPr>
          <w:rFonts w:ascii="Calibri" w:eastAsia="Times New Roman" w:hAnsi="Calibri" w:cs="Calibri"/>
        </w:rPr>
        <w:tab/>
        <w:t>(claire-helene.de-badts@pasteur.fr)</w:t>
      </w:r>
    </w:p>
    <w:p w14:paraId="38461581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 xml:space="preserve">Gilles </w:t>
      </w:r>
      <w:proofErr w:type="spellStart"/>
      <w:r w:rsidRPr="000543E6">
        <w:rPr>
          <w:rFonts w:ascii="Calibri" w:eastAsia="Times New Roman" w:hAnsi="Calibri" w:cs="Calibri"/>
        </w:rPr>
        <w:t>Gheusi</w:t>
      </w:r>
      <w:proofErr w:type="spellEnd"/>
      <w:r w:rsidRPr="000543E6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(gilles.gheusi@pasteur.fr)</w:t>
      </w:r>
    </w:p>
    <w:p w14:paraId="165948A3" w14:textId="61DAB710" w:rsidR="000902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Pierre-Marie Lledo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(pierre-marie.lledo@pasteur.fr)</w:t>
      </w:r>
    </w:p>
    <w:p w14:paraId="5BE2E39B" w14:textId="5E344574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Mariana Alonso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(mariana.alonso@pasteur.fr)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B2F63C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82C3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82C3B">
        <w:rPr>
          <w:rFonts w:cstheme="minorHAnsi"/>
          <w:highlight w:val="yellow"/>
        </w:rPr>
        <w:t>screen-captured</w:t>
      </w:r>
      <w:r w:rsidRPr="00F82C3B">
        <w:rPr>
          <w:rFonts w:cstheme="minorHAnsi"/>
          <w:highlight w:val="yellow"/>
        </w:rPr>
        <w:t xml:space="preserve"> video files to your project page as soon as possible</w:t>
      </w:r>
      <w:r w:rsidR="00F82C3B" w:rsidRPr="00F82C3B">
        <w:rPr>
          <w:rFonts w:cstheme="minorHAnsi"/>
          <w:highlight w:val="yellow"/>
        </w:rPr>
        <w:t>:</w:t>
      </w:r>
      <w:r w:rsidR="00F82C3B" w:rsidRPr="00F82C3B">
        <w:rPr>
          <w:highlight w:val="yellow"/>
        </w:rPr>
        <w:t xml:space="preserve"> </w:t>
      </w:r>
      <w:hyperlink r:id="rId10" w:history="1">
        <w:r w:rsidR="00F82C3B" w:rsidRPr="00F82C3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46AA">
        <w:rPr>
          <w:rFonts w:cstheme="minorHAnsi"/>
          <w:b/>
          <w:sz w:val="22"/>
          <w:szCs w:val="22"/>
        </w:rPr>
        <w:t>Length</w:t>
      </w:r>
    </w:p>
    <w:p w14:paraId="72F5C5E6" w14:textId="0B051D3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B46AA">
        <w:rPr>
          <w:rFonts w:cstheme="minorHAnsi"/>
          <w:bCs/>
          <w:sz w:val="22"/>
          <w:szCs w:val="22"/>
        </w:rPr>
        <w:t>16</w:t>
      </w:r>
    </w:p>
    <w:p w14:paraId="5AAC9C6C" w14:textId="6D45C5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46AA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141B17" w:rsidR="00FF25E5" w:rsidRPr="000902E6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  <w:r w:rsidR="000902E6">
        <w:rPr>
          <w:rFonts w:eastAsia="Times New Roman" w:cstheme="minorHAnsi"/>
        </w:rPr>
        <w:br/>
      </w:r>
      <w:r w:rsidR="000902E6">
        <w:rPr>
          <w:rFonts w:eastAsia="Times New Roman" w:cstheme="minorHAnsi"/>
        </w:rPr>
        <w:br/>
      </w:r>
      <w:r w:rsidR="000902E6" w:rsidRPr="000902E6">
        <w:rPr>
          <w:rFonts w:eastAsia="Times New Roman" w:cstheme="minorHAnsi"/>
          <w:b/>
          <w:bCs/>
          <w:highlight w:val="yellow"/>
        </w:rPr>
        <w:t>AUTHORS: Please provide the above information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B84F6FB" w:rsidR="00CE10F2" w:rsidRDefault="00F82C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2C3B">
        <w:rPr>
          <w:rFonts w:cstheme="minorHAnsi"/>
          <w:b/>
          <w:bCs/>
        </w:rPr>
        <w:t>Mouse Odor Preference Test to Measure Negative Bias in Depression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214B73" w14:textId="207062A5" w:rsidR="0015172E" w:rsidRDefault="0015172E" w:rsidP="0015172E">
      <w:pPr>
        <w:pStyle w:val="Narration"/>
        <w:numPr>
          <w:ilvl w:val="1"/>
          <w:numId w:val="3"/>
        </w:numPr>
      </w:pPr>
      <w:r>
        <w:t xml:space="preserve">To begin, prepare the experimental setup using a two-compartment arena measuring 45 centimeters by 50 centimeters by 25 centimeters, with grey </w:t>
      </w:r>
      <w:proofErr w:type="spellStart"/>
      <w:r>
        <w:t>plexiglas</w:t>
      </w:r>
      <w:proofErr w:type="spellEnd"/>
      <w:r>
        <w:t xml:space="preserve"> walls and a white floor</w:t>
      </w:r>
      <w:r w:rsidR="00FB248C">
        <w:t xml:space="preserve"> </w:t>
      </w:r>
      <w:r w:rsidR="00FB248C">
        <w:rPr>
          <w:b/>
          <w:bCs/>
        </w:rPr>
        <w:t>[1]</w:t>
      </w:r>
      <w:r>
        <w:t xml:space="preserve">. Divide the arena into two equal compartments of 25 centimeters by 45 centimeters using a grey </w:t>
      </w:r>
      <w:proofErr w:type="spellStart"/>
      <w:r>
        <w:t>plexiglas</w:t>
      </w:r>
      <w:proofErr w:type="spellEnd"/>
      <w:r>
        <w:t xml:space="preserve"> wall measuring 37 centimeters by 25 centimeters </w:t>
      </w:r>
      <w:r w:rsidRPr="0051438D">
        <w:rPr>
          <w:b/>
        </w:rPr>
        <w:t>[</w:t>
      </w:r>
      <w:r w:rsidR="00FB248C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2958BADB" w14:textId="77777777" w:rsidR="00FB248C" w:rsidRDefault="0015172E" w:rsidP="0015172E">
      <w:pPr>
        <w:pStyle w:val="ShotDescription"/>
        <w:numPr>
          <w:ilvl w:val="2"/>
          <w:numId w:val="3"/>
        </w:numPr>
      </w:pPr>
      <w:r>
        <w:t>WIDE: Talent assembling the two-compartment arena, showing the measurements</w:t>
      </w:r>
      <w:r w:rsidR="00FB248C">
        <w:t>.</w:t>
      </w:r>
    </w:p>
    <w:p w14:paraId="5B584AA6" w14:textId="2473B334" w:rsidR="0015172E" w:rsidRDefault="00FB248C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>plac</w:t>
      </w:r>
      <w:r>
        <w:t>ing</w:t>
      </w:r>
      <w:r w:rsidR="0015172E">
        <w:t xml:space="preserve"> the central grey </w:t>
      </w:r>
      <w:proofErr w:type="spellStart"/>
      <w:r w:rsidR="0015172E">
        <w:t>plexiglas</w:t>
      </w:r>
      <w:proofErr w:type="spellEnd"/>
      <w:r w:rsidR="0015172E">
        <w:t xml:space="preserve"> divider.</w:t>
      </w:r>
    </w:p>
    <w:p w14:paraId="6534B445" w14:textId="77777777" w:rsidR="0015172E" w:rsidRDefault="0015172E" w:rsidP="0015172E"/>
    <w:p w14:paraId="1096A7B9" w14:textId="3CE22E6F" w:rsidR="0015172E" w:rsidRDefault="0015172E" w:rsidP="00FB248C">
      <w:pPr>
        <w:pStyle w:val="Narration"/>
        <w:numPr>
          <w:ilvl w:val="1"/>
          <w:numId w:val="3"/>
        </w:numPr>
      </w:pPr>
      <w:r>
        <w:t xml:space="preserve">Place a perforated Petri dish at the bottom of the dividing wall in each compartment </w:t>
      </w:r>
      <w:r w:rsidRPr="0051438D">
        <w:rPr>
          <w:b/>
        </w:rPr>
        <w:t>[1]</w:t>
      </w:r>
      <w:r>
        <w:t>.</w:t>
      </w:r>
      <w:r w:rsidR="00FB248C" w:rsidRPr="00FB248C">
        <w:t xml:space="preserve"> </w:t>
      </w:r>
      <w:r w:rsidR="00FB248C">
        <w:t xml:space="preserve">Then use dual-sided adhesive to fixate each Petri dish vertically onto the wall of the arena </w:t>
      </w:r>
      <w:r w:rsidR="00FB248C" w:rsidRPr="0051438D">
        <w:rPr>
          <w:b/>
        </w:rPr>
        <w:t>[</w:t>
      </w:r>
      <w:r w:rsidR="00FB248C">
        <w:rPr>
          <w:b/>
        </w:rPr>
        <w:t>2</w:t>
      </w:r>
      <w:r w:rsidR="00FB248C" w:rsidRPr="0051438D">
        <w:rPr>
          <w:b/>
        </w:rPr>
        <w:t>]</w:t>
      </w:r>
      <w:r w:rsidR="00FB248C">
        <w:t>.</w:t>
      </w:r>
    </w:p>
    <w:p w14:paraId="3829E977" w14:textId="77B106C5" w:rsidR="0015172E" w:rsidRDefault="0015172E" w:rsidP="0015172E">
      <w:pPr>
        <w:pStyle w:val="ShotDescription"/>
        <w:numPr>
          <w:ilvl w:val="2"/>
          <w:numId w:val="3"/>
        </w:numPr>
      </w:pPr>
      <w:r>
        <w:t>Talent placing one perforated Petri dish in each compartment, aligning them against the central wall.</w:t>
      </w:r>
    </w:p>
    <w:p w14:paraId="3AEE5292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applying adhesive and securing each Petri dish vertically onto the </w:t>
      </w:r>
      <w:proofErr w:type="spellStart"/>
      <w:r>
        <w:t>plexiglas</w:t>
      </w:r>
      <w:proofErr w:type="spellEnd"/>
      <w:r>
        <w:t xml:space="preserve"> divider.</w:t>
      </w:r>
    </w:p>
    <w:p w14:paraId="63E28ACC" w14:textId="77777777" w:rsidR="0015172E" w:rsidRDefault="0015172E" w:rsidP="0015172E"/>
    <w:p w14:paraId="0F62ABE6" w14:textId="0ACA0495" w:rsidR="0015172E" w:rsidRDefault="00FB248C" w:rsidP="00FB248C">
      <w:pPr>
        <w:pStyle w:val="Narration"/>
        <w:numPr>
          <w:ilvl w:val="1"/>
          <w:numId w:val="3"/>
        </w:numPr>
      </w:pPr>
      <w:r>
        <w:t>Next, p</w:t>
      </w:r>
      <w:r w:rsidR="0015172E">
        <w:t xml:space="preserve">osition a camera two meters above the arena to record the behavior of the </w:t>
      </w:r>
      <w:r w:rsidR="0015172E">
        <w:lastRenderedPageBreak/>
        <w:t xml:space="preserve">animals and enable automatic tracking of their movements throughout the experiment </w:t>
      </w:r>
      <w:r w:rsidR="0015172E" w:rsidRPr="0051438D">
        <w:rPr>
          <w:b/>
        </w:rPr>
        <w:t>[1]</w:t>
      </w:r>
      <w:r w:rsidR="0015172E">
        <w:t>.</w:t>
      </w:r>
      <w:r w:rsidRPr="00FB248C">
        <w:t xml:space="preserve"> </w:t>
      </w:r>
      <w:r>
        <w:t xml:space="preserve">Now, divide the mice into at least two experimental groups, the control mice and test group mice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 xml:space="preserve">. </w:t>
      </w:r>
    </w:p>
    <w:p w14:paraId="49351E7F" w14:textId="1C7A1E41" w:rsidR="0015172E" w:rsidRDefault="0015172E" w:rsidP="0015172E">
      <w:pPr>
        <w:pStyle w:val="ShotDescription"/>
        <w:numPr>
          <w:ilvl w:val="2"/>
          <w:numId w:val="3"/>
        </w:numPr>
      </w:pPr>
      <w:r>
        <w:t>Talent mounting a camera above the arena and adjusting its angle for overhead recording.</w:t>
      </w:r>
    </w:p>
    <w:p w14:paraId="15DFBFBD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labeling cages and separating mice into two experimental groups.</w:t>
      </w:r>
    </w:p>
    <w:p w14:paraId="43CB61B8" w14:textId="77777777" w:rsidR="0015172E" w:rsidRDefault="0015172E" w:rsidP="0015172E"/>
    <w:p w14:paraId="380AFD2E" w14:textId="21C87AF0" w:rsidR="0015172E" w:rsidRDefault="0015172E" w:rsidP="00D54F4A">
      <w:pPr>
        <w:pStyle w:val="Narration"/>
        <w:numPr>
          <w:ilvl w:val="1"/>
          <w:numId w:val="3"/>
        </w:numPr>
      </w:pPr>
      <w:r>
        <w:t xml:space="preserve">Transfer each mouse to the behavioral testing room thirty minutes before the experiment begins </w:t>
      </w:r>
      <w:r w:rsidRPr="0051438D">
        <w:rPr>
          <w:b/>
        </w:rPr>
        <w:t>[1</w:t>
      </w:r>
      <w:r w:rsidR="00D54F4A">
        <w:rPr>
          <w:b/>
        </w:rPr>
        <w:t>-TXT</w:t>
      </w:r>
      <w:r w:rsidRPr="0051438D">
        <w:rPr>
          <w:b/>
        </w:rPr>
        <w:t>]</w:t>
      </w:r>
      <w:r>
        <w:t>.</w:t>
      </w:r>
      <w:r w:rsidR="00D54F4A" w:rsidRPr="00D54F4A">
        <w:t xml:space="preserve"> </w:t>
      </w:r>
      <w:r w:rsidR="00D54F4A">
        <w:t xml:space="preserve">Using a luxmeter, set the lighting in the arena to approximately 40 lux and verify that the illumination is evenly distributed </w:t>
      </w:r>
      <w:r w:rsidR="00D54F4A" w:rsidRPr="0051438D">
        <w:rPr>
          <w:b/>
        </w:rPr>
        <w:t>[</w:t>
      </w:r>
      <w:r w:rsidR="00D54F4A">
        <w:rPr>
          <w:b/>
        </w:rPr>
        <w:t>2</w:t>
      </w:r>
      <w:r w:rsidR="00D54F4A" w:rsidRPr="0051438D">
        <w:rPr>
          <w:b/>
        </w:rPr>
        <w:t>]</w:t>
      </w:r>
      <w:r w:rsidR="00D54F4A">
        <w:t>.</w:t>
      </w:r>
    </w:p>
    <w:p w14:paraId="50C7EB79" w14:textId="7B8E9397" w:rsidR="0015172E" w:rsidRDefault="0015172E" w:rsidP="0015172E">
      <w:pPr>
        <w:pStyle w:val="ShotDescription"/>
        <w:numPr>
          <w:ilvl w:val="2"/>
          <w:numId w:val="3"/>
        </w:numPr>
      </w:pPr>
      <w:r>
        <w:t>Talent gently moving a mouse cage into the behavioral testing room and placing it on a table.</w:t>
      </w:r>
      <w:r w:rsidR="00D54F4A">
        <w:t xml:space="preserve"> </w:t>
      </w:r>
      <w:r w:rsidR="00D54F4A">
        <w:rPr>
          <w:b/>
          <w:bCs/>
        </w:rPr>
        <w:t>TXT: Ensure standard conditions are maintained (</w:t>
      </w:r>
      <w:r w:rsidR="00D54F4A" w:rsidRPr="00D54F4A">
        <w:rPr>
          <w:b/>
          <w:bCs/>
        </w:rPr>
        <w:t>23 ± 1 °C; humidity 40%)</w:t>
      </w:r>
      <w:r w:rsidR="00D54F4A">
        <w:rPr>
          <w:b/>
          <w:bCs/>
        </w:rPr>
        <w:t xml:space="preserve"> and that the room is free from sound, lighting and odor</w:t>
      </w:r>
    </w:p>
    <w:p w14:paraId="2D352AE4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luxmeter to measure and adjust lighting evenly across the arena.</w:t>
      </w:r>
    </w:p>
    <w:p w14:paraId="0AF77B45" w14:textId="20D054CB" w:rsidR="0015172E" w:rsidRDefault="00D54F4A" w:rsidP="00D54F4A">
      <w:pPr>
        <w:pStyle w:val="Narration"/>
        <w:numPr>
          <w:ilvl w:val="1"/>
          <w:numId w:val="3"/>
        </w:numPr>
      </w:pPr>
      <w:r>
        <w:t>Next, add</w:t>
      </w:r>
      <w:r w:rsidR="0015172E">
        <w:t xml:space="preserve"> a clean filter paper measuring 42.5 millimeters into each of the two Petri dishes in the arena </w:t>
      </w:r>
      <w:r w:rsidR="0015172E" w:rsidRPr="0051438D">
        <w:rPr>
          <w:b/>
        </w:rPr>
        <w:t>[1]</w:t>
      </w:r>
      <w:r w:rsidR="0015172E">
        <w:t>.</w:t>
      </w:r>
      <w:r w:rsidRPr="00D54F4A">
        <w:t xml:space="preserve"> </w:t>
      </w:r>
      <w:r>
        <w:t xml:space="preserve">Use transparent tape to secure the lid of each Petri dish to its base to maintain vertical placement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E236B50" w14:textId="5432DE1B" w:rsidR="0015172E" w:rsidRDefault="0015172E" w:rsidP="0015172E">
      <w:pPr>
        <w:pStyle w:val="ShotDescription"/>
        <w:numPr>
          <w:ilvl w:val="2"/>
          <w:numId w:val="3"/>
        </w:numPr>
      </w:pPr>
      <w:r>
        <w:t>Talent placing a clean piece of filter paper into each Petri dish.</w:t>
      </w:r>
    </w:p>
    <w:p w14:paraId="2FD8DBAB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taping down the lid of each Petri dish to keep it attached while vertical.</w:t>
      </w:r>
    </w:p>
    <w:p w14:paraId="2D6FEF7C" w14:textId="77777777" w:rsidR="0015172E" w:rsidRDefault="0015172E" w:rsidP="0015172E"/>
    <w:p w14:paraId="416E9132" w14:textId="3C485BA2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first day, gently place all mice from the same housing cage together into the arena for 10 minutes to reduce neophobia </w:t>
      </w:r>
      <w:r w:rsidRPr="0051438D">
        <w:rPr>
          <w:b/>
        </w:rPr>
        <w:t>[1]</w:t>
      </w:r>
      <w:r>
        <w:t>.</w:t>
      </w:r>
    </w:p>
    <w:p w14:paraId="28889014" w14:textId="4401E4C6" w:rsidR="0015172E" w:rsidRDefault="0015172E" w:rsidP="0015172E">
      <w:pPr>
        <w:pStyle w:val="ShotDescription"/>
        <w:numPr>
          <w:ilvl w:val="2"/>
          <w:numId w:val="3"/>
        </w:numPr>
      </w:pPr>
      <w:r>
        <w:t>Talent releasing multiple mice from a single housing cage into the arena simultaneously.</w:t>
      </w:r>
    </w:p>
    <w:p w14:paraId="5B4A93C1" w14:textId="72DF9659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day of testing, prepare the odor under a chemical hood using the correct dilution </w:t>
      </w:r>
      <w:r w:rsidRPr="0051438D">
        <w:rPr>
          <w:b/>
        </w:rPr>
        <w:t>[1]</w:t>
      </w:r>
      <w:r>
        <w:t xml:space="preserve">. Dilute the odorant in mineral oil or distilled water, depending on its chemical properties </w:t>
      </w:r>
      <w:r w:rsidRPr="0051438D">
        <w:rPr>
          <w:b/>
        </w:rPr>
        <w:t>[2]</w:t>
      </w:r>
      <w:r>
        <w:t xml:space="preserve">. </w:t>
      </w:r>
      <w:r w:rsidR="00951E50">
        <w:t>Then s</w:t>
      </w:r>
      <w:r>
        <w:t>tore</w:t>
      </w:r>
      <w:r w:rsidR="00951E50">
        <w:t xml:space="preserve"> the</w:t>
      </w:r>
      <w:r>
        <w:t xml:space="preserve"> mineral oil separately in a ventilated room to avoid contamination </w:t>
      </w:r>
      <w:r w:rsidRPr="0051438D">
        <w:rPr>
          <w:b/>
        </w:rPr>
        <w:t>[3</w:t>
      </w:r>
      <w:r w:rsidR="00951E50">
        <w:rPr>
          <w:b/>
        </w:rPr>
        <w:t>-TXT</w:t>
      </w:r>
      <w:r w:rsidRPr="0051438D">
        <w:rPr>
          <w:b/>
        </w:rPr>
        <w:t>]</w:t>
      </w:r>
      <w:r>
        <w:t>.</w:t>
      </w:r>
    </w:p>
    <w:p w14:paraId="571329BB" w14:textId="5C0C1B49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951E50">
        <w:t xml:space="preserve">setting up the chemicals in a chemical hood. </w:t>
      </w:r>
    </w:p>
    <w:p w14:paraId="1534C3E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adding either mineral oil or distilled water to the solution.</w:t>
      </w:r>
    </w:p>
    <w:p w14:paraId="73F643A5" w14:textId="4AEDE767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mineral oil bottle inside a separate ventilated cabinet.</w:t>
      </w:r>
      <w:r w:rsidR="00951E50">
        <w:t xml:space="preserve"> </w:t>
      </w:r>
      <w:r w:rsidR="00951E50">
        <w:rPr>
          <w:b/>
          <w:bCs/>
        </w:rPr>
        <w:t xml:space="preserve">TXT: Use a new bottle of mineral oil for each new experiment </w:t>
      </w:r>
    </w:p>
    <w:p w14:paraId="5BC01DBA" w14:textId="77777777" w:rsidR="0015172E" w:rsidRDefault="0015172E" w:rsidP="0015172E"/>
    <w:p w14:paraId="74415091" w14:textId="77777777" w:rsidR="0015172E" w:rsidRDefault="0015172E" w:rsidP="0015172E">
      <w:pPr>
        <w:pStyle w:val="Narration"/>
        <w:numPr>
          <w:ilvl w:val="1"/>
          <w:numId w:val="3"/>
        </w:numPr>
      </w:pPr>
      <w:r>
        <w:t xml:space="preserve">Store the prepared odorant solution in a glass vial to prevent contamination from plastic materials </w:t>
      </w:r>
      <w:r w:rsidRPr="0051438D">
        <w:rPr>
          <w:b/>
        </w:rPr>
        <w:t>[1]</w:t>
      </w:r>
      <w:r>
        <w:t>.</w:t>
      </w:r>
    </w:p>
    <w:p w14:paraId="08BCCF61" w14:textId="77777777" w:rsidR="0015172E" w:rsidRDefault="0015172E" w:rsidP="0015172E"/>
    <w:p w14:paraId="4E6C63B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lastRenderedPageBreak/>
        <w:t>Talent pouring the prepared solution into a clean glass vial and sealing it.</w:t>
      </w:r>
    </w:p>
    <w:p w14:paraId="2F3AA5D9" w14:textId="77777777" w:rsidR="0015172E" w:rsidRDefault="0015172E" w:rsidP="0015172E"/>
    <w:p w14:paraId="2DB541BC" w14:textId="76AF94D4" w:rsidR="0015172E" w:rsidRDefault="0015172E" w:rsidP="00951E50">
      <w:pPr>
        <w:pStyle w:val="Narration"/>
        <w:numPr>
          <w:ilvl w:val="1"/>
          <w:numId w:val="3"/>
        </w:numPr>
      </w:pPr>
      <w:r>
        <w:t xml:space="preserve">Just before testing each mouse, use a micropipette with a filter tip to collect 200 microliters of the odor solution under the hood </w:t>
      </w:r>
      <w:r w:rsidRPr="0051438D">
        <w:rPr>
          <w:b/>
        </w:rPr>
        <w:t>[1]</w:t>
      </w:r>
      <w:r>
        <w:t xml:space="preserve">. Dispense the solution onto the filter paper in one of the Petri dishes </w:t>
      </w:r>
      <w:r w:rsidRPr="0051438D">
        <w:rPr>
          <w:b/>
        </w:rPr>
        <w:t>[2]</w:t>
      </w:r>
      <w:r>
        <w:t>.</w:t>
      </w:r>
      <w:r w:rsidR="00951E50" w:rsidRPr="00951E50">
        <w:t xml:space="preserve"> </w:t>
      </w:r>
      <w:r w:rsidR="00951E50">
        <w:t xml:space="preserve">Leave the second filter paper in the other Petri dish untreated </w:t>
      </w:r>
      <w:r w:rsidR="00951E50" w:rsidRPr="0051438D">
        <w:rPr>
          <w:b/>
        </w:rPr>
        <w:t>[</w:t>
      </w:r>
      <w:r w:rsidR="00951E50">
        <w:rPr>
          <w:b/>
        </w:rPr>
        <w:t>3</w:t>
      </w:r>
      <w:r w:rsidR="00951E50" w:rsidRPr="0051438D">
        <w:rPr>
          <w:b/>
        </w:rPr>
        <w:t>]</w:t>
      </w:r>
      <w:r w:rsidR="00951E50">
        <w:t>.</w:t>
      </w:r>
    </w:p>
    <w:p w14:paraId="1DA7891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micropipette with a filter tip to draw the odor solution.</w:t>
      </w:r>
    </w:p>
    <w:p w14:paraId="040ECEDE" w14:textId="6478E5DD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solution onto the filter paper inside one of the Petri dishes.</w:t>
      </w:r>
    </w:p>
    <w:p w14:paraId="4722BCF8" w14:textId="640FFC75" w:rsidR="0015172E" w:rsidRDefault="00951E50" w:rsidP="0015172E">
      <w:pPr>
        <w:pStyle w:val="ShotDescription"/>
        <w:numPr>
          <w:ilvl w:val="2"/>
          <w:numId w:val="3"/>
        </w:numPr>
      </w:pPr>
      <w:r>
        <w:t>Shot</w:t>
      </w:r>
      <w:r w:rsidR="0015172E">
        <w:t xml:space="preserve"> of the untouched filter paper in the control Petri dish.</w:t>
      </w:r>
    </w:p>
    <w:p w14:paraId="1AB83EC0" w14:textId="77777777" w:rsidR="0015172E" w:rsidRDefault="0015172E" w:rsidP="0015172E"/>
    <w:p w14:paraId="638845DF" w14:textId="5E5DF577" w:rsidR="0015172E" w:rsidRDefault="0015172E" w:rsidP="0015172E">
      <w:pPr>
        <w:pStyle w:val="Narration"/>
        <w:numPr>
          <w:ilvl w:val="1"/>
          <w:numId w:val="3"/>
        </w:numPr>
      </w:pPr>
      <w:r>
        <w:t>Transfer the Petri dishes to the testing room</w:t>
      </w:r>
      <w:r w:rsidR="00951E50">
        <w:t xml:space="preserve"> </w:t>
      </w:r>
      <w:r w:rsidR="00951E50">
        <w:rPr>
          <w:b/>
          <w:bCs/>
        </w:rPr>
        <w:t xml:space="preserve">[1]. </w:t>
      </w:r>
      <w:r w:rsidR="00951E50">
        <w:t>Then</w:t>
      </w:r>
      <w:r>
        <w:t xml:space="preserve"> vertically fix them onto the wall of the arena </w:t>
      </w:r>
      <w:r w:rsidRPr="0051438D">
        <w:rPr>
          <w:b/>
        </w:rPr>
        <w:t>[</w:t>
      </w:r>
      <w:r w:rsidR="00951E50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46687D3" w14:textId="77777777" w:rsidR="00951E50" w:rsidRDefault="0015172E" w:rsidP="0015172E">
      <w:pPr>
        <w:pStyle w:val="ShotDescription"/>
        <w:numPr>
          <w:ilvl w:val="2"/>
          <w:numId w:val="3"/>
        </w:numPr>
      </w:pPr>
      <w:r>
        <w:t>Talent carrying the Petri dishes into the testing room</w:t>
      </w:r>
      <w:r w:rsidR="00951E50">
        <w:t xml:space="preserve">. </w:t>
      </w:r>
    </w:p>
    <w:p w14:paraId="7DED5985" w14:textId="172E9592" w:rsidR="0015172E" w:rsidRDefault="00951E50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 xml:space="preserve">securing </w:t>
      </w:r>
      <w:r>
        <w:t>the Petri dishes onto the wall</w:t>
      </w:r>
      <w:r w:rsidR="0015172E">
        <w:t xml:space="preserve"> in the arena.</w:t>
      </w:r>
    </w:p>
    <w:p w14:paraId="15903788" w14:textId="77777777" w:rsidR="0015172E" w:rsidRDefault="0015172E" w:rsidP="0015172E"/>
    <w:p w14:paraId="532E72AA" w14:textId="03C63476" w:rsidR="0015172E" w:rsidRDefault="0015172E" w:rsidP="003338B1">
      <w:pPr>
        <w:pStyle w:val="Narration"/>
        <w:numPr>
          <w:ilvl w:val="1"/>
          <w:numId w:val="3"/>
        </w:numPr>
      </w:pPr>
      <w:r>
        <w:t xml:space="preserve">Place each mouse individually into the arena at the center, between the two compartments </w:t>
      </w:r>
      <w:r w:rsidRPr="0051438D">
        <w:rPr>
          <w:b/>
        </w:rPr>
        <w:t>[1]</w:t>
      </w:r>
      <w:r>
        <w:t>.</w:t>
      </w:r>
      <w:r w:rsidR="00951E50" w:rsidRPr="00951E50">
        <w:t xml:space="preserve"> </w:t>
      </w:r>
      <w:r w:rsidR="00951E50">
        <w:t xml:space="preserve">Record the behavior for 10 minutes using the overhead camera </w:t>
      </w:r>
      <w:r w:rsidR="00951E50" w:rsidRPr="0051438D">
        <w:rPr>
          <w:b/>
        </w:rPr>
        <w:t>[</w:t>
      </w:r>
      <w:r w:rsidR="00951E50">
        <w:rPr>
          <w:b/>
        </w:rPr>
        <w:t>2</w:t>
      </w:r>
      <w:r w:rsidR="00951E50" w:rsidRPr="0051438D">
        <w:rPr>
          <w:b/>
        </w:rPr>
        <w:t>]</w:t>
      </w:r>
      <w:r w:rsidR="00951E50">
        <w:t>.</w:t>
      </w:r>
      <w:r w:rsidR="003338B1" w:rsidRPr="003338B1">
        <w:t xml:space="preserve"> </w:t>
      </w:r>
      <w:r w:rsidR="003338B1">
        <w:t xml:space="preserve">Remove the mouse from the arena after the observation period ends </w:t>
      </w:r>
      <w:r w:rsidR="003338B1" w:rsidRPr="0051438D">
        <w:rPr>
          <w:b/>
        </w:rPr>
        <w:t>[</w:t>
      </w:r>
      <w:r w:rsidR="003338B1">
        <w:rPr>
          <w:b/>
        </w:rPr>
        <w:t>3</w:t>
      </w:r>
      <w:r w:rsidR="003338B1" w:rsidRPr="0051438D">
        <w:rPr>
          <w:b/>
        </w:rPr>
        <w:t>]</w:t>
      </w:r>
      <w:r w:rsidR="003338B1">
        <w:t>.</w:t>
      </w:r>
    </w:p>
    <w:p w14:paraId="694CDA6D" w14:textId="509D29C3" w:rsidR="0015172E" w:rsidRDefault="0015172E" w:rsidP="0015172E">
      <w:pPr>
        <w:pStyle w:val="ShotDescription"/>
        <w:numPr>
          <w:ilvl w:val="2"/>
          <w:numId w:val="3"/>
        </w:numPr>
      </w:pPr>
      <w:r>
        <w:t>Talent gently introducing a single mouse at the center point between the compartments.</w:t>
      </w:r>
    </w:p>
    <w:p w14:paraId="72A266E1" w14:textId="56FE4577" w:rsidR="0015172E" w:rsidRDefault="003338B1" w:rsidP="0015172E">
      <w:pPr>
        <w:pStyle w:val="ShotDescription"/>
        <w:numPr>
          <w:ilvl w:val="2"/>
          <w:numId w:val="3"/>
        </w:numPr>
      </w:pPr>
      <w:r>
        <w:t>Shot of the</w:t>
      </w:r>
      <w:r w:rsidR="0015172E">
        <w:t xml:space="preserve"> Mouse exploring both compartments of the arena as the overhead camera records</w:t>
      </w:r>
      <w:r>
        <w:t>.</w:t>
      </w:r>
    </w:p>
    <w:p w14:paraId="5B51AAD1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lifting the mouse out of the arena using both hands.</w:t>
      </w:r>
    </w:p>
    <w:p w14:paraId="6712EF1D" w14:textId="77777777" w:rsidR="0015172E" w:rsidRDefault="0015172E" w:rsidP="0015172E"/>
    <w:p w14:paraId="376A61CC" w14:textId="51614293" w:rsidR="0015172E" w:rsidRDefault="0015172E" w:rsidP="0015172E">
      <w:pPr>
        <w:pStyle w:val="Narration"/>
        <w:numPr>
          <w:ilvl w:val="1"/>
          <w:numId w:val="3"/>
        </w:numPr>
      </w:pPr>
      <w:r>
        <w:t xml:space="preserve">Remove the odor Petri dish from the arena </w:t>
      </w:r>
      <w:r w:rsidRPr="0051438D">
        <w:rPr>
          <w:b/>
        </w:rPr>
        <w:t>[1]</w:t>
      </w:r>
      <w:r>
        <w:t>.</w:t>
      </w:r>
      <w:r w:rsidR="003338B1" w:rsidRPr="003338B1">
        <w:t xml:space="preserve"> </w:t>
      </w:r>
      <w:r w:rsidR="003338B1">
        <w:t xml:space="preserve">Then clean the arena using a 70 percent ethanol disinfectant solution and dry it thoroughly </w:t>
      </w:r>
      <w:r w:rsidR="003338B1" w:rsidRPr="0051438D">
        <w:rPr>
          <w:b/>
        </w:rPr>
        <w:t>[</w:t>
      </w:r>
      <w:r w:rsidR="003338B1">
        <w:rPr>
          <w:b/>
        </w:rPr>
        <w:t>2</w:t>
      </w:r>
      <w:r w:rsidR="003338B1" w:rsidRPr="0051438D">
        <w:rPr>
          <w:b/>
        </w:rPr>
        <w:t>]</w:t>
      </w:r>
      <w:r w:rsidR="003338B1">
        <w:t>.</w:t>
      </w:r>
    </w:p>
    <w:p w14:paraId="7C25032A" w14:textId="24CEC3C7" w:rsidR="0015172E" w:rsidRDefault="0015172E" w:rsidP="0015172E">
      <w:pPr>
        <w:pStyle w:val="ShotDescription"/>
        <w:numPr>
          <w:ilvl w:val="2"/>
          <w:numId w:val="3"/>
        </w:numPr>
      </w:pPr>
      <w:r>
        <w:t>Talent detaching and removing the Petri dish that contained the odor sample.</w:t>
      </w:r>
    </w:p>
    <w:p w14:paraId="32F7531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spraying the arena walls and floor with ethanol and wiping it dry with a paper towel.</w:t>
      </w:r>
    </w:p>
    <w:p w14:paraId="553BD533" w14:textId="77777777" w:rsidR="0015172E" w:rsidRDefault="0015172E" w:rsidP="0015172E"/>
    <w:p w14:paraId="736EEDAD" w14:textId="667F7FB2" w:rsidR="0015172E" w:rsidRDefault="0015172E" w:rsidP="0015172E">
      <w:pPr>
        <w:pStyle w:val="Narration"/>
        <w:numPr>
          <w:ilvl w:val="1"/>
          <w:numId w:val="3"/>
        </w:numPr>
      </w:pPr>
      <w:r>
        <w:t>Discard the used filter paper</w:t>
      </w:r>
      <w:r w:rsidR="00F82C3B">
        <w:t xml:space="preserve"> </w:t>
      </w:r>
      <w:r w:rsidR="00F82C3B">
        <w:rPr>
          <w:b/>
          <w:bCs/>
        </w:rPr>
        <w:t>[1]</w:t>
      </w:r>
      <w:r>
        <w:t xml:space="preserve"> and prepare the next odor sample for the next mouse </w:t>
      </w:r>
      <w:r w:rsidRPr="0051438D">
        <w:rPr>
          <w:b/>
        </w:rPr>
        <w:t>[</w:t>
      </w:r>
      <w:r w:rsidR="00F82C3B">
        <w:rPr>
          <w:b/>
        </w:rPr>
        <w:t>2-TXT</w:t>
      </w:r>
      <w:r w:rsidRPr="0051438D">
        <w:rPr>
          <w:b/>
        </w:rPr>
        <w:t>]</w:t>
      </w:r>
      <w:r>
        <w:t>.</w:t>
      </w:r>
    </w:p>
    <w:p w14:paraId="01A0F220" w14:textId="77777777" w:rsidR="0015172E" w:rsidRDefault="0015172E" w:rsidP="0015172E"/>
    <w:p w14:paraId="167554DF" w14:textId="2342B801" w:rsidR="0015172E" w:rsidRDefault="0015172E" w:rsidP="0015172E">
      <w:pPr>
        <w:pStyle w:val="ShotDescription"/>
        <w:numPr>
          <w:ilvl w:val="2"/>
          <w:numId w:val="3"/>
        </w:numPr>
      </w:pPr>
      <w:r>
        <w:t>Talent throwing away the filter paper</w:t>
      </w:r>
      <w:r w:rsidR="00F82C3B">
        <w:t>.</w:t>
      </w:r>
    </w:p>
    <w:p w14:paraId="15A37917" w14:textId="2CF28B05" w:rsidR="00F82C3B" w:rsidRDefault="00F82C3B" w:rsidP="0015172E">
      <w:pPr>
        <w:pStyle w:val="ShotDescription"/>
        <w:numPr>
          <w:ilvl w:val="2"/>
          <w:numId w:val="3"/>
        </w:numPr>
      </w:pPr>
      <w:r>
        <w:t>Talent adding 2</w:t>
      </w:r>
      <w:r w:rsidRPr="00F82C3B">
        <w:rPr>
          <w:vertAlign w:val="superscript"/>
        </w:rPr>
        <w:t>nd</w:t>
      </w:r>
      <w:r>
        <w:t xml:space="preserve"> odor to a new filter paper.  </w:t>
      </w:r>
      <w:r>
        <w:rPr>
          <w:b/>
          <w:bCs/>
        </w:rPr>
        <w:t>TXT: Ideally test 1 odor/day starting from neutral then positive and negative odors</w:t>
      </w:r>
    </w:p>
    <w:p w14:paraId="494F7086" w14:textId="77777777" w:rsidR="0015172E" w:rsidRDefault="0015172E" w:rsidP="0015172E"/>
    <w:p w14:paraId="7E21361F" w14:textId="223045C7" w:rsidR="00F82C3B" w:rsidRDefault="0015172E" w:rsidP="00F82C3B">
      <w:pPr>
        <w:pStyle w:val="Narration"/>
        <w:numPr>
          <w:ilvl w:val="1"/>
          <w:numId w:val="3"/>
        </w:numPr>
      </w:pPr>
      <w:r>
        <w:t xml:space="preserve">Use an automatic tracking software to record the mouse's position throughout the test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Define distinct zones within the arena for analysis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1264736" w14:textId="047703FD" w:rsidR="0015172E" w:rsidRDefault="00F82C3B" w:rsidP="00F82C3B">
      <w:pPr>
        <w:pStyle w:val="Narration"/>
        <w:ind w:left="720" w:firstLine="0"/>
      </w:pPr>
      <w:r w:rsidRPr="00F82C3B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Pr="00F82C3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403C95DE" w14:textId="6A62F5C9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Display of the tracking software showing the mouse's path within the arena.</w:t>
      </w:r>
    </w:p>
    <w:p w14:paraId="6F4E37FE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Arena diagram with highlighted zones for odor, control, behind odor, and behind control.</w:t>
      </w:r>
    </w:p>
    <w:p w14:paraId="26C6FD04" w14:textId="77777777" w:rsidR="0015172E" w:rsidRDefault="0015172E" w:rsidP="0015172E"/>
    <w:p w14:paraId="0A8B8C83" w14:textId="652C9EB3" w:rsidR="0015172E" w:rsidRDefault="0015172E" w:rsidP="00F82C3B">
      <w:pPr>
        <w:pStyle w:val="Narration"/>
        <w:numPr>
          <w:ilvl w:val="1"/>
          <w:numId w:val="3"/>
        </w:numPr>
      </w:pPr>
      <w:r>
        <w:t>Define the "odor zone" as a 25</w:t>
      </w:r>
      <w:r w:rsidR="00F82C3B">
        <w:t>-</w:t>
      </w:r>
      <w:r>
        <w:t xml:space="preserve">centimeter by </w:t>
      </w:r>
      <w:r w:rsidR="00F82C3B">
        <w:t>15-centimeter</w:t>
      </w:r>
      <w:r>
        <w:t xml:space="preserve"> area around the Petri dish containing the odor sample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Then define the "control zone" as a 25-centimeter by 15-centimeter symmetrical area near the untreated Petri dish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31FEF2B" w14:textId="1E9B8BA1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Zoomed-in diagram labeling the "odor zone" near the treated Petri dish.</w:t>
      </w:r>
    </w:p>
    <w:p w14:paraId="1B26FD9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highlighting the "control zone" on the side without odor.</w:t>
      </w:r>
    </w:p>
    <w:p w14:paraId="41DA7F50" w14:textId="77777777" w:rsidR="0015172E" w:rsidRDefault="0015172E" w:rsidP="0015172E"/>
    <w:p w14:paraId="69217AE3" w14:textId="157986E3" w:rsidR="0015172E" w:rsidRDefault="00F82C3B" w:rsidP="0015172E">
      <w:pPr>
        <w:pStyle w:val="Narration"/>
        <w:numPr>
          <w:ilvl w:val="1"/>
          <w:numId w:val="3"/>
        </w:numPr>
      </w:pPr>
      <w:r>
        <w:t>Next, d</w:t>
      </w:r>
      <w:r w:rsidR="0015172E">
        <w:t>efine the "behind odor zone" as the remaining 25</w:t>
      </w:r>
      <w:r>
        <w:t>-</w:t>
      </w:r>
      <w:r w:rsidR="0015172E">
        <w:t>centimeter by 30</w:t>
      </w:r>
      <w:r>
        <w:t>-</w:t>
      </w:r>
      <w:r w:rsidR="0015172E">
        <w:t xml:space="preserve">centimeter area in the odor compartment </w:t>
      </w:r>
      <w:r w:rsidR="0015172E" w:rsidRPr="0051438D">
        <w:rPr>
          <w:b/>
        </w:rPr>
        <w:t>[1]</w:t>
      </w:r>
      <w:r w:rsidR="0015172E">
        <w:t>.</w:t>
      </w:r>
      <w:r w:rsidRPr="00F82C3B">
        <w:t xml:space="preserve"> </w:t>
      </w:r>
      <w:r>
        <w:t xml:space="preserve">Finally, define the "behind control zone" as the remaining 25 centimeter by 30-centimeter area in the control compartment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12F6DE0D" w14:textId="2374D43E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showing the "behind odor zone" as the rest of the odor side.</w:t>
      </w:r>
    </w:p>
    <w:p w14:paraId="23B142C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marking the "behind control zone" in the control compartment.</w:t>
      </w:r>
    </w:p>
    <w:p w14:paraId="09689C4F" w14:textId="53FF04B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7A0294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5F6E65">
        <w:rPr>
          <w:rFonts w:eastAsia="Times New Roman" w:cstheme="minorHAnsi"/>
          <w:bCs/>
        </w:rPr>
        <w:t>224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31BB7FF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5F6E65">
        <w:rPr>
          <w:rFonts w:cstheme="minorHAnsi"/>
          <w:b/>
        </w:rPr>
        <w:br/>
      </w:r>
      <w:r w:rsidR="005F6E65" w:rsidRPr="005F6E65">
        <w:rPr>
          <w:rFonts w:cstheme="minorHAnsi"/>
          <w:b/>
          <w:highlight w:val="yellow"/>
        </w:rPr>
        <w:t>AUTHORS : Please note that the results section is limited to 200 words. Only relevant results were scripted. If you would like to include any other results, kindly replace the existing points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11415D" w14:textId="46277E48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During habituation, all mice spent at least 50 seconds in both the odor and control zones, indicating adequate task engagement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 xml:space="preserve">, but mice exposed to </w:t>
      </w:r>
      <w:r>
        <w:rPr>
          <w:rFonts w:cstheme="minorHAnsi"/>
        </w:rPr>
        <w:t xml:space="preserve">UCMS </w:t>
      </w:r>
      <w:r w:rsidRPr="00A133F1">
        <w:rPr>
          <w:rFonts w:cstheme="minorHAnsi"/>
          <w:i/>
          <w:iCs/>
          <w:color w:val="FF0000"/>
        </w:rPr>
        <w:t>(U-C-M-S)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spent significantly more time in the control zone than controls [2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15054BA7" w14:textId="065D4C43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2C</w:t>
      </w:r>
      <w:r w:rsidRPr="005F6E65">
        <w:rPr>
          <w:rFonts w:cstheme="minorHAnsi"/>
          <w:i/>
          <w:iCs/>
          <w:color w:val="3333FF"/>
        </w:rPr>
        <w:t>. Video editor: Highlight the bars showing time in the odor and control zones</w:t>
      </w:r>
      <w:r w:rsidRPr="00A133F1">
        <w:rPr>
          <w:rFonts w:cstheme="minorHAnsi"/>
        </w:rPr>
        <w:t xml:space="preserve"> </w:t>
      </w:r>
    </w:p>
    <w:p w14:paraId="0734085C" w14:textId="0DAF237D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 LAB MEDIA: Figure 2C. </w:t>
      </w:r>
      <w:r w:rsidRPr="005F6E65">
        <w:rPr>
          <w:rFonts w:cstheme="minorHAnsi"/>
          <w:color w:val="3333FF"/>
        </w:rPr>
        <w:t>Video editor: Highlight the red bar for UCMS in the control zone</w:t>
      </w:r>
      <w:r w:rsidR="005F6E65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UCMS: </w:t>
      </w:r>
      <w:r w:rsidRPr="00A133F1">
        <w:rPr>
          <w:rFonts w:cstheme="minorHAnsi"/>
          <w:b/>
          <w:bCs/>
        </w:rPr>
        <w:t>Unpredictable Chronic Mild Stress</w:t>
      </w:r>
    </w:p>
    <w:p w14:paraId="723157DB" w14:textId="3FBCD90A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0473BA" w14:textId="44F1C1AC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Control female mice moved significantly more than UCMS females when exposed to male urine, but not during habituation or TMT</w:t>
      </w:r>
      <w:r>
        <w:rPr>
          <w:rFonts w:cstheme="minorHAnsi"/>
        </w:rPr>
        <w:t xml:space="preserve"> </w:t>
      </w:r>
      <w:r w:rsidRPr="00A133F1">
        <w:rPr>
          <w:rFonts w:cstheme="minorHAnsi"/>
          <w:i/>
          <w:iCs/>
          <w:color w:val="FF0000"/>
        </w:rPr>
        <w:t>(T-M-T)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exposure [1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47D89A7C" w14:textId="32E5DA6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2D. </w:t>
      </w:r>
      <w:r w:rsidRPr="005F6E65">
        <w:rPr>
          <w:rFonts w:cstheme="minorHAnsi"/>
          <w:i/>
          <w:iCs/>
          <w:color w:val="3333FF"/>
        </w:rPr>
        <w:t>Video editor: Highlight the gray bars in the MU section</w:t>
      </w:r>
      <w:r w:rsidR="005F6E65" w:rsidRPr="005F6E65">
        <w:rPr>
          <w:rFonts w:cstheme="minorHAnsi"/>
          <w:color w:val="3333FF"/>
        </w:rPr>
        <w:t xml:space="preserve"> </w:t>
      </w:r>
      <w:r w:rsidRPr="005F6E65">
        <w:rPr>
          <w:rFonts w:cstheme="minorHAnsi"/>
          <w:color w:val="3333FF"/>
        </w:rPr>
        <w:t xml:space="preserve"> </w:t>
      </w:r>
      <w:r>
        <w:rPr>
          <w:rFonts w:cstheme="minorHAnsi"/>
          <w:b/>
          <w:bCs/>
        </w:rPr>
        <w:t xml:space="preserve">TXT: TMT: </w:t>
      </w:r>
      <w:r w:rsidRPr="00A133F1">
        <w:rPr>
          <w:rFonts w:cstheme="minorHAnsi"/>
          <w:b/>
          <w:bCs/>
        </w:rPr>
        <w:t>2,4,5-trimethylthiazole</w:t>
      </w:r>
    </w:p>
    <w:p w14:paraId="5BAB60CF" w14:textId="6179221D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A</w:t>
      </w:r>
      <w:r w:rsidRPr="000543E6">
        <w:rPr>
          <w:rFonts w:ascii="Calibri" w:eastAsia="Times New Roman" w:hAnsi="Calibri" w:cs="Calibri"/>
        </w:rPr>
        <w:t>ll readouts of hedonic response show significant differences or a statistical tendency between Control and UCMS females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</w:rPr>
        <w:t xml:space="preserve">. </w:t>
      </w:r>
      <w:r w:rsidRPr="000543E6">
        <w:rPr>
          <w:rFonts w:ascii="Calibri" w:eastAsia="Times New Roman" w:hAnsi="Calibri" w:cs="Calibri"/>
        </w:rPr>
        <w:t>This effect is also visible through the global odor exploration index, which is a combined measure of hedonic and locomotor response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03B17270" w14:textId="6D6C53F5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>LAB MEDIA:</w:t>
      </w:r>
      <w:r w:rsidRPr="00A133F1">
        <w:t xml:space="preserve"> </w:t>
      </w:r>
      <w:r w:rsidRPr="00A133F1">
        <w:rPr>
          <w:rFonts w:cstheme="minorHAnsi"/>
        </w:rPr>
        <w:t>Figure 2E–G</w:t>
      </w:r>
      <w:r>
        <w:rPr>
          <w:rFonts w:cstheme="minorHAnsi"/>
        </w:rPr>
        <w:t xml:space="preserve">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 xml:space="preserve">UCMS bars </w:t>
      </w:r>
    </w:p>
    <w:p w14:paraId="22A1B493" w14:textId="4E8A0A1C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</w:t>
      </w:r>
      <w:r w:rsidRPr="00A133F1">
        <w:rPr>
          <w:rFonts w:cstheme="minorHAnsi"/>
        </w:rPr>
        <w:t xml:space="preserve">Figure 2H.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>UCMS bars</w:t>
      </w:r>
      <w:r w:rsidRPr="005F6E65">
        <w:rPr>
          <w:rFonts w:cstheme="minorHAnsi"/>
          <w:color w:val="3333FF"/>
        </w:rPr>
        <w:t xml:space="preserve"> </w:t>
      </w:r>
    </w:p>
    <w:p w14:paraId="06470547" w14:textId="30993C1A" w:rsidR="00A133F1" w:rsidRPr="00A133F1" w:rsidRDefault="00A133F1" w:rsidP="00A133F1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311D82C" w14:textId="24503260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The odor exploration index positively correlated with the emotionality score for both male urine and TMT in female mice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5E9EB346" w14:textId="720C0290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 xml:space="preserve">LAB MEDIA: Figure 2I. </w:t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 xml:space="preserve">ighlight the two trend lines in the scatter plot, showing upward slopes for both </w:t>
      </w:r>
    </w:p>
    <w:p w14:paraId="0950737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E6AE124" w14:textId="538E7E71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lastRenderedPageBreak/>
        <w:t xml:space="preserve">In male mice, no differences were observed during habituation or in total distance moved through the test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  <w:r w:rsidRPr="00A133F1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 xml:space="preserve">The time spent in the odor zone shows </w:t>
      </w:r>
      <w:r>
        <w:rPr>
          <w:rFonts w:ascii="Calibri" w:eastAsia="Times New Roman" w:hAnsi="Calibri" w:cs="Calibri"/>
        </w:rPr>
        <w:t xml:space="preserve">a </w:t>
      </w:r>
      <w:r w:rsidRPr="000543E6">
        <w:rPr>
          <w:rFonts w:ascii="Calibri" w:eastAsia="Times New Roman" w:hAnsi="Calibri" w:cs="Calibri"/>
        </w:rPr>
        <w:t xml:space="preserve">significant reduction of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exploration in UCMS compared to Controls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154C0968" w14:textId="07AABB3E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3C,D. </w:t>
      </w:r>
    </w:p>
    <w:p w14:paraId="2111A0D7" w14:textId="2D988EB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E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34F6A418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01F0E7" w14:textId="02F0F78A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543E6">
        <w:rPr>
          <w:rFonts w:ascii="Calibri" w:eastAsia="Times New Roman" w:hAnsi="Calibri" w:cs="Calibri"/>
        </w:rPr>
        <w:t xml:space="preserve">UCMS mice enter significantly less in the odor zone, or tend to, and present a significantly reduced preference index for both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6683B2FF" w14:textId="2F5B3A69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3F</w:t>
      </w:r>
      <w:r>
        <w:rPr>
          <w:rFonts w:cstheme="minorHAnsi"/>
        </w:rPr>
        <w:t>, G</w:t>
      </w:r>
      <w:r w:rsidRPr="00A133F1">
        <w:rPr>
          <w:rFonts w:cstheme="minorHAnsi"/>
        </w:rPr>
        <w:t xml:space="preserve">. </w:t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  <w:r>
        <w:rPr>
          <w:rFonts w:cstheme="minorHAnsi"/>
        </w:rPr>
        <w:t xml:space="preserve"> </w:t>
      </w:r>
    </w:p>
    <w:p w14:paraId="171069A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52B4B9" w14:textId="3052959B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T</w:t>
      </w:r>
      <w:r w:rsidRPr="000543E6">
        <w:rPr>
          <w:rFonts w:ascii="Calibri" w:eastAsia="Times New Roman" w:hAnsi="Calibri" w:cs="Calibri"/>
        </w:rPr>
        <w:t xml:space="preserve">he odor exploration index shows a negatively shifted behavioral response to </w:t>
      </w:r>
      <w:r w:rsidR="005F6E65"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of UCMS mice compared to Controls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0543E6">
        <w:rPr>
          <w:rFonts w:ascii="Calibri" w:eastAsia="Times New Roman" w:hAnsi="Calibri" w:cs="Calibri"/>
        </w:rPr>
        <w:t>which tend to be positively correlated with the animals</w:t>
      </w:r>
      <w:r>
        <w:rPr>
          <w:rFonts w:ascii="Calibri" w:eastAsia="Times New Roman" w:hAnsi="Calibri" w:cs="Calibri"/>
        </w:rPr>
        <w:t>'</w:t>
      </w:r>
      <w:r w:rsidRPr="000543E6">
        <w:rPr>
          <w:rFonts w:ascii="Calibri" w:eastAsia="Times New Roman" w:hAnsi="Calibri" w:cs="Calibri"/>
        </w:rPr>
        <w:t xml:space="preserve"> emotionality score </w:t>
      </w:r>
      <w:r w:rsidR="005F6E65" w:rsidRPr="005F6E65">
        <w:rPr>
          <w:rFonts w:cstheme="minorHAnsi"/>
          <w:b/>
          <w:bCs/>
        </w:rPr>
        <w:t>[2]</w:t>
      </w:r>
      <w:r w:rsidRPr="00A133F1">
        <w:rPr>
          <w:rFonts w:cstheme="minorHAnsi"/>
        </w:rPr>
        <w:t>.</w:t>
      </w:r>
    </w:p>
    <w:p w14:paraId="28C027DF" w14:textId="17A9F344" w:rsid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H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64EBE86F" w14:textId="335007D8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 xml:space="preserve">I </w:t>
      </w:r>
      <w:r w:rsidR="006C3823">
        <w:rPr>
          <w:rFonts w:cstheme="minorHAnsi"/>
        </w:rPr>
        <w:tab/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>ighlight the upward trend lines in the pink (FU) and blue (TMT) sections.</w:t>
      </w:r>
    </w:p>
    <w:p w14:paraId="4940D240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9B0D" w14:textId="77777777" w:rsidR="000726BC" w:rsidRDefault="000726BC">
      <w:r>
        <w:separator/>
      </w:r>
    </w:p>
    <w:p w14:paraId="11ED0C34" w14:textId="77777777" w:rsidR="000726BC" w:rsidRDefault="000726BC"/>
  </w:endnote>
  <w:endnote w:type="continuationSeparator" w:id="0">
    <w:p w14:paraId="0865B55B" w14:textId="77777777" w:rsidR="000726BC" w:rsidRDefault="000726BC">
      <w:r>
        <w:continuationSeparator/>
      </w:r>
    </w:p>
    <w:p w14:paraId="40EB0BD9" w14:textId="77777777" w:rsidR="000726BC" w:rsidRDefault="00072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FBE6D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7A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DA4F" w14:textId="77777777" w:rsidR="000726BC" w:rsidRDefault="000726BC">
      <w:r>
        <w:separator/>
      </w:r>
    </w:p>
    <w:p w14:paraId="6728E4B6" w14:textId="77777777" w:rsidR="000726BC" w:rsidRDefault="000726BC"/>
  </w:footnote>
  <w:footnote w:type="continuationSeparator" w:id="0">
    <w:p w14:paraId="391E4C0E" w14:textId="77777777" w:rsidR="000726BC" w:rsidRDefault="000726BC">
      <w:r>
        <w:continuationSeparator/>
      </w:r>
    </w:p>
    <w:p w14:paraId="5A588E2D" w14:textId="77777777" w:rsidR="000726BC" w:rsidRDefault="00072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E6AE4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6BC"/>
    <w:rsid w:val="00074929"/>
    <w:rsid w:val="00077485"/>
    <w:rsid w:val="00083792"/>
    <w:rsid w:val="00085F90"/>
    <w:rsid w:val="0008613B"/>
    <w:rsid w:val="000902E6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D9C"/>
    <w:rsid w:val="00106F46"/>
    <w:rsid w:val="001115D1"/>
    <w:rsid w:val="00113F3E"/>
    <w:rsid w:val="00125924"/>
    <w:rsid w:val="00126973"/>
    <w:rsid w:val="001302B1"/>
    <w:rsid w:val="001331E3"/>
    <w:rsid w:val="00135714"/>
    <w:rsid w:val="00137BDA"/>
    <w:rsid w:val="00142D32"/>
    <w:rsid w:val="00143557"/>
    <w:rsid w:val="001469E6"/>
    <w:rsid w:val="0015172E"/>
    <w:rsid w:val="00151824"/>
    <w:rsid w:val="001528A5"/>
    <w:rsid w:val="00162D51"/>
    <w:rsid w:val="0016471F"/>
    <w:rsid w:val="00171A17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31B"/>
    <w:rsid w:val="00330494"/>
    <w:rsid w:val="00330F1B"/>
    <w:rsid w:val="003326AD"/>
    <w:rsid w:val="003338B1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65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823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57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23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E50"/>
    <w:rsid w:val="009538A4"/>
    <w:rsid w:val="00954870"/>
    <w:rsid w:val="00954BDD"/>
    <w:rsid w:val="00962168"/>
    <w:rsid w:val="009625B1"/>
    <w:rsid w:val="00966F67"/>
    <w:rsid w:val="009670EA"/>
    <w:rsid w:val="00977A9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3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CCB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4F4A"/>
    <w:rsid w:val="00D6314B"/>
    <w:rsid w:val="00D654B4"/>
    <w:rsid w:val="00D662C7"/>
    <w:rsid w:val="00D712A3"/>
    <w:rsid w:val="00D7239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6AA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3B"/>
    <w:rsid w:val="00F83448"/>
    <w:rsid w:val="00F917CF"/>
    <w:rsid w:val="00F95E8D"/>
    <w:rsid w:val="00FA1A9D"/>
    <w:rsid w:val="00FA532D"/>
    <w:rsid w:val="00FA7A79"/>
    <w:rsid w:val="00FA7D51"/>
    <w:rsid w:val="00FB248C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172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5172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51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1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51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51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93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19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91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71491"/>
    <w:rsid w:val="00171A17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62E1E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4730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123F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3DA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1CCB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239D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24</cp:revision>
  <dcterms:created xsi:type="dcterms:W3CDTF">2025-01-20T00:16:00Z</dcterms:created>
  <dcterms:modified xsi:type="dcterms:W3CDTF">2025-05-26T14:49:00Z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