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8B57A">
      <w:pPr>
        <w:rPr>
          <w:b/>
          <w:bCs/>
        </w:rPr>
      </w:pPr>
      <w:r>
        <w:rPr>
          <w:b/>
          <w:bCs/>
        </w:rPr>
        <w:t>TITLE:</w:t>
      </w:r>
    </w:p>
    <w:p w14:paraId="42369086">
      <w:pPr>
        <w:rPr>
          <w:b/>
        </w:rPr>
      </w:pPr>
      <w:r>
        <w:t>Establishment of a Co-culture System of Patient-Derived Colorectal Tumor Organoids and Tumor-Infiltrating Lymphocytes (TILs)</w:t>
      </w:r>
    </w:p>
    <w:p w14:paraId="42533CCC"/>
    <w:p w14:paraId="68D0DA14">
      <w:pPr>
        <w:rPr>
          <w:b/>
          <w:bCs/>
        </w:rPr>
      </w:pPr>
      <w:r>
        <w:rPr>
          <w:b/>
          <w:bCs/>
        </w:rPr>
        <w:t>AUTHORS AND AFFILIATIONS:</w:t>
      </w:r>
    </w:p>
    <w:p w14:paraId="0E5028F7">
      <w:pPr>
        <w:rPr>
          <w:bCs/>
        </w:rPr>
      </w:pPr>
      <w:r>
        <w:rPr>
          <w:bCs/>
        </w:rPr>
        <w:t>Zeshuo Feng</w:t>
      </w:r>
      <w:r>
        <w:rPr>
          <w:bCs/>
          <w:vertAlign w:val="superscript"/>
        </w:rPr>
        <w:t>1</w:t>
      </w:r>
      <w:r>
        <w:rPr>
          <w:bCs/>
        </w:rPr>
        <w:t>, Yanjiao Li</w:t>
      </w:r>
      <w:r>
        <w:rPr>
          <w:bCs/>
          <w:vertAlign w:val="superscript"/>
        </w:rPr>
        <w:t>1</w:t>
      </w:r>
      <w:r>
        <w:rPr>
          <w:bCs/>
        </w:rPr>
        <w:t>, Ju Wu</w:t>
      </w:r>
      <w:r>
        <w:rPr>
          <w:bCs/>
          <w:vertAlign w:val="superscript"/>
        </w:rPr>
        <w:t>2</w:t>
      </w:r>
      <w:r>
        <w:rPr>
          <w:bCs/>
        </w:rPr>
        <w:t>, Jiajun Yin</w:t>
      </w:r>
      <w:r>
        <w:rPr>
          <w:bCs/>
          <w:vertAlign w:val="superscript"/>
        </w:rPr>
        <w:t>2</w:t>
      </w:r>
      <w:r>
        <w:rPr>
          <w:bCs/>
        </w:rPr>
        <w:t>, Ruoyu Wang</w:t>
      </w:r>
      <w:r>
        <w:rPr>
          <w:bCs/>
          <w:vertAlign w:val="superscript"/>
        </w:rPr>
        <w:t>1</w:t>
      </w:r>
      <w:r>
        <w:rPr>
          <w:bCs/>
        </w:rPr>
        <w:t>*, Shanshan Liang</w:t>
      </w:r>
      <w:r>
        <w:rPr>
          <w:bCs/>
          <w:vertAlign w:val="superscript"/>
        </w:rPr>
        <w:t xml:space="preserve">1 </w:t>
      </w:r>
      <w:r>
        <w:rPr>
          <w:bCs/>
        </w:rPr>
        <w:t>*</w:t>
      </w:r>
    </w:p>
    <w:p w14:paraId="344050D1">
      <w:pPr>
        <w:rPr>
          <w:b/>
        </w:rPr>
      </w:pPr>
    </w:p>
    <w:p w14:paraId="22692789">
      <w:r>
        <w:rPr>
          <w:vertAlign w:val="superscript"/>
        </w:rPr>
        <w:t>1</w:t>
      </w:r>
      <w:r>
        <w:t>The Key Laboratory of biomarker high throughput screening and target translation of breast and gastrointestinal tumor, Affiliated Zhongshan Hospital of Dalian University, Zhongshan District, Dalian, Liaoning, China</w:t>
      </w:r>
    </w:p>
    <w:p w14:paraId="371E82CB">
      <w:r>
        <w:rPr>
          <w:vertAlign w:val="superscript"/>
        </w:rPr>
        <w:t>2</w:t>
      </w:r>
      <w:r>
        <w:t>Department of General Surgery, Affiliated Zhongshan Hospital of Dalian University, Zhongshan District, Dalian, Liaoning, China</w:t>
      </w:r>
    </w:p>
    <w:p w14:paraId="0E885E2E"/>
    <w:p w14:paraId="0322AE29">
      <w:r>
        <w:t>Email addresses of the co-authors:</w:t>
      </w:r>
    </w:p>
    <w:p w14:paraId="693AE65B">
      <w:r>
        <w:rPr>
          <w:bCs/>
        </w:rPr>
        <w:t>Zeshuo Feng</w:t>
      </w:r>
      <w:r>
        <w:rPr>
          <w:rFonts w:eastAsia="宋体"/>
          <w:bCs/>
          <w:lang w:eastAsia="zh-CN"/>
        </w:rPr>
        <w:t xml:space="preserve">                 </w:t>
      </w:r>
      <w:r>
        <w:t>(</w:t>
      </w:r>
      <w:r>
        <w:fldChar w:fldCharType="begin"/>
      </w:r>
      <w:r>
        <w:instrText xml:space="preserve">HYPERLINK "mailto:fengzeshuo0610@163.com"</w:instrText>
      </w:r>
      <w:r>
        <w:fldChar w:fldCharType="separate"/>
      </w:r>
      <w:r>
        <w:rPr>
          <w:rStyle w:val="20"/>
        </w:rPr>
        <w:t>fengzeshuo0610@163.com</w:t>
      </w:r>
      <w:r>
        <w:fldChar w:fldCharType="end"/>
      </w:r>
      <w:r>
        <w:t>)</w:t>
      </w:r>
    </w:p>
    <w:p w14:paraId="2B5FCEB4">
      <w:pPr>
        <w:rPr>
          <w:lang w:eastAsia="zh-CN"/>
        </w:rPr>
      </w:pPr>
      <w:r>
        <w:rPr>
          <w:bCs/>
        </w:rPr>
        <w:t>Yanjiao Li</w:t>
      </w:r>
      <w:r>
        <w:rPr>
          <w:rFonts w:eastAsia="宋体"/>
          <w:bCs/>
          <w:lang w:eastAsia="zh-CN"/>
        </w:rPr>
        <w:t xml:space="preserve">                      </w:t>
      </w:r>
      <w:r>
        <w:rPr>
          <w:lang w:eastAsia="zh-CN"/>
        </w:rPr>
        <w:t xml:space="preserve"> (</w:t>
      </w:r>
      <w:r>
        <w:fldChar w:fldCharType="begin"/>
      </w:r>
      <w:r>
        <w:instrText xml:space="preserve">HYPERLINK "mailto:liyanjiao@dlu.edu.cn"</w:instrText>
      </w:r>
      <w:r>
        <w:fldChar w:fldCharType="separate"/>
      </w:r>
      <w:r>
        <w:rPr>
          <w:rStyle w:val="20"/>
        </w:rPr>
        <w:t>liyanjiao@dlu.edu.cn</w:t>
      </w:r>
      <w:r>
        <w:fldChar w:fldCharType="end"/>
      </w:r>
      <w:r>
        <w:rPr>
          <w:lang w:eastAsia="zh-CN"/>
        </w:rPr>
        <w:t>)</w:t>
      </w:r>
    </w:p>
    <w:p w14:paraId="488AD497">
      <w:pPr>
        <w:rPr>
          <w:lang w:eastAsia="zh-CN"/>
        </w:rPr>
      </w:pPr>
      <w:r>
        <w:rPr>
          <w:bCs/>
        </w:rPr>
        <w:t>Ju Wu</w:t>
      </w:r>
      <w:r>
        <w:rPr>
          <w:rFonts w:eastAsia="宋体"/>
          <w:bCs/>
          <w:lang w:eastAsia="zh-CN"/>
        </w:rPr>
        <w:t xml:space="preserve">                             </w:t>
      </w:r>
      <w:r>
        <w:rPr>
          <w:lang w:eastAsia="zh-CN"/>
        </w:rPr>
        <w:t>(</w:t>
      </w:r>
      <w:r>
        <w:fldChar w:fldCharType="begin"/>
      </w:r>
      <w:r>
        <w:instrText xml:space="preserve">HYPERLINK "mailto:ewc5268@163.com"</w:instrText>
      </w:r>
      <w:r>
        <w:fldChar w:fldCharType="separate"/>
      </w:r>
      <w:r>
        <w:rPr>
          <w:rStyle w:val="20"/>
        </w:rPr>
        <w:t>ewc5268@163.com</w:t>
      </w:r>
      <w:r>
        <w:fldChar w:fldCharType="end"/>
      </w:r>
      <w:r>
        <w:rPr>
          <w:lang w:eastAsia="zh-CN"/>
        </w:rPr>
        <w:t>)</w:t>
      </w:r>
    </w:p>
    <w:p w14:paraId="3F4FA7C6">
      <w:pPr>
        <w:rPr>
          <w:lang w:eastAsia="zh-CN"/>
        </w:rPr>
      </w:pPr>
      <w:r>
        <w:t>Jiajun Yin</w:t>
      </w:r>
      <w:r>
        <w:rPr>
          <w:lang w:eastAsia="zh-CN"/>
        </w:rPr>
        <w:t xml:space="preserve">                       (</w:t>
      </w:r>
      <w:r>
        <w:fldChar w:fldCharType="begin"/>
      </w:r>
      <w:r>
        <w:instrText xml:space="preserve">HYPERLINK "mailto:zd86895@163.com"</w:instrText>
      </w:r>
      <w:r>
        <w:fldChar w:fldCharType="separate"/>
      </w:r>
      <w:r>
        <w:rPr>
          <w:rStyle w:val="20"/>
        </w:rPr>
        <w:t>zd86895@163.com</w:t>
      </w:r>
      <w:r>
        <w:fldChar w:fldCharType="end"/>
      </w:r>
      <w:r>
        <w:rPr>
          <w:lang w:eastAsia="zh-CN"/>
        </w:rPr>
        <w:t>)</w:t>
      </w:r>
    </w:p>
    <w:p w14:paraId="5BB01863"/>
    <w:p w14:paraId="796A36CD">
      <w:pPr>
        <w:rPr>
          <w:rFonts w:eastAsia="宋体"/>
          <w:lang w:eastAsia="zh-CN"/>
        </w:rPr>
      </w:pPr>
      <w:r>
        <w:t>*Email addresses of the corresponding authors:</w:t>
      </w:r>
      <w:r>
        <w:rPr>
          <w:rFonts w:eastAsia="宋体"/>
          <w:lang w:eastAsia="zh-CN"/>
        </w:rPr>
        <w:t xml:space="preserve"> </w:t>
      </w:r>
    </w:p>
    <w:p w14:paraId="67E4A8A9">
      <w:r>
        <w:t>Ruoyu</w:t>
      </w:r>
      <w:r>
        <w:rPr>
          <w:rFonts w:eastAsia="宋体"/>
          <w:lang w:eastAsia="zh-CN"/>
        </w:rPr>
        <w:t xml:space="preserve"> </w:t>
      </w:r>
      <w:r>
        <w:t>Wang</w:t>
      </w:r>
      <w:r>
        <w:tab/>
      </w:r>
      <w:r>
        <w:tab/>
      </w:r>
      <w:r>
        <w:t>(</w:t>
      </w:r>
      <w:r>
        <w:fldChar w:fldCharType="begin"/>
      </w:r>
      <w:r>
        <w:instrText xml:space="preserve"> HYPERLINK "mailto:wangruoyu@dlu.edu.cn" </w:instrText>
      </w:r>
      <w:r>
        <w:fldChar w:fldCharType="separate"/>
      </w:r>
      <w:r>
        <w:rPr>
          <w:rStyle w:val="20"/>
        </w:rPr>
        <w:t>wangruoyu@dlu.edu.cn</w:t>
      </w:r>
      <w:r>
        <w:rPr>
          <w:rStyle w:val="20"/>
        </w:rPr>
        <w:fldChar w:fldCharType="end"/>
      </w:r>
      <w:r>
        <w:t>)</w:t>
      </w:r>
    </w:p>
    <w:p w14:paraId="0F5DC529">
      <w:r>
        <w:t>Shanshan Liang</w:t>
      </w:r>
      <w:r>
        <w:tab/>
      </w:r>
      <w:r>
        <w:t>(</w:t>
      </w:r>
      <w:r>
        <w:fldChar w:fldCharType="begin"/>
      </w:r>
      <w:r>
        <w:instrText xml:space="preserve"> HYPERLINK "mailto:liangshanshan@dlu.edu.cn" </w:instrText>
      </w:r>
      <w:r>
        <w:fldChar w:fldCharType="separate"/>
      </w:r>
      <w:r>
        <w:rPr>
          <w:rStyle w:val="20"/>
        </w:rPr>
        <w:t>liangshanshan@dlu.edu.cn</w:t>
      </w:r>
      <w:r>
        <w:rPr>
          <w:rStyle w:val="20"/>
        </w:rPr>
        <w:fldChar w:fldCharType="end"/>
      </w:r>
      <w:r>
        <w:t>)</w:t>
      </w:r>
    </w:p>
    <w:p w14:paraId="0AFDE2A4"/>
    <w:p w14:paraId="30FBEFAF">
      <w:r>
        <w:rPr>
          <w:b/>
        </w:rPr>
        <w:t>SUMMARY:</w:t>
      </w:r>
      <w:r>
        <w:t xml:space="preserve"> </w:t>
      </w:r>
    </w:p>
    <w:p w14:paraId="4C26D016">
      <w:r>
        <w:t>The protocol describes a method for creating a patient-derived colorectal cancer (CRC) organoid model co-cultured with tumor-infiltrating lymphocytes (TILs) to study their interactions and therapeutic potential. This model provides a preclinical platform to explore immune responses in the tumor microenvironment and to predict the efficacy of TIL-based therapy for personalized CRC treatment.</w:t>
      </w:r>
    </w:p>
    <w:p w14:paraId="73EFAC4D"/>
    <w:p w14:paraId="0809A8B9">
      <w:r>
        <w:rPr>
          <w:b/>
        </w:rPr>
        <w:t>ABSTRACT:</w:t>
      </w:r>
    </w:p>
    <w:p w14:paraId="417B2F3F">
      <w:r>
        <w:t xml:space="preserve">Colorectal cancer (CRC) is the third most common cancer worldwide. Tumor-infiltrating lymphocytes (TILs) have been identified as an important prognostic marker in CRC. The therapeutic application of TILs has already shown promising results in melanoma and cervical cancer. However, their use in CRC therapy remains in an exploratory phase. A suitable </w:t>
      </w:r>
      <w:r>
        <w:rPr>
          <w:i/>
          <w:iCs/>
        </w:rPr>
        <w:t>in vitro</w:t>
      </w:r>
      <w:r>
        <w:t xml:space="preserve"> model to evaluate TIL efficacy is currently unavailable, hindering further advancements in this field. Patient-derived organoid (PDO) models, which closely retain the characteristics of the original tumor tissue and reflect inter-patient heterogeneity, provide an excellent platform for studying the interaction between CRC and TILs. In this study, a method is described to establish a patient-derived CRC organoid model from freshly resected tumor tissue, followed by isolation and expansion of TILs. This system allows co-culture of CRC organoids and TILs, enabling the assessment of TIL-mediated cytotoxicity and immune responses. By analyzing TIL killing efficacy on organoids, the potential outcomes of TIL-based immunotherapy for personalized CRC treatment can be predicted. Moreover, further engineering of TILs may enhance their anti-tumor efficacy, offering a promising strategy for developing more effective cellular therapies. This PDO–TIL co-culture model provides a powerful tool for preclinical evaluation of TIL therapies and personalized treatment strategies in CRC.</w:t>
      </w:r>
    </w:p>
    <w:p w14:paraId="3968205F"/>
    <w:p w14:paraId="2DD05D6D">
      <w:r>
        <w:rPr>
          <w:b/>
        </w:rPr>
        <w:t>INTRODUCTION:</w:t>
      </w:r>
      <w:r>
        <w:t xml:space="preserve"> </w:t>
      </w:r>
    </w:p>
    <w:p w14:paraId="0085AC0F">
      <w:pPr>
        <w:widowControl/>
        <w:rPr>
          <w:rFonts w:eastAsia="Times New Roman"/>
          <w:lang w:val="en-IN" w:eastAsia="en-IN"/>
        </w:rPr>
      </w:pPr>
      <w:r>
        <w:rPr>
          <w:rFonts w:eastAsia="Times New Roman"/>
          <w:lang w:val="en-IN" w:eastAsia="en-IN"/>
        </w:rPr>
        <w:t>Colorectal cancer (CRC) is one of the most prevalent and lethal cancers globally, representing a major public health challenge</w:t>
      </w:r>
      <w:r>
        <w:rPr>
          <w:rFonts w:eastAsia="Times New Roman"/>
          <w:vertAlign w:val="superscript"/>
          <w:lang w:val="en-IN" w:eastAsia="en-IN"/>
        </w:rPr>
        <w:t>1</w:t>
      </w:r>
      <w:r>
        <w:rPr>
          <w:rFonts w:eastAsia="Times New Roman"/>
          <w:lang w:val="en-IN" w:eastAsia="en-IN"/>
        </w:rPr>
        <w:t>. Despite advances in treatment modalities, including surgery, chemotherapy, and immunotherapy, the prognosis for CRC patients—especially those with metastatic disease—remains poor. The tumor microenvironment (TME) plays a vital role in shaping cancer progression and treatment responses, with tumor-infiltrating lymphocytes (TILs) emerging as a key component influencing the immune response against cancer</w:t>
      </w:r>
      <w:r>
        <w:rPr>
          <w:rFonts w:eastAsia="Times New Roman"/>
          <w:vertAlign w:val="superscript"/>
          <w:lang w:val="en-IN" w:eastAsia="en-IN"/>
        </w:rPr>
        <w:t>2</w:t>
      </w:r>
      <w:r>
        <w:rPr>
          <w:rFonts w:eastAsia="Times New Roman"/>
          <w:lang w:val="en-IN" w:eastAsia="en-IN"/>
        </w:rPr>
        <w:t>. TILs, a diverse population of immune cells found within tumors, have been identified as significant prognostic markers in CRC, with high levels of TIL infiltration often associated with better clinical outcomes</w:t>
      </w:r>
      <w:r>
        <w:rPr>
          <w:rFonts w:eastAsia="Times New Roman"/>
          <w:vertAlign w:val="superscript"/>
          <w:lang w:val="en-IN" w:eastAsia="en-IN"/>
        </w:rPr>
        <w:t>3</w:t>
      </w:r>
      <w:r>
        <w:rPr>
          <w:rFonts w:eastAsia="Times New Roman"/>
          <w:lang w:val="en-IN" w:eastAsia="en-IN"/>
        </w:rPr>
        <w:t>. Recent studies have also highlighted the therapeutic potential of TILs in other cancers, such as melanoma</w:t>
      </w:r>
      <w:r>
        <w:rPr>
          <w:rFonts w:eastAsia="Times New Roman"/>
          <w:vertAlign w:val="superscript"/>
          <w:lang w:val="en-IN" w:eastAsia="en-IN"/>
        </w:rPr>
        <w:t>4</w:t>
      </w:r>
      <w:r>
        <w:rPr>
          <w:rFonts w:eastAsia="Times New Roman"/>
          <w:lang w:val="en-IN" w:eastAsia="en-IN"/>
        </w:rPr>
        <w:t xml:space="preserve"> and cervical cancer</w:t>
      </w:r>
      <w:r>
        <w:rPr>
          <w:rFonts w:eastAsia="Times New Roman"/>
          <w:vertAlign w:val="superscript"/>
          <w:lang w:val="en-IN" w:eastAsia="en-IN"/>
        </w:rPr>
        <w:t>5</w:t>
      </w:r>
      <w:r>
        <w:rPr>
          <w:rFonts w:eastAsia="Times New Roman"/>
          <w:lang w:val="en-IN" w:eastAsia="en-IN"/>
        </w:rPr>
        <w:t>, where TIL-based immunotherapy has shown promising efficacy.</w:t>
      </w:r>
    </w:p>
    <w:p w14:paraId="2378040A">
      <w:pPr>
        <w:widowControl/>
        <w:rPr>
          <w:rFonts w:eastAsia="Times New Roman"/>
          <w:lang w:val="en-IN" w:eastAsia="en-IN"/>
        </w:rPr>
      </w:pPr>
    </w:p>
    <w:p w14:paraId="2326626A">
      <w:pPr>
        <w:widowControl/>
        <w:rPr>
          <w:rFonts w:eastAsia="Times New Roman"/>
          <w:lang w:val="en-IN" w:eastAsia="en-IN"/>
        </w:rPr>
      </w:pPr>
      <w:r>
        <w:rPr>
          <w:rFonts w:eastAsia="Times New Roman"/>
          <w:lang w:val="en-IN" w:eastAsia="en-IN"/>
        </w:rPr>
        <w:t>However, despite the success of TILs in some cancer types, their application in CRC remains an area of ongoing investigation. The complexity and heterogeneity of CRC, coupled with the immunosuppressive tumor microenvironment, present challenges for effective TIL-based immunotherapy</w:t>
      </w:r>
      <w:r>
        <w:rPr>
          <w:rFonts w:eastAsia="Times New Roman"/>
          <w:vertAlign w:val="superscript"/>
          <w:lang w:val="en-IN" w:eastAsia="en-IN"/>
        </w:rPr>
        <w:t>6</w:t>
      </w:r>
      <w:r>
        <w:rPr>
          <w:rFonts w:eastAsia="Times New Roman"/>
          <w:lang w:val="en-IN" w:eastAsia="en-IN"/>
        </w:rPr>
        <w:t>. CRC tumors often exhibit a highly immunosuppressive TME</w:t>
      </w:r>
      <w:r>
        <w:rPr>
          <w:rFonts w:eastAsia="Times New Roman"/>
          <w:vertAlign w:val="superscript"/>
          <w:lang w:val="en-IN" w:eastAsia="en-IN"/>
        </w:rPr>
        <w:t>7</w:t>
      </w:r>
      <w:r>
        <w:rPr>
          <w:rFonts w:eastAsia="Times New Roman"/>
          <w:lang w:val="en-IN" w:eastAsia="en-IN"/>
        </w:rPr>
        <w:t>, characterized by the presence of regulatory T cells (Tregs), myeloid-derived suppressor cells (MDSCs), and tumor-associated macrophages (TAMs), all of which actively inhibit TIL function. Moreover, CRC cells frequently express immune checkpoint molecules, such as PD-L1, that can further hinder TIL-mediated killing</w:t>
      </w:r>
      <w:r>
        <w:rPr>
          <w:rFonts w:eastAsia="Times New Roman"/>
          <w:vertAlign w:val="superscript"/>
          <w:lang w:val="en-IN" w:eastAsia="en-IN"/>
        </w:rPr>
        <w:t>8</w:t>
      </w:r>
      <w:r>
        <w:rPr>
          <w:rFonts w:eastAsia="Times New Roman"/>
          <w:lang w:val="en-IN" w:eastAsia="en-IN"/>
        </w:rPr>
        <w:t>. Additionally, the genetic heterogeneity of CRC tumors, coupled with an immunosuppressive stroma, complicates the ability of TILs to effectively target and eliminate tumor cells, making it more difficult to achieve the same level of success seen in melanoma and cervical cancer</w:t>
      </w:r>
      <w:r>
        <w:rPr>
          <w:rFonts w:eastAsia="Times New Roman"/>
          <w:vertAlign w:val="superscript"/>
          <w:lang w:val="en-IN" w:eastAsia="en-IN"/>
        </w:rPr>
        <w:t>9</w:t>
      </w:r>
      <w:r>
        <w:rPr>
          <w:rFonts w:eastAsia="Times New Roman"/>
          <w:lang w:val="en-IN" w:eastAsia="en-IN"/>
        </w:rPr>
        <w:t xml:space="preserve">. A critical gap in current research is the lack of suitable </w:t>
      </w:r>
      <w:r>
        <w:rPr>
          <w:rFonts w:eastAsia="Times New Roman"/>
          <w:i/>
          <w:iCs/>
          <w:lang w:val="en-IN" w:eastAsia="en-IN"/>
        </w:rPr>
        <w:t>in vitro</w:t>
      </w:r>
      <w:r>
        <w:rPr>
          <w:rFonts w:eastAsia="Times New Roman"/>
          <w:lang w:val="en-IN" w:eastAsia="en-IN"/>
        </w:rPr>
        <w:t xml:space="preserve"> models that can accurately simulate the interactions between CRC and TILs. Such models are essential for evaluating the potential of TILs in CRC therapy and optimizing their application for personalized treatment strategies.</w:t>
      </w:r>
    </w:p>
    <w:p w14:paraId="70344D30">
      <w:pPr>
        <w:rPr>
          <w:color w:val="EE0000"/>
          <w:lang w:eastAsia="zh-CN"/>
        </w:rPr>
      </w:pPr>
    </w:p>
    <w:p w14:paraId="6FA3077C">
      <w:pPr>
        <w:widowControl/>
        <w:rPr>
          <w:rFonts w:eastAsia="Times New Roman"/>
          <w:lang w:val="en-IN" w:eastAsia="en-IN"/>
        </w:rPr>
      </w:pPr>
      <w:r>
        <w:rPr>
          <w:rFonts w:eastAsia="Times New Roman"/>
          <w:lang w:val="en-IN" w:eastAsia="en-IN"/>
        </w:rPr>
        <w:t>Patient-derived organoids (PDOs) have emerged as a powerful tool for modeling human cancers</w:t>
      </w:r>
      <w:r>
        <w:rPr>
          <w:rFonts w:eastAsia="Times New Roman"/>
          <w:vertAlign w:val="superscript"/>
          <w:lang w:val="en-IN" w:eastAsia="en-IN"/>
        </w:rPr>
        <w:t>10</w:t>
      </w:r>
      <w:r>
        <w:rPr>
          <w:rFonts w:eastAsia="Times New Roman"/>
          <w:lang w:val="en-IN" w:eastAsia="en-IN"/>
        </w:rPr>
        <w:t>. These 3D cultures, derived from patient tumor tissues, closely mimic the histological and genetic characteristics of the original tumors, providing a more accurate representation of tumor biology compared to traditional 2D cell lines. PDO models also retain inter-patient heterogeneity, making them ideal for personalized medicine approaches</w:t>
      </w:r>
      <w:r>
        <w:rPr>
          <w:rFonts w:eastAsia="Times New Roman"/>
          <w:vertAlign w:val="superscript"/>
          <w:lang w:val="en-IN" w:eastAsia="en-IN"/>
        </w:rPr>
        <w:t>11</w:t>
      </w:r>
      <w:r>
        <w:rPr>
          <w:rFonts w:eastAsia="Times New Roman"/>
          <w:lang w:val="en-IN" w:eastAsia="en-IN"/>
        </w:rPr>
        <w:t>. In CRC, PDOs have been used for drug screening and studying tumor biology</w:t>
      </w:r>
      <w:r>
        <w:rPr>
          <w:rFonts w:eastAsia="Times New Roman"/>
          <w:vertAlign w:val="superscript"/>
          <w:lang w:val="en-IN" w:eastAsia="en-IN"/>
        </w:rPr>
        <w:t>12</w:t>
      </w:r>
      <w:r>
        <w:rPr>
          <w:rFonts w:eastAsia="Times New Roman"/>
          <w:lang w:val="en-IN" w:eastAsia="en-IN"/>
        </w:rPr>
        <w:t>, but their use in evaluating immune responses—particularly in the context of TILs—remains limited. The design of a PDO–immune cell co-culture model must balance the complexity of the microenvironment with experimental controllability. Although components such as macrophages and dendritic cells can enhance biomimicry, peripheral blood mononuclear cells (PBMCs) have become the mainstream choice due to their accessibility. However, PBMCs have a low proportion of tumor-specific T cells, and the monocyte subpopulations may interfere with microenvironmental stability</w:t>
      </w:r>
      <w:r>
        <w:rPr>
          <w:rFonts w:eastAsia="Times New Roman"/>
          <w:vertAlign w:val="superscript"/>
          <w:lang w:val="en-IN" w:eastAsia="en-IN"/>
        </w:rPr>
        <w:t>13</w:t>
      </w:r>
      <w:r>
        <w:rPr>
          <w:rFonts w:eastAsia="Times New Roman"/>
          <w:lang w:val="en-IN" w:eastAsia="en-IN"/>
        </w:rPr>
        <w:t>. In contrast, TILs naturally enrich tumor-reactive clones and carry an in situ exhaustion phenotype, making them a superior model for precisely analyzing immune evasion mechanisms in colorectal cancer.</w:t>
      </w:r>
    </w:p>
    <w:p w14:paraId="2BB8CB73">
      <w:pPr>
        <w:widowControl/>
        <w:rPr>
          <w:rFonts w:eastAsia="Times New Roman"/>
          <w:lang w:val="en-IN" w:eastAsia="en-IN"/>
        </w:rPr>
      </w:pPr>
    </w:p>
    <w:p w14:paraId="5C6323D8">
      <w:pPr>
        <w:widowControl/>
        <w:rPr>
          <w:rFonts w:eastAsia="Times New Roman"/>
          <w:lang w:val="en-IN" w:eastAsia="en-IN"/>
        </w:rPr>
      </w:pPr>
      <w:r>
        <w:rPr>
          <w:rFonts w:eastAsia="Times New Roman"/>
          <w:lang w:val="en-IN" w:eastAsia="en-IN"/>
        </w:rPr>
        <w:t xml:space="preserve">The aim of this study is to develop a novel </w:t>
      </w:r>
      <w:r>
        <w:rPr>
          <w:rFonts w:eastAsia="Times New Roman"/>
          <w:i/>
          <w:iCs/>
          <w:lang w:val="en-IN" w:eastAsia="en-IN"/>
        </w:rPr>
        <w:t>in vitro</w:t>
      </w:r>
      <w:r>
        <w:rPr>
          <w:rFonts w:eastAsia="Times New Roman"/>
          <w:lang w:val="en-IN" w:eastAsia="en-IN"/>
        </w:rPr>
        <w:t xml:space="preserve"> platform to assess TIL-mediated anti-tumor responses in CRC by establishing a co-culture system of CRC PDOs and TILs. This model enables direct evaluation of TIL cytotoxicity against CRC PDOs and analysis of immune responses within a patient-specific context. Utilizing this system may provide deeper insights into the potential of TIL-based immunotherapies for CRC and support the exploration of strategies to enhance TIL efficacy through engineering approaches. Previous methods were limited by the small number of TILs</w:t>
      </w:r>
      <w:r>
        <w:rPr>
          <w:rFonts w:eastAsia="Times New Roman"/>
          <w:vertAlign w:val="superscript"/>
          <w:lang w:val="en-IN" w:eastAsia="en-IN"/>
        </w:rPr>
        <w:t>14</w:t>
      </w:r>
      <w:r>
        <w:rPr>
          <w:rFonts w:eastAsia="Times New Roman"/>
          <w:lang w:val="en-IN" w:eastAsia="en-IN"/>
        </w:rPr>
        <w:t>. In most cases, PBMCs were first co-cultured with PDOs for two weeks, after which tumor-specific TILs could be expanded from the PBMCs and then further co-cultured with PDOs to observe cytotoxic effects</w:t>
      </w:r>
      <w:r>
        <w:rPr>
          <w:rFonts w:eastAsia="Times New Roman"/>
          <w:vertAlign w:val="superscript"/>
          <w:lang w:val="en-IN" w:eastAsia="en-IN"/>
        </w:rPr>
        <w:t>15</w:t>
      </w:r>
      <w:r>
        <w:rPr>
          <w:rFonts w:eastAsia="Times New Roman"/>
          <w:lang w:val="en-IN" w:eastAsia="en-IN"/>
        </w:rPr>
        <w:t>. However, this approach also suffers from extended modeling time and low overall yield. In contrast, the described method allows for the isolation and establishment of PDOs and TILs from smaller tumor tissue samples, which can then be directly co-cultured. This approach may offer greater convenience in terms of both methodology and efficiency. Ultimately, this system aims to provide a powerful tool for the preclinical evaluation of TIL therapies, paving the way for personalized treatment strategies that may improve outcomes for CRC patients.</w:t>
      </w:r>
    </w:p>
    <w:p w14:paraId="18EA46A7">
      <w:pPr>
        <w:rPr>
          <w:b/>
        </w:rPr>
      </w:pPr>
    </w:p>
    <w:p w14:paraId="6EA52EA9">
      <w:pPr>
        <w:rPr>
          <w:b/>
        </w:rPr>
      </w:pPr>
      <w:r>
        <w:rPr>
          <w:b/>
        </w:rPr>
        <w:t>PROTOCOL:</w:t>
      </w:r>
    </w:p>
    <w:p w14:paraId="357B8168">
      <w:pPr>
        <w:adjustRightInd w:val="0"/>
        <w:snapToGrid w:val="0"/>
      </w:pPr>
      <w:r>
        <w:t xml:space="preserve">All experiments involving human-derived materials were conducted in accordance with the Declaration of Helsinki and were approved in advance by the Ethics Committee of Zhongshan Hospital affiliated with Dalian University (approval numbers: KY2023-206-1). Written informed consent was obtained from all patients who provided clinical specimens for this study. The reagents and equipment used in this study are listed in the </w:t>
      </w:r>
      <w:r>
        <w:rPr>
          <w:b/>
          <w:bCs/>
        </w:rPr>
        <w:t>Table of Materials</w:t>
      </w:r>
      <w:r>
        <w:t>.</w:t>
      </w:r>
    </w:p>
    <w:p w14:paraId="27915372">
      <w:pPr>
        <w:adjustRightInd w:val="0"/>
        <w:snapToGrid w:val="0"/>
      </w:pPr>
    </w:p>
    <w:p w14:paraId="388CA4F9">
      <w:pPr>
        <w:adjustRightInd w:val="0"/>
        <w:snapToGrid w:val="0"/>
      </w:pPr>
      <w:r>
        <w:t>Inclusion criteria included pathologically confirmed primary colorectal cancer tissue, a sufficient sample size (≥1 cm³), no history of neoadjuvant therapy (chemoradiation or targeted therapy), and signed informed consent. Exclusion criteria comprised poor sample quality with necrosis or fibrosis exceeding 50%, the presence of concurrent severe infection or autoimmune disease, a history of other malignancies, and patient refusal to participate.</w:t>
      </w:r>
    </w:p>
    <w:p w14:paraId="6AB6028A">
      <w:pPr>
        <w:adjustRightInd w:val="0"/>
        <w:snapToGrid w:val="0"/>
        <w:rPr>
          <w:rFonts w:eastAsiaTheme="minorEastAsia"/>
          <w:lang w:eastAsia="zh-CN"/>
        </w:rPr>
      </w:pPr>
    </w:p>
    <w:p w14:paraId="51FBF9DC">
      <w:pPr>
        <w:pStyle w:val="25"/>
        <w:spacing w:after="0" w:line="240" w:lineRule="auto"/>
        <w:ind w:left="0"/>
        <w:jc w:val="both"/>
        <w:rPr>
          <w:rFonts w:ascii="Calibri" w:hAnsi="Calibri" w:cs="Calibri" w:eastAsiaTheme="minorEastAsia"/>
          <w:b/>
          <w:bCs/>
          <w:sz w:val="24"/>
          <w:szCs w:val="24"/>
          <w:lang w:eastAsia="zh-CN"/>
        </w:rPr>
      </w:pPr>
      <w:r>
        <w:rPr>
          <w:rFonts w:ascii="Calibri" w:hAnsi="Calibri" w:cs="Calibri" w:eastAsiaTheme="minorEastAsia"/>
          <w:b/>
          <w:bCs/>
          <w:sz w:val="24"/>
          <w:szCs w:val="24"/>
          <w:lang w:eastAsia="zh-CN"/>
        </w:rPr>
        <w:t xml:space="preserve">1. </w:t>
      </w:r>
      <w:r>
        <w:rPr>
          <w:rFonts w:ascii="Calibri" w:hAnsi="Calibri" w:cs="Calibri"/>
          <w:b/>
          <w:bCs/>
          <w:sz w:val="24"/>
          <w:szCs w:val="24"/>
        </w:rPr>
        <w:t>Cell culture reagent preparation</w:t>
      </w:r>
    </w:p>
    <w:p w14:paraId="3A91D2AA">
      <w:pPr>
        <w:adjustRightInd w:val="0"/>
        <w:snapToGrid w:val="0"/>
      </w:pPr>
    </w:p>
    <w:p w14:paraId="17B45ECE">
      <w:pPr>
        <w:adjustRightInd w:val="0"/>
        <w:snapToGrid w:val="0"/>
      </w:pPr>
      <w:r>
        <w:t xml:space="preserve">1.1 Culture medium for CRC PDOs: Prepare CRC PDOs Complete Medium according to the composition described in </w:t>
      </w:r>
      <w:r>
        <w:rPr>
          <w:b/>
          <w:bCs/>
        </w:rPr>
        <w:t>Table 1</w:t>
      </w:r>
      <w:r>
        <w:t xml:space="preserve">. </w:t>
      </w:r>
    </w:p>
    <w:p w14:paraId="7E830D60">
      <w:pPr>
        <w:adjustRightInd w:val="0"/>
        <w:snapToGrid w:val="0"/>
      </w:pPr>
    </w:p>
    <w:p w14:paraId="5EBDBEE4">
      <w:pPr>
        <w:adjustRightInd w:val="0"/>
        <w:snapToGrid w:val="0"/>
      </w:pPr>
      <w:r>
        <w:t xml:space="preserve">[Place </w:t>
      </w:r>
      <w:r>
        <w:rPr>
          <w:b/>
          <w:bCs/>
        </w:rPr>
        <w:t>Table 1</w:t>
      </w:r>
      <w:r>
        <w:t xml:space="preserve"> here]</w:t>
      </w:r>
    </w:p>
    <w:p w14:paraId="56CDF51F">
      <w:pPr>
        <w:adjustRightInd w:val="0"/>
        <w:snapToGrid w:val="0"/>
      </w:pPr>
      <w:r>
        <w:br w:type="textWrapping"/>
      </w:r>
      <w:r>
        <w:t>1.2 Complete medium (CM) for TILs</w:t>
      </w:r>
      <w:r>
        <w:rPr>
          <w:vertAlign w:val="superscript"/>
        </w:rPr>
        <w:t>16</w:t>
      </w:r>
      <w:r>
        <w:t>: Supplement RPMI1640 medium with 10% FBS, 1% penicillin-streptomycin, HEPES, 2-mercaptoethanol, and 3000 IU/mL IL-2.</w:t>
      </w:r>
    </w:p>
    <w:p w14:paraId="0953EE3C">
      <w:pPr>
        <w:adjustRightInd w:val="0"/>
        <w:snapToGrid w:val="0"/>
      </w:pPr>
      <w:r>
        <w:br w:type="textWrapping"/>
      </w:r>
      <w:r>
        <w:t>1.3 TILs expansion medium (EM): Supplement RPMI1640 medium with 10% FBS, 1% penicillin-streptomycin, HEPES, and 600 IU/mL IL-2.</w:t>
      </w:r>
    </w:p>
    <w:p w14:paraId="6671DF6D">
      <w:pPr>
        <w:adjustRightInd w:val="0"/>
        <w:snapToGrid w:val="0"/>
      </w:pPr>
      <w:r>
        <w:br w:type="textWrapping"/>
      </w:r>
      <w:r>
        <w:t>1.4 AdDMEM⁺⁺⁺⁺: Supplement Advanced DMEM with 1% penicillin-streptomycin, 1% HEPES, 1% glutamine, and 5 mM Y-27632.</w:t>
      </w:r>
    </w:p>
    <w:p w14:paraId="5A5F9E39">
      <w:pPr>
        <w:adjustRightInd w:val="0"/>
        <w:snapToGrid w:val="0"/>
      </w:pPr>
      <w:r>
        <w:br w:type="textWrapping"/>
      </w:r>
      <w:r>
        <w:t>1.5 CRC digestion buffer: Add 50 µL collagenase type IV and 10 µL Penicillin-Streptomycin-Amphotericin B Solution to AdDMEM⁺⁺⁺⁺.</w:t>
      </w:r>
    </w:p>
    <w:p w14:paraId="13986477">
      <w:pPr>
        <w:adjustRightInd w:val="0"/>
        <w:snapToGrid w:val="0"/>
      </w:pPr>
      <w:r>
        <w:br w:type="textWrapping"/>
      </w:r>
      <w:r>
        <w:t>1.6 Tissue washing solution: Add 2% penicillin-streptomycin to PBS.</w:t>
      </w:r>
    </w:p>
    <w:p w14:paraId="300A9A75">
      <w:pPr>
        <w:adjustRightInd w:val="0"/>
        <w:snapToGrid w:val="0"/>
        <w:rPr>
          <w:color w:val="EE0000"/>
        </w:rPr>
      </w:pPr>
    </w:p>
    <w:p w14:paraId="5852E865">
      <w:pPr>
        <w:rPr>
          <w:b/>
          <w:bCs/>
        </w:rPr>
      </w:pPr>
      <w:r>
        <w:rPr>
          <w:b/>
          <w:bCs/>
        </w:rPr>
        <w:t>2.</w:t>
      </w:r>
      <w:r>
        <w:rPr>
          <w:rFonts w:eastAsiaTheme="minorEastAsia"/>
          <w:b/>
          <w:bCs/>
          <w:lang w:eastAsia="zh-CN"/>
        </w:rPr>
        <w:t xml:space="preserve"> </w:t>
      </w:r>
      <w:r>
        <w:rPr>
          <w:b/>
          <w:bCs/>
        </w:rPr>
        <w:t>Patient-derived tissue processing</w:t>
      </w:r>
    </w:p>
    <w:p w14:paraId="24C57F49">
      <w:pPr>
        <w:adjustRightInd w:val="0"/>
        <w:snapToGrid w:val="0"/>
        <w:rPr>
          <w:rFonts w:eastAsiaTheme="minorEastAsia"/>
          <w:color w:val="EE0000"/>
          <w:lang w:eastAsia="zh-CN"/>
        </w:rPr>
      </w:pPr>
    </w:p>
    <w:p w14:paraId="01B342F2">
      <w:pPr>
        <w:widowControl/>
        <w:rPr>
          <w:rFonts w:eastAsia="Times New Roman"/>
          <w:lang w:val="en-IN" w:eastAsia="en-IN"/>
        </w:rPr>
      </w:pPr>
      <w:r>
        <w:rPr>
          <w:rFonts w:eastAsia="Times New Roman"/>
          <w:lang w:val="en-IN" w:eastAsia="en-IN"/>
        </w:rPr>
        <w:t>2.1 Resect the primary colorectal cancer tumor tissue ( to be performed by experienced surgeons). After collection, divide the tissue into two parts. Place one part in AdDMEM⁺⁺⁺⁺ in an ice box and transport it to the laboratory for tumor cell dissociation and culture. Place the other part in 4% paraformaldehyde for histopathological analysis</w:t>
      </w:r>
      <w:r>
        <w:rPr>
          <w:rFonts w:eastAsia="Times New Roman"/>
          <w:vertAlign w:val="superscript"/>
          <w:lang w:val="en-IN" w:eastAsia="en-IN"/>
        </w:rPr>
        <w:t>17</w:t>
      </w:r>
      <w:r>
        <w:rPr>
          <w:rFonts w:eastAsia="Times New Roman"/>
          <w:lang w:val="en-IN" w:eastAsia="en-IN"/>
        </w:rPr>
        <w:t>.</w:t>
      </w:r>
    </w:p>
    <w:p w14:paraId="497CD0AE">
      <w:pPr>
        <w:widowControl/>
        <w:rPr>
          <w:rFonts w:eastAsia="Times New Roman"/>
          <w:highlight w:val="yellow"/>
          <w:lang w:val="en-IN" w:eastAsia="en-IN"/>
        </w:rPr>
      </w:pPr>
      <w:r>
        <w:rPr>
          <w:rFonts w:eastAsia="Times New Roman"/>
          <w:lang w:val="en-IN" w:eastAsia="en-IN"/>
        </w:rPr>
        <w:br w:type="textWrapping"/>
      </w:r>
      <w:r>
        <w:rPr>
          <w:rFonts w:eastAsia="Times New Roman"/>
          <w:highlight w:val="yellow"/>
          <w:lang w:val="en-IN" w:eastAsia="en-IN"/>
        </w:rPr>
        <w:t>2.2</w:t>
      </w:r>
      <w:r>
        <w:rPr>
          <w:rFonts w:eastAsia="Times New Roman"/>
          <w:highlight w:val="yellow"/>
          <w:lang w:val="en-IN" w:eastAsia="en-IN"/>
        </w:rPr>
        <w:t xml:space="preserve"> Thaw Matrigel slowly in a 4 °C refrigerator. Pre-warm erythrocyte lysis buffer to room temperature. Prepare tissue scissors, forceps, AdDMEM⁺⁺⁺⁺ medium, and CRC digestion buffer.</w:t>
      </w:r>
    </w:p>
    <w:p w14:paraId="186F3E65">
      <w:pPr>
        <w:widowControl/>
        <w:rPr>
          <w:rFonts w:eastAsia="Times New Roman"/>
          <w:highlight w:val="yellow"/>
          <w:lang w:val="en-IN" w:eastAsia="en-IN"/>
        </w:rPr>
      </w:pPr>
      <w:r>
        <w:rPr>
          <w:rFonts w:eastAsia="Times New Roman"/>
          <w:highlight w:val="yellow"/>
          <w:lang w:val="en-IN" w:eastAsia="en-IN"/>
        </w:rPr>
        <w:br w:type="textWrapping"/>
      </w:r>
      <w:r>
        <w:rPr>
          <w:rFonts w:eastAsia="Times New Roman"/>
          <w:highlight w:val="yellow"/>
          <w:lang w:val="en-IN" w:eastAsia="en-IN"/>
        </w:rPr>
        <w:t>2.3 Transfer the tissue to a petri dish and rinse three times with 5 mL PBS. Replace with a new dish and rinse three times with 5 mL tissue wash buffer to minimize contamination.</w:t>
      </w:r>
    </w:p>
    <w:p w14:paraId="70E5BF29">
      <w:pPr>
        <w:widowControl/>
        <w:rPr>
          <w:rFonts w:eastAsia="Times New Roman"/>
          <w:highlight w:val="yellow"/>
          <w:lang w:val="en-IN" w:eastAsia="en-IN"/>
        </w:rPr>
      </w:pPr>
      <w:r>
        <w:rPr>
          <w:rFonts w:eastAsia="Times New Roman"/>
          <w:lang w:val="en-IN" w:eastAsia="en-IN"/>
        </w:rPr>
        <w:br w:type="textWrapping"/>
      </w:r>
      <w:r>
        <w:rPr>
          <w:rFonts w:eastAsia="Times New Roman"/>
          <w:highlight w:val="yellow"/>
          <w:lang w:val="en-IN" w:eastAsia="en-IN"/>
        </w:rPr>
        <w:t>2.4 Mince the tissue with scissors, transfer it to the digestion buffer, and incubate in a 37 °C water bath for 30 min until complete dissociation.</w:t>
      </w:r>
    </w:p>
    <w:p w14:paraId="66C9C47F">
      <w:pPr>
        <w:widowControl/>
        <w:rPr>
          <w:rFonts w:eastAsia="Times New Roman"/>
          <w:highlight w:val="yellow"/>
          <w:lang w:val="en-IN" w:eastAsia="en-IN"/>
        </w:rPr>
      </w:pPr>
      <w:r>
        <w:rPr>
          <w:rFonts w:eastAsia="Times New Roman"/>
          <w:highlight w:val="yellow"/>
          <w:lang w:val="en-IN" w:eastAsia="en-IN"/>
        </w:rPr>
        <w:br w:type="textWrapping"/>
      </w:r>
      <w:r>
        <w:rPr>
          <w:rFonts w:eastAsia="Times New Roman"/>
          <w:highlight w:val="yellow"/>
          <w:lang w:val="en-IN" w:eastAsia="en-IN"/>
        </w:rPr>
        <w:t>2.5 Cut the tissue with tissue scissors and transfer it to the tissue digestion solution. Digest the tissue in a 37 °C water bath and monitor until tissue dissociation is complete.</w:t>
      </w:r>
    </w:p>
    <w:p w14:paraId="145E739F">
      <w:pPr>
        <w:widowControl/>
        <w:rPr>
          <w:rFonts w:eastAsia="Times New Roman"/>
          <w:highlight w:val="yellow"/>
          <w:lang w:val="en-IN" w:eastAsia="en-IN"/>
        </w:rPr>
      </w:pPr>
      <w:r>
        <w:rPr>
          <w:rFonts w:eastAsia="Times New Roman"/>
          <w:highlight w:val="yellow"/>
          <w:lang w:val="en-IN" w:eastAsia="en-IN"/>
        </w:rPr>
        <w:br w:type="textWrapping"/>
      </w:r>
      <w:r>
        <w:rPr>
          <w:rFonts w:eastAsia="Times New Roman"/>
          <w:highlight w:val="yellow"/>
          <w:lang w:val="en-IN" w:eastAsia="en-IN"/>
        </w:rPr>
        <w:t xml:space="preserve">2.6 Add an equal volume of AdDMEM⁺⁺⁺⁺ to neutralize digestion. Centrifuge at 380 × </w:t>
      </w:r>
      <w:r>
        <w:rPr>
          <w:rFonts w:eastAsia="Times New Roman"/>
          <w:i/>
          <w:iCs/>
          <w:highlight w:val="yellow"/>
          <w:lang w:val="en-IN" w:eastAsia="en-IN"/>
        </w:rPr>
        <w:t>g</w:t>
      </w:r>
      <w:r>
        <w:rPr>
          <w:rFonts w:eastAsia="Times New Roman"/>
          <w:highlight w:val="yellow"/>
          <w:lang w:val="en-IN" w:eastAsia="en-IN"/>
        </w:rPr>
        <w:t xml:space="preserve"> for 5 min at 25 °C.</w:t>
      </w:r>
    </w:p>
    <w:p w14:paraId="1C9EF519">
      <w:pPr>
        <w:widowControl/>
        <w:rPr>
          <w:rFonts w:eastAsia="Times New Roman"/>
          <w:highlight w:val="yellow"/>
          <w:lang w:val="en-IN" w:eastAsia="en-IN"/>
        </w:rPr>
      </w:pPr>
      <w:r>
        <w:rPr>
          <w:rFonts w:eastAsia="Times New Roman"/>
          <w:highlight w:val="yellow"/>
          <w:lang w:val="en-IN" w:eastAsia="en-IN"/>
        </w:rPr>
        <w:br w:type="textWrapping"/>
      </w:r>
      <w:r>
        <w:rPr>
          <w:rFonts w:eastAsia="Times New Roman"/>
          <w:highlight w:val="yellow"/>
          <w:lang w:val="en-IN" w:eastAsia="en-IN"/>
        </w:rPr>
        <w:t xml:space="preserve">2.7 Discard the supernatant using a pipette. Observe the number of erythrocytes in the pellet. Add 1–3 mL erythrocyte lysate and incubate for 10 min at 25 °C. </w:t>
      </w:r>
    </w:p>
    <w:p w14:paraId="1678CC45">
      <w:pPr>
        <w:widowControl/>
        <w:rPr>
          <w:rFonts w:eastAsia="Times New Roman"/>
          <w:highlight w:val="yellow"/>
          <w:lang w:val="en-IN" w:eastAsia="en-IN"/>
        </w:rPr>
      </w:pPr>
    </w:p>
    <w:p w14:paraId="292FCD55">
      <w:pPr>
        <w:widowControl/>
        <w:rPr>
          <w:rFonts w:eastAsia="Times New Roman"/>
          <w:highlight w:val="yellow"/>
          <w:lang w:val="en-IN" w:eastAsia="en-IN"/>
        </w:rPr>
      </w:pPr>
      <w:r>
        <w:rPr>
          <w:rFonts w:eastAsia="Times New Roman"/>
          <w:highlight w:val="yellow"/>
          <w:lang w:val="en-IN" w:eastAsia="en-IN"/>
        </w:rPr>
        <w:t xml:space="preserve">2.7.1 Terminate lysis with an equal volume of AdDMEM⁺⁺⁺⁺. Centrifuge at 380 × </w:t>
      </w:r>
      <w:r>
        <w:rPr>
          <w:rFonts w:eastAsia="Times New Roman"/>
          <w:i/>
          <w:iCs/>
          <w:highlight w:val="yellow"/>
          <w:lang w:val="en-IN" w:eastAsia="en-IN"/>
        </w:rPr>
        <w:t>g</w:t>
      </w:r>
      <w:r>
        <w:rPr>
          <w:rFonts w:eastAsia="Times New Roman"/>
          <w:highlight w:val="yellow"/>
          <w:lang w:val="en-IN" w:eastAsia="en-IN"/>
        </w:rPr>
        <w:t xml:space="preserve"> for 5 min at approximately 25 °C.</w:t>
      </w:r>
    </w:p>
    <w:p w14:paraId="33AB7A5E">
      <w:pPr>
        <w:widowControl/>
        <w:rPr>
          <w:rFonts w:eastAsia="Times New Roman"/>
          <w:highlight w:val="yellow"/>
          <w:lang w:val="en-IN" w:eastAsia="en-IN"/>
        </w:rPr>
      </w:pPr>
      <w:r>
        <w:rPr>
          <w:rFonts w:eastAsia="Times New Roman"/>
          <w:highlight w:val="yellow"/>
          <w:lang w:val="en-IN" w:eastAsia="en-IN"/>
        </w:rPr>
        <w:br w:type="textWrapping"/>
      </w:r>
      <w:r>
        <w:rPr>
          <w:rFonts w:eastAsia="Times New Roman"/>
          <w:highlight w:val="yellow"/>
          <w:lang w:val="en-IN" w:eastAsia="en-IN"/>
        </w:rPr>
        <w:t>2.8 Discard the supernatant using a pipette and resuspend the cell pellet in an appropriate volume of AdDMEM⁺⁺⁺⁺.</w:t>
      </w:r>
    </w:p>
    <w:p w14:paraId="53D61E8F">
      <w:pPr>
        <w:widowControl/>
        <w:rPr>
          <w:rFonts w:eastAsia="Times New Roman"/>
          <w:highlight w:val="yellow"/>
          <w:lang w:val="en-IN" w:eastAsia="en-IN"/>
        </w:rPr>
      </w:pPr>
      <w:r>
        <w:rPr>
          <w:rFonts w:eastAsia="Times New Roman"/>
          <w:highlight w:val="yellow"/>
          <w:lang w:val="en-IN" w:eastAsia="en-IN"/>
        </w:rPr>
        <w:br w:type="textWrapping"/>
      </w:r>
      <w:r>
        <w:rPr>
          <w:rFonts w:eastAsia="Times New Roman"/>
          <w:highlight w:val="yellow"/>
          <w:lang w:val="en-IN" w:eastAsia="en-IN"/>
        </w:rPr>
        <w:t>2.9 Quantify viable cells using trypan blue exclusion to obtain a single-cell suspension of tumor tissue.</w:t>
      </w:r>
    </w:p>
    <w:p w14:paraId="15312B76">
      <w:pPr>
        <w:adjustRightInd w:val="0"/>
        <w:snapToGrid w:val="0"/>
        <w:rPr>
          <w:rFonts w:eastAsiaTheme="minorEastAsia"/>
          <w:color w:val="EE0000"/>
          <w:lang w:eastAsia="zh-CN"/>
        </w:rPr>
      </w:pPr>
    </w:p>
    <w:p w14:paraId="7EA1DD82">
      <w:pPr>
        <w:rPr>
          <w:b/>
          <w:bCs/>
          <w:highlight w:val="yellow"/>
        </w:rPr>
      </w:pPr>
      <w:r>
        <w:rPr>
          <w:b/>
          <w:bCs/>
          <w:highlight w:val="yellow"/>
        </w:rPr>
        <w:t>3.</w:t>
      </w:r>
      <w:r>
        <w:rPr>
          <w:rFonts w:eastAsiaTheme="minorEastAsia"/>
          <w:b/>
          <w:bCs/>
          <w:highlight w:val="yellow"/>
          <w:lang w:eastAsia="zh-CN"/>
        </w:rPr>
        <w:t xml:space="preserve"> </w:t>
      </w:r>
      <w:r>
        <w:rPr>
          <w:b/>
          <w:bCs/>
          <w:highlight w:val="yellow"/>
        </w:rPr>
        <w:t>PDO model establishment and TILs culture</w:t>
      </w:r>
    </w:p>
    <w:p w14:paraId="36521C1C"/>
    <w:p w14:paraId="08089D48">
      <w:pPr>
        <w:rPr>
          <w:highlight w:val="yellow"/>
        </w:rPr>
      </w:pPr>
      <w:r>
        <w:rPr>
          <w:highlight w:val="yellow"/>
        </w:rPr>
        <w:t>3.1 Divide the single-cell suspension of tumor tissue into two portions: use one for PDO model establishment and the other for TILs culture.</w:t>
      </w:r>
    </w:p>
    <w:p w14:paraId="3C448404">
      <w:pPr>
        <w:rPr>
          <w:highlight w:val="yellow"/>
        </w:rPr>
      </w:pPr>
      <w:r>
        <w:rPr>
          <w:highlight w:val="yellow"/>
        </w:rPr>
        <w:br w:type="textWrapping"/>
      </w:r>
      <w:r>
        <w:rPr>
          <w:highlight w:val="yellow"/>
        </w:rPr>
        <w:t>3.2 After cell counting, mix 80,000 cells per well of the cell suspension with Matrigel at a 1:1 ratio for PDO model establishment.</w:t>
      </w:r>
    </w:p>
    <w:p w14:paraId="6E84BFD8">
      <w:pPr>
        <w:rPr>
          <w:highlight w:val="yellow"/>
        </w:rPr>
      </w:pPr>
      <w:r>
        <w:rPr>
          <w:highlight w:val="yellow"/>
        </w:rPr>
        <w:br w:type="textWrapping"/>
      </w:r>
      <w:r>
        <w:rPr>
          <w:highlight w:val="yellow"/>
        </w:rPr>
        <w:t>3.3 Resuspend the remaining cell suspension in CM in a 24-well plate at a concentration of 1 × 10⁶ cells/mL for TILs culture.</w:t>
      </w:r>
    </w:p>
    <w:p w14:paraId="37B97C2C">
      <w:pPr>
        <w:rPr>
          <w:highlight w:val="none"/>
        </w:rPr>
      </w:pPr>
      <w:r>
        <w:rPr>
          <w:highlight w:val="yellow"/>
        </w:rPr>
        <w:br w:type="textWrapping"/>
      </w:r>
      <w:r>
        <w:rPr>
          <w:highlight w:val="none"/>
        </w:rPr>
        <w:t>3.4 Observe daily. Take photographs to record the status of PDOs and TILs. Change the medium every 2 days.</w:t>
      </w:r>
    </w:p>
    <w:p w14:paraId="53920985">
      <w:pPr>
        <w:rPr>
          <w:color w:val="EE0000"/>
        </w:rPr>
      </w:pPr>
    </w:p>
    <w:p w14:paraId="61DD7248">
      <w:pPr>
        <w:rPr>
          <w:b/>
          <w:bCs/>
        </w:rPr>
      </w:pPr>
      <w:r>
        <w:rPr>
          <w:b/>
          <w:bCs/>
        </w:rPr>
        <w:t>4.</w:t>
      </w:r>
      <w:r>
        <w:rPr>
          <w:rFonts w:eastAsiaTheme="minorEastAsia"/>
          <w:b/>
          <w:bCs/>
          <w:lang w:eastAsia="zh-CN"/>
        </w:rPr>
        <w:t xml:space="preserve"> </w:t>
      </w:r>
      <w:r>
        <w:rPr>
          <w:b/>
          <w:bCs/>
        </w:rPr>
        <w:t>TILs purification and expansion</w:t>
      </w:r>
    </w:p>
    <w:p w14:paraId="34A84592">
      <w:pPr>
        <w:adjustRightInd w:val="0"/>
        <w:snapToGrid w:val="0"/>
      </w:pPr>
    </w:p>
    <w:p w14:paraId="435D3460">
      <w:pPr>
        <w:adjustRightInd w:val="0"/>
        <w:snapToGrid w:val="0"/>
      </w:pPr>
      <w:r>
        <w:t>4.1 Culture TILs for 10–20 days before purification.</w:t>
      </w:r>
    </w:p>
    <w:p w14:paraId="55A35F71">
      <w:pPr>
        <w:adjustRightInd w:val="0"/>
        <w:snapToGrid w:val="0"/>
        <w:rPr>
          <w:highlight w:val="yellow"/>
        </w:rPr>
      </w:pPr>
      <w:r>
        <w:br w:type="textWrapping"/>
      </w:r>
      <w:r>
        <w:rPr>
          <w:highlight w:val="yellow"/>
        </w:rPr>
        <w:t>4.2 Collect TILs into a centrifuge tube. Rinse the well plate with fresh medium and collect any remaining cells from the well plate.</w:t>
      </w:r>
    </w:p>
    <w:p w14:paraId="38616378">
      <w:pPr>
        <w:adjustRightInd w:val="0"/>
        <w:snapToGrid w:val="0"/>
        <w:rPr>
          <w:highlight w:val="yellow"/>
        </w:rPr>
      </w:pPr>
      <w:r>
        <w:rPr>
          <w:highlight w:val="yellow"/>
        </w:rPr>
        <w:br w:type="textWrapping"/>
      </w:r>
      <w:r>
        <w:rPr>
          <w:highlight w:val="yellow"/>
        </w:rPr>
        <w:t xml:space="preserve">4.3 Centrifuge at 125 × </w:t>
      </w:r>
      <w:r>
        <w:rPr>
          <w:i/>
          <w:iCs/>
          <w:highlight w:val="yellow"/>
        </w:rPr>
        <w:t>g</w:t>
      </w:r>
      <w:r>
        <w:rPr>
          <w:highlight w:val="yellow"/>
        </w:rPr>
        <w:t xml:space="preserve"> for 5 min at approximately 25 °C.</w:t>
      </w:r>
    </w:p>
    <w:p w14:paraId="54A5C86D">
      <w:pPr>
        <w:adjustRightInd w:val="0"/>
        <w:snapToGrid w:val="0"/>
        <w:rPr>
          <w:highlight w:val="yellow"/>
        </w:rPr>
      </w:pPr>
      <w:r>
        <w:rPr>
          <w:highlight w:val="yellow"/>
        </w:rPr>
        <w:br w:type="textWrapping"/>
      </w:r>
      <w:r>
        <w:rPr>
          <w:highlight w:val="yellow"/>
        </w:rPr>
        <w:t xml:space="preserve">4.4 Discard the supernatant using a pipette. Wash with 2 mL PBS and centrifuge again at 125 × </w:t>
      </w:r>
      <w:r>
        <w:rPr>
          <w:i/>
          <w:iCs/>
          <w:highlight w:val="yellow"/>
        </w:rPr>
        <w:t xml:space="preserve">g </w:t>
      </w:r>
      <w:r>
        <w:rPr>
          <w:highlight w:val="yellow"/>
        </w:rPr>
        <w:t>for 5 min at approximately 25 °C.</w:t>
      </w:r>
    </w:p>
    <w:p w14:paraId="5DA4F6E8">
      <w:pPr>
        <w:adjustRightInd w:val="0"/>
        <w:snapToGrid w:val="0"/>
        <w:rPr>
          <w:highlight w:val="yellow"/>
        </w:rPr>
      </w:pPr>
      <w:r>
        <w:rPr>
          <w:highlight w:val="yellow"/>
        </w:rPr>
        <w:br w:type="textWrapping"/>
      </w:r>
      <w:r>
        <w:rPr>
          <w:highlight w:val="yellow"/>
        </w:rPr>
        <w:t>4.5 Perform cell counting.</w:t>
      </w:r>
    </w:p>
    <w:p w14:paraId="4885B369">
      <w:pPr>
        <w:adjustRightInd w:val="0"/>
        <w:snapToGrid w:val="0"/>
        <w:rPr>
          <w:highlight w:val="yellow"/>
        </w:rPr>
      </w:pPr>
      <w:r>
        <w:rPr>
          <w:highlight w:val="yellow"/>
        </w:rPr>
        <w:br w:type="textWrapping"/>
      </w:r>
      <w:r>
        <w:rPr>
          <w:highlight w:val="yellow"/>
        </w:rPr>
        <w:t>4.6 Use CD3⁺ magnetic beads for sorting to isolate CD3⁺ T cells</w:t>
      </w:r>
      <w:r>
        <w:rPr>
          <w:highlight w:val="yellow"/>
          <w:vertAlign w:val="superscript"/>
        </w:rPr>
        <w:t>18</w:t>
      </w:r>
      <w:r>
        <w:rPr>
          <w:highlight w:val="yellow"/>
        </w:rPr>
        <w:t>.</w:t>
      </w:r>
    </w:p>
    <w:p w14:paraId="6DDCEB4F">
      <w:pPr>
        <w:adjustRightInd w:val="0"/>
        <w:snapToGrid w:val="0"/>
      </w:pPr>
      <w:r>
        <w:br w:type="textWrapping"/>
      </w:r>
      <w:r>
        <w:t>4.7 Incubate the antibody with the cell suspension at 4 °C for 10–15 min.</w:t>
      </w:r>
    </w:p>
    <w:p w14:paraId="3052434C">
      <w:pPr>
        <w:adjustRightInd w:val="0"/>
        <w:snapToGrid w:val="0"/>
      </w:pPr>
      <w:r>
        <w:br w:type="textWrapping"/>
      </w:r>
      <w:r>
        <w:t>4.8 Incubate the magnetic beads with the antibody-cell suspension at 4 °C for 10–15 min.</w:t>
      </w:r>
    </w:p>
    <w:p w14:paraId="439FA3B6">
      <w:pPr>
        <w:adjustRightInd w:val="0"/>
        <w:snapToGrid w:val="0"/>
        <w:rPr>
          <w:highlight w:val="yellow"/>
        </w:rPr>
      </w:pPr>
      <w:r>
        <w:br w:type="textWrapping"/>
      </w:r>
      <w:r>
        <w:rPr>
          <w:highlight w:val="yellow"/>
        </w:rPr>
        <w:t>4.9 Place the sorting column into the sorting magnet. Add the cell suspension to the column and allow only the magnetic bead-labeled positive cells to be retained in the sorting column.</w:t>
      </w:r>
    </w:p>
    <w:p w14:paraId="0136B1B2">
      <w:pPr>
        <w:adjustRightInd w:val="0"/>
        <w:snapToGrid w:val="0"/>
        <w:rPr>
          <w:highlight w:val="yellow"/>
        </w:rPr>
      </w:pPr>
      <w:r>
        <w:rPr>
          <w:highlight w:val="yellow"/>
        </w:rPr>
        <w:br w:type="textWrapping"/>
      </w:r>
      <w:r>
        <w:rPr>
          <w:highlight w:val="yellow"/>
        </w:rPr>
        <w:t xml:space="preserve">4.10 Remove the sorting column from the magnetic field. Add buffer solution to elute the positive cells retained in the column. Resuspend the cells in 2 mL of PBS and centrifuge at 195 × </w:t>
      </w:r>
      <w:r>
        <w:rPr>
          <w:i/>
          <w:iCs/>
          <w:highlight w:val="yellow"/>
        </w:rPr>
        <w:t xml:space="preserve">g </w:t>
      </w:r>
      <w:r>
        <w:rPr>
          <w:highlight w:val="yellow"/>
        </w:rPr>
        <w:t>for 5 min at approximately 25 °C.</w:t>
      </w:r>
    </w:p>
    <w:p w14:paraId="7FF9B141">
      <w:pPr>
        <w:adjustRightInd w:val="0"/>
        <w:snapToGrid w:val="0"/>
      </w:pPr>
      <w:r>
        <w:rPr>
          <w:highlight w:val="yellow"/>
        </w:rPr>
        <w:br w:type="textWrapping"/>
      </w:r>
      <w:r>
        <w:rPr>
          <w:highlight w:val="yellow"/>
        </w:rPr>
        <w:t xml:space="preserve">4.11 Discard the supernatant using a pipette. Resuspend the cells in a 12-well plate with fresh EM medium at a concentration of 1 × 10⁶ cells/mL. Add 5 µg/mL CD3 antibody. </w:t>
      </w:r>
      <w:r>
        <w:t>Passage the cells into new culture flasks every 3 days.</w:t>
      </w:r>
    </w:p>
    <w:p w14:paraId="1F4D77BF">
      <w:pPr>
        <w:adjustRightInd w:val="0"/>
        <w:snapToGrid w:val="0"/>
        <w:rPr>
          <w:color w:val="EE0000"/>
        </w:rPr>
      </w:pPr>
    </w:p>
    <w:p w14:paraId="29120B7E">
      <w:pPr>
        <w:rPr>
          <w:b/>
          <w:bCs/>
          <w:highlight w:val="none"/>
        </w:rPr>
      </w:pPr>
      <w:r>
        <w:rPr>
          <w:b/>
          <w:bCs/>
          <w:highlight w:val="none"/>
        </w:rPr>
        <w:t>5. Histology and IHC characterization of PDOs</w:t>
      </w:r>
    </w:p>
    <w:p w14:paraId="4CA60B8E">
      <w:pPr>
        <w:widowControl/>
        <w:rPr>
          <w:rFonts w:eastAsia="Times New Roman"/>
          <w:highlight w:val="none"/>
          <w:lang w:val="en-IN" w:eastAsia="en-IN"/>
        </w:rPr>
      </w:pPr>
    </w:p>
    <w:p w14:paraId="3E096906">
      <w:pPr>
        <w:widowControl/>
        <w:rPr>
          <w:rFonts w:eastAsia="Times New Roman"/>
          <w:highlight w:val="none"/>
          <w:lang w:val="en-IN" w:eastAsia="en-IN"/>
        </w:rPr>
      </w:pPr>
      <w:r>
        <w:rPr>
          <w:rFonts w:eastAsia="Times New Roman"/>
          <w:highlight w:val="none"/>
          <w:lang w:val="en-IN" w:eastAsia="en-IN"/>
        </w:rPr>
        <w:t>5.1 Aspirate the culture medium after the organoids have grown to a size of 50 µm.</w:t>
      </w:r>
    </w:p>
    <w:p w14:paraId="324F80F3">
      <w:pPr>
        <w:widowControl/>
        <w:rPr>
          <w:rFonts w:eastAsia="Times New Roman"/>
          <w:highlight w:val="none"/>
          <w:lang w:val="en-IN" w:eastAsia="en-IN"/>
        </w:rPr>
      </w:pPr>
      <w:r>
        <w:rPr>
          <w:rFonts w:eastAsia="Times New Roman"/>
          <w:highlight w:val="none"/>
          <w:lang w:val="en-IN" w:eastAsia="en-IN"/>
        </w:rPr>
        <w:br w:type="textWrapping"/>
      </w:r>
      <w:r>
        <w:rPr>
          <w:rFonts w:eastAsia="Times New Roman"/>
          <w:highlight w:val="none"/>
          <w:lang w:val="en-IN" w:eastAsia="en-IN"/>
        </w:rPr>
        <w:t xml:space="preserve">5.2 Fix the organoid spheres directly in 4% paraformaldehyde. Aspirate the organoids, centrifuge at 195 × </w:t>
      </w:r>
      <w:r>
        <w:rPr>
          <w:rFonts w:eastAsia="Times New Roman"/>
          <w:i/>
          <w:iCs/>
          <w:highlight w:val="none"/>
          <w:lang w:val="en-IN" w:eastAsia="en-IN"/>
        </w:rPr>
        <w:t xml:space="preserve">g </w:t>
      </w:r>
      <w:r>
        <w:rPr>
          <w:rFonts w:eastAsia="Times New Roman"/>
          <w:highlight w:val="none"/>
          <w:lang w:val="en-IN" w:eastAsia="en-IN"/>
        </w:rPr>
        <w:t>for 5 min at approximately 25 °C, embed in 2% agarose, allow to cure, and transfer to 4% paraformaldehyde for overnight fixation.</w:t>
      </w:r>
    </w:p>
    <w:p w14:paraId="4D10E96B">
      <w:pPr>
        <w:widowControl/>
        <w:rPr>
          <w:rFonts w:eastAsia="Times New Roman"/>
          <w:highlight w:val="none"/>
          <w:lang w:val="en-IN" w:eastAsia="en-IN"/>
        </w:rPr>
      </w:pPr>
      <w:r>
        <w:rPr>
          <w:rFonts w:eastAsia="Times New Roman"/>
          <w:highlight w:val="none"/>
          <w:lang w:val="en-IN" w:eastAsia="en-IN"/>
        </w:rPr>
        <w:br w:type="textWrapping"/>
      </w:r>
      <w:r>
        <w:rPr>
          <w:rFonts w:eastAsia="Times New Roman"/>
          <w:highlight w:val="none"/>
          <w:lang w:val="en-IN" w:eastAsia="en-IN"/>
        </w:rPr>
        <w:t>5.3 On the following day, perform gradient dehydration. Prepare wax blocks, cut 4 µm sections, rehydrate using a gradient, and perform immunohistochemical staining using CK7, CK20, Ki-67, and CDX-2 antibodies.</w:t>
      </w:r>
    </w:p>
    <w:p w14:paraId="00B0CCBA">
      <w:pPr>
        <w:adjustRightInd w:val="0"/>
        <w:snapToGrid w:val="0"/>
        <w:rPr>
          <w:color w:val="EE0000"/>
          <w:highlight w:val="none"/>
        </w:rPr>
      </w:pPr>
    </w:p>
    <w:p w14:paraId="19AAAE86">
      <w:pPr>
        <w:rPr>
          <w:b/>
          <w:bCs/>
        </w:rPr>
      </w:pPr>
      <w:r>
        <w:rPr>
          <w:b/>
          <w:bCs/>
        </w:rPr>
        <w:t>6.</w:t>
      </w:r>
      <w:r>
        <w:rPr>
          <w:rFonts w:eastAsiaTheme="minorEastAsia"/>
          <w:b/>
          <w:bCs/>
          <w:lang w:eastAsia="zh-CN"/>
        </w:rPr>
        <w:t xml:space="preserve"> </w:t>
      </w:r>
      <w:r>
        <w:rPr>
          <w:rFonts w:eastAsia="宋体"/>
          <w:b/>
          <w:bCs/>
          <w:lang w:eastAsia="zh-CN"/>
        </w:rPr>
        <w:t>IF c</w:t>
      </w:r>
      <w:r>
        <w:rPr>
          <w:b/>
          <w:bCs/>
        </w:rPr>
        <w:t>haracterization of TILs</w:t>
      </w:r>
    </w:p>
    <w:p w14:paraId="1ABC8806">
      <w:pPr>
        <w:rPr>
          <w:color w:val="EE0000"/>
        </w:rPr>
      </w:pPr>
    </w:p>
    <w:p w14:paraId="67AB3A0C">
      <w:pPr>
        <w:widowControl/>
        <w:rPr>
          <w:rFonts w:eastAsia="Times New Roman"/>
          <w:lang w:val="en-IN" w:eastAsia="en-IN"/>
        </w:rPr>
      </w:pPr>
      <w:r>
        <w:rPr>
          <w:rFonts w:eastAsia="Times New Roman"/>
          <w:lang w:val="en-IN" w:eastAsia="en-IN"/>
        </w:rPr>
        <w:t>6.1 Purify the TILs, culture them until an adequate number is reached, and extract a portion for characterization.</w:t>
      </w:r>
    </w:p>
    <w:p w14:paraId="1AFA1C8E">
      <w:pPr>
        <w:widowControl/>
        <w:rPr>
          <w:rFonts w:eastAsia="Times New Roman"/>
          <w:lang w:val="en-IN" w:eastAsia="en-IN"/>
        </w:rPr>
      </w:pPr>
      <w:r>
        <w:rPr>
          <w:rFonts w:eastAsia="Times New Roman"/>
          <w:lang w:val="en-IN" w:eastAsia="en-IN"/>
        </w:rPr>
        <w:br w:type="textWrapping"/>
      </w:r>
      <w:r>
        <w:rPr>
          <w:rFonts w:eastAsia="Times New Roman"/>
          <w:lang w:val="en-IN" w:eastAsia="en-IN"/>
        </w:rPr>
        <w:t xml:space="preserve">6.2 Characterize the suspension cells using the flaking method. Set the rotational speed of the flaker to 343 × </w:t>
      </w:r>
      <w:r>
        <w:rPr>
          <w:rFonts w:eastAsia="Times New Roman"/>
          <w:i/>
          <w:iCs/>
          <w:lang w:val="en-IN" w:eastAsia="en-IN"/>
        </w:rPr>
        <w:t xml:space="preserve">g </w:t>
      </w:r>
      <w:r>
        <w:rPr>
          <w:rFonts w:eastAsia="Times New Roman"/>
          <w:lang w:val="en-IN" w:eastAsia="en-IN"/>
        </w:rPr>
        <w:t>for 4 min at approximately 25 °C.</w:t>
      </w:r>
    </w:p>
    <w:p w14:paraId="16D30DCD">
      <w:pPr>
        <w:widowControl/>
        <w:rPr>
          <w:rFonts w:eastAsia="Times New Roman"/>
          <w:lang w:val="en-IN" w:eastAsia="en-IN"/>
        </w:rPr>
      </w:pPr>
      <w:r>
        <w:rPr>
          <w:rFonts w:eastAsia="Times New Roman"/>
          <w:lang w:val="en-IN" w:eastAsia="en-IN"/>
        </w:rPr>
        <w:br w:type="textWrapping"/>
      </w:r>
      <w:r>
        <w:rPr>
          <w:rFonts w:eastAsia="Times New Roman"/>
          <w:lang w:val="en-IN" w:eastAsia="en-IN"/>
        </w:rPr>
        <w:t>6.3 Count and seed the cells at 1 × 10⁴ per slide.</w:t>
      </w:r>
    </w:p>
    <w:p w14:paraId="552089D7">
      <w:pPr>
        <w:widowControl/>
        <w:rPr>
          <w:rFonts w:eastAsia="Times New Roman"/>
          <w:lang w:val="en-IN" w:eastAsia="en-IN"/>
        </w:rPr>
      </w:pPr>
      <w:r>
        <w:rPr>
          <w:rFonts w:eastAsia="Times New Roman"/>
          <w:lang w:val="en-IN" w:eastAsia="en-IN"/>
        </w:rPr>
        <w:br w:type="textWrapping"/>
      </w:r>
      <w:r>
        <w:rPr>
          <w:rFonts w:eastAsia="Times New Roman"/>
          <w:lang w:val="en-IN" w:eastAsia="en-IN"/>
        </w:rPr>
        <w:t>6.4 Attach the cells firmly to the slides by centrifugation.</w:t>
      </w:r>
    </w:p>
    <w:p w14:paraId="467C0352">
      <w:pPr>
        <w:widowControl/>
        <w:rPr>
          <w:rFonts w:eastAsia="Times New Roman"/>
          <w:lang w:val="en-IN" w:eastAsia="en-IN"/>
        </w:rPr>
      </w:pPr>
      <w:r>
        <w:rPr>
          <w:rFonts w:eastAsia="Times New Roman"/>
          <w:lang w:val="en-IN" w:eastAsia="en-IN"/>
        </w:rPr>
        <w:br w:type="textWrapping"/>
      </w:r>
      <w:r>
        <w:rPr>
          <w:rFonts w:eastAsia="Times New Roman"/>
          <w:lang w:val="en-IN" w:eastAsia="en-IN"/>
        </w:rPr>
        <w:t>6.5 Fix the cells with 4% paraformaldehyde for 15 min and wash three times with PBS.</w:t>
      </w:r>
    </w:p>
    <w:p w14:paraId="4EBF092A">
      <w:pPr>
        <w:widowControl/>
        <w:rPr>
          <w:rFonts w:eastAsia="Times New Roman"/>
          <w:lang w:val="en-IN" w:eastAsia="en-IN"/>
        </w:rPr>
      </w:pPr>
      <w:r>
        <w:rPr>
          <w:rFonts w:eastAsia="Times New Roman"/>
          <w:lang w:val="en-IN" w:eastAsia="en-IN"/>
        </w:rPr>
        <w:br w:type="textWrapping"/>
      </w:r>
      <w:r>
        <w:rPr>
          <w:rFonts w:eastAsia="Times New Roman"/>
          <w:lang w:val="en-IN" w:eastAsia="en-IN"/>
        </w:rPr>
        <w:t>6.6 Incubate with blocking solution (PBS containing 2% FBS) for 1 h.</w:t>
      </w:r>
    </w:p>
    <w:p w14:paraId="1755E8AE">
      <w:pPr>
        <w:widowControl/>
        <w:rPr>
          <w:rFonts w:eastAsia="Times New Roman"/>
          <w:lang w:val="en-IN" w:eastAsia="en-IN"/>
        </w:rPr>
      </w:pPr>
      <w:r>
        <w:rPr>
          <w:rFonts w:eastAsia="Times New Roman"/>
          <w:lang w:val="en-IN" w:eastAsia="en-IN"/>
        </w:rPr>
        <w:br w:type="textWrapping"/>
      </w:r>
      <w:r>
        <w:rPr>
          <w:rFonts w:eastAsia="Times New Roman"/>
          <w:lang w:val="en-IN" w:eastAsia="en-IN"/>
        </w:rPr>
        <w:t>6.7 Incubate with primary antibodies (CD45, CD3, EpCAM) for 1 h at room temperature. Wash three times with PBS.</w:t>
      </w:r>
    </w:p>
    <w:p w14:paraId="5BDCEE36">
      <w:pPr>
        <w:widowControl/>
        <w:rPr>
          <w:rFonts w:eastAsia="Times New Roman"/>
          <w:lang w:val="en-IN" w:eastAsia="en-IN"/>
        </w:rPr>
      </w:pPr>
      <w:r>
        <w:rPr>
          <w:rFonts w:eastAsia="Times New Roman"/>
          <w:lang w:val="en-IN" w:eastAsia="en-IN"/>
        </w:rPr>
        <w:br w:type="textWrapping"/>
      </w:r>
      <w:r>
        <w:rPr>
          <w:rFonts w:eastAsia="Times New Roman"/>
          <w:lang w:val="en-IN" w:eastAsia="en-IN"/>
        </w:rPr>
        <w:t>6.8 Prepare and incubate with the secondary antibody according to the manufacturer’s recommended concentration for 1 h at room temperature. Wash three times with PBS.</w:t>
      </w:r>
    </w:p>
    <w:p w14:paraId="20A5E764">
      <w:pPr>
        <w:widowControl/>
        <w:rPr>
          <w:rFonts w:eastAsia="Times New Roman"/>
          <w:lang w:val="en-IN" w:eastAsia="en-IN"/>
        </w:rPr>
      </w:pPr>
    </w:p>
    <w:p w14:paraId="7D37DA5A">
      <w:pPr>
        <w:widowControl/>
        <w:rPr>
          <w:rFonts w:eastAsia="Times New Roman"/>
          <w:lang w:val="en-IN" w:eastAsia="en-IN"/>
        </w:rPr>
      </w:pPr>
      <w:r>
        <w:rPr>
          <w:rFonts w:eastAsia="Times New Roman"/>
          <w:lang w:val="en-IN" w:eastAsia="en-IN"/>
        </w:rPr>
        <w:t>NOTE: Pay attention to antibody homology.</w:t>
      </w:r>
    </w:p>
    <w:p w14:paraId="753A0050">
      <w:pPr>
        <w:widowControl/>
        <w:rPr>
          <w:rFonts w:eastAsia="Times New Roman"/>
          <w:lang w:val="en-IN" w:eastAsia="en-IN"/>
        </w:rPr>
      </w:pPr>
      <w:r>
        <w:rPr>
          <w:rFonts w:eastAsia="Times New Roman"/>
          <w:lang w:val="en-IN" w:eastAsia="en-IN"/>
        </w:rPr>
        <w:br w:type="textWrapping"/>
      </w:r>
      <w:r>
        <w:rPr>
          <w:rFonts w:eastAsia="Times New Roman"/>
          <w:lang w:val="en-IN" w:eastAsia="en-IN"/>
        </w:rPr>
        <w:t>6.9 Incubate with DAPI for 15 min at approximately 25 °C.</w:t>
      </w:r>
    </w:p>
    <w:p w14:paraId="45AB6E93">
      <w:pPr>
        <w:widowControl/>
        <w:rPr>
          <w:rFonts w:eastAsia="Times New Roman"/>
          <w:lang w:val="en-IN" w:eastAsia="en-IN"/>
        </w:rPr>
      </w:pPr>
      <w:r>
        <w:rPr>
          <w:rFonts w:eastAsia="Times New Roman"/>
          <w:lang w:val="en-IN" w:eastAsia="en-IN"/>
        </w:rPr>
        <w:br w:type="textWrapping"/>
      </w:r>
      <w:r>
        <w:rPr>
          <w:rFonts w:eastAsia="Times New Roman"/>
          <w:lang w:val="en-IN" w:eastAsia="en-IN"/>
        </w:rPr>
        <w:t>6.10 Observe the stained cells under a fluorescence microscope.</w:t>
      </w:r>
    </w:p>
    <w:p w14:paraId="7EDA5E2E">
      <w:pPr>
        <w:rPr>
          <w:color w:val="EE0000"/>
        </w:rPr>
      </w:pPr>
    </w:p>
    <w:p w14:paraId="4DBAFBA9">
      <w:pPr>
        <w:rPr>
          <w:b/>
          <w:bCs/>
          <w:highlight w:val="yellow"/>
        </w:rPr>
      </w:pPr>
      <w:r>
        <w:rPr>
          <w:rFonts w:eastAsia="宋体"/>
          <w:b/>
          <w:bCs/>
          <w:highlight w:val="yellow"/>
          <w:lang w:eastAsia="zh-CN"/>
        </w:rPr>
        <w:t>7</w:t>
      </w:r>
      <w:r>
        <w:rPr>
          <w:b/>
          <w:bCs/>
          <w:highlight w:val="yellow"/>
        </w:rPr>
        <w:t>.</w:t>
      </w:r>
      <w:r>
        <w:rPr>
          <w:rFonts w:eastAsiaTheme="minorEastAsia"/>
          <w:b/>
          <w:bCs/>
          <w:highlight w:val="yellow"/>
          <w:lang w:eastAsia="zh-CN"/>
        </w:rPr>
        <w:t xml:space="preserve"> </w:t>
      </w:r>
      <w:r>
        <w:rPr>
          <w:b/>
          <w:bCs/>
          <w:highlight w:val="yellow"/>
        </w:rPr>
        <w:t>PDOs and TILs co-culture system</w:t>
      </w:r>
    </w:p>
    <w:p w14:paraId="093F47B4">
      <w:pPr>
        <w:widowControl/>
        <w:rPr>
          <w:rFonts w:eastAsia="Times New Roman"/>
          <w:highlight w:val="yellow"/>
          <w:lang w:val="en-IN" w:eastAsia="en-IN"/>
        </w:rPr>
      </w:pPr>
    </w:p>
    <w:p w14:paraId="430B5EA9">
      <w:pPr>
        <w:widowControl/>
        <w:rPr>
          <w:rFonts w:eastAsia="Times New Roman"/>
          <w:highlight w:val="yellow"/>
          <w:lang w:val="en-IN" w:eastAsia="en-IN"/>
        </w:rPr>
      </w:pPr>
      <w:r>
        <w:rPr>
          <w:rFonts w:eastAsia="Times New Roman"/>
          <w:highlight w:val="yellow"/>
          <w:lang w:val="en-IN" w:eastAsia="en-IN"/>
        </w:rPr>
        <w:t>7.1 Add IFN-γ to the organoid medium to enhance antigen presentation. Incubate at 37 °C with 5% CO₂ for 24 h</w:t>
      </w:r>
      <w:r>
        <w:rPr>
          <w:rFonts w:eastAsia="Times New Roman"/>
          <w:highlight w:val="yellow"/>
          <w:vertAlign w:val="superscript"/>
          <w:lang w:val="en-IN" w:eastAsia="en-IN"/>
        </w:rPr>
        <w:t>15</w:t>
      </w:r>
      <w:r>
        <w:rPr>
          <w:rFonts w:eastAsia="Times New Roman"/>
          <w:highlight w:val="yellow"/>
          <w:lang w:val="en-IN" w:eastAsia="en-IN"/>
        </w:rPr>
        <w:t>.</w:t>
      </w:r>
    </w:p>
    <w:p w14:paraId="794C8A52">
      <w:pPr>
        <w:widowControl/>
        <w:rPr>
          <w:rFonts w:eastAsia="Times New Roman"/>
          <w:highlight w:val="yellow"/>
          <w:lang w:val="en-IN" w:eastAsia="en-IN"/>
        </w:rPr>
      </w:pPr>
      <w:r>
        <w:rPr>
          <w:rFonts w:eastAsia="Times New Roman"/>
          <w:highlight w:val="yellow"/>
          <w:lang w:val="en-IN" w:eastAsia="en-IN"/>
        </w:rPr>
        <w:br w:type="textWrapping"/>
      </w:r>
      <w:r>
        <w:rPr>
          <w:rFonts w:eastAsia="Times New Roman"/>
          <w:highlight w:val="yellow"/>
          <w:lang w:val="en-IN" w:eastAsia="en-IN"/>
        </w:rPr>
        <w:t>7.2 Dilute the anti-CD28 antibody with PBS. Coat a 96-well plate by adding 50 µL of the antibody solution to each well. Seal the plate with sealing film and incubate at 4 °C for 24 h.</w:t>
      </w:r>
    </w:p>
    <w:p w14:paraId="530D6E3B">
      <w:pPr>
        <w:widowControl/>
        <w:rPr>
          <w:rFonts w:eastAsia="Times New Roman"/>
          <w:highlight w:val="yellow"/>
          <w:lang w:val="en-IN" w:eastAsia="en-IN"/>
        </w:rPr>
      </w:pPr>
      <w:r>
        <w:rPr>
          <w:rFonts w:eastAsia="Times New Roman"/>
          <w:highlight w:val="yellow"/>
          <w:lang w:val="en-IN" w:eastAsia="en-IN"/>
        </w:rPr>
        <w:br w:type="textWrapping"/>
      </w:r>
      <w:r>
        <w:rPr>
          <w:rFonts w:eastAsia="Times New Roman"/>
          <w:highlight w:val="yellow"/>
          <w:lang w:val="en-IN" w:eastAsia="en-IN"/>
        </w:rPr>
        <w:t>7.3 After 24 h, dissociate the organoids into single cells using TrypLE. Count the cells and wash twice with PBS.</w:t>
      </w:r>
    </w:p>
    <w:p w14:paraId="6C86A277">
      <w:pPr>
        <w:widowControl/>
        <w:rPr>
          <w:rFonts w:eastAsia="Times New Roman"/>
          <w:highlight w:val="yellow"/>
          <w:lang w:val="en-IN" w:eastAsia="en-IN"/>
        </w:rPr>
      </w:pPr>
      <w:r>
        <w:rPr>
          <w:rFonts w:eastAsia="Times New Roman"/>
          <w:highlight w:val="yellow"/>
          <w:lang w:val="en-IN" w:eastAsia="en-IN"/>
        </w:rPr>
        <w:br w:type="textWrapping"/>
      </w:r>
      <w:r>
        <w:rPr>
          <w:rFonts w:eastAsia="Times New Roman"/>
          <w:highlight w:val="yellow"/>
          <w:lang w:val="en-IN" w:eastAsia="en-IN"/>
        </w:rPr>
        <w:t>7.4 Collect the paired TILs, count the cells, and wash twice with PBS.</w:t>
      </w:r>
    </w:p>
    <w:p w14:paraId="66F664F7">
      <w:pPr>
        <w:widowControl/>
        <w:rPr>
          <w:rFonts w:eastAsia="Times New Roman"/>
          <w:highlight w:val="yellow"/>
          <w:lang w:val="en-IN" w:eastAsia="en-IN"/>
        </w:rPr>
      </w:pPr>
      <w:r>
        <w:rPr>
          <w:rFonts w:eastAsia="Times New Roman"/>
          <w:highlight w:val="yellow"/>
          <w:lang w:val="en-IN" w:eastAsia="en-IN"/>
        </w:rPr>
        <w:br w:type="textWrapping"/>
      </w:r>
      <w:r>
        <w:rPr>
          <w:rFonts w:eastAsia="Times New Roman"/>
          <w:highlight w:val="yellow"/>
          <w:lang w:val="en-IN" w:eastAsia="en-IN"/>
        </w:rPr>
        <w:t>7.5 Inoculate organoids at 1 × 10⁴ cells per well and inoculate TILs at 1 × 10⁵ cells per well to achieve an effector-to-target (E:T) ratio of 10:1 for co-culture.</w:t>
      </w:r>
    </w:p>
    <w:p w14:paraId="5BA927E3">
      <w:pPr>
        <w:widowControl/>
        <w:rPr>
          <w:rFonts w:eastAsia="Times New Roman"/>
          <w:highlight w:val="yellow"/>
          <w:lang w:val="en-IN" w:eastAsia="en-IN"/>
        </w:rPr>
      </w:pPr>
      <w:r>
        <w:rPr>
          <w:rFonts w:eastAsia="Times New Roman"/>
          <w:highlight w:val="yellow"/>
          <w:lang w:val="en-IN" w:eastAsia="en-IN"/>
        </w:rPr>
        <w:br w:type="textWrapping"/>
      </w:r>
      <w:r>
        <w:rPr>
          <w:rFonts w:eastAsia="Times New Roman"/>
          <w:highlight w:val="yellow"/>
          <w:lang w:val="en-IN" w:eastAsia="en-IN"/>
        </w:rPr>
        <w:t>7.6 Perform co-culture in RPMI 1640 medium supplemented with 10% FBS, 1% penicillin-streptomycin, 3000 U/mL IL-2, and 20 µg/mL anti-PD-1 blocking antibody. Incubate for 3 days and capture images for observation and documentation.</w:t>
      </w:r>
    </w:p>
    <w:p w14:paraId="008B7E8C">
      <w:pPr>
        <w:widowControl/>
        <w:rPr>
          <w:rFonts w:eastAsia="Times New Roman"/>
          <w:lang w:val="en-IN" w:eastAsia="en-IN"/>
        </w:rPr>
      </w:pPr>
    </w:p>
    <w:p w14:paraId="036C0EC7">
      <w:pPr>
        <w:widowControl/>
        <w:rPr>
          <w:rFonts w:eastAsia="Times New Roman"/>
          <w:lang w:val="en-IN" w:eastAsia="en-IN"/>
        </w:rPr>
      </w:pPr>
      <w:r>
        <w:rPr>
          <w:rFonts w:eastAsia="Times New Roman"/>
          <w:lang w:val="en-IN" w:eastAsia="en-IN"/>
        </w:rPr>
        <w:t>NOTE: Set up organoids without TILs as a control group.</w:t>
      </w:r>
    </w:p>
    <w:p w14:paraId="2E8E3F66">
      <w:pPr>
        <w:adjustRightInd w:val="0"/>
        <w:snapToGrid w:val="0"/>
        <w:rPr>
          <w:color w:val="EE0000"/>
        </w:rPr>
      </w:pPr>
    </w:p>
    <w:p w14:paraId="2EF1FDAD">
      <w:pPr>
        <w:rPr>
          <w:highlight w:val="yellow"/>
        </w:rPr>
      </w:pPr>
      <w:r>
        <w:rPr>
          <w:rFonts w:eastAsia="宋体"/>
          <w:b/>
          <w:bCs/>
          <w:highlight w:val="yellow"/>
          <w:lang w:eastAsia="zh-CN"/>
        </w:rPr>
        <w:t>8</w:t>
      </w:r>
      <w:r>
        <w:rPr>
          <w:b/>
          <w:bCs/>
          <w:highlight w:val="yellow"/>
        </w:rPr>
        <w:t>.</w:t>
      </w:r>
      <w:r>
        <w:rPr>
          <w:rFonts w:eastAsiaTheme="minorEastAsia"/>
          <w:b/>
          <w:bCs/>
          <w:highlight w:val="yellow"/>
          <w:lang w:eastAsia="zh-CN"/>
        </w:rPr>
        <w:t xml:space="preserve"> </w:t>
      </w:r>
      <w:r>
        <w:rPr>
          <w:b/>
          <w:bCs/>
          <w:highlight w:val="yellow"/>
        </w:rPr>
        <w:t>Functional assay of TILs by flow cytometry</w:t>
      </w:r>
    </w:p>
    <w:p w14:paraId="4D01E0D1">
      <w:pPr>
        <w:adjustRightInd w:val="0"/>
        <w:snapToGrid w:val="0"/>
        <w:rPr>
          <w:highlight w:val="yellow"/>
          <w:lang w:eastAsia="zh-CN"/>
        </w:rPr>
      </w:pPr>
    </w:p>
    <w:p w14:paraId="336E0343">
      <w:pPr>
        <w:adjustRightInd w:val="0"/>
        <w:snapToGrid w:val="0"/>
        <w:rPr>
          <w:highlight w:val="yellow"/>
        </w:rPr>
      </w:pPr>
      <w:r>
        <w:rPr>
          <w:highlight w:val="yellow"/>
        </w:rPr>
        <w:t>8.1 Collect the PDOs and TILs at the end of the co-culture period.</w:t>
      </w:r>
    </w:p>
    <w:p w14:paraId="3837A8D8">
      <w:pPr>
        <w:adjustRightInd w:val="0"/>
        <w:snapToGrid w:val="0"/>
        <w:rPr>
          <w:highlight w:val="yellow"/>
        </w:rPr>
      </w:pPr>
      <w:r>
        <w:rPr>
          <w:highlight w:val="yellow"/>
        </w:rPr>
        <w:br w:type="textWrapping"/>
      </w:r>
      <w:r>
        <w:rPr>
          <w:highlight w:val="yellow"/>
        </w:rPr>
        <w:t xml:space="preserve">8.2 Wash the cells twice with PBS by centrifugation at 300 × </w:t>
      </w:r>
      <w:r>
        <w:rPr>
          <w:i/>
          <w:iCs/>
          <w:highlight w:val="yellow"/>
        </w:rPr>
        <w:t>g</w:t>
      </w:r>
      <w:r>
        <w:rPr>
          <w:highlight w:val="yellow"/>
        </w:rPr>
        <w:t xml:space="preserve"> for 5 min each time. Discard the supernatant using a pipette.</w:t>
      </w:r>
    </w:p>
    <w:p w14:paraId="1CE32F56">
      <w:pPr>
        <w:adjustRightInd w:val="0"/>
        <w:snapToGrid w:val="0"/>
        <w:rPr>
          <w:highlight w:val="yellow"/>
        </w:rPr>
      </w:pPr>
      <w:r>
        <w:rPr>
          <w:highlight w:val="yellow"/>
        </w:rPr>
        <w:br w:type="textWrapping"/>
      </w:r>
      <w:r>
        <w:rPr>
          <w:highlight w:val="yellow"/>
        </w:rPr>
        <w:t>8.3 Prepare the antibody cocktail containing CD3-FITC, CD4-APC/Cyanine7, CD8-APC, CD107a-PE-Cyanine7, CD279-PE, and 7-AAD.</w:t>
      </w:r>
    </w:p>
    <w:p w14:paraId="5EF9732E">
      <w:pPr>
        <w:adjustRightInd w:val="0"/>
        <w:snapToGrid w:val="0"/>
        <w:rPr>
          <w:highlight w:val="yellow"/>
        </w:rPr>
      </w:pPr>
      <w:r>
        <w:rPr>
          <w:highlight w:val="yellow"/>
        </w:rPr>
        <w:br w:type="textWrapping"/>
      </w:r>
      <w:r>
        <w:rPr>
          <w:highlight w:val="yellow"/>
        </w:rPr>
        <w:t>8.4 Resuspend the cells in 100 µL of the antibody cocktail and incubate at room temperature for 20 min, protected from light.</w:t>
      </w:r>
    </w:p>
    <w:p w14:paraId="3BE9A2CA">
      <w:pPr>
        <w:adjustRightInd w:val="0"/>
        <w:snapToGrid w:val="0"/>
        <w:rPr>
          <w:highlight w:val="yellow"/>
        </w:rPr>
      </w:pPr>
      <w:r>
        <w:rPr>
          <w:highlight w:val="yellow"/>
        </w:rPr>
        <w:br w:type="textWrapping"/>
      </w:r>
      <w:r>
        <w:rPr>
          <w:highlight w:val="yellow"/>
        </w:rPr>
        <w:t xml:space="preserve">8.5 Add 1 mL PBS to wash the cells. Centrifuge at 300 × </w:t>
      </w:r>
      <w:bookmarkStart w:id="0" w:name="_GoBack"/>
      <w:bookmarkEnd w:id="0"/>
      <w:r>
        <w:rPr>
          <w:i/>
          <w:iCs/>
          <w:highlight w:val="yellow"/>
        </w:rPr>
        <w:t>g</w:t>
      </w:r>
      <w:r>
        <w:rPr>
          <w:highlight w:val="yellow"/>
        </w:rPr>
        <w:t xml:space="preserve"> for 5 min and discard the supernatant using a pipette.</w:t>
      </w:r>
    </w:p>
    <w:p w14:paraId="2E9DD51E">
      <w:pPr>
        <w:adjustRightInd w:val="0"/>
        <w:snapToGrid w:val="0"/>
        <w:rPr>
          <w:highlight w:val="yellow"/>
        </w:rPr>
      </w:pPr>
      <w:r>
        <w:rPr>
          <w:highlight w:val="yellow"/>
        </w:rPr>
        <w:br w:type="textWrapping"/>
      </w:r>
      <w:r>
        <w:rPr>
          <w:highlight w:val="yellow"/>
        </w:rPr>
        <w:t>8.6 Resuspend the cells in 500 µL PBS.</w:t>
      </w:r>
    </w:p>
    <w:p w14:paraId="794AEDF0">
      <w:pPr>
        <w:adjustRightInd w:val="0"/>
        <w:snapToGrid w:val="0"/>
      </w:pPr>
      <w:r>
        <w:rPr>
          <w:highlight w:val="yellow"/>
        </w:rPr>
        <w:br w:type="textWrapping"/>
      </w:r>
      <w:r>
        <w:rPr>
          <w:highlight w:val="yellow"/>
        </w:rPr>
        <w:t>8.7 Perform flow cytometry analysis.</w:t>
      </w:r>
      <w:r>
        <w:t xml:space="preserve"> Refer to </w:t>
      </w:r>
      <w:r>
        <w:rPr>
          <w:b/>
          <w:bCs/>
        </w:rPr>
        <w:t>Supplementary Figure 1</w:t>
      </w:r>
      <w:r>
        <w:t xml:space="preserve"> for the detailed analysis strategy.</w:t>
      </w:r>
    </w:p>
    <w:p w14:paraId="0FC748BA">
      <w:pPr>
        <w:adjustRightInd w:val="0"/>
        <w:snapToGrid w:val="0"/>
        <w:rPr>
          <w:lang w:eastAsia="zh-CN"/>
        </w:rPr>
      </w:pPr>
    </w:p>
    <w:p w14:paraId="03481AAB">
      <w:pPr>
        <w:rPr>
          <w:b/>
        </w:rPr>
      </w:pPr>
      <w:r>
        <w:rPr>
          <w:b/>
        </w:rPr>
        <w:t xml:space="preserve">REPRESENTATIVE RESULTS: </w:t>
      </w:r>
    </w:p>
    <w:p w14:paraId="30BA3341">
      <w:pPr>
        <w:widowControl/>
        <w:rPr>
          <w:rFonts w:eastAsia="Times New Roman"/>
          <w:b/>
          <w:bCs/>
          <w:lang w:val="en-IN" w:eastAsia="en-IN"/>
        </w:rPr>
      </w:pPr>
    </w:p>
    <w:p w14:paraId="462E70F9">
      <w:pPr>
        <w:widowControl/>
        <w:rPr>
          <w:rFonts w:eastAsia="Times New Roman"/>
          <w:lang w:val="en-IN" w:eastAsia="en-IN"/>
        </w:rPr>
      </w:pPr>
      <w:r>
        <w:rPr>
          <w:rFonts w:eastAsia="Times New Roman"/>
          <w:b/>
          <w:bCs/>
          <w:lang w:val="en-IN" w:eastAsia="en-IN"/>
        </w:rPr>
        <w:t>Establishment and characterization of CRC PDOs</w:t>
      </w:r>
      <w:r>
        <w:rPr>
          <w:rFonts w:eastAsia="Times New Roman"/>
          <w:lang w:val="en-IN" w:eastAsia="en-IN"/>
        </w:rPr>
        <w:br w:type="textWrapping"/>
      </w:r>
      <w:r>
        <w:rPr>
          <w:rFonts w:eastAsia="Times New Roman"/>
          <w:lang w:val="en-IN" w:eastAsia="en-IN"/>
        </w:rPr>
        <w:t>Tumor specimens were obtained from CRC patients. Freshly resected CRC tumor tissue was used to establish PDOs and TILs, which were subsequently employed in PDO–TIL co-culture experiments (</w:t>
      </w:r>
      <w:r>
        <w:rPr>
          <w:rFonts w:eastAsia="Times New Roman"/>
          <w:b/>
          <w:bCs/>
          <w:lang w:val="en-IN" w:eastAsia="en-IN"/>
        </w:rPr>
        <w:t>Figure 1</w:t>
      </w:r>
      <w:r>
        <w:rPr>
          <w:rFonts w:eastAsia="Times New Roman"/>
          <w:lang w:val="en-IN" w:eastAsia="en-IN"/>
        </w:rPr>
        <w:t xml:space="preserve">). </w:t>
      </w:r>
    </w:p>
    <w:p w14:paraId="4A97F5FA">
      <w:pPr>
        <w:widowControl/>
        <w:rPr>
          <w:rFonts w:eastAsia="Times New Roman"/>
          <w:lang w:val="en-IN" w:eastAsia="en-IN"/>
        </w:rPr>
      </w:pPr>
    </w:p>
    <w:p w14:paraId="4139F1C4">
      <w:pPr>
        <w:widowControl/>
        <w:rPr>
          <w:rFonts w:eastAsia="Times New Roman"/>
          <w:lang w:val="en-IN" w:eastAsia="en-IN"/>
        </w:rPr>
      </w:pPr>
      <w:r>
        <w:rPr>
          <w:rFonts w:eastAsia="Times New Roman"/>
          <w:lang w:val="en-IN" w:eastAsia="en-IN"/>
        </w:rPr>
        <w:t xml:space="preserve">[Place </w:t>
      </w:r>
      <w:r>
        <w:rPr>
          <w:rFonts w:eastAsia="Times New Roman"/>
          <w:b/>
          <w:bCs/>
          <w:lang w:val="en-IN" w:eastAsia="en-IN"/>
        </w:rPr>
        <w:t>Figure 1</w:t>
      </w:r>
      <w:r>
        <w:rPr>
          <w:rFonts w:eastAsia="Times New Roman"/>
          <w:lang w:val="en-IN" w:eastAsia="en-IN"/>
        </w:rPr>
        <w:t xml:space="preserve"> here]</w:t>
      </w:r>
    </w:p>
    <w:p w14:paraId="638875DB">
      <w:pPr>
        <w:widowControl/>
        <w:rPr>
          <w:rFonts w:eastAsia="Times New Roman"/>
          <w:lang w:val="en-IN" w:eastAsia="en-IN"/>
        </w:rPr>
      </w:pPr>
    </w:p>
    <w:p w14:paraId="36273750">
      <w:pPr>
        <w:widowControl/>
        <w:rPr>
          <w:rFonts w:eastAsia="Times New Roman"/>
          <w:lang w:val="en-IN" w:eastAsia="en-IN"/>
        </w:rPr>
      </w:pPr>
      <w:r>
        <w:rPr>
          <w:rFonts w:eastAsia="Times New Roman"/>
          <w:lang w:val="en-IN" w:eastAsia="en-IN"/>
        </w:rPr>
        <w:t>CRC PDOs were successfully established using patient-derived tumor tissues, and the growth process was documented over a 12-day period. On Day 1, the organoids appeared as small, scattered clusters (</w:t>
      </w:r>
      <w:r>
        <w:rPr>
          <w:rFonts w:eastAsia="Times New Roman"/>
          <w:b/>
          <w:bCs/>
          <w:lang w:val="en-IN" w:eastAsia="en-IN"/>
        </w:rPr>
        <w:t>Figure 2</w:t>
      </w:r>
      <w:r>
        <w:rPr>
          <w:rFonts w:eastAsia="Times New Roman"/>
          <w:lang w:val="en-IN" w:eastAsia="en-IN"/>
        </w:rPr>
        <w:t>, top left), indicating early-stage development. By Day 6, further aggregation and expansion were observed, with more distinct and slightly larger clusters forming (</w:t>
      </w:r>
      <w:r>
        <w:rPr>
          <w:rFonts w:eastAsia="Times New Roman"/>
          <w:b/>
          <w:bCs/>
          <w:lang w:val="en-IN" w:eastAsia="en-IN"/>
        </w:rPr>
        <w:t>Figure 2</w:t>
      </w:r>
      <w:r>
        <w:rPr>
          <w:rFonts w:eastAsia="Times New Roman"/>
          <w:lang w:val="en-IN" w:eastAsia="en-IN"/>
        </w:rPr>
        <w:t>, top center). By Day 12, the organoids exhibited well-defined boundaries and increased size, reflecting significant maturation and growth (</w:t>
      </w:r>
      <w:r>
        <w:rPr>
          <w:rFonts w:eastAsia="Times New Roman"/>
          <w:b/>
          <w:bCs/>
          <w:lang w:val="en-IN" w:eastAsia="en-IN"/>
        </w:rPr>
        <w:t>Figure 2</w:t>
      </w:r>
      <w:r>
        <w:rPr>
          <w:rFonts w:eastAsia="Times New Roman"/>
          <w:lang w:val="en-IN" w:eastAsia="en-IN"/>
        </w:rPr>
        <w:t xml:space="preserve">, top right). This progression highlights the successful establishment and expansion of CRC PDOs in culture. </w:t>
      </w:r>
    </w:p>
    <w:p w14:paraId="5EDF98EA">
      <w:pPr>
        <w:widowControl/>
        <w:rPr>
          <w:rFonts w:eastAsia="Times New Roman"/>
          <w:lang w:val="en-IN" w:eastAsia="en-IN"/>
        </w:rPr>
      </w:pPr>
    </w:p>
    <w:p w14:paraId="66FCBE53">
      <w:pPr>
        <w:widowControl/>
        <w:rPr>
          <w:rFonts w:eastAsia="Times New Roman"/>
          <w:lang w:val="en-IN" w:eastAsia="en-IN"/>
        </w:rPr>
      </w:pPr>
      <w:r>
        <w:rPr>
          <w:rFonts w:eastAsia="Times New Roman"/>
          <w:lang w:val="en-IN" w:eastAsia="en-IN"/>
        </w:rPr>
        <w:t xml:space="preserve">[Place </w:t>
      </w:r>
      <w:r>
        <w:rPr>
          <w:rFonts w:eastAsia="Times New Roman"/>
          <w:b/>
          <w:bCs/>
          <w:lang w:val="en-IN" w:eastAsia="en-IN"/>
        </w:rPr>
        <w:t>Figure 2</w:t>
      </w:r>
      <w:r>
        <w:rPr>
          <w:rFonts w:eastAsia="Times New Roman"/>
          <w:lang w:val="en-IN" w:eastAsia="en-IN"/>
        </w:rPr>
        <w:t xml:space="preserve"> here]</w:t>
      </w:r>
    </w:p>
    <w:p w14:paraId="24A6E0D3">
      <w:pPr>
        <w:widowControl/>
        <w:rPr>
          <w:rFonts w:eastAsia="Times New Roman"/>
          <w:lang w:val="en-IN" w:eastAsia="en-IN"/>
        </w:rPr>
      </w:pPr>
    </w:p>
    <w:p w14:paraId="494EB869">
      <w:pPr>
        <w:widowControl/>
        <w:rPr>
          <w:rFonts w:eastAsia="Times New Roman"/>
          <w:lang w:val="en-IN" w:eastAsia="en-IN"/>
        </w:rPr>
      </w:pPr>
      <w:r>
        <w:rPr>
          <w:rFonts w:eastAsia="Times New Roman"/>
          <w:lang w:val="en-IN" w:eastAsia="en-IN"/>
        </w:rPr>
        <w:t>Characterization of CRC tissue and the corresponding PDOs was performed using immunohistochemical staining for multiple markers. Hematoxylin and eosin (HE) staining revealed similar structural features between the CRC tissue and the derived PDOs. Immunostaining for cytokeratin 7 (CK7) and cytokeratin 20 (CK20) confirmed the epithelial nature of the organoids, with both markers present in the CRC tissue and PDOs (</w:t>
      </w:r>
      <w:r>
        <w:rPr>
          <w:rFonts w:eastAsia="Times New Roman"/>
          <w:b/>
          <w:bCs/>
          <w:lang w:val="en-IN" w:eastAsia="en-IN"/>
        </w:rPr>
        <w:t>Figure 3</w:t>
      </w:r>
      <w:r>
        <w:rPr>
          <w:rFonts w:eastAsia="Times New Roman"/>
          <w:lang w:val="en-IN" w:eastAsia="en-IN"/>
        </w:rPr>
        <w:t>, middle and right columns). In addition, similar expression patterns were observed for Ki-67, a proliferation marker, and caudal type homeobox 2 (CDX2), an intestinal differentiation marker (</w:t>
      </w:r>
      <w:r>
        <w:rPr>
          <w:rFonts w:eastAsia="Times New Roman"/>
          <w:b/>
          <w:bCs/>
          <w:lang w:val="en-IN" w:eastAsia="en-IN"/>
        </w:rPr>
        <w:t>Figure 3</w:t>
      </w:r>
      <w:r>
        <w:rPr>
          <w:rFonts w:eastAsia="Times New Roman"/>
          <w:lang w:val="en-IN" w:eastAsia="en-IN"/>
        </w:rPr>
        <w:t xml:space="preserve">, second and fourth columns). These findings demonstrate that CRC PDOs closely replicate the cellular and structural characteristics of the original tumor tissue, validating their relevance for subsequent functional studies. </w:t>
      </w:r>
    </w:p>
    <w:p w14:paraId="76A9E2BB">
      <w:pPr>
        <w:widowControl/>
        <w:rPr>
          <w:rFonts w:eastAsia="Times New Roman"/>
          <w:lang w:val="en-IN" w:eastAsia="en-IN"/>
        </w:rPr>
      </w:pPr>
    </w:p>
    <w:p w14:paraId="091E52FE">
      <w:pPr>
        <w:widowControl/>
        <w:rPr>
          <w:rFonts w:eastAsia="Times New Roman"/>
          <w:lang w:val="en-IN" w:eastAsia="en-IN"/>
        </w:rPr>
      </w:pPr>
      <w:r>
        <w:rPr>
          <w:rFonts w:eastAsia="Times New Roman"/>
          <w:lang w:val="en-IN" w:eastAsia="en-IN"/>
        </w:rPr>
        <w:t xml:space="preserve">[Place </w:t>
      </w:r>
      <w:r>
        <w:rPr>
          <w:rFonts w:eastAsia="Times New Roman"/>
          <w:b/>
          <w:bCs/>
          <w:lang w:val="en-IN" w:eastAsia="en-IN"/>
        </w:rPr>
        <w:t>Figure 3</w:t>
      </w:r>
      <w:r>
        <w:rPr>
          <w:rFonts w:eastAsia="Times New Roman"/>
          <w:lang w:val="en-IN" w:eastAsia="en-IN"/>
        </w:rPr>
        <w:t xml:space="preserve"> here]</w:t>
      </w:r>
    </w:p>
    <w:p w14:paraId="7A2497DB">
      <w:pPr>
        <w:widowControl/>
        <w:rPr>
          <w:rFonts w:eastAsia="Times New Roman"/>
          <w:lang w:val="en-IN" w:eastAsia="en-IN"/>
        </w:rPr>
      </w:pPr>
    </w:p>
    <w:p w14:paraId="7BC20128">
      <w:pPr>
        <w:widowControl/>
        <w:rPr>
          <w:rFonts w:eastAsia="Times New Roman"/>
          <w:lang w:val="en-IN" w:eastAsia="en-IN"/>
        </w:rPr>
      </w:pPr>
      <w:r>
        <w:rPr>
          <w:rFonts w:eastAsia="Times New Roman"/>
          <w:b/>
          <w:bCs/>
          <w:lang w:val="en-IN" w:eastAsia="en-IN"/>
        </w:rPr>
        <w:t>Cultivation and expansion of TILs from tumor cell suspensions and characterization of TILs</w:t>
      </w:r>
      <w:r>
        <w:rPr>
          <w:rFonts w:eastAsia="Times New Roman"/>
          <w:lang w:val="en-IN" w:eastAsia="en-IN"/>
        </w:rPr>
        <w:br w:type="textWrapping"/>
      </w:r>
      <w:r>
        <w:rPr>
          <w:rFonts w:eastAsia="Times New Roman"/>
          <w:lang w:val="en-IN" w:eastAsia="en-IN"/>
        </w:rPr>
        <w:t>The gradual expansion of TILs from tumor tissue single-cell suspensions was monitored over a period of 22 days. Bright-field microscopy images showed an initially sparse distribution of TILs on Day 1. By Day 14, TILs demonstrated a noticeable increase in density and began forming clusters. By Day 22, further aggregation and growth were observed, indicating continued expansion (</w:t>
      </w:r>
      <w:r>
        <w:rPr>
          <w:rFonts w:eastAsia="Times New Roman"/>
          <w:b/>
          <w:bCs/>
          <w:lang w:val="en-IN" w:eastAsia="en-IN"/>
        </w:rPr>
        <w:t>Figure 4</w:t>
      </w:r>
      <w:r>
        <w:rPr>
          <w:rFonts w:eastAsia="Times New Roman"/>
          <w:lang w:val="en-IN" w:eastAsia="en-IN"/>
        </w:rPr>
        <w:t xml:space="preserve">). </w:t>
      </w:r>
    </w:p>
    <w:p w14:paraId="38DF61BF">
      <w:pPr>
        <w:widowControl/>
        <w:rPr>
          <w:rFonts w:eastAsia="Times New Roman"/>
          <w:lang w:val="en-IN" w:eastAsia="en-IN"/>
        </w:rPr>
      </w:pPr>
    </w:p>
    <w:p w14:paraId="29D19F6A">
      <w:pPr>
        <w:widowControl/>
        <w:rPr>
          <w:rFonts w:eastAsia="Times New Roman"/>
          <w:lang w:val="en-IN" w:eastAsia="en-IN"/>
        </w:rPr>
      </w:pPr>
      <w:r>
        <w:rPr>
          <w:rFonts w:eastAsia="Times New Roman"/>
          <w:lang w:val="en-IN" w:eastAsia="en-IN"/>
        </w:rPr>
        <w:t xml:space="preserve">[Place </w:t>
      </w:r>
      <w:r>
        <w:rPr>
          <w:rFonts w:eastAsia="Times New Roman"/>
          <w:b/>
          <w:bCs/>
          <w:lang w:val="en-IN" w:eastAsia="en-IN"/>
        </w:rPr>
        <w:t>Figure 4</w:t>
      </w:r>
      <w:r>
        <w:rPr>
          <w:rFonts w:eastAsia="Times New Roman"/>
          <w:lang w:val="en-IN" w:eastAsia="en-IN"/>
        </w:rPr>
        <w:t xml:space="preserve"> here]</w:t>
      </w:r>
    </w:p>
    <w:p w14:paraId="6FF900AD">
      <w:pPr>
        <w:widowControl/>
        <w:rPr>
          <w:rFonts w:eastAsia="Times New Roman"/>
          <w:lang w:val="en-IN" w:eastAsia="en-IN"/>
        </w:rPr>
      </w:pPr>
    </w:p>
    <w:p w14:paraId="5C4F51A1">
      <w:pPr>
        <w:widowControl/>
        <w:rPr>
          <w:rFonts w:eastAsia="Times New Roman"/>
          <w:lang w:val="en-IN" w:eastAsia="en-IN"/>
        </w:rPr>
      </w:pPr>
      <w:r>
        <w:rPr>
          <w:rFonts w:eastAsia="Times New Roman"/>
          <w:lang w:val="en-IN" w:eastAsia="en-IN"/>
        </w:rPr>
        <w:t>To verify the purity of the expanded TILs, immunofluorescence staining was performed to assess the expression of CD45, CD3, and epithelial cell adhesion molecule (EpCAM). The results showed strong positive signals for both CD45 and CD3, indicating that the TIL population was predominantly composed of T cells and exhibited high purity. Co-localization of CD3 and CD45 further confirmed the predominance of T cells (</w:t>
      </w:r>
      <w:r>
        <w:rPr>
          <w:rFonts w:eastAsia="Times New Roman"/>
          <w:b/>
          <w:bCs/>
          <w:lang w:val="en-IN" w:eastAsia="en-IN"/>
        </w:rPr>
        <w:t>Supplementary Figure 2</w:t>
      </w:r>
      <w:r>
        <w:rPr>
          <w:rFonts w:eastAsia="Times New Roman"/>
          <w:lang w:val="en-IN" w:eastAsia="en-IN"/>
        </w:rPr>
        <w:t>). In contrast, EpCAM staining was completely negative, confirming the absence of tumor cells. These results indicate that the TIL population isolated using CD3+ magnetic beads was virtually free of tumor cells and primarily composed of CD3+ T cells. The high purity and strong immunoreactivity of these cell populations provide a robust resource for subsequent functional studies (</w:t>
      </w:r>
      <w:r>
        <w:rPr>
          <w:rFonts w:eastAsia="Times New Roman"/>
          <w:b/>
          <w:bCs/>
          <w:lang w:val="en-IN" w:eastAsia="en-IN"/>
        </w:rPr>
        <w:t>Figure 5</w:t>
      </w:r>
      <w:r>
        <w:rPr>
          <w:rFonts w:eastAsia="Times New Roman"/>
          <w:lang w:val="en-IN" w:eastAsia="en-IN"/>
        </w:rPr>
        <w:t xml:space="preserve">). </w:t>
      </w:r>
    </w:p>
    <w:p w14:paraId="31980CAE">
      <w:pPr>
        <w:widowControl/>
        <w:rPr>
          <w:rFonts w:eastAsia="Times New Roman"/>
          <w:lang w:val="en-IN" w:eastAsia="en-IN"/>
        </w:rPr>
      </w:pPr>
    </w:p>
    <w:p w14:paraId="69DD5D67">
      <w:pPr>
        <w:widowControl/>
        <w:rPr>
          <w:rFonts w:eastAsia="Times New Roman"/>
          <w:lang w:val="en-IN" w:eastAsia="en-IN"/>
        </w:rPr>
      </w:pPr>
      <w:r>
        <w:rPr>
          <w:rFonts w:eastAsia="Times New Roman"/>
          <w:lang w:val="en-IN" w:eastAsia="en-IN"/>
        </w:rPr>
        <w:t xml:space="preserve">[Place </w:t>
      </w:r>
      <w:r>
        <w:rPr>
          <w:rFonts w:eastAsia="Times New Roman"/>
          <w:b/>
          <w:bCs/>
          <w:lang w:val="en-IN" w:eastAsia="en-IN"/>
        </w:rPr>
        <w:t>Figure 5</w:t>
      </w:r>
      <w:r>
        <w:rPr>
          <w:rFonts w:eastAsia="Times New Roman"/>
          <w:lang w:val="en-IN" w:eastAsia="en-IN"/>
        </w:rPr>
        <w:t xml:space="preserve"> here]</w:t>
      </w:r>
    </w:p>
    <w:p w14:paraId="36F0A931">
      <w:pPr>
        <w:widowControl/>
        <w:rPr>
          <w:rFonts w:eastAsia="Times New Roman"/>
          <w:lang w:val="en-IN" w:eastAsia="en-IN"/>
        </w:rPr>
      </w:pPr>
    </w:p>
    <w:p w14:paraId="3CD66B5D">
      <w:r>
        <w:rPr>
          <w:b/>
          <w:bCs/>
        </w:rPr>
        <w:t>Co-culture of TILs with CRC PDOs</w:t>
      </w:r>
      <w:r>
        <w:br w:type="textWrapping"/>
      </w:r>
      <w:r>
        <w:t>To further validate the anti-tumor effect of TILs, the co-culture of CRC PDOs with TILs was monitored using bright-field microscopy (</w:t>
      </w:r>
      <w:r>
        <w:rPr>
          <w:b/>
          <w:bCs/>
        </w:rPr>
        <w:t>Figure 6</w:t>
      </w:r>
      <w:r>
        <w:t>). Over the 72-h culture period, PDOs in the co-culture group exhibited a progressive loss of their original morphology, with prominent signs of cellular damage and structural disruption, in contrast to PDOs cultured alone. This observation suggests that TILs exert a significant cytotoxic effect on PDOs, which becomes increasingly evident with prolonged exposure. In addition, the apoptosis rate of the organoids after co-culture was quantified using flow cytometry. After 72 h of co-culture, the proportion of live cells decreased from 76.20% to 21.43% (</w:t>
      </w:r>
      <w:r>
        <w:rPr>
          <w:b/>
          <w:bCs/>
        </w:rPr>
        <w:t>Supplementary Figure 3</w:t>
      </w:r>
      <w:r>
        <w:t xml:space="preserve">). </w:t>
      </w:r>
    </w:p>
    <w:p w14:paraId="3177B388"/>
    <w:p w14:paraId="68261232">
      <w:pPr>
        <w:rPr>
          <w:rFonts w:eastAsiaTheme="minorEastAsia"/>
          <w:color w:val="C0504D" w:themeColor="accent2"/>
          <w:lang w:eastAsia="zh-CN"/>
          <w14:textFill>
            <w14:solidFill>
              <w14:schemeClr w14:val="accent2"/>
            </w14:solidFill>
          </w14:textFill>
        </w:rPr>
      </w:pPr>
      <w:r>
        <w:t xml:space="preserve">[Place </w:t>
      </w:r>
      <w:r>
        <w:rPr>
          <w:b/>
          <w:bCs/>
        </w:rPr>
        <w:t>Figure 6</w:t>
      </w:r>
      <w:r>
        <w:t xml:space="preserve"> here]</w:t>
      </w:r>
    </w:p>
    <w:p w14:paraId="0BF70E2E">
      <w:pPr>
        <w:widowControl/>
        <w:rPr>
          <w:rFonts w:eastAsia="Times New Roman"/>
          <w:b/>
          <w:bCs/>
          <w:lang w:val="en-IN" w:eastAsia="en-IN"/>
        </w:rPr>
      </w:pPr>
    </w:p>
    <w:p w14:paraId="01223162">
      <w:pPr>
        <w:widowControl/>
        <w:rPr>
          <w:rFonts w:eastAsia="Times New Roman"/>
          <w:lang w:val="en-IN" w:eastAsia="en-IN"/>
        </w:rPr>
      </w:pPr>
      <w:r>
        <w:rPr>
          <w:rFonts w:eastAsia="Times New Roman"/>
          <w:b/>
          <w:bCs/>
          <w:lang w:val="en-IN" w:eastAsia="en-IN"/>
        </w:rPr>
        <w:t>Immune activation and modulation of TILs in response to co-culture with CRC PDOs</w:t>
      </w:r>
      <w:r>
        <w:rPr>
          <w:rFonts w:eastAsia="Times New Roman"/>
          <w:lang w:val="en-IN" w:eastAsia="en-IN"/>
        </w:rPr>
        <w:br w:type="textWrapping"/>
      </w:r>
      <w:r>
        <w:rPr>
          <w:rFonts w:eastAsia="Times New Roman"/>
          <w:lang w:val="en-IN" w:eastAsia="en-IN"/>
        </w:rPr>
        <w:t>The distribution of TIL subpopulations changed after co-culturing with PDOs (</w:t>
      </w:r>
      <w:r>
        <w:rPr>
          <w:rFonts w:eastAsia="Times New Roman"/>
          <w:b/>
          <w:bCs/>
          <w:lang w:val="en-IN" w:eastAsia="en-IN"/>
        </w:rPr>
        <w:t>Figure 7A</w:t>
      </w:r>
      <w:r>
        <w:rPr>
          <w:rFonts w:eastAsia="Times New Roman"/>
          <w:lang w:val="en-IN" w:eastAsia="en-IN"/>
        </w:rPr>
        <w:t>). To further assess the immune effects of TILs, the expression frequency of the T cell activation marker CD107a was examined. The results showed that after co-culturing with PDOs, the expression frequency of CD107a in TILs increased from 7.59% to 42.71% (Figure 7B), indicating successful activation of TILs.</w:t>
      </w:r>
    </w:p>
    <w:p w14:paraId="2F10A35B">
      <w:pPr>
        <w:widowControl/>
        <w:rPr>
          <w:rFonts w:eastAsia="Times New Roman"/>
          <w:lang w:val="en-IN" w:eastAsia="en-IN"/>
        </w:rPr>
      </w:pPr>
    </w:p>
    <w:p w14:paraId="08A37ED9">
      <w:pPr>
        <w:widowControl/>
        <w:rPr>
          <w:rFonts w:eastAsia="Times New Roman"/>
          <w:lang w:val="en-IN" w:eastAsia="en-IN"/>
        </w:rPr>
      </w:pPr>
      <w:r>
        <w:rPr>
          <w:rFonts w:eastAsia="Times New Roman"/>
          <w:lang w:val="en-IN" w:eastAsia="en-IN"/>
        </w:rPr>
        <w:t>Additionally, the expression of the immune checkpoint molecule CD279 (PD-1) was examined. In the co-culture group, CD279 expression increased from 6.45% to 44.14%, despite the TILs exhibiting strong cytotoxic function (</w:t>
      </w:r>
      <w:r>
        <w:rPr>
          <w:rFonts w:eastAsia="Times New Roman"/>
          <w:b/>
          <w:bCs/>
          <w:lang w:val="en-IN" w:eastAsia="en-IN"/>
        </w:rPr>
        <w:t>Figure 7C</w:t>
      </w:r>
      <w:r>
        <w:rPr>
          <w:rFonts w:eastAsia="Times New Roman"/>
          <w:lang w:val="en-IN" w:eastAsia="en-IN"/>
        </w:rPr>
        <w:t>), suggesting potential immune escape mechanisms. The release of IFN-γ was also measured, with expression increasing from 0.67% to 8.91% after co-culture. Finally, the viability of PDOs under the influence of TILs was assessed; a decrease from 76.20% to 21.43% was observed, indicating a significant cytotoxic effect (</w:t>
      </w:r>
      <w:r>
        <w:rPr>
          <w:rFonts w:eastAsia="Times New Roman"/>
          <w:b/>
          <w:bCs/>
          <w:lang w:val="en-IN" w:eastAsia="en-IN"/>
        </w:rPr>
        <w:t>Supplementary Figure 3</w:t>
      </w:r>
      <w:r>
        <w:rPr>
          <w:rFonts w:eastAsia="Times New Roman"/>
          <w:lang w:val="en-IN" w:eastAsia="en-IN"/>
        </w:rPr>
        <w:t xml:space="preserve">). </w:t>
      </w:r>
    </w:p>
    <w:p w14:paraId="731EE501">
      <w:pPr>
        <w:widowControl/>
        <w:rPr>
          <w:rFonts w:eastAsia="Times New Roman"/>
          <w:lang w:val="en-IN" w:eastAsia="en-IN"/>
        </w:rPr>
      </w:pPr>
    </w:p>
    <w:p w14:paraId="17CD36AC">
      <w:pPr>
        <w:widowControl/>
        <w:rPr>
          <w:rFonts w:eastAsia="Times New Roman"/>
          <w:lang w:val="en-IN" w:eastAsia="en-IN"/>
        </w:rPr>
      </w:pPr>
      <w:r>
        <w:rPr>
          <w:rFonts w:eastAsia="Times New Roman"/>
          <w:lang w:val="en-IN" w:eastAsia="en-IN"/>
        </w:rPr>
        <w:t xml:space="preserve">[Place </w:t>
      </w:r>
      <w:r>
        <w:rPr>
          <w:rFonts w:eastAsia="Times New Roman"/>
          <w:b/>
          <w:bCs/>
          <w:lang w:val="en-IN" w:eastAsia="en-IN"/>
        </w:rPr>
        <w:t xml:space="preserve">Figure 7 </w:t>
      </w:r>
      <w:r>
        <w:rPr>
          <w:rFonts w:eastAsia="Times New Roman"/>
          <w:lang w:val="en-IN" w:eastAsia="en-IN"/>
        </w:rPr>
        <w:t>here]</w:t>
      </w:r>
    </w:p>
    <w:p w14:paraId="1612FD4F"/>
    <w:p w14:paraId="718C7E43">
      <w:r>
        <w:rPr>
          <w:b/>
        </w:rPr>
        <w:t>FIGURE AND TABLE LEGENDS:</w:t>
      </w:r>
    </w:p>
    <w:p w14:paraId="35D4C3E1">
      <w:r>
        <w:rPr>
          <w:rFonts w:eastAsia="宋体"/>
          <w:b/>
          <w:bCs/>
          <w:color w:val="C0504D" w:themeColor="accent2"/>
          <w:lang w:eastAsia="zh-CN"/>
          <w14:textFill>
            <w14:solidFill>
              <w14:schemeClr w14:val="accent2"/>
            </w14:solidFill>
          </w14:textFill>
        </w:rPr>
        <w:br w:type="textWrapping"/>
      </w:r>
      <w:r>
        <w:rPr>
          <w:b/>
          <w:bCs/>
        </w:rPr>
        <w:t>Figure 1: Schematic of the overall experimental workflow.</w:t>
      </w:r>
      <w:r>
        <w:t xml:space="preserve"> A diagram outlining the sequential steps of the experimental design, including establishment of CRC PDOs, expansion of TILs, and co-culture assays.</w:t>
      </w:r>
    </w:p>
    <w:p w14:paraId="51FB333B">
      <w:pPr>
        <w:rPr>
          <w:rFonts w:eastAsia="宋体"/>
          <w:b/>
          <w:bCs/>
          <w:color w:val="C0504D" w:themeColor="accent2"/>
          <w:lang w:eastAsia="zh-CN"/>
          <w14:textFill>
            <w14:solidFill>
              <w14:schemeClr w14:val="accent2"/>
            </w14:solidFill>
          </w14:textFill>
        </w:rPr>
      </w:pPr>
    </w:p>
    <w:p w14:paraId="3A21C13B">
      <w:r>
        <w:rPr>
          <w:b/>
          <w:bCs/>
        </w:rPr>
        <w:t>Figure 2: Time-course morphological development of CRC patient-derived organoids (PDOs).</w:t>
      </w:r>
      <w:r>
        <w:t xml:space="preserve"> Representative phase-contrast images of CRC PDOs embedded in Matrigel, captured over a 12-day culture period before passaging. Scale bar: 50 μm.</w:t>
      </w:r>
    </w:p>
    <w:p w14:paraId="1869D12E">
      <w:pPr>
        <w:rPr>
          <w:rFonts w:eastAsia="宋体"/>
          <w:bCs/>
          <w:color w:val="C0504D" w:themeColor="accent2"/>
          <w:lang w:eastAsia="zh-CN"/>
          <w14:textFill>
            <w14:solidFill>
              <w14:schemeClr w14:val="accent2"/>
            </w14:solidFill>
          </w14:textFill>
        </w:rPr>
      </w:pPr>
    </w:p>
    <w:p w14:paraId="3844F039">
      <w:pPr>
        <w:rPr>
          <w:rFonts w:eastAsiaTheme="minorEastAsia"/>
          <w:bCs/>
          <w:color w:val="C0504D" w:themeColor="accent2"/>
          <w:lang w:eastAsia="zh-CN"/>
          <w14:textFill>
            <w14:solidFill>
              <w14:schemeClr w14:val="accent2"/>
            </w14:solidFill>
          </w14:textFill>
        </w:rPr>
      </w:pPr>
      <w:r>
        <w:rPr>
          <w:b/>
          <w:bCs/>
        </w:rPr>
        <w:t>Figure 3: Histological and immunohistochemical characterization of CRC PDOs and corresponding primary tumor tissue.</w:t>
      </w:r>
      <w:r>
        <w:t xml:space="preserve"> Hematoxylin and eosin (HE) staining, along with immunohistochemical staining for CK7, Ki-67, CDX2, and CK20, performed on CRC PDOs and matched patient tumor tissue. Scale bar: 50 μm.</w:t>
      </w:r>
    </w:p>
    <w:p w14:paraId="435D0188">
      <w:pPr>
        <w:rPr>
          <w:rFonts w:eastAsiaTheme="minorEastAsia"/>
          <w:b/>
          <w:color w:val="C0504D" w:themeColor="accent2"/>
          <w:lang w:eastAsia="zh-CN"/>
          <w14:textFill>
            <w14:solidFill>
              <w14:schemeClr w14:val="accent2"/>
            </w14:solidFill>
          </w14:textFill>
        </w:rPr>
      </w:pPr>
      <w:r>
        <w:rPr>
          <w:rFonts w:eastAsiaTheme="minorEastAsia"/>
          <w:bCs/>
          <w:color w:val="C0504D" w:themeColor="accent2"/>
          <w:lang w:eastAsia="zh-CN"/>
          <w14:textFill>
            <w14:solidFill>
              <w14:schemeClr w14:val="accent2"/>
            </w14:solidFill>
          </w14:textFill>
        </w:rPr>
        <w:br w:type="textWrapping"/>
      </w:r>
      <w:r>
        <w:rPr>
          <w:b/>
          <w:bCs/>
        </w:rPr>
        <w:t>Figure 4: Expansion of tumor-infiltrating lymphocytes (TILs) from dissociated tumor samples.</w:t>
      </w:r>
      <w:r>
        <w:t xml:space="preserve"> Representative phase-contrast images of TIL cultures derived from CRC tumor digests at day 22. Cultures show loosely adherent monolayers and clusters of proliferating lymphocytes, with no visible tumor cells. Scale bar: 50 μm.</w:t>
      </w:r>
    </w:p>
    <w:p w14:paraId="2EF5D9DB">
      <w:pPr>
        <w:rPr>
          <w:rFonts w:eastAsiaTheme="minorEastAsia"/>
          <w:bCs/>
          <w:color w:val="C0504D" w:themeColor="accent2"/>
          <w:lang w:eastAsia="zh-CN"/>
          <w14:textFill>
            <w14:solidFill>
              <w14:schemeClr w14:val="accent2"/>
            </w14:solidFill>
          </w14:textFill>
        </w:rPr>
      </w:pPr>
      <w:r>
        <w:rPr>
          <w:rFonts w:eastAsiaTheme="minorEastAsia"/>
          <w:bCs/>
          <w:color w:val="C0504D" w:themeColor="accent2"/>
          <w:lang w:eastAsia="zh-CN"/>
          <w14:textFill>
            <w14:solidFill>
              <w14:schemeClr w14:val="accent2"/>
            </w14:solidFill>
          </w14:textFill>
        </w:rPr>
        <w:br w:type="textWrapping"/>
      </w:r>
      <w:r>
        <w:rPr>
          <w:b/>
          <w:bCs/>
        </w:rPr>
        <w:t>Figure 5: Immunofluorescence identification of major cellular components within TIL cultures.</w:t>
      </w:r>
      <w:r>
        <w:t xml:space="preserve"> Representative immunofluorescence images showing TILs co-stained with DAPI (blue), CD45 (green), CD3 (red), and EpCAM. Scale bar: 50 μm.</w:t>
      </w:r>
    </w:p>
    <w:p w14:paraId="28B37FCD">
      <w:r>
        <w:rPr>
          <w:rFonts w:eastAsiaTheme="minorEastAsia"/>
          <w:bCs/>
          <w:color w:val="C0504D" w:themeColor="accent2"/>
          <w:lang w:eastAsia="zh-CN"/>
          <w14:textFill>
            <w14:solidFill>
              <w14:schemeClr w14:val="accent2"/>
            </w14:solidFill>
          </w14:textFill>
        </w:rPr>
        <w:br w:type="textWrapping"/>
      </w:r>
      <w:r>
        <w:rPr>
          <w:b/>
          <w:bCs/>
        </w:rPr>
        <w:t>Figure 6: Co-culture of CRC PDOs with TILs.</w:t>
      </w:r>
      <w:r>
        <w:t xml:space="preserve"> (</w:t>
      </w:r>
      <w:r>
        <w:rPr>
          <w:b/>
          <w:bCs/>
        </w:rPr>
        <w:t>A</w:t>
      </w:r>
      <w:r>
        <w:t>) Bright-field images of CRC PDOs at 0 h, 24 h, and 72 h, showing organoid growth and aggregation. (</w:t>
      </w:r>
      <w:r>
        <w:rPr>
          <w:b/>
          <w:bCs/>
        </w:rPr>
        <w:t>B</w:t>
      </w:r>
      <w:r>
        <w:t>) Bright-field images of CRC PDOs co-cultured with TILs at 0 h, 24 h, and 72 h, demonstrating interactions between the two cell populations. Scale bar: 50 μm.</w:t>
      </w:r>
    </w:p>
    <w:p w14:paraId="0FC6F84D">
      <w:pPr>
        <w:rPr>
          <w:rFonts w:eastAsiaTheme="minorEastAsia"/>
          <w:bCs/>
          <w:color w:val="C0504D" w:themeColor="accent2"/>
          <w:lang w:eastAsia="zh-CN"/>
          <w14:textFill>
            <w14:solidFill>
              <w14:schemeClr w14:val="accent2"/>
            </w14:solidFill>
          </w14:textFill>
        </w:rPr>
      </w:pPr>
    </w:p>
    <w:p w14:paraId="52EF3586">
      <w:pPr>
        <w:rPr>
          <w:rFonts w:eastAsiaTheme="minorEastAsia"/>
          <w:bCs/>
          <w:lang w:eastAsia="zh-CN"/>
        </w:rPr>
      </w:pPr>
      <w:r>
        <w:rPr>
          <w:b/>
          <w:bCs/>
        </w:rPr>
        <w:t>Figure 7: Flow cytometric analysis of immune activation markers before and after CRC PDO–TIL co-culture.</w:t>
      </w:r>
      <w:r>
        <w:t xml:space="preserve"> (</w:t>
      </w:r>
      <w:r>
        <w:rPr>
          <w:b/>
          <w:bCs/>
        </w:rPr>
        <w:t>A</w:t>
      </w:r>
      <w:r>
        <w:t>) Percentage of CD3⁺, CD4⁺, and CD8⁺ T cell subsets. (</w:t>
      </w:r>
      <w:r>
        <w:rPr>
          <w:b/>
          <w:bCs/>
        </w:rPr>
        <w:t>B</w:t>
      </w:r>
      <w:r>
        <w:t>) Percentage of CD8⁺ T cells expressing CD107a. (</w:t>
      </w:r>
      <w:r>
        <w:rPr>
          <w:b/>
          <w:bCs/>
        </w:rPr>
        <w:t>C</w:t>
      </w:r>
      <w:r>
        <w:t>) Percentage of CD3⁺ T cells expressing CD279 (PD-1). (</w:t>
      </w:r>
      <w:r>
        <w:rPr>
          <w:b/>
          <w:bCs/>
        </w:rPr>
        <w:t>D</w:t>
      </w:r>
      <w:r>
        <w:t xml:space="preserve">) Percentage of CD8⁺ T cells producing IFN-γ. </w:t>
      </w:r>
      <w:r>
        <w:rPr>
          <w:rFonts w:eastAsiaTheme="minorEastAsia"/>
          <w:bCs/>
          <w:lang w:eastAsia="zh-CN"/>
        </w:rPr>
        <w:t>(</w:t>
      </w:r>
      <w:r>
        <w:rPr>
          <w:rFonts w:eastAsiaTheme="minorEastAsia"/>
          <w:b/>
          <w:lang w:eastAsia="zh-CN"/>
        </w:rPr>
        <w:t>E</w:t>
      </w:r>
      <w:r>
        <w:rPr>
          <w:rFonts w:eastAsiaTheme="minorEastAsia"/>
          <w:bCs/>
          <w:lang w:eastAsia="zh-CN"/>
        </w:rPr>
        <w:t>) Statistical analysis of CD3, CD4, and CD8 T cell proportions before and after co-culture with CRC PDOs and TILs, assessed by flow cytometry. (</w:t>
      </w:r>
      <w:r>
        <w:rPr>
          <w:rFonts w:eastAsiaTheme="minorEastAsia"/>
          <w:b/>
          <w:lang w:eastAsia="zh-CN"/>
        </w:rPr>
        <w:t>F</w:t>
      </w:r>
      <w:r>
        <w:rPr>
          <w:rFonts w:eastAsiaTheme="minorEastAsia"/>
          <w:bCs/>
          <w:lang w:eastAsia="zh-CN"/>
        </w:rPr>
        <w:t>) Statistical comparison of CD107a expression before and after co-culture with CRC PDOs and TILs, analyzed by flow cytometry. (</w:t>
      </w:r>
      <w:r>
        <w:rPr>
          <w:rFonts w:eastAsiaTheme="minorEastAsia"/>
          <w:b/>
          <w:lang w:eastAsia="zh-CN"/>
        </w:rPr>
        <w:t>G</w:t>
      </w:r>
      <w:r>
        <w:rPr>
          <w:rFonts w:eastAsiaTheme="minorEastAsia"/>
          <w:bCs/>
          <w:lang w:eastAsia="zh-CN"/>
        </w:rPr>
        <w:t>) Statistical analysis of CD279 expression before and after co-culture with CRC PDOs and TILs, measured by flow cytometry. (</w:t>
      </w:r>
      <w:r>
        <w:rPr>
          <w:rFonts w:eastAsiaTheme="minorEastAsia"/>
          <w:b/>
          <w:lang w:eastAsia="zh-CN"/>
        </w:rPr>
        <w:t>H</w:t>
      </w:r>
      <w:r>
        <w:rPr>
          <w:rFonts w:eastAsiaTheme="minorEastAsia"/>
          <w:bCs/>
          <w:lang w:eastAsia="zh-CN"/>
        </w:rPr>
        <w:t>) Statistical analysis of IFN-γ expression before and after co-culture with CRC PDOs and TILs, determined by flow cytometry.</w:t>
      </w:r>
    </w:p>
    <w:p w14:paraId="5D92013E">
      <w:pPr>
        <w:rPr>
          <w:rFonts w:eastAsia="Times New Roman"/>
          <w:lang w:val="en-IN" w:eastAsia="en-IN"/>
        </w:rPr>
      </w:pPr>
      <w:r>
        <w:rPr>
          <w:rFonts w:eastAsiaTheme="minorEastAsia"/>
          <w:bCs/>
          <w:color w:val="C0504D" w:themeColor="accent2"/>
          <w:lang w:eastAsia="zh-CN"/>
          <w14:textFill>
            <w14:solidFill>
              <w14:schemeClr w14:val="accent2"/>
            </w14:solidFill>
          </w14:textFill>
        </w:rPr>
        <w:br w:type="textWrapping"/>
      </w:r>
      <w:r>
        <w:rPr>
          <w:rFonts w:eastAsia="Times New Roman"/>
          <w:b/>
          <w:bCs/>
          <w:lang w:val="en-IN" w:eastAsia="en-IN"/>
        </w:rPr>
        <w:t>Supplementary Figure 1: Gating strategies for flow cytometric analyses shown in Figure 7.</w:t>
      </w:r>
      <w:r>
        <w:rPr>
          <w:rFonts w:eastAsia="Times New Roman"/>
          <w:lang w:val="en-IN" w:eastAsia="en-IN"/>
        </w:rPr>
        <w:t xml:space="preserve"> Detailed gating strategy used to identify intracellular IFN-γ, and surface CD107a and CD279 expression in T cells, to evaluate TIL reactivity.</w:t>
      </w:r>
    </w:p>
    <w:p w14:paraId="31D60106">
      <w:pPr>
        <w:widowControl/>
        <w:rPr>
          <w:rFonts w:eastAsia="Times New Roman"/>
          <w:lang w:val="en-IN" w:eastAsia="en-IN"/>
        </w:rPr>
      </w:pPr>
    </w:p>
    <w:p w14:paraId="4546900C">
      <w:pPr>
        <w:widowControl/>
        <w:rPr>
          <w:rFonts w:eastAsia="Times New Roman"/>
          <w:lang w:val="en-IN" w:eastAsia="en-IN"/>
        </w:rPr>
      </w:pPr>
      <w:r>
        <w:rPr>
          <w:rFonts w:eastAsia="Times New Roman"/>
          <w:b/>
          <w:bCs/>
          <w:lang w:val="en-IN" w:eastAsia="en-IN"/>
        </w:rPr>
        <w:t>Supplementary Figure 2: Co-localization of CD3 and CD45 in TILs by immunofluorescence.</w:t>
      </w:r>
      <w:r>
        <w:rPr>
          <w:rFonts w:eastAsia="Times New Roman"/>
          <w:lang w:val="en-IN" w:eastAsia="en-IN"/>
        </w:rPr>
        <w:t xml:space="preserve"> Representative images showing co-localization of CD3 and CD45, confirming the high purity of isolated lymphocytes.</w:t>
      </w:r>
    </w:p>
    <w:p w14:paraId="7679C78C">
      <w:pPr>
        <w:widowControl/>
        <w:rPr>
          <w:rFonts w:eastAsia="Times New Roman"/>
          <w:lang w:val="en-IN" w:eastAsia="en-IN"/>
        </w:rPr>
      </w:pPr>
    </w:p>
    <w:p w14:paraId="3F11051C">
      <w:pPr>
        <w:widowControl/>
        <w:rPr>
          <w:rFonts w:eastAsia="Times New Roman"/>
          <w:lang w:val="en-IN" w:eastAsia="en-IN"/>
        </w:rPr>
      </w:pPr>
      <w:r>
        <w:rPr>
          <w:rFonts w:eastAsia="Times New Roman"/>
          <w:b/>
          <w:bCs/>
          <w:lang w:val="en-IN" w:eastAsia="en-IN"/>
        </w:rPr>
        <w:t>Supplementary Figure 3: Flow cytometric analysis of CRC PDO apoptosis after TIL co-culture.</w:t>
      </w:r>
      <w:r>
        <w:rPr>
          <w:rFonts w:eastAsia="Times New Roman"/>
          <w:lang w:val="en-IN" w:eastAsia="en-IN"/>
        </w:rPr>
        <w:t xml:space="preserve"> Representative flow cytometry plots showing the viability status of tumor cells after 72 h of co-incubation with TILs. Viable tumor cells were defined as EpCAM⁺ and 7-AAD⁻. The gating strategy is included.</w:t>
      </w:r>
    </w:p>
    <w:p w14:paraId="00E61CC0">
      <w:pPr>
        <w:widowControl/>
        <w:rPr>
          <w:rFonts w:eastAsia="Times New Roman"/>
          <w:lang w:val="en-IN" w:eastAsia="en-IN"/>
        </w:rPr>
      </w:pPr>
    </w:p>
    <w:p w14:paraId="0AFDDA78">
      <w:pPr>
        <w:widowControl/>
        <w:rPr>
          <w:rFonts w:eastAsia="Times New Roman"/>
          <w:lang w:val="en-IN" w:eastAsia="en-IN"/>
        </w:rPr>
      </w:pPr>
      <w:r>
        <w:rPr>
          <w:rFonts w:eastAsia="Times New Roman"/>
          <w:b/>
          <w:bCs/>
          <w:lang w:val="en-IN" w:eastAsia="en-IN"/>
        </w:rPr>
        <w:t>Table 1: Composition of complete medium used for CRC PDO culture.</w:t>
      </w:r>
      <w:r>
        <w:rPr>
          <w:rFonts w:eastAsia="Times New Roman"/>
          <w:lang w:val="en-IN" w:eastAsia="en-IN"/>
        </w:rPr>
        <w:t xml:space="preserve"> Detailed formulation of the medium used for maintenance and growth of colorectal cancer PDOs.</w:t>
      </w:r>
    </w:p>
    <w:p w14:paraId="1E99506C">
      <w:pPr>
        <w:rPr>
          <w:rFonts w:eastAsia="宋体"/>
          <w:b/>
          <w:bCs/>
          <w:color w:val="C0504D" w:themeColor="accent2"/>
          <w:lang w:eastAsia="zh-CN"/>
          <w14:textFill>
            <w14:solidFill>
              <w14:schemeClr w14:val="accent2"/>
            </w14:solidFill>
          </w14:textFill>
        </w:rPr>
      </w:pPr>
    </w:p>
    <w:p w14:paraId="2E427105">
      <w:pPr>
        <w:rPr>
          <w:b/>
        </w:rPr>
      </w:pPr>
      <w:r>
        <w:rPr>
          <w:b/>
        </w:rPr>
        <w:t xml:space="preserve">DISCUSSION: </w:t>
      </w:r>
    </w:p>
    <w:p w14:paraId="723C2EC4">
      <w:pPr>
        <w:widowControl/>
        <w:rPr>
          <w:rFonts w:eastAsia="Times New Roman"/>
          <w:lang w:val="en-IN" w:eastAsia="en-IN"/>
        </w:rPr>
      </w:pPr>
      <w:r>
        <w:rPr>
          <w:rFonts w:eastAsia="Times New Roman"/>
          <w:lang w:val="en-IN" w:eastAsia="en-IN"/>
        </w:rPr>
        <w:t>This study utilizes patient-derived CRC tissue to obtain both tumor cells and TILs, from which PDOs are established and TILs are expanded. The interaction between these two components is then investigated through a co-culture system.</w:t>
      </w:r>
    </w:p>
    <w:p w14:paraId="4EEC1C16">
      <w:pPr>
        <w:widowControl/>
        <w:rPr>
          <w:rFonts w:eastAsia="Times New Roman"/>
          <w:lang w:val="en-IN" w:eastAsia="en-IN"/>
        </w:rPr>
      </w:pPr>
      <w:r>
        <w:rPr>
          <w:rFonts w:eastAsia="Times New Roman"/>
          <w:lang w:val="en-IN" w:eastAsia="en-IN"/>
        </w:rPr>
        <w:br w:type="textWrapping"/>
      </w:r>
      <w:r>
        <w:rPr>
          <w:rFonts w:eastAsia="Times New Roman"/>
          <w:lang w:val="en-IN" w:eastAsia="en-IN"/>
        </w:rPr>
        <w:t>In previous studies, TILs were extracted using complex instrumentation</w:t>
      </w:r>
      <w:r>
        <w:rPr>
          <w:rFonts w:eastAsia="Times New Roman"/>
          <w:vertAlign w:val="superscript"/>
          <w:lang w:val="en-IN" w:eastAsia="en-IN"/>
        </w:rPr>
        <w:t>19</w:t>
      </w:r>
      <w:r>
        <w:rPr>
          <w:rFonts w:eastAsia="Times New Roman"/>
          <w:lang w:val="en-IN" w:eastAsia="en-IN"/>
        </w:rPr>
        <w:t xml:space="preserve"> or directly from tumor tissue suspensions</w:t>
      </w:r>
      <w:r>
        <w:rPr>
          <w:rFonts w:eastAsia="Times New Roman"/>
          <w:vertAlign w:val="superscript"/>
          <w:lang w:val="en-IN" w:eastAsia="en-IN"/>
        </w:rPr>
        <w:t>20</w:t>
      </w:r>
      <w:r>
        <w:rPr>
          <w:rFonts w:eastAsia="Times New Roman"/>
          <w:lang w:val="en-IN" w:eastAsia="en-IN"/>
        </w:rPr>
        <w:t>. However, these methods often fail to generate a sufficient number of TILs within a short time frame from limited tumor samples, thereby restricting their widespread application. The development of Young-TIL cultures</w:t>
      </w:r>
      <w:r>
        <w:rPr>
          <w:rFonts w:eastAsia="Times New Roman"/>
          <w:vertAlign w:val="superscript"/>
          <w:lang w:val="en-IN" w:eastAsia="en-IN"/>
        </w:rPr>
        <w:t>16</w:t>
      </w:r>
      <w:r>
        <w:rPr>
          <w:rFonts w:eastAsia="Times New Roman"/>
          <w:lang w:val="en-IN" w:eastAsia="en-IN"/>
        </w:rPr>
        <w:t xml:space="preserve"> has significantly simplified the TIL production process. While TILs have been extensively used in studies involving melanoma</w:t>
      </w:r>
      <w:r>
        <w:rPr>
          <w:rFonts w:eastAsia="Times New Roman"/>
          <w:vertAlign w:val="superscript"/>
          <w:lang w:val="en-IN" w:eastAsia="en-IN"/>
        </w:rPr>
        <w:t>21</w:t>
      </w:r>
      <w:r>
        <w:rPr>
          <w:rFonts w:eastAsia="Times New Roman"/>
          <w:lang w:val="en-IN" w:eastAsia="en-IN"/>
        </w:rPr>
        <w:t>, cervical cancer</w:t>
      </w:r>
      <w:r>
        <w:rPr>
          <w:rFonts w:eastAsia="Times New Roman"/>
          <w:vertAlign w:val="superscript"/>
          <w:lang w:val="en-IN" w:eastAsia="en-IN"/>
        </w:rPr>
        <w:t>22</w:t>
      </w:r>
      <w:r>
        <w:rPr>
          <w:rFonts w:eastAsia="Times New Roman"/>
          <w:lang w:val="en-IN" w:eastAsia="en-IN"/>
        </w:rPr>
        <w:t>, and other tumor types</w:t>
      </w:r>
      <w:r>
        <w:rPr>
          <w:rFonts w:eastAsia="Times New Roman"/>
          <w:vertAlign w:val="superscript"/>
          <w:lang w:val="en-IN" w:eastAsia="en-IN"/>
        </w:rPr>
        <w:t>23</w:t>
      </w:r>
      <w:r>
        <w:rPr>
          <w:rFonts w:eastAsia="Times New Roman"/>
          <w:lang w:val="en-IN" w:eastAsia="en-IN"/>
        </w:rPr>
        <w:t>, the isolation and co-culture of TILs with PDO models specifically in CRC remains underexplored.</w:t>
      </w:r>
    </w:p>
    <w:p w14:paraId="1E6464E6">
      <w:pPr>
        <w:widowControl/>
        <w:rPr>
          <w:rFonts w:eastAsia="Times New Roman"/>
          <w:lang w:val="en-IN" w:eastAsia="en-IN"/>
        </w:rPr>
      </w:pPr>
    </w:p>
    <w:p w14:paraId="52FE6264">
      <w:pPr>
        <w:widowControl/>
        <w:rPr>
          <w:rFonts w:eastAsia="Times New Roman"/>
          <w:lang w:val="en-IN" w:eastAsia="en-IN"/>
        </w:rPr>
      </w:pPr>
      <w:r>
        <w:rPr>
          <w:rFonts w:eastAsia="Times New Roman"/>
          <w:lang w:val="en-IN" w:eastAsia="en-IN"/>
        </w:rPr>
        <w:t>In this study, co-culturing TILs with CRC PDOs led to marked TIL activation and cytotoxicity. TIL activation was evidenced by a significant increase in CD107a expression. Additionally, PDOs co-cultured with TILs exhibited substantial structural damage and cell death. The observed upregulation of CD279 (PD-1) expression in TILs suggests the onset of TIL exhaustion, a known challenge for TIL-based therapies. TIL exhaustion is characterized by impaired effector functions, such as reduced cytokine production (e.g., IL-2, IFN-γ) and increased expression of inhibitory receptors, including PD-1 and CTLA-4</w:t>
      </w:r>
      <w:r>
        <w:rPr>
          <w:rFonts w:eastAsia="Times New Roman"/>
          <w:vertAlign w:val="superscript"/>
          <w:lang w:val="en-IN" w:eastAsia="en-IN"/>
        </w:rPr>
        <w:t>24</w:t>
      </w:r>
      <w:r>
        <w:rPr>
          <w:rFonts w:eastAsia="Times New Roman"/>
          <w:lang w:val="en-IN" w:eastAsia="en-IN"/>
        </w:rPr>
        <w:t>. These mechanisms limit the durability of TIL responses against tumors.</w:t>
      </w:r>
    </w:p>
    <w:p w14:paraId="6DD1B6C4">
      <w:pPr>
        <w:widowControl/>
        <w:rPr>
          <w:rFonts w:eastAsia="Times New Roman"/>
          <w:lang w:val="en-IN" w:eastAsia="en-IN"/>
        </w:rPr>
      </w:pPr>
    </w:p>
    <w:p w14:paraId="04116D79">
      <w:pPr>
        <w:widowControl/>
        <w:rPr>
          <w:rFonts w:eastAsia="Times New Roman"/>
          <w:lang w:val="en-IN" w:eastAsia="en-IN"/>
        </w:rPr>
      </w:pPr>
      <w:r>
        <w:rPr>
          <w:rFonts w:eastAsia="Times New Roman"/>
          <w:lang w:val="en-IN" w:eastAsia="en-IN"/>
        </w:rPr>
        <w:t>Due to the relatively short co-culture duration in this study, the mechanisms underlying TIL exhaustion were not fully investigated and require further exploration. To overcome this limitation, future studies could examine combinatorial strategies to prevent or reverse TIL dysfunction—such as supplementation with cytokines (e.g., IL-15)</w:t>
      </w:r>
      <w:r>
        <w:rPr>
          <w:rFonts w:eastAsia="Times New Roman"/>
          <w:vertAlign w:val="superscript"/>
          <w:lang w:val="en-IN" w:eastAsia="en-IN"/>
        </w:rPr>
        <w:t>25</w:t>
      </w:r>
      <w:r>
        <w:rPr>
          <w:rFonts w:eastAsia="Times New Roman"/>
          <w:lang w:val="en-IN" w:eastAsia="en-IN"/>
        </w:rPr>
        <w:t>, integration of immune checkpoint inhibitors (e.g., anti-PD-1 or anti-CTLA-4 antibodies), or modulation of tumor metabolic pathways (e.g., targeting hypoxia or lactate accumulation)</w:t>
      </w:r>
      <w:r>
        <w:rPr>
          <w:rFonts w:eastAsia="Times New Roman"/>
          <w:vertAlign w:val="superscript"/>
          <w:lang w:val="en-IN" w:eastAsia="en-IN"/>
        </w:rPr>
        <w:t>26</w:t>
      </w:r>
      <w:r>
        <w:rPr>
          <w:rFonts w:eastAsia="Times New Roman"/>
          <w:lang w:val="en-IN" w:eastAsia="en-IN"/>
        </w:rPr>
        <w:t>. Additionally, genetic engineering approaches (e.g., SNX9 knockout) may offer insights into preserving TIL functionality over time</w:t>
      </w:r>
      <w:r>
        <w:rPr>
          <w:rFonts w:eastAsia="Times New Roman"/>
          <w:vertAlign w:val="superscript"/>
          <w:lang w:val="en-IN" w:eastAsia="en-IN"/>
        </w:rPr>
        <w:t>27</w:t>
      </w:r>
      <w:r>
        <w:rPr>
          <w:rFonts w:eastAsia="Times New Roman"/>
          <w:lang w:val="en-IN" w:eastAsia="en-IN"/>
        </w:rPr>
        <w:t>. A systematic exploration of these strategies could help bridge the gap between preclinical CRC models and the clinical translation of personalized TIL-based immunotherapies.</w:t>
      </w:r>
    </w:p>
    <w:p w14:paraId="0C5585BE">
      <w:pPr>
        <w:rPr>
          <w:rFonts w:eastAsiaTheme="minorEastAsia"/>
          <w:color w:val="C0504D" w:themeColor="accent2"/>
          <w:lang w:eastAsia="zh-CN"/>
          <w14:textFill>
            <w14:solidFill>
              <w14:schemeClr w14:val="accent2"/>
            </w14:solidFill>
          </w14:textFill>
        </w:rPr>
      </w:pPr>
    </w:p>
    <w:p w14:paraId="02C39170">
      <w:pPr>
        <w:widowControl/>
        <w:rPr>
          <w:rFonts w:eastAsia="Times New Roman"/>
          <w:lang w:val="en-IN" w:eastAsia="en-IN"/>
        </w:rPr>
      </w:pPr>
      <w:r>
        <w:rPr>
          <w:rFonts w:eastAsia="Times New Roman"/>
          <w:lang w:val="en-IN" w:eastAsia="en-IN"/>
        </w:rPr>
        <w:t>The co-culture system established in this study provides a valuable model for investigating the immune dynamics of colorectal cancer (CRC). The activation of TILs, coupled with the observed upregulation of immune checkpoint molecules, suggests that targeting pathways such as PD-1/PD-L1 may enhance the therapeutic efficacy of TIL-based immunotherapy. Although the clinical application of TILs in CRC is still in its early stages, further advancements in this field could lead to highly targeted, patient-specific treatment strategies.</w:t>
      </w:r>
    </w:p>
    <w:p w14:paraId="28E71B2C">
      <w:pPr>
        <w:widowControl/>
        <w:rPr>
          <w:rFonts w:eastAsia="Times New Roman"/>
          <w:lang w:val="en-IN" w:eastAsia="en-IN"/>
        </w:rPr>
      </w:pPr>
    </w:p>
    <w:p w14:paraId="23AF2C3D">
      <w:pPr>
        <w:widowControl/>
        <w:rPr>
          <w:rFonts w:eastAsia="Times New Roman"/>
          <w:lang w:val="en-IN" w:eastAsia="en-IN"/>
        </w:rPr>
      </w:pPr>
      <w:r>
        <w:rPr>
          <w:rFonts w:eastAsia="Times New Roman"/>
          <w:lang w:val="en-IN" w:eastAsia="en-IN"/>
        </w:rPr>
        <w:t xml:space="preserve">Despite its promise, the PDO-TIL co-culture model has several limitations. One major challenge lies in the variable efficiency of TIL expansion </w:t>
      </w:r>
      <w:r>
        <w:rPr>
          <w:rFonts w:eastAsia="Times New Roman"/>
          <w:i/>
          <w:iCs/>
          <w:lang w:val="en-IN" w:eastAsia="en-IN"/>
        </w:rPr>
        <w:t>in vitro</w:t>
      </w:r>
      <w:r>
        <w:rPr>
          <w:rFonts w:eastAsia="Times New Roman"/>
          <w:lang w:val="en-IN" w:eastAsia="en-IN"/>
        </w:rPr>
        <w:t>, where prolonged culture may result in reduced functionality or phenotypic drift of T cells. In addition, accurately replicating immune checkpoint interactions—such as PD-1/PD-L1 signaling—within the co-culture system remains difficult, potentially affecting the representation of tumor immune dynamics. Scalability is another concern; the generation and maintenance of PDOs are labor-intensive and time-consuming, limiting the feasibility of high-throughput applications. Addressing these limitations will require optimization of TIL expansion protocols, incorporation of immune checkpoint modulation strategies, and development of more automated and efficient co-culture systems.</w:t>
      </w:r>
    </w:p>
    <w:p w14:paraId="585451AD">
      <w:pPr>
        <w:widowControl/>
        <w:rPr>
          <w:rFonts w:eastAsia="Times New Roman"/>
          <w:lang w:val="en-IN" w:eastAsia="en-IN"/>
        </w:rPr>
      </w:pPr>
    </w:p>
    <w:p w14:paraId="1240DCA2">
      <w:pPr>
        <w:widowControl/>
        <w:rPr>
          <w:rFonts w:eastAsia="Times New Roman"/>
          <w:lang w:val="en-IN" w:eastAsia="en-IN"/>
        </w:rPr>
      </w:pPr>
      <w:r>
        <w:rPr>
          <w:rFonts w:eastAsia="Times New Roman"/>
          <w:lang w:val="en-IN" w:eastAsia="en-IN"/>
        </w:rPr>
        <w:t>This study establishes a foundational platform for the translational use of TILs in CRC. Although TIL therapy has demonstrated efficacy in certain cancers</w:t>
      </w:r>
      <w:r>
        <w:rPr>
          <w:rFonts w:eastAsia="Times New Roman"/>
          <w:vertAlign w:val="superscript"/>
          <w:lang w:val="en-IN" w:eastAsia="en-IN"/>
        </w:rPr>
        <w:t>28</w:t>
      </w:r>
      <w:r>
        <w:rPr>
          <w:rFonts w:eastAsia="Times New Roman"/>
          <w:lang w:val="en-IN" w:eastAsia="en-IN"/>
        </w:rPr>
        <w:t>, patient responses remain heterogeneous. The PDO-TIL co-culture system provides an opportunity to preclinically evaluate personalized immunotherapeutic strategies aimed at enhancing anti-tumor responses. However, to maximize its relevance for CRC, further refinements are necessary. CRC presents unique immune challenges within its tumor microenvironment (TME), including microbial influences, distinct patterns of immune cell infiltration, metabolic changes, and hypoxia. Incorporating these components, such as gut microbiota-derived metabolites or immune-modulatory factors, could enhance the physiological relevance of the model.</w:t>
      </w:r>
    </w:p>
    <w:p w14:paraId="4A2B6781">
      <w:pPr>
        <w:widowControl/>
        <w:rPr>
          <w:rFonts w:eastAsia="Times New Roman"/>
          <w:lang w:val="en-IN" w:eastAsia="en-IN"/>
        </w:rPr>
      </w:pPr>
    </w:p>
    <w:p w14:paraId="5D5CED5E">
      <w:pPr>
        <w:widowControl/>
        <w:rPr>
          <w:rFonts w:eastAsia="Times New Roman"/>
          <w:lang w:val="en-IN" w:eastAsia="en-IN"/>
        </w:rPr>
      </w:pPr>
      <w:r>
        <w:rPr>
          <w:rFonts w:eastAsia="Times New Roman"/>
          <w:lang w:val="en-IN" w:eastAsia="en-IN"/>
        </w:rPr>
        <w:t>Additionally, given the molecular heterogeneity of CRC, especially in subtypes such as microsatellite instability-high (MSI-H) and microsatellite stable (MSS) tumors, integrating a broader range of tumor and immune cell profiles into the model will allow for a more comprehensive evaluation of immunotherapy efficacy. Advances in genetic engineering, such as modifying cytokine signaling pathways or checkpoint receptor expression in TILs based on tumor characteristics, could further improve model precision and support the development of tailored immunotherapies.</w:t>
      </w:r>
    </w:p>
    <w:p w14:paraId="786D3DCD">
      <w:pPr>
        <w:widowControl/>
        <w:rPr>
          <w:rFonts w:eastAsia="Times New Roman"/>
          <w:lang w:val="en-IN" w:eastAsia="en-IN"/>
        </w:rPr>
      </w:pPr>
    </w:p>
    <w:p w14:paraId="510B2A08">
      <w:pPr>
        <w:widowControl/>
        <w:rPr>
          <w:rFonts w:eastAsia="Times New Roman"/>
          <w:lang w:val="en-IN" w:eastAsia="en-IN"/>
        </w:rPr>
      </w:pPr>
      <w:r>
        <w:rPr>
          <w:rFonts w:eastAsia="Times New Roman"/>
          <w:lang w:val="en-IN" w:eastAsia="en-IN"/>
        </w:rPr>
        <w:t>By incorporating these refinements, the PDO-TIL co-culture model can more accurately simulate the complex immunobiology and immune escape mechanisms of CRC. This would create a predictive and translational platform for advancing personalized immunotherapy strategies in clinical settings.</w:t>
      </w:r>
    </w:p>
    <w:p w14:paraId="339CEB21">
      <w:pPr>
        <w:rPr>
          <w:color w:val="C0504D" w:themeColor="accent2"/>
          <w:lang w:eastAsia="zh-CN"/>
          <w14:textFill>
            <w14:solidFill>
              <w14:schemeClr w14:val="accent2"/>
            </w14:solidFill>
          </w14:textFill>
        </w:rPr>
      </w:pPr>
    </w:p>
    <w:p w14:paraId="5E18FE9F">
      <w:r>
        <w:rPr>
          <w:b/>
        </w:rPr>
        <w:t xml:space="preserve">ACKNOWLEDGMENTS: </w:t>
      </w:r>
    </w:p>
    <w:p w14:paraId="7FED098D">
      <w:pPr>
        <w:rPr>
          <w:bCs/>
        </w:rPr>
      </w:pPr>
      <w:r>
        <w:rPr>
          <w:bCs/>
        </w:rPr>
        <w:t>This work was supported by National Natural Science Foundation of China [82172822]; High-level Talent Innovation Support Program of Dalian Science and Technology Bureau [2021RD02]; Liaoning Provincial Science and Technology Program Joint Plan [2024JH2/102600067]; Liaoning Provincial International Science and Technology Cooperation Project [2024JH2/101900006].</w:t>
      </w:r>
    </w:p>
    <w:p w14:paraId="1ED2A72B">
      <w:pPr>
        <w:rPr>
          <w:b/>
        </w:rPr>
      </w:pPr>
    </w:p>
    <w:p w14:paraId="439466BA">
      <w:pPr>
        <w:rPr>
          <w:b/>
        </w:rPr>
      </w:pPr>
      <w:r>
        <w:rPr>
          <w:b/>
        </w:rPr>
        <w:t xml:space="preserve">DISCLOSURES: </w:t>
      </w:r>
    </w:p>
    <w:p w14:paraId="2F35B4D4">
      <w:r>
        <w:t>The authors have nothing to disclose.</w:t>
      </w:r>
    </w:p>
    <w:p w14:paraId="3A66F8E4"/>
    <w:p w14:paraId="1B670E6F">
      <w:pPr>
        <w:rPr>
          <w:rFonts w:eastAsiaTheme="minorEastAsia"/>
          <w:b/>
          <w:lang w:eastAsia="zh-CN"/>
        </w:rPr>
      </w:pPr>
      <w:r>
        <w:rPr>
          <w:b/>
        </w:rPr>
        <w:t>REFERENCES:</w:t>
      </w:r>
    </w:p>
    <w:p w14:paraId="2AF88618">
      <w:pPr>
        <w:pStyle w:val="31"/>
      </w:pPr>
      <w:r>
        <w:rPr>
          <w:bCs/>
        </w:rPr>
        <w:fldChar w:fldCharType="begin"/>
      </w:r>
      <w:r>
        <w:rPr>
          <w:bCs/>
        </w:rPr>
        <w:instrText xml:space="preserve"> ADDIN EN.REFLIST </w:instrText>
      </w:r>
      <w:r>
        <w:rPr>
          <w:bCs/>
        </w:rPr>
        <w:fldChar w:fldCharType="separate"/>
      </w:r>
      <w:r>
        <w:t>1</w:t>
      </w:r>
      <w:r>
        <w:tab/>
      </w:r>
      <w:r>
        <w:t xml:space="preserve">Eng, C. et al. Colorectal cancer. </w:t>
      </w:r>
      <w:r>
        <w:rPr>
          <w:i/>
        </w:rPr>
        <w:t>Lancet.</w:t>
      </w:r>
      <w:r>
        <w:t xml:space="preserve"> </w:t>
      </w:r>
      <w:r>
        <w:rPr>
          <w:b/>
        </w:rPr>
        <w:t>404</w:t>
      </w:r>
      <w:r>
        <w:t xml:space="preserve"> (10449), 294–310 (2024).</w:t>
      </w:r>
    </w:p>
    <w:p w14:paraId="0E3A379F">
      <w:pPr>
        <w:pStyle w:val="31"/>
      </w:pPr>
      <w:r>
        <w:t>2</w:t>
      </w:r>
      <w:r>
        <w:tab/>
      </w:r>
      <w:r>
        <w:t xml:space="preserve">Sarnaik, A. A., Hwu, P., Mulé, J. J., Pilon-Thomas, S. Tumor-infiltrating lymphocytes: A new hope. </w:t>
      </w:r>
      <w:r>
        <w:rPr>
          <w:i/>
        </w:rPr>
        <w:t>Cancer Cell.</w:t>
      </w:r>
      <w:r>
        <w:t xml:space="preserve"> </w:t>
      </w:r>
      <w:r>
        <w:rPr>
          <w:b/>
        </w:rPr>
        <w:t>42</w:t>
      </w:r>
      <w:r>
        <w:t xml:space="preserve"> (8), 1315–1318 (2024).</w:t>
      </w:r>
    </w:p>
    <w:p w14:paraId="00A925AC">
      <w:pPr>
        <w:pStyle w:val="31"/>
      </w:pPr>
      <w:r>
        <w:t>3</w:t>
      </w:r>
      <w:r>
        <w:tab/>
      </w:r>
      <w:r>
        <w:t xml:space="preserve">Paijens, S. T., Vledder, A., De Bruyn, M., Nijman, H. W. Tumor-infiltrating lymphocytes in the immunotherapy era. </w:t>
      </w:r>
      <w:r>
        <w:rPr>
          <w:i/>
        </w:rPr>
        <w:t>Cell Mol Immunol.</w:t>
      </w:r>
      <w:r>
        <w:t xml:space="preserve"> </w:t>
      </w:r>
      <w:r>
        <w:rPr>
          <w:b/>
        </w:rPr>
        <w:t>18</w:t>
      </w:r>
      <w:r>
        <w:t xml:space="preserve"> (4), 842–859 (2021).</w:t>
      </w:r>
    </w:p>
    <w:p w14:paraId="2BFC89F9">
      <w:pPr>
        <w:pStyle w:val="31"/>
      </w:pPr>
      <w:r>
        <w:t>4</w:t>
      </w:r>
      <w:r>
        <w:tab/>
      </w:r>
      <w:r>
        <w:t xml:space="preserve">Betof Warner, A., Corrie, P. G., Hamid, O. Tumor-infiltrating lymphocyte therapy in melanoma: Facts to the future. </w:t>
      </w:r>
      <w:r>
        <w:rPr>
          <w:i/>
        </w:rPr>
        <w:t>Clin Cancer Res.</w:t>
      </w:r>
      <w:r>
        <w:t xml:space="preserve"> </w:t>
      </w:r>
      <w:r>
        <w:rPr>
          <w:b/>
        </w:rPr>
        <w:t>29</w:t>
      </w:r>
      <w:r>
        <w:t xml:space="preserve"> (10), 1835–1854 (2023).</w:t>
      </w:r>
    </w:p>
    <w:p w14:paraId="1E47FBD0">
      <w:pPr>
        <w:pStyle w:val="31"/>
      </w:pPr>
      <w:r>
        <w:t>5</w:t>
      </w:r>
      <w:r>
        <w:tab/>
      </w:r>
      <w:r>
        <w:t xml:space="preserve">Huang, H. et al. Phase I study of adjuvant immunotherapy with autologous tumor-infiltrating lymphocytes in locally advanced cervical cancer. </w:t>
      </w:r>
      <w:r>
        <w:rPr>
          <w:i/>
        </w:rPr>
        <w:t>J Clin Invest.</w:t>
      </w:r>
      <w:r>
        <w:t xml:space="preserve"> </w:t>
      </w:r>
      <w:r>
        <w:rPr>
          <w:b/>
        </w:rPr>
        <w:t>132</w:t>
      </w:r>
      <w:r>
        <w:t xml:space="preserve"> (15), e157726 (2022).</w:t>
      </w:r>
    </w:p>
    <w:p w14:paraId="75553706">
      <w:pPr>
        <w:pStyle w:val="31"/>
      </w:pPr>
      <w:r>
        <w:t>6</w:t>
      </w:r>
      <w:r>
        <w:tab/>
      </w:r>
      <w:r>
        <w:t xml:space="preserve">Mengus, C. et al. </w:t>
      </w:r>
      <w:r>
        <w:rPr>
          <w:i/>
          <w:iCs/>
        </w:rPr>
        <w:t>In vitro</w:t>
      </w:r>
      <w:r>
        <w:t xml:space="preserve"> modeling of tumor-immune system interaction. </w:t>
      </w:r>
      <w:r>
        <w:rPr>
          <w:i/>
        </w:rPr>
        <w:t>ACS Biomater Sci Eng.</w:t>
      </w:r>
      <w:r>
        <w:t xml:space="preserve"> </w:t>
      </w:r>
      <w:r>
        <w:rPr>
          <w:b/>
        </w:rPr>
        <w:t>4</w:t>
      </w:r>
      <w:r>
        <w:t xml:space="preserve"> (2), 314–323 (2018).</w:t>
      </w:r>
    </w:p>
    <w:p w14:paraId="1053CF6C">
      <w:pPr>
        <w:pStyle w:val="31"/>
      </w:pPr>
      <w:r>
        <w:t>7</w:t>
      </w:r>
      <w:r>
        <w:tab/>
      </w:r>
      <w:r>
        <w:t xml:space="preserve">Wang, H., Tian, T., Zhang, J. Tumor-associated macrophages (tams) in colorectal cancer (crc): From mechanism to therapy and prognosis. </w:t>
      </w:r>
      <w:r>
        <w:rPr>
          <w:i/>
        </w:rPr>
        <w:t>Int J Mol Sci.</w:t>
      </w:r>
      <w:r>
        <w:t xml:space="preserve"> </w:t>
      </w:r>
      <w:r>
        <w:rPr>
          <w:b/>
        </w:rPr>
        <w:t>22</w:t>
      </w:r>
      <w:r>
        <w:t xml:space="preserve"> (16), 8470 (2021).</w:t>
      </w:r>
    </w:p>
    <w:p w14:paraId="2A440147">
      <w:pPr>
        <w:pStyle w:val="31"/>
      </w:pPr>
      <w:r>
        <w:t>8</w:t>
      </w:r>
      <w:r>
        <w:tab/>
      </w:r>
      <w:r>
        <w:t xml:space="preserve">Rasyid, N. R. et al. The potential of PD-1 and PD-L1 as prognostic and predictive biomarkers in colorectal adenocarcinoma based on TILs grading. </w:t>
      </w:r>
      <w:r>
        <w:rPr>
          <w:i/>
        </w:rPr>
        <w:t>Curr Oncol.</w:t>
      </w:r>
      <w:r>
        <w:t xml:space="preserve"> </w:t>
      </w:r>
      <w:r>
        <w:rPr>
          <w:b/>
        </w:rPr>
        <w:t>31</w:t>
      </w:r>
      <w:r>
        <w:t xml:space="preserve"> (12), 7476–7493 (2024).</w:t>
      </w:r>
    </w:p>
    <w:p w14:paraId="5977CEF4">
      <w:pPr>
        <w:pStyle w:val="31"/>
      </w:pPr>
      <w:r>
        <w:t>9</w:t>
      </w:r>
      <w:r>
        <w:tab/>
      </w:r>
      <w:r>
        <w:t xml:space="preserve">Chen, E., Zeng, Z., Zhou, W. The key role of matrix stiffness in colorectal cancer immunotherapy: Mechanisms and therapeutic strategies. </w:t>
      </w:r>
      <w:r>
        <w:rPr>
          <w:i/>
        </w:rPr>
        <w:t>Biochim Biophys Acta Rev Cancer.</w:t>
      </w:r>
      <w:r>
        <w:t xml:space="preserve"> </w:t>
      </w:r>
      <w:r>
        <w:rPr>
          <w:b/>
        </w:rPr>
        <w:t>1879</w:t>
      </w:r>
      <w:r>
        <w:t xml:space="preserve"> (6), 189198 (2024).</w:t>
      </w:r>
    </w:p>
    <w:p w14:paraId="1AA269DB">
      <w:pPr>
        <w:pStyle w:val="31"/>
      </w:pPr>
      <w:r>
        <w:t>10</w:t>
      </w:r>
      <w:r>
        <w:tab/>
      </w:r>
      <w:r>
        <w:t xml:space="preserve">Xu, H., Jiao, D., Liu, A., Wu, K. Tumor organoids: Applications in cancer modeling and potentials in precision medicine. </w:t>
      </w:r>
      <w:r>
        <w:rPr>
          <w:i/>
        </w:rPr>
        <w:t>J Hematol Oncol.</w:t>
      </w:r>
      <w:r>
        <w:t xml:space="preserve"> </w:t>
      </w:r>
      <w:r>
        <w:rPr>
          <w:b/>
        </w:rPr>
        <w:t>15</w:t>
      </w:r>
      <w:r>
        <w:t xml:space="preserve"> (1), 58 (2022).</w:t>
      </w:r>
    </w:p>
    <w:p w14:paraId="638D1661">
      <w:pPr>
        <w:pStyle w:val="31"/>
      </w:pPr>
      <w:r>
        <w:t>11</w:t>
      </w:r>
      <w:r>
        <w:tab/>
      </w:r>
      <w:r>
        <w:t xml:space="preserve">Lv, J. et al. Construction of tumor organoids and their application to cancer research and therapy. </w:t>
      </w:r>
      <w:r>
        <w:rPr>
          <w:i/>
        </w:rPr>
        <w:t>Theranostics.</w:t>
      </w:r>
      <w:r>
        <w:t xml:space="preserve"> </w:t>
      </w:r>
      <w:r>
        <w:rPr>
          <w:b/>
        </w:rPr>
        <w:t>14</w:t>
      </w:r>
      <w:r>
        <w:t xml:space="preserve"> (3), 1101–1125 (2024).</w:t>
      </w:r>
    </w:p>
    <w:p w14:paraId="063E551D">
      <w:pPr>
        <w:pStyle w:val="31"/>
      </w:pPr>
      <w:r>
        <w:t>12</w:t>
      </w:r>
      <w:r>
        <w:tab/>
      </w:r>
      <w:r>
        <w:t xml:space="preserve">Ooft, S. N. et al. Patient-derived organoids can predict response to chemotherapy in metastatic colorectal cancer patients. </w:t>
      </w:r>
      <w:r>
        <w:rPr>
          <w:i/>
        </w:rPr>
        <w:t>Sci Transl Med.</w:t>
      </w:r>
      <w:r>
        <w:t xml:space="preserve"> </w:t>
      </w:r>
      <w:r>
        <w:rPr>
          <w:b/>
        </w:rPr>
        <w:t>11</w:t>
      </w:r>
      <w:r>
        <w:t xml:space="preserve"> (513), eaay2574 (2019).</w:t>
      </w:r>
    </w:p>
    <w:p w14:paraId="4DD827D9">
      <w:pPr>
        <w:pStyle w:val="31"/>
      </w:pPr>
      <w:r>
        <w:t>13</w:t>
      </w:r>
      <w:r>
        <w:tab/>
      </w:r>
      <w:r>
        <w:t xml:space="preserve">Magré, L. et al. Emerging organoid-immune co-culture models for cancer research: From oncoimmunology to personalized immunotherapies. </w:t>
      </w:r>
      <w:r>
        <w:rPr>
          <w:i/>
        </w:rPr>
        <w:t>J Immunother Cancer.</w:t>
      </w:r>
      <w:r>
        <w:t xml:space="preserve"> </w:t>
      </w:r>
      <w:r>
        <w:rPr>
          <w:b/>
        </w:rPr>
        <w:t>11</w:t>
      </w:r>
      <w:r>
        <w:t xml:space="preserve"> (5), e006290 (2023).</w:t>
      </w:r>
    </w:p>
    <w:p w14:paraId="2E136484">
      <w:pPr>
        <w:pStyle w:val="31"/>
      </w:pPr>
      <w:r>
        <w:t>14</w:t>
      </w:r>
      <w:r>
        <w:tab/>
      </w:r>
      <w:r>
        <w:t xml:space="preserve">Matsueda, S., Chen, L., Li, H., Yao, H., Yu, F. Recent clinical researches and technological development in til therapy. </w:t>
      </w:r>
      <w:r>
        <w:rPr>
          <w:i/>
        </w:rPr>
        <w:t>Cancer Immunol Immunother.</w:t>
      </w:r>
      <w:r>
        <w:t xml:space="preserve"> </w:t>
      </w:r>
      <w:r>
        <w:rPr>
          <w:b/>
        </w:rPr>
        <w:t>73</w:t>
      </w:r>
      <w:r>
        <w:t xml:space="preserve"> (11), 232 (2024).</w:t>
      </w:r>
    </w:p>
    <w:p w14:paraId="6760E545">
      <w:pPr>
        <w:pStyle w:val="31"/>
      </w:pPr>
      <w:r>
        <w:t>15</w:t>
      </w:r>
      <w:r>
        <w:tab/>
      </w:r>
      <w:r>
        <w:t xml:space="preserve">Cattaneo, C. M. et al. Tumor organoid-t-cell co-culture systems. </w:t>
      </w:r>
      <w:r>
        <w:rPr>
          <w:i/>
        </w:rPr>
        <w:t>Nat Protoc.</w:t>
      </w:r>
      <w:r>
        <w:t xml:space="preserve"> </w:t>
      </w:r>
      <w:r>
        <w:rPr>
          <w:b/>
        </w:rPr>
        <w:t>15</w:t>
      </w:r>
      <w:r>
        <w:t xml:space="preserve"> (1), 15–39 (2020).</w:t>
      </w:r>
    </w:p>
    <w:p w14:paraId="0C080FE0">
      <w:pPr>
        <w:pStyle w:val="31"/>
      </w:pPr>
      <w:r>
        <w:t>16</w:t>
      </w:r>
      <w:r>
        <w:tab/>
      </w:r>
      <w:r>
        <w:t xml:space="preserve">Itzhaki, O. et al. Establishment and large-scale expansion of minimally cultured "young" tumor infiltrating lymphocytes for adoptive transfer therapy. </w:t>
      </w:r>
      <w:r>
        <w:rPr>
          <w:i/>
        </w:rPr>
        <w:t>J Immunother.</w:t>
      </w:r>
      <w:r>
        <w:t xml:space="preserve"> </w:t>
      </w:r>
      <w:r>
        <w:rPr>
          <w:b/>
        </w:rPr>
        <w:t>34</w:t>
      </w:r>
      <w:r>
        <w:t xml:space="preserve"> (2), 212–220 (2011).</w:t>
      </w:r>
    </w:p>
    <w:p w14:paraId="7AEB02E9">
      <w:pPr>
        <w:pStyle w:val="31"/>
      </w:pPr>
      <w:r>
        <w:t>17</w:t>
      </w:r>
      <w:r>
        <w:tab/>
      </w:r>
      <w:r>
        <w:t xml:space="preserve">Yao, Y. et al. Patient-derived organoids predict chemoradiation responses of locally advanced rectal cancer. </w:t>
      </w:r>
      <w:r>
        <w:rPr>
          <w:i/>
        </w:rPr>
        <w:t>Cell Stem Cell.</w:t>
      </w:r>
      <w:r>
        <w:t xml:space="preserve"> </w:t>
      </w:r>
      <w:r>
        <w:rPr>
          <w:b/>
        </w:rPr>
        <w:t>26</w:t>
      </w:r>
      <w:r>
        <w:t xml:space="preserve"> (1), 17–26.e16 (2020).</w:t>
      </w:r>
    </w:p>
    <w:p w14:paraId="708F2E58">
      <w:pPr>
        <w:pStyle w:val="31"/>
      </w:pPr>
      <w:r>
        <w:t>18</w:t>
      </w:r>
      <w:r>
        <w:tab/>
      </w:r>
      <w:r>
        <w:t xml:space="preserve">Moore, D. K., Motaung, B., Du Plessis, N., Shabangu, A. N., Loxton, A. G. Isolation of b-cells using miltenyi macs bead isolation kits. </w:t>
      </w:r>
      <w:r>
        <w:rPr>
          <w:i/>
        </w:rPr>
        <w:t>PLoS One.</w:t>
      </w:r>
      <w:r>
        <w:t xml:space="preserve"> </w:t>
      </w:r>
      <w:r>
        <w:rPr>
          <w:b/>
        </w:rPr>
        <w:t>14</w:t>
      </w:r>
      <w:r>
        <w:t xml:space="preserve"> (3), e0213832 (2019).</w:t>
      </w:r>
    </w:p>
    <w:p w14:paraId="3D0F83A1">
      <w:pPr>
        <w:pStyle w:val="31"/>
      </w:pPr>
      <w:r>
        <w:t>19</w:t>
      </w:r>
      <w:r>
        <w:tab/>
      </w:r>
      <w:r>
        <w:t xml:space="preserve">Albrecht, H. C. et al. Generation of colon cancer-derived tumor-infiltrating t cells (tils) for adoptive cell therapy. </w:t>
      </w:r>
      <w:r>
        <w:rPr>
          <w:i/>
        </w:rPr>
        <w:t>Cytotherapy.</w:t>
      </w:r>
      <w:r>
        <w:t xml:space="preserve"> </w:t>
      </w:r>
      <w:r>
        <w:rPr>
          <w:b/>
        </w:rPr>
        <w:t>25</w:t>
      </w:r>
      <w:r>
        <w:t xml:space="preserve"> (5), 537–547 (2023).</w:t>
      </w:r>
    </w:p>
    <w:p w14:paraId="456BD6E0">
      <w:pPr>
        <w:pStyle w:val="31"/>
      </w:pPr>
      <w:r>
        <w:t>20</w:t>
      </w:r>
      <w:r>
        <w:tab/>
      </w:r>
      <w:r>
        <w:t xml:space="preserve">Tan, Y. S. Lei, Y. L. Isolation of tumor-infiltrating lymphocytes by ficoll-paque density gradient centrifugation. </w:t>
      </w:r>
      <w:r>
        <w:rPr>
          <w:i/>
        </w:rPr>
        <w:t>Methods Mol Biol.</w:t>
      </w:r>
      <w:r>
        <w:t xml:space="preserve"> </w:t>
      </w:r>
      <w:r>
        <w:rPr>
          <w:b/>
        </w:rPr>
        <w:t>1960</w:t>
      </w:r>
      <w:r>
        <w:t>, 93–99 (2019).</w:t>
      </w:r>
    </w:p>
    <w:p w14:paraId="2743773E">
      <w:pPr>
        <w:pStyle w:val="31"/>
      </w:pPr>
      <w:r>
        <w:t>21</w:t>
      </w:r>
      <w:r>
        <w:tab/>
      </w:r>
      <w:r>
        <w:t xml:space="preserve">Ou, L. et al. Patient-derived melanoma organoid models facilitate the assessment of immunotherapies. </w:t>
      </w:r>
      <w:r>
        <w:rPr>
          <w:i/>
        </w:rPr>
        <w:t>EBioMedicine.</w:t>
      </w:r>
      <w:r>
        <w:t xml:space="preserve"> </w:t>
      </w:r>
      <w:r>
        <w:rPr>
          <w:b/>
        </w:rPr>
        <w:t>92</w:t>
      </w:r>
      <w:r>
        <w:t>, 104614 (2023).</w:t>
      </w:r>
    </w:p>
    <w:p w14:paraId="0E294239">
      <w:pPr>
        <w:pStyle w:val="31"/>
      </w:pPr>
      <w:r>
        <w:t>22</w:t>
      </w:r>
      <w:r>
        <w:tab/>
      </w:r>
      <w:r>
        <w:t xml:space="preserve">Huang, H. et al. Patient-derived organoids as personalized avatars and a potential immunotherapy model in cervical cancer. </w:t>
      </w:r>
      <w:r>
        <w:rPr>
          <w:i/>
        </w:rPr>
        <w:t>iScience.</w:t>
      </w:r>
      <w:r>
        <w:t xml:space="preserve"> </w:t>
      </w:r>
      <w:r>
        <w:rPr>
          <w:b/>
        </w:rPr>
        <w:t>26</w:t>
      </w:r>
      <w:r>
        <w:t xml:space="preserve"> (11), 108198 (2023).</w:t>
      </w:r>
    </w:p>
    <w:p w14:paraId="007D0576">
      <w:pPr>
        <w:pStyle w:val="31"/>
      </w:pPr>
      <w:r>
        <w:t>23</w:t>
      </w:r>
      <w:r>
        <w:tab/>
      </w:r>
      <w:r>
        <w:t xml:space="preserve">Parikh, A. Y. et al. Using patient-derived tumor organoids from common epithelial cancers to analyze personalized T-cell responses to neoantigens. </w:t>
      </w:r>
      <w:r>
        <w:rPr>
          <w:i/>
        </w:rPr>
        <w:t>Cancer Immunol Immunother.</w:t>
      </w:r>
      <w:r>
        <w:t xml:space="preserve"> </w:t>
      </w:r>
      <w:r>
        <w:rPr>
          <w:b/>
        </w:rPr>
        <w:t>72</w:t>
      </w:r>
      <w:r>
        <w:t xml:space="preserve"> (10), 3149–3162 (2023).</w:t>
      </w:r>
    </w:p>
    <w:p w14:paraId="5F3F2306">
      <w:pPr>
        <w:pStyle w:val="31"/>
      </w:pPr>
      <w:r>
        <w:t>24</w:t>
      </w:r>
      <w:r>
        <w:tab/>
      </w:r>
      <w:r>
        <w:t xml:space="preserve">Wherry, E. J. T cell exhaustion. </w:t>
      </w:r>
      <w:r>
        <w:rPr>
          <w:i/>
        </w:rPr>
        <w:t>Nat Immunol.</w:t>
      </w:r>
      <w:r>
        <w:t xml:space="preserve"> </w:t>
      </w:r>
      <w:r>
        <w:rPr>
          <w:b/>
        </w:rPr>
        <w:t>12</w:t>
      </w:r>
      <w:r>
        <w:t xml:space="preserve"> (6), 492–499 (2011).</w:t>
      </w:r>
    </w:p>
    <w:p w14:paraId="7E074B89">
      <w:pPr>
        <w:pStyle w:val="31"/>
      </w:pPr>
      <w:r>
        <w:t>25</w:t>
      </w:r>
      <w:r>
        <w:tab/>
      </w:r>
      <w:r>
        <w:t xml:space="preserve">Xu, Y. et al. An engineered IL-15 cytokine mutein fused to an anti-PD1 improves intratumoral T-cell function and antitumor immunity. </w:t>
      </w:r>
      <w:r>
        <w:rPr>
          <w:i/>
        </w:rPr>
        <w:t>Cancer Immunol Res.</w:t>
      </w:r>
      <w:r>
        <w:t xml:space="preserve"> </w:t>
      </w:r>
      <w:r>
        <w:rPr>
          <w:b/>
        </w:rPr>
        <w:t>9</w:t>
      </w:r>
      <w:r>
        <w:t xml:space="preserve"> (10), 1141–1157 (2021).</w:t>
      </w:r>
    </w:p>
    <w:p w14:paraId="39CE23DD">
      <w:pPr>
        <w:pStyle w:val="31"/>
      </w:pPr>
      <w:r>
        <w:t>26</w:t>
      </w:r>
      <w:r>
        <w:tab/>
      </w:r>
      <w:r>
        <w:t xml:space="preserve">Chang, C. H. et al. Posttranscriptional control of T cell effector function by aerobic glycolysis. </w:t>
      </w:r>
      <w:r>
        <w:rPr>
          <w:i/>
        </w:rPr>
        <w:t>Cell.</w:t>
      </w:r>
      <w:r>
        <w:t xml:space="preserve"> </w:t>
      </w:r>
      <w:r>
        <w:rPr>
          <w:b/>
        </w:rPr>
        <w:t>153</w:t>
      </w:r>
      <w:r>
        <w:t xml:space="preserve"> (6), 1239–1251 (2013).</w:t>
      </w:r>
    </w:p>
    <w:p w14:paraId="1BF0C8FE">
      <w:pPr>
        <w:pStyle w:val="31"/>
      </w:pPr>
      <w:r>
        <w:t>27</w:t>
      </w:r>
      <w:r>
        <w:tab/>
      </w:r>
      <w:r>
        <w:t xml:space="preserve">Trefny, M. P. et al. Deletion of Snx9 alleviates CD8 T cell exhaustion for effective cellular cancer immunotherapy. </w:t>
      </w:r>
      <w:r>
        <w:rPr>
          <w:i/>
        </w:rPr>
        <w:t>Nat Commun.</w:t>
      </w:r>
      <w:r>
        <w:t xml:space="preserve"> </w:t>
      </w:r>
      <w:r>
        <w:rPr>
          <w:b/>
        </w:rPr>
        <w:t>14</w:t>
      </w:r>
      <w:r>
        <w:t xml:space="preserve"> (1), 86 (2023).</w:t>
      </w:r>
    </w:p>
    <w:p w14:paraId="40EB31F8">
      <w:pPr>
        <w:pStyle w:val="31"/>
        <w:rPr>
          <w:b/>
        </w:rPr>
      </w:pPr>
      <w:r>
        <w:t>28</w:t>
      </w:r>
      <w:r>
        <w:tab/>
      </w:r>
      <w:r>
        <w:t xml:space="preserve">Sarnaik, A. A. et al. Lifileucel, a tumor-infiltrating lymphocyte therapy, in metastatic melanoma. </w:t>
      </w:r>
      <w:r>
        <w:rPr>
          <w:i/>
        </w:rPr>
        <w:t>J Clin Oncol.</w:t>
      </w:r>
      <w:r>
        <w:t xml:space="preserve"> </w:t>
      </w:r>
      <w:r>
        <w:rPr>
          <w:b/>
        </w:rPr>
        <w:t>39</w:t>
      </w:r>
      <w:r>
        <w:t xml:space="preserve"> (24), 2656–2666 (2021). </w:t>
      </w:r>
      <w:r>
        <w:rPr>
          <w:bCs/>
        </w:rPr>
        <w:fldChar w:fldCharType="end"/>
      </w:r>
    </w:p>
    <w:sectPr>
      <w:headerReference r:id="rId5" w:type="first"/>
      <w:headerReference r:id="rId3" w:type="default"/>
      <w:headerReference r:id="rId4" w:type="even"/>
      <w:footerReference r:id="rId6" w:type="even"/>
      <w:pgSz w:w="12240" w:h="15840"/>
      <w:pgMar w:top="1440" w:right="1440" w:bottom="1440" w:left="1440" w:header="720" w:footer="607" w:gutter="0"/>
      <w:lnNumType w:countBy="1" w:restart="continuous"/>
      <w:pgNumType w:start="1"/>
      <w:cols w:space="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0DA07">
    <w:pPr>
      <w:tabs>
        <w:tab w:val="center" w:pos="4680"/>
        <w:tab w:val="right" w:pos="9360"/>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5E9C3">
    <w:pPr>
      <w:tabs>
        <w:tab w:val="center" w:pos="4680"/>
        <w:tab w:val="left" w:pos="5724"/>
        <w:tab w:val="right" w:pos="9360"/>
      </w:tabs>
      <w:rPr>
        <w:b/>
        <w:color w:val="1F497D"/>
        <w:sz w:val="28"/>
        <w:szCs w:val="28"/>
      </w:rPr>
    </w:pPr>
    <w:r>
      <w:rPr>
        <w:color w:val="000000"/>
        <w:sz w:val="22"/>
        <w:szCs w:val="22"/>
      </w:rPr>
      <w:tab/>
    </w:r>
    <w:r>
      <w:rPr>
        <w:color w:val="000000"/>
        <w:sz w:val="22"/>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AC918">
    <w:pP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D64AC">
    <w:pPr>
      <w:tabs>
        <w:tab w:val="center" w:pos="4680"/>
        <w:tab w:val="right" w:pos="9360"/>
      </w:tabs>
      <w:jc w:val="right"/>
      <w:rPr>
        <w:b/>
        <w:color w:val="1F497D"/>
        <w:sz w:val="32"/>
        <w:szCs w:val="32"/>
      </w:rPr>
    </w:pPr>
    <w:r>
      <w:rPr>
        <w:b/>
        <w:color w:val="1F497D"/>
        <w:sz w:val="32"/>
        <w:szCs w:val="32"/>
      </w:rPr>
      <w:br w:type="textWrapp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hideSpellingErrors/>
  <w:hideGrammaticalErrors/>
  <w:documentProtection w:enforcement="0"/>
  <w:defaultTabStop w:val="7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0MrcwNjQxtzA1tTBU0lEKTi0uzszPAykwNKkFAEbWoPktAAAA"/>
    <w:docVar w:name="EN.InstantFormat" w:val="&lt;ENInstantFormat&gt;&lt;Enabled&gt;1&lt;/Enabled&gt;&lt;ScanUnformatted&gt;1&lt;/ScanUnformatted&gt;&lt;ScanChanges&gt;1&lt;/ScanChanges&gt;&lt;Suspended&gt;0&lt;/Suspended&gt;&lt;/ENInstantFormat&gt;"/>
    <w:docVar w:name="EN.Layout" w:val="&lt;ENLayout&gt;&lt;Style&gt;JoVE_New_2023&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ts9ddsv49wxx4evea8pdfwup0sf095fe5fw&quot;&gt;My EndNote Library&lt;record-ids&gt;&lt;item&gt;1&lt;/item&gt;&lt;item&gt;2&lt;/item&gt;&lt;item&gt;3&lt;/item&gt;&lt;item&gt;4&lt;/item&gt;&lt;item&gt;5&lt;/item&gt;&lt;item&gt;6&lt;/item&gt;&lt;item&gt;7&lt;/item&gt;&lt;item&gt;8&lt;/item&gt;&lt;item&gt;9&lt;/item&gt;&lt;item&gt;10&lt;/item&gt;&lt;item&gt;11&lt;/item&gt;&lt;item&gt;19&lt;/item&gt;&lt;item&gt;20&lt;/item&gt;&lt;item&gt;21&lt;/item&gt;&lt;item&gt;22&lt;/item&gt;&lt;item&gt;23&lt;/item&gt;&lt;item&gt;24&lt;/item&gt;&lt;item&gt;25&lt;/item&gt;&lt;item&gt;26&lt;/item&gt;&lt;item&gt;28&lt;/item&gt;&lt;item&gt;32&lt;/item&gt;&lt;/record-ids&gt;&lt;/item&gt;&lt;/Libraries&gt;"/>
  </w:docVars>
  <w:rsids>
    <w:rsidRoot w:val="006E4797"/>
    <w:rsid w:val="0000515B"/>
    <w:rsid w:val="00011457"/>
    <w:rsid w:val="00012538"/>
    <w:rsid w:val="00013652"/>
    <w:rsid w:val="00014297"/>
    <w:rsid w:val="0002271B"/>
    <w:rsid w:val="00026347"/>
    <w:rsid w:val="000301BA"/>
    <w:rsid w:val="000349E5"/>
    <w:rsid w:val="00034DD1"/>
    <w:rsid w:val="00036936"/>
    <w:rsid w:val="0004355D"/>
    <w:rsid w:val="000472FC"/>
    <w:rsid w:val="000478BC"/>
    <w:rsid w:val="00057B67"/>
    <w:rsid w:val="00061E0E"/>
    <w:rsid w:val="00072AEE"/>
    <w:rsid w:val="00073BEE"/>
    <w:rsid w:val="0007506F"/>
    <w:rsid w:val="00076815"/>
    <w:rsid w:val="00081F44"/>
    <w:rsid w:val="00082A5F"/>
    <w:rsid w:val="00083B6F"/>
    <w:rsid w:val="00087702"/>
    <w:rsid w:val="00092888"/>
    <w:rsid w:val="00093F30"/>
    <w:rsid w:val="000A0D26"/>
    <w:rsid w:val="000B41B6"/>
    <w:rsid w:val="000D4336"/>
    <w:rsid w:val="000D7449"/>
    <w:rsid w:val="000E0D62"/>
    <w:rsid w:val="000E2ABF"/>
    <w:rsid w:val="000E3D8C"/>
    <w:rsid w:val="000E3F21"/>
    <w:rsid w:val="000E4C51"/>
    <w:rsid w:val="00100724"/>
    <w:rsid w:val="00107B7A"/>
    <w:rsid w:val="00110C17"/>
    <w:rsid w:val="00112FCF"/>
    <w:rsid w:val="00132279"/>
    <w:rsid w:val="0013607A"/>
    <w:rsid w:val="00147CBA"/>
    <w:rsid w:val="0015327B"/>
    <w:rsid w:val="001624E4"/>
    <w:rsid w:val="0017012B"/>
    <w:rsid w:val="00181A81"/>
    <w:rsid w:val="001846B8"/>
    <w:rsid w:val="00192038"/>
    <w:rsid w:val="00194C04"/>
    <w:rsid w:val="00194CE8"/>
    <w:rsid w:val="001959A2"/>
    <w:rsid w:val="001A1CA1"/>
    <w:rsid w:val="001A1D44"/>
    <w:rsid w:val="001A4628"/>
    <w:rsid w:val="001B06ED"/>
    <w:rsid w:val="001B38EA"/>
    <w:rsid w:val="001D2896"/>
    <w:rsid w:val="001D45C4"/>
    <w:rsid w:val="001F3109"/>
    <w:rsid w:val="00202A5F"/>
    <w:rsid w:val="00210DD6"/>
    <w:rsid w:val="00214319"/>
    <w:rsid w:val="00224D97"/>
    <w:rsid w:val="00231466"/>
    <w:rsid w:val="0023296D"/>
    <w:rsid w:val="00232DDC"/>
    <w:rsid w:val="00241106"/>
    <w:rsid w:val="00252077"/>
    <w:rsid w:val="0025524D"/>
    <w:rsid w:val="00261B50"/>
    <w:rsid w:val="00273838"/>
    <w:rsid w:val="00273EDD"/>
    <w:rsid w:val="00287478"/>
    <w:rsid w:val="002925B0"/>
    <w:rsid w:val="00293968"/>
    <w:rsid w:val="00295D71"/>
    <w:rsid w:val="00295E86"/>
    <w:rsid w:val="002960E8"/>
    <w:rsid w:val="002A0A6F"/>
    <w:rsid w:val="002A0D52"/>
    <w:rsid w:val="002A4164"/>
    <w:rsid w:val="002A5C16"/>
    <w:rsid w:val="002B3959"/>
    <w:rsid w:val="002B5428"/>
    <w:rsid w:val="002E324E"/>
    <w:rsid w:val="002E6C54"/>
    <w:rsid w:val="00304D78"/>
    <w:rsid w:val="003123D6"/>
    <w:rsid w:val="00312D86"/>
    <w:rsid w:val="0031658E"/>
    <w:rsid w:val="003313AC"/>
    <w:rsid w:val="00345B0D"/>
    <w:rsid w:val="00351087"/>
    <w:rsid w:val="003548DA"/>
    <w:rsid w:val="0035593C"/>
    <w:rsid w:val="00356863"/>
    <w:rsid w:val="0036174C"/>
    <w:rsid w:val="00372CA2"/>
    <w:rsid w:val="00376EC9"/>
    <w:rsid w:val="00383510"/>
    <w:rsid w:val="003865CC"/>
    <w:rsid w:val="00387CDA"/>
    <w:rsid w:val="003900C2"/>
    <w:rsid w:val="00395854"/>
    <w:rsid w:val="00395BED"/>
    <w:rsid w:val="003A5297"/>
    <w:rsid w:val="003A7FD9"/>
    <w:rsid w:val="003B3559"/>
    <w:rsid w:val="003B44F7"/>
    <w:rsid w:val="003D67E2"/>
    <w:rsid w:val="003E5AF1"/>
    <w:rsid w:val="003F428D"/>
    <w:rsid w:val="0040024E"/>
    <w:rsid w:val="0040363A"/>
    <w:rsid w:val="0040579A"/>
    <w:rsid w:val="00406BEF"/>
    <w:rsid w:val="00414ADE"/>
    <w:rsid w:val="00415488"/>
    <w:rsid w:val="00417036"/>
    <w:rsid w:val="00417109"/>
    <w:rsid w:val="00422780"/>
    <w:rsid w:val="00423B44"/>
    <w:rsid w:val="004361C8"/>
    <w:rsid w:val="00436F4D"/>
    <w:rsid w:val="00437232"/>
    <w:rsid w:val="00450199"/>
    <w:rsid w:val="004620C9"/>
    <w:rsid w:val="00464318"/>
    <w:rsid w:val="00473693"/>
    <w:rsid w:val="004764AF"/>
    <w:rsid w:val="00481479"/>
    <w:rsid w:val="0049243D"/>
    <w:rsid w:val="004939EE"/>
    <w:rsid w:val="004969D3"/>
    <w:rsid w:val="004A33F2"/>
    <w:rsid w:val="004A4842"/>
    <w:rsid w:val="004A6D45"/>
    <w:rsid w:val="004B028F"/>
    <w:rsid w:val="004B78EE"/>
    <w:rsid w:val="004C0985"/>
    <w:rsid w:val="004C1464"/>
    <w:rsid w:val="004C1982"/>
    <w:rsid w:val="004D362E"/>
    <w:rsid w:val="004D4A9B"/>
    <w:rsid w:val="004E1222"/>
    <w:rsid w:val="004E6AD1"/>
    <w:rsid w:val="004F1CF9"/>
    <w:rsid w:val="004F6AD9"/>
    <w:rsid w:val="00500699"/>
    <w:rsid w:val="005044A9"/>
    <w:rsid w:val="005079B4"/>
    <w:rsid w:val="00507B12"/>
    <w:rsid w:val="00510738"/>
    <w:rsid w:val="00512E3B"/>
    <w:rsid w:val="00513CCF"/>
    <w:rsid w:val="00516914"/>
    <w:rsid w:val="00546AA6"/>
    <w:rsid w:val="00551B40"/>
    <w:rsid w:val="00551D82"/>
    <w:rsid w:val="00561522"/>
    <w:rsid w:val="00565630"/>
    <w:rsid w:val="005734D7"/>
    <w:rsid w:val="00575E55"/>
    <w:rsid w:val="005812F8"/>
    <w:rsid w:val="005823D2"/>
    <w:rsid w:val="00585BF5"/>
    <w:rsid w:val="005860C3"/>
    <w:rsid w:val="00590B9D"/>
    <w:rsid w:val="005A1A27"/>
    <w:rsid w:val="005A637B"/>
    <w:rsid w:val="005B4153"/>
    <w:rsid w:val="005B6E67"/>
    <w:rsid w:val="005C0439"/>
    <w:rsid w:val="005C0F9C"/>
    <w:rsid w:val="005C2823"/>
    <w:rsid w:val="005E1EE7"/>
    <w:rsid w:val="005E2ADA"/>
    <w:rsid w:val="005E4199"/>
    <w:rsid w:val="005E640D"/>
    <w:rsid w:val="005E7D5C"/>
    <w:rsid w:val="005F5FFB"/>
    <w:rsid w:val="00600D5A"/>
    <w:rsid w:val="00604100"/>
    <w:rsid w:val="00604AC3"/>
    <w:rsid w:val="00615035"/>
    <w:rsid w:val="00622578"/>
    <w:rsid w:val="0062259E"/>
    <w:rsid w:val="006239A1"/>
    <w:rsid w:val="00633DCC"/>
    <w:rsid w:val="00634672"/>
    <w:rsid w:val="00640588"/>
    <w:rsid w:val="006412CC"/>
    <w:rsid w:val="00643965"/>
    <w:rsid w:val="00674AEC"/>
    <w:rsid w:val="006755EE"/>
    <w:rsid w:val="006824BF"/>
    <w:rsid w:val="00693BA9"/>
    <w:rsid w:val="006A2664"/>
    <w:rsid w:val="006A5765"/>
    <w:rsid w:val="006A5DDB"/>
    <w:rsid w:val="006B7FD2"/>
    <w:rsid w:val="006C76C6"/>
    <w:rsid w:val="006D671B"/>
    <w:rsid w:val="006D77AE"/>
    <w:rsid w:val="006E05D7"/>
    <w:rsid w:val="006E0CF9"/>
    <w:rsid w:val="006E1815"/>
    <w:rsid w:val="006E445B"/>
    <w:rsid w:val="006E4797"/>
    <w:rsid w:val="006E7C64"/>
    <w:rsid w:val="00702ADE"/>
    <w:rsid w:val="0070380B"/>
    <w:rsid w:val="0070444F"/>
    <w:rsid w:val="00712AF3"/>
    <w:rsid w:val="00714BE0"/>
    <w:rsid w:val="00736371"/>
    <w:rsid w:val="00740EFE"/>
    <w:rsid w:val="00745FE8"/>
    <w:rsid w:val="00751D3D"/>
    <w:rsid w:val="007539EF"/>
    <w:rsid w:val="00754E03"/>
    <w:rsid w:val="00761460"/>
    <w:rsid w:val="007632A8"/>
    <w:rsid w:val="007758F3"/>
    <w:rsid w:val="007871D3"/>
    <w:rsid w:val="007A1EE7"/>
    <w:rsid w:val="007A4BBA"/>
    <w:rsid w:val="007A794A"/>
    <w:rsid w:val="007A7DAE"/>
    <w:rsid w:val="007B2D42"/>
    <w:rsid w:val="007B488F"/>
    <w:rsid w:val="007B72A4"/>
    <w:rsid w:val="007C1DF9"/>
    <w:rsid w:val="007C1EAA"/>
    <w:rsid w:val="007C277E"/>
    <w:rsid w:val="007D158D"/>
    <w:rsid w:val="007D6BE0"/>
    <w:rsid w:val="007E0E19"/>
    <w:rsid w:val="007E79E8"/>
    <w:rsid w:val="007F13E9"/>
    <w:rsid w:val="007F2030"/>
    <w:rsid w:val="007F5941"/>
    <w:rsid w:val="008074F0"/>
    <w:rsid w:val="00810A90"/>
    <w:rsid w:val="00824932"/>
    <w:rsid w:val="00833B96"/>
    <w:rsid w:val="008425A4"/>
    <w:rsid w:val="008461C6"/>
    <w:rsid w:val="00853E9B"/>
    <w:rsid w:val="0085421A"/>
    <w:rsid w:val="0085548D"/>
    <w:rsid w:val="00860071"/>
    <w:rsid w:val="00873D81"/>
    <w:rsid w:val="00881B76"/>
    <w:rsid w:val="0088742E"/>
    <w:rsid w:val="0089081B"/>
    <w:rsid w:val="00892EA8"/>
    <w:rsid w:val="008A11E6"/>
    <w:rsid w:val="008A3FF6"/>
    <w:rsid w:val="008A4859"/>
    <w:rsid w:val="008A76E1"/>
    <w:rsid w:val="008B039F"/>
    <w:rsid w:val="008B2D50"/>
    <w:rsid w:val="008B35D2"/>
    <w:rsid w:val="008B5D96"/>
    <w:rsid w:val="008C2AD5"/>
    <w:rsid w:val="008D293E"/>
    <w:rsid w:val="008D5801"/>
    <w:rsid w:val="008E19AC"/>
    <w:rsid w:val="008E7C85"/>
    <w:rsid w:val="0090124B"/>
    <w:rsid w:val="00902E84"/>
    <w:rsid w:val="0090435F"/>
    <w:rsid w:val="009062FE"/>
    <w:rsid w:val="00913CB6"/>
    <w:rsid w:val="0092067F"/>
    <w:rsid w:val="009225B1"/>
    <w:rsid w:val="00924726"/>
    <w:rsid w:val="00926C85"/>
    <w:rsid w:val="00932530"/>
    <w:rsid w:val="00934D51"/>
    <w:rsid w:val="009409EA"/>
    <w:rsid w:val="00960715"/>
    <w:rsid w:val="00962C04"/>
    <w:rsid w:val="009717CE"/>
    <w:rsid w:val="009834D8"/>
    <w:rsid w:val="009926E7"/>
    <w:rsid w:val="00994F50"/>
    <w:rsid w:val="00994F90"/>
    <w:rsid w:val="009A29EE"/>
    <w:rsid w:val="009A39AC"/>
    <w:rsid w:val="009B012E"/>
    <w:rsid w:val="009B1409"/>
    <w:rsid w:val="009C4C17"/>
    <w:rsid w:val="009C5DC3"/>
    <w:rsid w:val="009D18C5"/>
    <w:rsid w:val="009D7BCE"/>
    <w:rsid w:val="009E2971"/>
    <w:rsid w:val="009E2C1C"/>
    <w:rsid w:val="009E2EE9"/>
    <w:rsid w:val="009E3D3D"/>
    <w:rsid w:val="009E6E1D"/>
    <w:rsid w:val="009F10D3"/>
    <w:rsid w:val="00A05E5A"/>
    <w:rsid w:val="00A12A02"/>
    <w:rsid w:val="00A1684A"/>
    <w:rsid w:val="00A16872"/>
    <w:rsid w:val="00A2013D"/>
    <w:rsid w:val="00A205F7"/>
    <w:rsid w:val="00A21529"/>
    <w:rsid w:val="00A23583"/>
    <w:rsid w:val="00A43F34"/>
    <w:rsid w:val="00A53932"/>
    <w:rsid w:val="00A61636"/>
    <w:rsid w:val="00A624BE"/>
    <w:rsid w:val="00A717DB"/>
    <w:rsid w:val="00A75AFE"/>
    <w:rsid w:val="00A76D24"/>
    <w:rsid w:val="00A80AEE"/>
    <w:rsid w:val="00A82465"/>
    <w:rsid w:val="00A93DC4"/>
    <w:rsid w:val="00A9614D"/>
    <w:rsid w:val="00AA01B0"/>
    <w:rsid w:val="00AB3F94"/>
    <w:rsid w:val="00AB4038"/>
    <w:rsid w:val="00AB6866"/>
    <w:rsid w:val="00AC132D"/>
    <w:rsid w:val="00AC33D1"/>
    <w:rsid w:val="00AD16A3"/>
    <w:rsid w:val="00AE3A45"/>
    <w:rsid w:val="00B00A9C"/>
    <w:rsid w:val="00B1619A"/>
    <w:rsid w:val="00B17C4D"/>
    <w:rsid w:val="00B21D2E"/>
    <w:rsid w:val="00B22BA0"/>
    <w:rsid w:val="00B40944"/>
    <w:rsid w:val="00B45EC5"/>
    <w:rsid w:val="00B46DB0"/>
    <w:rsid w:val="00B642AF"/>
    <w:rsid w:val="00B66177"/>
    <w:rsid w:val="00B673D1"/>
    <w:rsid w:val="00B80920"/>
    <w:rsid w:val="00B81064"/>
    <w:rsid w:val="00B87681"/>
    <w:rsid w:val="00B9015E"/>
    <w:rsid w:val="00B948D9"/>
    <w:rsid w:val="00B949E6"/>
    <w:rsid w:val="00BA144E"/>
    <w:rsid w:val="00BA4253"/>
    <w:rsid w:val="00BA60EF"/>
    <w:rsid w:val="00BD3767"/>
    <w:rsid w:val="00BE22A2"/>
    <w:rsid w:val="00BE2769"/>
    <w:rsid w:val="00C03ADE"/>
    <w:rsid w:val="00C04122"/>
    <w:rsid w:val="00C05973"/>
    <w:rsid w:val="00C11D93"/>
    <w:rsid w:val="00C1403C"/>
    <w:rsid w:val="00C206BB"/>
    <w:rsid w:val="00C27C71"/>
    <w:rsid w:val="00C3053E"/>
    <w:rsid w:val="00C3217C"/>
    <w:rsid w:val="00C348BF"/>
    <w:rsid w:val="00C366E0"/>
    <w:rsid w:val="00C44020"/>
    <w:rsid w:val="00C50FC7"/>
    <w:rsid w:val="00C522AE"/>
    <w:rsid w:val="00C550F3"/>
    <w:rsid w:val="00C63C69"/>
    <w:rsid w:val="00C652D8"/>
    <w:rsid w:val="00C67EB2"/>
    <w:rsid w:val="00C83A42"/>
    <w:rsid w:val="00C86BD5"/>
    <w:rsid w:val="00C875D1"/>
    <w:rsid w:val="00CA58EE"/>
    <w:rsid w:val="00CA737E"/>
    <w:rsid w:val="00CB1713"/>
    <w:rsid w:val="00CB1783"/>
    <w:rsid w:val="00CB5C1D"/>
    <w:rsid w:val="00CC0ABB"/>
    <w:rsid w:val="00CC4A62"/>
    <w:rsid w:val="00D07A90"/>
    <w:rsid w:val="00D2347E"/>
    <w:rsid w:val="00D23709"/>
    <w:rsid w:val="00D2510B"/>
    <w:rsid w:val="00D27557"/>
    <w:rsid w:val="00D278AF"/>
    <w:rsid w:val="00D416EE"/>
    <w:rsid w:val="00D44BE2"/>
    <w:rsid w:val="00D52C49"/>
    <w:rsid w:val="00D540C1"/>
    <w:rsid w:val="00D54681"/>
    <w:rsid w:val="00D550ED"/>
    <w:rsid w:val="00D57F1F"/>
    <w:rsid w:val="00D6430B"/>
    <w:rsid w:val="00D661BB"/>
    <w:rsid w:val="00D77132"/>
    <w:rsid w:val="00D812FD"/>
    <w:rsid w:val="00D86D57"/>
    <w:rsid w:val="00D90B76"/>
    <w:rsid w:val="00D928AD"/>
    <w:rsid w:val="00D959E7"/>
    <w:rsid w:val="00DA154A"/>
    <w:rsid w:val="00DA184F"/>
    <w:rsid w:val="00DA3C5C"/>
    <w:rsid w:val="00DA556C"/>
    <w:rsid w:val="00DB112A"/>
    <w:rsid w:val="00DC0E61"/>
    <w:rsid w:val="00DC15FA"/>
    <w:rsid w:val="00DC18A7"/>
    <w:rsid w:val="00DD0D2A"/>
    <w:rsid w:val="00DD504E"/>
    <w:rsid w:val="00DE22DD"/>
    <w:rsid w:val="00DE4B51"/>
    <w:rsid w:val="00DE5AD2"/>
    <w:rsid w:val="00DE6371"/>
    <w:rsid w:val="00E03054"/>
    <w:rsid w:val="00E3035F"/>
    <w:rsid w:val="00E35017"/>
    <w:rsid w:val="00E37116"/>
    <w:rsid w:val="00E401D5"/>
    <w:rsid w:val="00E42A94"/>
    <w:rsid w:val="00E43C50"/>
    <w:rsid w:val="00E44BCD"/>
    <w:rsid w:val="00E45A4B"/>
    <w:rsid w:val="00E53833"/>
    <w:rsid w:val="00E56FD6"/>
    <w:rsid w:val="00E63BA3"/>
    <w:rsid w:val="00E81FB2"/>
    <w:rsid w:val="00E90176"/>
    <w:rsid w:val="00E9019B"/>
    <w:rsid w:val="00E91135"/>
    <w:rsid w:val="00EA14A3"/>
    <w:rsid w:val="00EB122E"/>
    <w:rsid w:val="00EB1E68"/>
    <w:rsid w:val="00EB36BA"/>
    <w:rsid w:val="00EC0649"/>
    <w:rsid w:val="00EC415B"/>
    <w:rsid w:val="00EC57F0"/>
    <w:rsid w:val="00EC5E4F"/>
    <w:rsid w:val="00EC77F3"/>
    <w:rsid w:val="00ED7D0F"/>
    <w:rsid w:val="00ED7D1F"/>
    <w:rsid w:val="00EE0D3B"/>
    <w:rsid w:val="00EE7436"/>
    <w:rsid w:val="00F22FB1"/>
    <w:rsid w:val="00F27C36"/>
    <w:rsid w:val="00F31D4E"/>
    <w:rsid w:val="00F36869"/>
    <w:rsid w:val="00F40C71"/>
    <w:rsid w:val="00F41DE1"/>
    <w:rsid w:val="00F535E7"/>
    <w:rsid w:val="00F57D89"/>
    <w:rsid w:val="00F66F4E"/>
    <w:rsid w:val="00F715A3"/>
    <w:rsid w:val="00F72213"/>
    <w:rsid w:val="00F72C17"/>
    <w:rsid w:val="00F76CD7"/>
    <w:rsid w:val="00F810B8"/>
    <w:rsid w:val="00F936FC"/>
    <w:rsid w:val="00F967A0"/>
    <w:rsid w:val="00FA3B53"/>
    <w:rsid w:val="00FA6C9C"/>
    <w:rsid w:val="00FB5529"/>
    <w:rsid w:val="00FB7ACF"/>
    <w:rsid w:val="00FC4258"/>
    <w:rsid w:val="00FD2692"/>
    <w:rsid w:val="00FD4114"/>
    <w:rsid w:val="00FE1134"/>
    <w:rsid w:val="00FE31AE"/>
    <w:rsid w:val="00FF11E8"/>
    <w:rsid w:val="00FF2654"/>
    <w:rsid w:val="00FF6C91"/>
    <w:rsid w:val="05EB5853"/>
    <w:rsid w:val="064E5119"/>
    <w:rsid w:val="08C55592"/>
    <w:rsid w:val="090D306A"/>
    <w:rsid w:val="097C499E"/>
    <w:rsid w:val="0A8F1AA8"/>
    <w:rsid w:val="0B580292"/>
    <w:rsid w:val="0C714D93"/>
    <w:rsid w:val="0CAE24B4"/>
    <w:rsid w:val="0CD9236B"/>
    <w:rsid w:val="0D181FDD"/>
    <w:rsid w:val="0DF447F8"/>
    <w:rsid w:val="0ED83E8E"/>
    <w:rsid w:val="11103386"/>
    <w:rsid w:val="11625662"/>
    <w:rsid w:val="119B1FDC"/>
    <w:rsid w:val="13494BA2"/>
    <w:rsid w:val="137F4C8C"/>
    <w:rsid w:val="13C609E5"/>
    <w:rsid w:val="152662C1"/>
    <w:rsid w:val="17035AAC"/>
    <w:rsid w:val="17871E53"/>
    <w:rsid w:val="17AD0FA2"/>
    <w:rsid w:val="183D4A31"/>
    <w:rsid w:val="185C46A5"/>
    <w:rsid w:val="18B44828"/>
    <w:rsid w:val="19C07C84"/>
    <w:rsid w:val="19E41BC5"/>
    <w:rsid w:val="1A2B77F4"/>
    <w:rsid w:val="1B7E277B"/>
    <w:rsid w:val="1C390A42"/>
    <w:rsid w:val="1C626734"/>
    <w:rsid w:val="1D2C1BAC"/>
    <w:rsid w:val="1DA022A7"/>
    <w:rsid w:val="1E623BB3"/>
    <w:rsid w:val="1F505606"/>
    <w:rsid w:val="21BE5C4C"/>
    <w:rsid w:val="2358717F"/>
    <w:rsid w:val="23CD36CA"/>
    <w:rsid w:val="23E46C65"/>
    <w:rsid w:val="245C33CE"/>
    <w:rsid w:val="2628108B"/>
    <w:rsid w:val="26695200"/>
    <w:rsid w:val="26BD4622"/>
    <w:rsid w:val="27F9608D"/>
    <w:rsid w:val="287A1946"/>
    <w:rsid w:val="28E26C5C"/>
    <w:rsid w:val="294361DC"/>
    <w:rsid w:val="295126A7"/>
    <w:rsid w:val="2A2E267B"/>
    <w:rsid w:val="2AE20B2C"/>
    <w:rsid w:val="2B044F6A"/>
    <w:rsid w:val="2B343C48"/>
    <w:rsid w:val="2CF2314A"/>
    <w:rsid w:val="2E4D0A62"/>
    <w:rsid w:val="32E5730D"/>
    <w:rsid w:val="34393736"/>
    <w:rsid w:val="35021032"/>
    <w:rsid w:val="35D703D8"/>
    <w:rsid w:val="36883480"/>
    <w:rsid w:val="36BD2465"/>
    <w:rsid w:val="37661A13"/>
    <w:rsid w:val="395A55A8"/>
    <w:rsid w:val="3D2E4D81"/>
    <w:rsid w:val="3D503D0D"/>
    <w:rsid w:val="3DA77C15"/>
    <w:rsid w:val="3E135D25"/>
    <w:rsid w:val="3E246184"/>
    <w:rsid w:val="3F1C13FC"/>
    <w:rsid w:val="404030CE"/>
    <w:rsid w:val="404A32BB"/>
    <w:rsid w:val="404F3EE0"/>
    <w:rsid w:val="413D3C14"/>
    <w:rsid w:val="42FC5972"/>
    <w:rsid w:val="457E261E"/>
    <w:rsid w:val="46C82208"/>
    <w:rsid w:val="46DE1706"/>
    <w:rsid w:val="4D2717ED"/>
    <w:rsid w:val="50483F54"/>
    <w:rsid w:val="53116D53"/>
    <w:rsid w:val="55195EBF"/>
    <w:rsid w:val="557B26D6"/>
    <w:rsid w:val="55A02A52"/>
    <w:rsid w:val="56576C9F"/>
    <w:rsid w:val="57AF48B9"/>
    <w:rsid w:val="58DE6E1E"/>
    <w:rsid w:val="595272F3"/>
    <w:rsid w:val="5980650D"/>
    <w:rsid w:val="5AA402FA"/>
    <w:rsid w:val="5B013BE1"/>
    <w:rsid w:val="5B7F2653"/>
    <w:rsid w:val="5B90192A"/>
    <w:rsid w:val="5C1B076F"/>
    <w:rsid w:val="5C81619C"/>
    <w:rsid w:val="5DDA7E69"/>
    <w:rsid w:val="5DEC4171"/>
    <w:rsid w:val="5EA17E43"/>
    <w:rsid w:val="5F577D10"/>
    <w:rsid w:val="5FC52FAB"/>
    <w:rsid w:val="5FEB1D53"/>
    <w:rsid w:val="613125F5"/>
    <w:rsid w:val="6237327B"/>
    <w:rsid w:val="62C34ADC"/>
    <w:rsid w:val="64F85439"/>
    <w:rsid w:val="65150451"/>
    <w:rsid w:val="653603C7"/>
    <w:rsid w:val="6637243F"/>
    <w:rsid w:val="680D3662"/>
    <w:rsid w:val="6B1B6445"/>
    <w:rsid w:val="6E734749"/>
    <w:rsid w:val="6F902197"/>
    <w:rsid w:val="70FC4273"/>
    <w:rsid w:val="725C356A"/>
    <w:rsid w:val="72A11576"/>
    <w:rsid w:val="73062E82"/>
    <w:rsid w:val="73FF54E0"/>
    <w:rsid w:val="74AD2143"/>
    <w:rsid w:val="74BD01BD"/>
    <w:rsid w:val="75675427"/>
    <w:rsid w:val="7AEE3747"/>
    <w:rsid w:val="7C5F1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Calibri"/>
      <w:sz w:val="24"/>
      <w:szCs w:val="24"/>
      <w:lang w:val="en-US" w:eastAsia="en-US" w:bidi="ar-SA"/>
    </w:rPr>
  </w:style>
  <w:style w:type="paragraph" w:styleId="2">
    <w:name w:val="heading 1"/>
    <w:basedOn w:val="1"/>
    <w:next w:val="1"/>
    <w:qFormat/>
    <w:uiPriority w:val="9"/>
    <w:pPr>
      <w:keepNext/>
      <w:spacing w:before="240" w:after="60"/>
      <w:outlineLvl w:val="0"/>
    </w:pPr>
    <w:rPr>
      <w:b/>
      <w:sz w:val="28"/>
      <w:szCs w:val="28"/>
    </w:rPr>
  </w:style>
  <w:style w:type="paragraph" w:styleId="3">
    <w:name w:val="heading 2"/>
    <w:basedOn w:val="1"/>
    <w:next w:val="1"/>
    <w:semiHidden/>
    <w:unhideWhenUsed/>
    <w:qFormat/>
    <w:uiPriority w:val="9"/>
    <w:pPr>
      <w:keepNext/>
      <w:outlineLvl w:val="1"/>
    </w:pPr>
    <w:rPr>
      <w:b/>
    </w:rPr>
  </w:style>
  <w:style w:type="paragraph" w:styleId="4">
    <w:name w:val="heading 3"/>
    <w:basedOn w:val="1"/>
    <w:next w:val="1"/>
    <w:semiHidden/>
    <w:unhideWhenUsed/>
    <w:qFormat/>
    <w:uiPriority w:val="9"/>
    <w:pPr>
      <w:keepNext/>
      <w:keepLines/>
      <w:spacing w:before="200"/>
      <w:outlineLvl w:val="2"/>
    </w:pPr>
    <w:rPr>
      <w:rFonts w:ascii="Cambria" w:hAnsi="Cambria" w:eastAsia="Cambria" w:cs="Cambria"/>
      <w:b/>
      <w:color w:val="4F81BD"/>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8">
    <w:name w:val="annotation text"/>
    <w:basedOn w:val="1"/>
    <w:link w:val="26"/>
    <w:unhideWhenUsed/>
    <w:qFormat/>
    <w:uiPriority w:val="99"/>
    <w:rPr>
      <w:sz w:val="20"/>
      <w:szCs w:val="20"/>
    </w:rPr>
  </w:style>
  <w:style w:type="paragraph" w:styleId="9">
    <w:name w:val="Balloon Text"/>
    <w:basedOn w:val="1"/>
    <w:link w:val="37"/>
    <w:semiHidden/>
    <w:unhideWhenUsed/>
    <w:qFormat/>
    <w:uiPriority w:val="99"/>
    <w:rPr>
      <w:rFonts w:ascii="Segoe UI" w:hAnsi="Segoe UI" w:cs="Segoe UI"/>
      <w:sz w:val="18"/>
      <w:szCs w:val="18"/>
    </w:rPr>
  </w:style>
  <w:style w:type="paragraph" w:styleId="10">
    <w:name w:val="footer"/>
    <w:basedOn w:val="1"/>
    <w:link w:val="23"/>
    <w:unhideWhenUsed/>
    <w:qFormat/>
    <w:uiPriority w:val="99"/>
    <w:pPr>
      <w:tabs>
        <w:tab w:val="center" w:pos="4680"/>
        <w:tab w:val="right" w:pos="9360"/>
      </w:tabs>
    </w:pPr>
  </w:style>
  <w:style w:type="paragraph" w:styleId="11">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2">
    <w:name w:val="Normal (Web)"/>
    <w:basedOn w:val="1"/>
    <w:semiHidden/>
    <w:unhideWhenUsed/>
    <w:qFormat/>
    <w:uiPriority w:val="99"/>
    <w:pPr>
      <w:spacing w:beforeAutospacing="1" w:afterAutospacing="1"/>
      <w:jc w:val="left"/>
    </w:pPr>
    <w:rPr>
      <w:rFonts w:cs="Times New Roman"/>
      <w:lang w:eastAsia="zh-CN"/>
    </w:rPr>
  </w:style>
  <w:style w:type="paragraph" w:styleId="13">
    <w:name w:val="Title"/>
    <w:basedOn w:val="1"/>
    <w:next w:val="1"/>
    <w:qFormat/>
    <w:uiPriority w:val="10"/>
    <w:pPr>
      <w:keepNext/>
      <w:keepLines/>
      <w:spacing w:before="480" w:after="120"/>
    </w:pPr>
    <w:rPr>
      <w:b/>
      <w:sz w:val="72"/>
      <w:szCs w:val="72"/>
    </w:rPr>
  </w:style>
  <w:style w:type="paragraph" w:styleId="14">
    <w:name w:val="annotation subject"/>
    <w:basedOn w:val="8"/>
    <w:next w:val="8"/>
    <w:link w:val="27"/>
    <w:semiHidden/>
    <w:unhideWhenUsed/>
    <w:qFormat/>
    <w:uiPriority w:val="99"/>
    <w:rPr>
      <w:b/>
      <w:bCs/>
    </w:rPr>
  </w:style>
  <w:style w:type="character" w:styleId="17">
    <w:name w:val="Strong"/>
    <w:basedOn w:val="16"/>
    <w:qFormat/>
    <w:uiPriority w:val="22"/>
    <w:rPr>
      <w:b/>
    </w:rPr>
  </w:style>
  <w:style w:type="character" w:styleId="18">
    <w:name w:val="FollowedHyperlink"/>
    <w:basedOn w:val="16"/>
    <w:semiHidden/>
    <w:unhideWhenUsed/>
    <w:qFormat/>
    <w:uiPriority w:val="99"/>
    <w:rPr>
      <w:color w:val="800080" w:themeColor="followedHyperlink"/>
      <w:u w:val="single"/>
      <w14:textFill>
        <w14:solidFill>
          <w14:schemeClr w14:val="folHlink"/>
        </w14:solidFill>
      </w14:textFill>
    </w:rPr>
  </w:style>
  <w:style w:type="character" w:styleId="19">
    <w:name w:val="line number"/>
    <w:basedOn w:val="16"/>
    <w:semiHidden/>
    <w:unhideWhenUsed/>
    <w:qFormat/>
    <w:uiPriority w:val="99"/>
  </w:style>
  <w:style w:type="character" w:styleId="20">
    <w:name w:val="Hyperlink"/>
    <w:basedOn w:val="16"/>
    <w:unhideWhenUsed/>
    <w:qFormat/>
    <w:uiPriority w:val="99"/>
    <w:rPr>
      <w:color w:val="0000FF" w:themeColor="hyperlink"/>
      <w:u w:val="single"/>
      <w14:textFill>
        <w14:solidFill>
          <w14:schemeClr w14:val="hlink"/>
        </w14:solidFill>
      </w14:textFill>
    </w:rPr>
  </w:style>
  <w:style w:type="character" w:styleId="21">
    <w:name w:val="annotation reference"/>
    <w:basedOn w:val="16"/>
    <w:semiHidden/>
    <w:unhideWhenUsed/>
    <w:qFormat/>
    <w:uiPriority w:val="99"/>
    <w:rPr>
      <w:sz w:val="16"/>
      <w:szCs w:val="16"/>
    </w:rPr>
  </w:style>
  <w:style w:type="character" w:customStyle="1" w:styleId="22">
    <w:name w:val="未处理的提及1"/>
    <w:basedOn w:val="16"/>
    <w:semiHidden/>
    <w:unhideWhenUsed/>
    <w:qFormat/>
    <w:uiPriority w:val="99"/>
    <w:rPr>
      <w:color w:val="605E5C"/>
      <w:shd w:val="clear" w:color="auto" w:fill="E1DFDD"/>
    </w:rPr>
  </w:style>
  <w:style w:type="character" w:customStyle="1" w:styleId="23">
    <w:name w:val="Footer Char"/>
    <w:basedOn w:val="16"/>
    <w:link w:val="10"/>
    <w:qFormat/>
    <w:uiPriority w:val="99"/>
  </w:style>
  <w:style w:type="paragraph" w:customStyle="1" w:styleId="24">
    <w:name w:val="修订1"/>
    <w:hidden/>
    <w:semiHidden/>
    <w:qFormat/>
    <w:uiPriority w:val="99"/>
    <w:rPr>
      <w:rFonts w:ascii="Calibri" w:hAnsi="Calibri" w:eastAsia="Calibri" w:cs="Calibri"/>
      <w:sz w:val="24"/>
      <w:szCs w:val="24"/>
      <w:lang w:val="en-US" w:eastAsia="en-US" w:bidi="ar-SA"/>
    </w:rPr>
  </w:style>
  <w:style w:type="paragraph" w:styleId="25">
    <w:name w:val="List Paragraph"/>
    <w:basedOn w:val="1"/>
    <w:link w:val="35"/>
    <w:qFormat/>
    <w:uiPriority w:val="34"/>
    <w:pPr>
      <w:widowControl/>
      <w:spacing w:after="200" w:line="276" w:lineRule="auto"/>
      <w:ind w:left="720"/>
      <w:contextualSpacing/>
      <w:jc w:val="left"/>
    </w:pPr>
    <w:rPr>
      <w:rFonts w:asciiTheme="minorHAnsi" w:hAnsiTheme="minorHAnsi" w:eastAsiaTheme="minorHAnsi" w:cstheme="minorBidi"/>
      <w:sz w:val="22"/>
      <w:szCs w:val="22"/>
    </w:rPr>
  </w:style>
  <w:style w:type="character" w:customStyle="1" w:styleId="26">
    <w:name w:val="Comment Text Char"/>
    <w:basedOn w:val="16"/>
    <w:link w:val="8"/>
    <w:qFormat/>
    <w:uiPriority w:val="99"/>
    <w:rPr>
      <w:sz w:val="20"/>
      <w:szCs w:val="20"/>
    </w:rPr>
  </w:style>
  <w:style w:type="character" w:customStyle="1" w:styleId="27">
    <w:name w:val="Comment Subject Char"/>
    <w:basedOn w:val="26"/>
    <w:link w:val="14"/>
    <w:semiHidden/>
    <w:qFormat/>
    <w:uiPriority w:val="99"/>
    <w:rPr>
      <w:b/>
      <w:bCs/>
      <w:sz w:val="20"/>
      <w:szCs w:val="20"/>
    </w:rPr>
  </w:style>
  <w:style w:type="character" w:customStyle="1" w:styleId="28">
    <w:name w:val="cf01"/>
    <w:basedOn w:val="16"/>
    <w:qFormat/>
    <w:uiPriority w:val="0"/>
    <w:rPr>
      <w:rFonts w:hint="default" w:ascii="Segoe UI" w:hAnsi="Segoe UI" w:cs="Segoe UI"/>
      <w:sz w:val="18"/>
      <w:szCs w:val="18"/>
    </w:rPr>
  </w:style>
  <w:style w:type="paragraph" w:customStyle="1" w:styleId="29">
    <w:name w:val="EndNote Bibliography Title"/>
    <w:basedOn w:val="1"/>
    <w:link w:val="30"/>
    <w:qFormat/>
    <w:uiPriority w:val="0"/>
    <w:pPr>
      <w:jc w:val="center"/>
    </w:pPr>
  </w:style>
  <w:style w:type="character" w:customStyle="1" w:styleId="30">
    <w:name w:val="EndNote Bibliography Title 字符"/>
    <w:basedOn w:val="16"/>
    <w:link w:val="29"/>
    <w:qFormat/>
    <w:uiPriority w:val="0"/>
    <w:rPr>
      <w:rFonts w:ascii="Calibri" w:hAnsi="Calibri" w:eastAsia="Calibri" w:cs="Calibri"/>
      <w:sz w:val="24"/>
      <w:szCs w:val="24"/>
      <w:lang w:eastAsia="en-US"/>
    </w:rPr>
  </w:style>
  <w:style w:type="paragraph" w:customStyle="1" w:styleId="31">
    <w:name w:val="EndNote Bibliography"/>
    <w:basedOn w:val="1"/>
    <w:link w:val="32"/>
    <w:qFormat/>
    <w:uiPriority w:val="0"/>
  </w:style>
  <w:style w:type="character" w:customStyle="1" w:styleId="32">
    <w:name w:val="EndNote Bibliography 字符"/>
    <w:basedOn w:val="16"/>
    <w:link w:val="31"/>
    <w:qFormat/>
    <w:uiPriority w:val="0"/>
    <w:rPr>
      <w:rFonts w:ascii="Calibri" w:hAnsi="Calibri" w:eastAsia="Calibri" w:cs="Calibri"/>
      <w:sz w:val="24"/>
      <w:szCs w:val="24"/>
      <w:lang w:eastAsia="en-US"/>
    </w:rPr>
  </w:style>
  <w:style w:type="character" w:customStyle="1" w:styleId="33">
    <w:name w:val="未处理的提及2"/>
    <w:basedOn w:val="16"/>
    <w:semiHidden/>
    <w:unhideWhenUsed/>
    <w:qFormat/>
    <w:uiPriority w:val="99"/>
    <w:rPr>
      <w:color w:val="605E5C"/>
      <w:shd w:val="clear" w:color="auto" w:fill="E1DFDD"/>
    </w:rPr>
  </w:style>
  <w:style w:type="paragraph" w:customStyle="1" w:styleId="34">
    <w:name w:val="修订2"/>
    <w:hidden/>
    <w:unhideWhenUsed/>
    <w:qFormat/>
    <w:uiPriority w:val="99"/>
    <w:rPr>
      <w:rFonts w:ascii="Calibri" w:hAnsi="Calibri" w:eastAsia="Calibri" w:cs="Calibri"/>
      <w:sz w:val="24"/>
      <w:szCs w:val="24"/>
      <w:lang w:val="en-US" w:eastAsia="en-US" w:bidi="ar-SA"/>
    </w:rPr>
  </w:style>
  <w:style w:type="character" w:customStyle="1" w:styleId="35">
    <w:name w:val="List Paragraph Char"/>
    <w:basedOn w:val="16"/>
    <w:link w:val="25"/>
    <w:qFormat/>
    <w:uiPriority w:val="34"/>
    <w:rPr>
      <w:rFonts w:asciiTheme="minorHAnsi" w:hAnsiTheme="minorHAnsi" w:eastAsiaTheme="minorHAnsi" w:cstheme="minorBidi"/>
      <w:sz w:val="22"/>
      <w:szCs w:val="22"/>
      <w:lang w:val="en-US" w:eastAsia="en-US"/>
    </w:rPr>
  </w:style>
  <w:style w:type="character" w:customStyle="1" w:styleId="36">
    <w:name w:val="未处理的提及3"/>
    <w:basedOn w:val="16"/>
    <w:semiHidden/>
    <w:unhideWhenUsed/>
    <w:qFormat/>
    <w:uiPriority w:val="99"/>
    <w:rPr>
      <w:color w:val="605E5C"/>
      <w:shd w:val="clear" w:color="auto" w:fill="E1DFDD"/>
    </w:rPr>
  </w:style>
  <w:style w:type="character" w:customStyle="1" w:styleId="37">
    <w:name w:val="Balloon Text Char"/>
    <w:basedOn w:val="16"/>
    <w:link w:val="9"/>
    <w:semiHidden/>
    <w:qFormat/>
    <w:uiPriority w:val="99"/>
    <w:rPr>
      <w:rFonts w:ascii="Segoe UI" w:hAnsi="Segoe UI" w:eastAsia="Calibri" w:cs="Segoe UI"/>
      <w:sz w:val="18"/>
      <w:szCs w:val="18"/>
      <w:lang w:val="en-US" w:eastAsia="en-US"/>
    </w:rPr>
  </w:style>
  <w:style w:type="character" w:customStyle="1" w:styleId="38">
    <w:name w:val="Unresolved Mention"/>
    <w:basedOn w:val="16"/>
    <w:semiHidden/>
    <w:unhideWhenUsed/>
    <w:uiPriority w:val="99"/>
    <w:rPr>
      <w:color w:val="605E5C"/>
      <w:shd w:val="clear" w:color="auto" w:fill="E1DFDD"/>
    </w:rPr>
  </w:style>
  <w:style w:type="character" w:customStyle="1" w:styleId="39">
    <w:name w:val="overflow-hidden"/>
    <w:basedOn w:val="16"/>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E46A6-B8B9-4A94-9B71-A6EB3D2CDB71}">
  <ds:schemaRefs/>
</ds:datastoreItem>
</file>

<file path=docProps/app.xml><?xml version="1.0" encoding="utf-8"?>
<Properties xmlns="http://schemas.openxmlformats.org/officeDocument/2006/extended-properties" xmlns:vt="http://schemas.openxmlformats.org/officeDocument/2006/docPropsVTypes">
  <Template>Normal</Template>
  <Pages>14</Pages>
  <Words>5035</Words>
  <Characters>29519</Characters>
  <Lines>249</Lines>
  <Paragraphs>69</Paragraphs>
  <TotalTime>25</TotalTime>
  <ScaleCrop>false</ScaleCrop>
  <LinksUpToDate>false</LinksUpToDate>
  <CharactersWithSpaces>34491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2025-05-20T19:07:00Z</dcterms:created>
  <dcterms:modified xsi:type="dcterms:W3CDTF">2025-05-23T12:12:00Z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KSOTemplateDocerSaveRecord">
    <vt:lpwstr>eyJoZGlkIjoiYmExYmY2OGRiZTYzMTc1YTRlYTQxY2FkMDc2ODY5ZDYiLCJ1c2VySWQiOiIzMDk0MTYyMzUifQ==</vt:lpwstr>
  </property>
  <property fmtid="{D5CDD505-2E9C-101B-9397-08002B2CF9AE}" pid="4" name="KSOProductBuildVer">
    <vt:lpwstr>2052-12.1.0.21171</vt:lpwstr>
  </property>
  <property fmtid="{D5CDD505-2E9C-101B-9397-08002B2CF9AE}" pid="5" name="ICV">
    <vt:lpwstr>8052AD0BF3A14188A84D4647CBF60A6B_13</vt:lpwstr>
  </property>
</Properties>
</file>