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3BC6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1099D">
        <w:rPr>
          <w:rFonts w:eastAsia="Times New Roman" w:cstheme="minorHAnsi"/>
          <w:b/>
        </w:rPr>
        <w:t>68219</w:t>
      </w:r>
    </w:p>
    <w:p w14:paraId="2F6924E5" w14:textId="3AE84D3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99D">
        <w:rPr>
          <w:rFonts w:eastAsia="Times New Roman" w:cstheme="minorHAnsi"/>
          <w:b/>
        </w:rPr>
        <w:t>Poornima G</w:t>
      </w:r>
    </w:p>
    <w:p w14:paraId="6FB9233B" w14:textId="158026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672B1" w:rsidRPr="005065BD">
          <w:rPr>
            <w:rStyle w:val="Hyperlink"/>
            <w:rFonts w:eastAsia="Times New Roman" w:cstheme="minorHAnsi"/>
            <w:b/>
          </w:rPr>
          <w:t>https://review.jove.com/account/file-uploader?src=20806843</w:t>
        </w:r>
      </w:hyperlink>
      <w:r w:rsidR="00B672B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8A4F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099D" w:rsidRPr="00F1099D">
        <w:rPr>
          <w:rStyle w:val="ArticleTitle"/>
          <w:rFonts w:cstheme="minorHAnsi"/>
        </w:rPr>
        <w:t>Rapid Detection of Fecal Antigen of Helicobacter pylori Infection Based on Double Antibody Sandwich Detection Technology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98B1C65" w14:textId="4E953900" w:rsidR="00F1099D" w:rsidRPr="00F1099D" w:rsidRDefault="00F1099D" w:rsidP="00F1099D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F1099D">
        <w:rPr>
          <w:rFonts w:eastAsia="Times New Roman" w:cstheme="minorHAnsi"/>
          <w:b/>
          <w:sz w:val="28"/>
          <w:szCs w:val="28"/>
        </w:rPr>
        <w:t>Xiuxian</w:t>
      </w:r>
      <w:proofErr w:type="spellEnd"/>
      <w:r w:rsidRPr="00F1099D">
        <w:rPr>
          <w:rFonts w:eastAsia="Times New Roman" w:cstheme="minorHAnsi"/>
          <w:b/>
          <w:sz w:val="28"/>
          <w:szCs w:val="28"/>
        </w:rPr>
        <w:t xml:space="preserve"> Chen</w:t>
      </w:r>
      <w:r w:rsidRPr="00F1099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F109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99D">
        <w:rPr>
          <w:rFonts w:eastAsia="Times New Roman" w:cstheme="minorHAnsi"/>
          <w:b/>
          <w:sz w:val="28"/>
          <w:szCs w:val="28"/>
        </w:rPr>
        <w:t>Caiping</w:t>
      </w:r>
      <w:proofErr w:type="spellEnd"/>
      <w:r w:rsidRPr="00F1099D">
        <w:rPr>
          <w:rFonts w:eastAsia="Times New Roman" w:cstheme="minorHAnsi"/>
          <w:b/>
          <w:sz w:val="28"/>
          <w:szCs w:val="28"/>
        </w:rPr>
        <w:t xml:space="preserve"> Gong</w:t>
      </w:r>
      <w:r w:rsidRPr="00F1099D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F1099D">
        <w:rPr>
          <w:rFonts w:eastAsia="Times New Roman" w:cstheme="minorHAnsi"/>
          <w:b/>
          <w:sz w:val="28"/>
          <w:szCs w:val="28"/>
        </w:rPr>
        <w:t>, X</w:t>
      </w:r>
      <w:proofErr w:type="spellStart"/>
      <w:r w:rsidRPr="00F1099D">
        <w:rPr>
          <w:rFonts w:eastAsia="Times New Roman" w:cstheme="minorHAnsi"/>
          <w:b/>
          <w:sz w:val="28"/>
          <w:szCs w:val="28"/>
        </w:rPr>
        <w:t>iaoxiao</w:t>
      </w:r>
      <w:proofErr w:type="spellEnd"/>
      <w:r w:rsidRPr="00F1099D">
        <w:rPr>
          <w:rFonts w:eastAsia="Times New Roman" w:cstheme="minorHAnsi"/>
          <w:b/>
          <w:sz w:val="28"/>
          <w:szCs w:val="28"/>
        </w:rPr>
        <w:t xml:space="preserve"> Wang, Ziyan Li, X</w:t>
      </w:r>
      <w:proofErr w:type="spellStart"/>
      <w:r w:rsidRPr="00F1099D">
        <w:rPr>
          <w:rFonts w:eastAsia="Times New Roman" w:cstheme="minorHAnsi"/>
          <w:b/>
          <w:sz w:val="28"/>
          <w:szCs w:val="28"/>
        </w:rPr>
        <w:t>iaozhen</w:t>
      </w:r>
      <w:proofErr w:type="spellEnd"/>
      <w:r w:rsidRPr="00F1099D">
        <w:rPr>
          <w:rFonts w:eastAsia="Times New Roman" w:cstheme="minorHAnsi"/>
          <w:b/>
          <w:sz w:val="28"/>
          <w:szCs w:val="28"/>
        </w:rPr>
        <w:t xml:space="preserve"> Jiang, </w:t>
      </w:r>
      <w:proofErr w:type="spellStart"/>
      <w:r w:rsidRPr="00F1099D">
        <w:rPr>
          <w:rFonts w:eastAsia="Times New Roman" w:cstheme="minorHAnsi"/>
          <w:b/>
          <w:sz w:val="28"/>
          <w:szCs w:val="28"/>
        </w:rPr>
        <w:t>Jinxin</w:t>
      </w:r>
      <w:proofErr w:type="spellEnd"/>
      <w:r w:rsidRPr="00F1099D">
        <w:rPr>
          <w:rFonts w:eastAsia="Times New Roman" w:cstheme="minorHAnsi"/>
          <w:b/>
          <w:sz w:val="28"/>
          <w:szCs w:val="28"/>
        </w:rPr>
        <w:t xml:space="preserve"> Lai, Yanfei Luo </w:t>
      </w:r>
    </w:p>
    <w:p w14:paraId="48CD3950" w14:textId="77777777" w:rsidR="00F1099D" w:rsidRPr="00F1099D" w:rsidRDefault="00F1099D" w:rsidP="00F1099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8EA6F2A" w14:textId="77777777" w:rsidR="00F1099D" w:rsidRPr="00F1099D" w:rsidRDefault="00F1099D" w:rsidP="00F1099D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5E6792E" w:rsidR="00D6314B" w:rsidRPr="00F1099D" w:rsidRDefault="00F1099D" w:rsidP="00F1099D">
      <w:pPr>
        <w:outlineLvl w:val="0"/>
        <w:rPr>
          <w:rFonts w:eastAsia="Times New Roman" w:cstheme="minorHAnsi"/>
          <w:bCs/>
          <w:sz w:val="28"/>
          <w:szCs w:val="28"/>
        </w:rPr>
      </w:pPr>
      <w:r w:rsidRPr="00F1099D">
        <w:rPr>
          <w:rFonts w:eastAsia="Times New Roman" w:cstheme="minorHAnsi"/>
          <w:bCs/>
          <w:sz w:val="28"/>
          <w:szCs w:val="28"/>
        </w:rPr>
        <w:t>Laboratory Medicine, Guangdong Provincial People’s Hospital (Guangdong Academy of Medical Sciences), Southern Medical University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883692" w14:textId="5A611110" w:rsidR="00F1099D" w:rsidRPr="00F1099D" w:rsidRDefault="00F1099D" w:rsidP="00F1099D">
      <w:pPr>
        <w:outlineLvl w:val="0"/>
        <w:rPr>
          <w:rFonts w:eastAsia="Times New Roman" w:cstheme="minorHAnsi"/>
          <w:bCs/>
          <w:sz w:val="28"/>
          <w:szCs w:val="28"/>
        </w:rPr>
      </w:pPr>
      <w:r w:rsidRPr="00F1099D">
        <w:rPr>
          <w:rFonts w:eastAsia="Times New Roman" w:cstheme="minorHAnsi"/>
          <w:bCs/>
          <w:sz w:val="28"/>
          <w:szCs w:val="28"/>
          <w:vertAlign w:val="superscript"/>
        </w:rPr>
        <w:t>#</w:t>
      </w:r>
      <w:r w:rsidRPr="00F1099D">
        <w:rPr>
          <w:rFonts w:eastAsia="Times New Roman" w:cstheme="minorHAnsi"/>
          <w:bCs/>
          <w:sz w:val="28"/>
          <w:szCs w:val="28"/>
        </w:rPr>
        <w:t>These authors c</w:t>
      </w:r>
      <w:r w:rsidRPr="00F1099D">
        <w:rPr>
          <w:rFonts w:eastAsia="Times New Roman" w:cstheme="minorHAnsi"/>
          <w:bCs/>
          <w:sz w:val="28"/>
          <w:szCs w:val="28"/>
        </w:rPr>
        <w:t>ontributed equally</w:t>
      </w:r>
    </w:p>
    <w:p w14:paraId="40A15D61" w14:textId="77777777" w:rsidR="00F1099D" w:rsidRPr="00B07A3B" w:rsidRDefault="00F1099D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4F75C38" w:rsidR="004E0C5A" w:rsidRDefault="00F1099D" w:rsidP="004E0C5A">
      <w:pPr>
        <w:outlineLvl w:val="0"/>
        <w:rPr>
          <w:rFonts w:eastAsia="Times New Roman" w:cstheme="minorHAnsi"/>
        </w:rPr>
      </w:pPr>
      <w:bookmarkStart w:id="0" w:name="_Hlk25233958"/>
      <w:r w:rsidRPr="00F1099D">
        <w:rPr>
          <w:rFonts w:eastAsia="Times New Roman" w:cstheme="minorHAnsi"/>
        </w:rPr>
        <w:t>Yanfei Luo</w:t>
      </w:r>
      <w:r w:rsidRPr="00F1099D">
        <w:rPr>
          <w:rFonts w:eastAsia="Times New Roman" w:cstheme="minorHAnsi"/>
        </w:rPr>
        <w:tab/>
      </w:r>
      <w:r w:rsidRPr="00F1099D">
        <w:rPr>
          <w:rFonts w:eastAsia="Times New Roman" w:cstheme="minorHAnsi"/>
        </w:rPr>
        <w:tab/>
      </w:r>
      <w:r w:rsidRPr="00F1099D">
        <w:rPr>
          <w:rFonts w:eastAsia="Times New Roman" w:cstheme="minorHAnsi"/>
        </w:rPr>
        <w:tab/>
      </w:r>
      <w:r w:rsidRPr="00F1099D">
        <w:rPr>
          <w:rFonts w:eastAsia="Times New Roman" w:cstheme="minorHAnsi"/>
        </w:rPr>
        <w:tab/>
      </w:r>
      <w:r w:rsidRPr="00F1099D">
        <w:rPr>
          <w:rFonts w:eastAsia="Times New Roman" w:cstheme="minorHAnsi"/>
        </w:rPr>
        <w:tab/>
        <w:t>13544596975@163.com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F2E73B4" w14:textId="77777777" w:rsidR="00F1099D" w:rsidRPr="00F1099D" w:rsidRDefault="00F1099D" w:rsidP="00F1099D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 w:rsidRPr="00F1099D">
        <w:rPr>
          <w:rFonts w:ascii="Calibri" w:eastAsia="Calibri" w:hAnsi="Calibri" w:cs="Calibri"/>
          <w:color w:val="auto"/>
          <w:lang w:eastAsia="zh-CN"/>
        </w:rPr>
        <w:t>Xiuxian</w:t>
      </w:r>
      <w:proofErr w:type="spellEnd"/>
      <w:r w:rsidRPr="00F1099D">
        <w:rPr>
          <w:rFonts w:ascii="Calibri" w:eastAsia="Calibri" w:hAnsi="Calibri" w:cs="Calibri"/>
          <w:color w:val="auto"/>
          <w:lang w:eastAsia="zh-CN"/>
        </w:rPr>
        <w:t xml:space="preserve"> Chen</w:t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  <w:t>157292285@qq.com</w:t>
      </w:r>
    </w:p>
    <w:p w14:paraId="4419AA7D" w14:textId="77777777" w:rsidR="00F1099D" w:rsidRPr="00F1099D" w:rsidRDefault="00F1099D" w:rsidP="00F1099D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 w:rsidRPr="00F1099D">
        <w:rPr>
          <w:rFonts w:ascii="Calibri" w:eastAsia="Calibri" w:hAnsi="Calibri" w:cs="Calibri"/>
          <w:color w:val="auto"/>
          <w:lang w:eastAsia="zh-CN"/>
        </w:rPr>
        <w:t>Caiping</w:t>
      </w:r>
      <w:proofErr w:type="spellEnd"/>
      <w:r w:rsidRPr="00F1099D">
        <w:rPr>
          <w:rFonts w:ascii="Calibri" w:eastAsia="Calibri" w:hAnsi="Calibri" w:cs="Calibri"/>
          <w:color w:val="auto"/>
          <w:lang w:eastAsia="zh-CN"/>
        </w:rPr>
        <w:t xml:space="preserve"> Gong</w:t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  <w:t>caipinggong@163.com</w:t>
      </w:r>
    </w:p>
    <w:p w14:paraId="27AE5F0B" w14:textId="77777777" w:rsidR="00F1099D" w:rsidRPr="00F1099D" w:rsidRDefault="00F1099D" w:rsidP="00F1099D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 w:rsidRPr="00F1099D">
        <w:rPr>
          <w:rFonts w:ascii="Calibri" w:eastAsia="Calibri" w:hAnsi="Calibri" w:cs="Calibri"/>
          <w:color w:val="auto"/>
          <w:lang w:eastAsia="zh-CN"/>
        </w:rPr>
        <w:t>Xiaoxiao</w:t>
      </w:r>
      <w:proofErr w:type="spellEnd"/>
      <w:r w:rsidRPr="00F1099D">
        <w:rPr>
          <w:rFonts w:ascii="Calibri" w:eastAsia="Calibri" w:hAnsi="Calibri" w:cs="Calibri"/>
          <w:color w:val="auto"/>
          <w:lang w:eastAsia="zh-CN"/>
        </w:rPr>
        <w:t xml:space="preserve"> Wang</w:t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SimSun" w:hAnsi="Calibri" w:cs="Calibri"/>
          <w:color w:val="auto"/>
          <w:lang w:eastAsia="zh-CN"/>
        </w:rPr>
        <w:t>916092097@qq.com</w:t>
      </w:r>
    </w:p>
    <w:p w14:paraId="6780F678" w14:textId="77777777" w:rsidR="00F1099D" w:rsidRPr="00F1099D" w:rsidRDefault="00F1099D" w:rsidP="00F1099D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 w:rsidRPr="00F1099D">
        <w:rPr>
          <w:rFonts w:ascii="Calibri" w:eastAsia="Calibri" w:hAnsi="Calibri" w:cs="Calibri"/>
          <w:color w:val="auto"/>
          <w:lang w:eastAsia="zh-CN"/>
        </w:rPr>
        <w:t>Ziyan Li</w:t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  <w:t>liziyan19970610@163.com</w:t>
      </w:r>
    </w:p>
    <w:p w14:paraId="597C52C0" w14:textId="77777777" w:rsidR="00F1099D" w:rsidRPr="00F1099D" w:rsidRDefault="00F1099D" w:rsidP="00F1099D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 w:rsidRPr="00F1099D">
        <w:rPr>
          <w:rFonts w:ascii="Calibri" w:eastAsia="Calibri" w:hAnsi="Calibri" w:cs="Calibri"/>
          <w:color w:val="auto"/>
          <w:lang w:eastAsia="zh-CN"/>
        </w:rPr>
        <w:t>Xiaozhen</w:t>
      </w:r>
      <w:proofErr w:type="spellEnd"/>
      <w:r w:rsidRPr="00F1099D">
        <w:rPr>
          <w:rFonts w:ascii="Calibri" w:eastAsia="Calibri" w:hAnsi="Calibri" w:cs="Calibri"/>
          <w:color w:val="auto"/>
          <w:lang w:eastAsia="zh-CN"/>
        </w:rPr>
        <w:t xml:space="preserve"> Jiang</w:t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</w:r>
      <w:r w:rsidRPr="00F1099D">
        <w:rPr>
          <w:rFonts w:ascii="Calibri" w:eastAsia="Calibri" w:hAnsi="Calibri" w:cs="Calibri"/>
          <w:color w:val="auto"/>
          <w:lang w:eastAsia="zh-CN"/>
        </w:rPr>
        <w:tab/>
        <w:t>jiangxiaozhen@gdph.org.cn</w:t>
      </w:r>
    </w:p>
    <w:p w14:paraId="117F84F1" w14:textId="77777777" w:rsidR="00F1099D" w:rsidRPr="00F1099D" w:rsidRDefault="00F1099D" w:rsidP="00F1099D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 w:rsidRPr="00F1099D">
        <w:rPr>
          <w:rFonts w:ascii="Calibri" w:eastAsia="Calibri" w:hAnsi="Calibri" w:cs="Calibri"/>
          <w:color w:val="auto"/>
          <w:lang w:eastAsia="zh-CN"/>
        </w:rPr>
        <w:t>Jinxin</w:t>
      </w:r>
      <w:proofErr w:type="spellEnd"/>
      <w:r w:rsidRPr="00F1099D">
        <w:rPr>
          <w:rFonts w:ascii="Calibri" w:eastAsia="Calibri" w:hAnsi="Calibri" w:cs="Calibri"/>
          <w:color w:val="auto"/>
          <w:lang w:eastAsia="zh-CN"/>
        </w:rPr>
        <w:t xml:space="preserve"> Lai                                                                laijinxin@gdph.org.cn</w:t>
      </w:r>
    </w:p>
    <w:p w14:paraId="15D8965E" w14:textId="77777777" w:rsidR="00F1099D" w:rsidRPr="00F1099D" w:rsidRDefault="00F1099D" w:rsidP="00F1099D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F1099D">
        <w:rPr>
          <w:rFonts w:ascii="Calibri" w:eastAsia="SimSun" w:hAnsi="Calibri" w:cs="Calibri"/>
          <w:color w:val="auto"/>
          <w:lang w:eastAsia="zh-CN"/>
        </w:rPr>
        <w:t>Yanfei Luo</w:t>
      </w:r>
      <w:r w:rsidRPr="00F1099D">
        <w:rPr>
          <w:rFonts w:ascii="Calibri" w:eastAsia="SimSun" w:hAnsi="Calibri" w:cs="Calibri"/>
          <w:color w:val="auto"/>
          <w:lang w:eastAsia="zh-CN"/>
        </w:rPr>
        <w:tab/>
      </w:r>
      <w:r w:rsidRPr="00F1099D">
        <w:rPr>
          <w:rFonts w:ascii="Calibri" w:eastAsia="SimSun" w:hAnsi="Calibri" w:cs="Calibri"/>
          <w:color w:val="auto"/>
          <w:lang w:eastAsia="zh-CN"/>
        </w:rPr>
        <w:tab/>
      </w:r>
      <w:r w:rsidRPr="00F1099D">
        <w:rPr>
          <w:rFonts w:ascii="Calibri" w:eastAsia="SimSun" w:hAnsi="Calibri" w:cs="Calibri"/>
          <w:color w:val="auto"/>
          <w:lang w:eastAsia="zh-CN"/>
        </w:rPr>
        <w:tab/>
      </w:r>
      <w:r w:rsidRPr="00F1099D">
        <w:rPr>
          <w:rFonts w:ascii="Calibri" w:eastAsia="SimSun" w:hAnsi="Calibri" w:cs="Calibri"/>
          <w:color w:val="auto"/>
          <w:lang w:eastAsia="zh-CN"/>
        </w:rPr>
        <w:tab/>
      </w:r>
      <w:r w:rsidRPr="00F1099D">
        <w:rPr>
          <w:rFonts w:ascii="Calibri" w:eastAsia="SimSun" w:hAnsi="Calibri" w:cs="Calibri"/>
          <w:color w:val="auto"/>
          <w:lang w:eastAsia="zh-CN"/>
        </w:rPr>
        <w:tab/>
        <w:t>13544596975@163.com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8254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672B1">
        <w:rPr>
          <w:rFonts w:cstheme="minorHAnsi"/>
          <w:bCs/>
          <w:sz w:val="22"/>
          <w:szCs w:val="22"/>
        </w:rPr>
        <w:t>8</w:t>
      </w:r>
      <w:proofErr w:type="gramEnd"/>
    </w:p>
    <w:p w14:paraId="5AAC9C6C" w14:textId="722293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099D">
        <w:rPr>
          <w:rFonts w:cstheme="minorHAnsi"/>
          <w:bCs/>
          <w:sz w:val="22"/>
          <w:szCs w:val="22"/>
        </w:rPr>
        <w:t>14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4CADD23" w:rsidR="00A13CC3" w:rsidRDefault="00FF25E5" w:rsidP="00B672B1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B672B1" w:rsidRPr="00B672B1">
        <w:rPr>
          <w:rFonts w:eastAsia="Times New Roman" w:cstheme="minorHAnsi"/>
        </w:rPr>
        <w:t xml:space="preserve">Ethics Committee of Guangdong Provincial People's Hospital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0B27738" w:rsidR="00CE10F2" w:rsidRPr="00F1099D" w:rsidRDefault="00F1099D" w:rsidP="00223C8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099D">
        <w:rPr>
          <w:rFonts w:cstheme="minorHAnsi"/>
          <w:b/>
          <w:bCs/>
        </w:rPr>
        <w:t xml:space="preserve">Procedure for fecal </w:t>
      </w:r>
      <w:r w:rsidRPr="00F1099D">
        <w:rPr>
          <w:rFonts w:cstheme="minorHAnsi"/>
          <w:b/>
          <w:bCs/>
          <w:i/>
          <w:iCs/>
        </w:rPr>
        <w:t>H. pylori</w:t>
      </w:r>
      <w:r w:rsidRPr="00F1099D">
        <w:rPr>
          <w:rFonts w:cstheme="minorHAnsi"/>
          <w:b/>
          <w:bCs/>
        </w:rPr>
        <w:t xml:space="preserve"> infection antigen detection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6A241AC" w14:textId="38388C89" w:rsidR="0024355D" w:rsidRDefault="00F47D4D" w:rsidP="0024355D">
      <w:pPr>
        <w:pStyle w:val="Narration"/>
        <w:numPr>
          <w:ilvl w:val="1"/>
          <w:numId w:val="3"/>
        </w:numPr>
      </w:pPr>
      <w:r>
        <w:t xml:space="preserve">To begin, obtain the fecal </w:t>
      </w:r>
      <w:r w:rsidR="0024355D">
        <w:t xml:space="preserve">sample collection container </w:t>
      </w:r>
      <w:r>
        <w:t>and</w:t>
      </w:r>
      <w:r w:rsidR="0024355D">
        <w:t xml:space="preserve"> retrieve the sampling rod </w:t>
      </w:r>
      <w:r w:rsidR="0024355D">
        <w:rPr>
          <w:b/>
        </w:rPr>
        <w:t>[1]</w:t>
      </w:r>
      <w:r w:rsidR="0024355D">
        <w:t>.</w:t>
      </w:r>
    </w:p>
    <w:p w14:paraId="2E669750" w14:textId="2C68A353" w:rsidR="0024355D" w:rsidRDefault="00F47D4D" w:rsidP="0024355D">
      <w:pPr>
        <w:pStyle w:val="ShotDescription"/>
        <w:numPr>
          <w:ilvl w:val="2"/>
          <w:numId w:val="3"/>
        </w:numPr>
      </w:pPr>
      <w:r>
        <w:t xml:space="preserve">WIDE: </w:t>
      </w:r>
      <w:r w:rsidR="0024355D">
        <w:t xml:space="preserve">Talent unscrewing the lid of a stool collection container </w:t>
      </w:r>
      <w:r>
        <w:t xml:space="preserve">and </w:t>
      </w:r>
      <w:proofErr w:type="gramStart"/>
      <w:r>
        <w:t>retrieving</w:t>
      </w:r>
      <w:r w:rsidR="0024355D">
        <w:t xml:space="preserve">  the</w:t>
      </w:r>
      <w:proofErr w:type="gramEnd"/>
      <w:r w:rsidR="0024355D">
        <w:t xml:space="preserve"> sampling rod.</w:t>
      </w:r>
    </w:p>
    <w:p w14:paraId="30C7AFA8" w14:textId="77777777" w:rsidR="0024355D" w:rsidRDefault="0024355D" w:rsidP="0024355D"/>
    <w:p w14:paraId="77AA8077" w14:textId="48941474" w:rsidR="0024355D" w:rsidRDefault="0024355D" w:rsidP="004F5F86">
      <w:pPr>
        <w:pStyle w:val="Narration"/>
        <w:numPr>
          <w:ilvl w:val="1"/>
          <w:numId w:val="3"/>
        </w:numPr>
      </w:pPr>
      <w:r>
        <w:t xml:space="preserve">Insert the sampling rod into five different areas of the stool, ensuring that the threaded end is fully submerged in each position </w:t>
      </w:r>
      <w:r>
        <w:rPr>
          <w:b/>
        </w:rPr>
        <w:t>[1]</w:t>
      </w:r>
      <w:r>
        <w:t>.</w:t>
      </w:r>
      <w:r w:rsidR="004F5F86">
        <w:t xml:space="preserve"> </w:t>
      </w:r>
      <w:r w:rsidR="004F5F86">
        <w:t xml:space="preserve">After sampling is complete, insert the sampling rod back into the reagent tube, ensuring the total collected sample volume is approximately 5 to 50 milligrams </w:t>
      </w:r>
      <w:r w:rsidR="004F5F86">
        <w:rPr>
          <w:b/>
        </w:rPr>
        <w:t>[</w:t>
      </w:r>
      <w:r w:rsidR="004F5F86">
        <w:rPr>
          <w:b/>
        </w:rPr>
        <w:t>2</w:t>
      </w:r>
      <w:r w:rsidR="004F5F86">
        <w:rPr>
          <w:b/>
        </w:rPr>
        <w:t>]</w:t>
      </w:r>
      <w:r w:rsidR="004F5F86">
        <w:t>.</w:t>
      </w:r>
    </w:p>
    <w:p w14:paraId="5F83C71A" w14:textId="39446A9E" w:rsidR="0024355D" w:rsidRDefault="0024355D" w:rsidP="0024355D">
      <w:pPr>
        <w:pStyle w:val="ShotDescription"/>
        <w:numPr>
          <w:ilvl w:val="2"/>
          <w:numId w:val="3"/>
        </w:numPr>
      </w:pPr>
      <w:r>
        <w:t xml:space="preserve">Talent holding the rod and </w:t>
      </w:r>
      <w:r w:rsidR="00F47D4D">
        <w:t>inserting it into the</w:t>
      </w:r>
      <w:r>
        <w:t xml:space="preserve"> stool.</w:t>
      </w:r>
    </w:p>
    <w:p w14:paraId="2782A208" w14:textId="77777777" w:rsidR="0024355D" w:rsidRDefault="0024355D" w:rsidP="0024355D">
      <w:pPr>
        <w:pStyle w:val="ShotDescription"/>
        <w:numPr>
          <w:ilvl w:val="2"/>
          <w:numId w:val="3"/>
        </w:numPr>
      </w:pPr>
      <w:r>
        <w:t>Talent carefully returning the sampling rod into the reagent tube and sealing it.</w:t>
      </w:r>
    </w:p>
    <w:p w14:paraId="598EE3AC" w14:textId="77777777" w:rsidR="0024355D" w:rsidRDefault="0024355D" w:rsidP="0024355D"/>
    <w:p w14:paraId="59C1245C" w14:textId="2977A7B8" w:rsidR="0024355D" w:rsidRDefault="0024355D" w:rsidP="0024355D">
      <w:pPr>
        <w:pStyle w:val="Narration"/>
        <w:numPr>
          <w:ilvl w:val="1"/>
          <w:numId w:val="3"/>
        </w:numPr>
      </w:pPr>
      <w:r>
        <w:t xml:space="preserve">Shake the reagent tube side to side for approximately 10 seconds to thoroughly mix the stool sample in the diluent </w:t>
      </w:r>
      <w:r>
        <w:rPr>
          <w:b/>
        </w:rPr>
        <w:t>[1</w:t>
      </w:r>
      <w:r w:rsidR="00F47D4D">
        <w:rPr>
          <w:b/>
        </w:rPr>
        <w:t>-TXT</w:t>
      </w:r>
      <w:r>
        <w:rPr>
          <w:b/>
        </w:rPr>
        <w:t>]</w:t>
      </w:r>
      <w:r>
        <w:t>.</w:t>
      </w:r>
    </w:p>
    <w:p w14:paraId="56711D04" w14:textId="3A3BC469" w:rsidR="0024355D" w:rsidRDefault="0024355D" w:rsidP="0024355D">
      <w:pPr>
        <w:pStyle w:val="ShotDescription"/>
        <w:numPr>
          <w:ilvl w:val="2"/>
          <w:numId w:val="3"/>
        </w:numPr>
      </w:pPr>
      <w:r>
        <w:t>Talent holding and shaking the reagent tube horizontally for 10 seconds, ensuring visible mixing.</w:t>
      </w:r>
      <w:r w:rsidR="00F47D4D">
        <w:t xml:space="preserve"> </w:t>
      </w:r>
      <w:r w:rsidR="00F47D4D" w:rsidRPr="004F5F86">
        <w:rPr>
          <w:b/>
          <w:bCs/>
        </w:rPr>
        <w:t xml:space="preserve">TXT: Diluent: </w:t>
      </w:r>
      <w:r w:rsidR="004F5F86" w:rsidRPr="004F5F86">
        <w:rPr>
          <w:b/>
          <w:bCs/>
        </w:rPr>
        <w:t xml:space="preserve">EDTA </w:t>
      </w:r>
      <w:r w:rsidR="00F47D4D" w:rsidRPr="004F5F86">
        <w:rPr>
          <w:b/>
          <w:bCs/>
        </w:rPr>
        <w:t>tetrasodium hydrate</w:t>
      </w:r>
      <w:r w:rsidR="004F5F86" w:rsidRPr="004F5F86">
        <w:rPr>
          <w:b/>
          <w:bCs/>
        </w:rPr>
        <w:t>:</w:t>
      </w:r>
      <w:r w:rsidR="00F47D4D" w:rsidRPr="004F5F86">
        <w:rPr>
          <w:b/>
          <w:bCs/>
        </w:rPr>
        <w:t xml:space="preserve"> 0.018 g/mL</w:t>
      </w:r>
      <w:r w:rsidR="004F5F86" w:rsidRPr="004F5F86">
        <w:rPr>
          <w:b/>
          <w:bCs/>
        </w:rPr>
        <w:t>; NaCl:</w:t>
      </w:r>
      <w:r w:rsidR="00F47D4D" w:rsidRPr="004F5F86">
        <w:rPr>
          <w:b/>
          <w:bCs/>
        </w:rPr>
        <w:t xml:space="preserve"> 0.01 g/mL</w:t>
      </w:r>
    </w:p>
    <w:p w14:paraId="4C730B81" w14:textId="77777777" w:rsidR="0024355D" w:rsidRDefault="0024355D" w:rsidP="0024355D"/>
    <w:p w14:paraId="748D20A9" w14:textId="64B58A77" w:rsidR="0024355D" w:rsidRDefault="0024355D" w:rsidP="0024355D">
      <w:pPr>
        <w:pStyle w:val="Narration"/>
        <w:numPr>
          <w:ilvl w:val="1"/>
          <w:numId w:val="3"/>
        </w:numPr>
      </w:pPr>
      <w:r>
        <w:t xml:space="preserve">Test the sample </w:t>
      </w:r>
      <w:r w:rsidR="004F5F86">
        <w:t xml:space="preserve">within 6 hours if kept at room temperature </w:t>
      </w:r>
      <w:r>
        <w:t xml:space="preserve">after sampling </w:t>
      </w:r>
      <w:r>
        <w:rPr>
          <w:b/>
        </w:rPr>
        <w:t>[1]</w:t>
      </w:r>
      <w:r>
        <w:t>. If immediate testing is not possible, store the sample at 2 to 8 degrees Celsius for up to 72 hours</w:t>
      </w:r>
      <w:r w:rsidR="004F5F86">
        <w:t xml:space="preserve"> </w:t>
      </w:r>
      <w:r>
        <w:rPr>
          <w:b/>
        </w:rPr>
        <w:t>[2</w:t>
      </w:r>
      <w:r w:rsidR="004F5F86">
        <w:rPr>
          <w:b/>
        </w:rPr>
        <w:t>-TXT</w:t>
      </w:r>
      <w:r>
        <w:rPr>
          <w:b/>
        </w:rPr>
        <w:t>]</w:t>
      </w:r>
      <w:r>
        <w:t>.</w:t>
      </w:r>
    </w:p>
    <w:p w14:paraId="652AFA90" w14:textId="77777777" w:rsidR="0024355D" w:rsidRDefault="0024355D" w:rsidP="0024355D"/>
    <w:p w14:paraId="3CDB5A3A" w14:textId="4A3F105E" w:rsidR="0024355D" w:rsidRDefault="0024355D" w:rsidP="0024355D">
      <w:pPr>
        <w:pStyle w:val="ShotDescription"/>
        <w:numPr>
          <w:ilvl w:val="2"/>
          <w:numId w:val="3"/>
        </w:numPr>
      </w:pPr>
      <w:r>
        <w:t xml:space="preserve">Talent placing the tube </w:t>
      </w:r>
      <w:proofErr w:type="gramStart"/>
      <w:r>
        <w:t>in a</w:t>
      </w:r>
      <w:proofErr w:type="gramEnd"/>
      <w:r>
        <w:t xml:space="preserve"> room temperature </w:t>
      </w:r>
      <w:r w:rsidR="004F5F86">
        <w:t>on the bench.</w:t>
      </w:r>
      <w:r>
        <w:t xml:space="preserve">  </w:t>
      </w:r>
    </w:p>
    <w:p w14:paraId="46213CD6" w14:textId="45EF174B" w:rsidR="0024355D" w:rsidRDefault="0024355D" w:rsidP="0024355D">
      <w:pPr>
        <w:pStyle w:val="ShotDescription"/>
        <w:numPr>
          <w:ilvl w:val="2"/>
          <w:numId w:val="3"/>
        </w:numPr>
      </w:pPr>
      <w:r>
        <w:t>Talent placing other tubes in a refrigerator</w:t>
      </w:r>
      <w:r w:rsidR="004F5F86">
        <w:t xml:space="preserve">. </w:t>
      </w:r>
      <w:r w:rsidR="004F5F86" w:rsidRPr="004F5F86">
        <w:rPr>
          <w:b/>
          <w:bCs/>
        </w:rPr>
        <w:t xml:space="preserve">TXT: Store </w:t>
      </w:r>
      <w:proofErr w:type="gramStart"/>
      <w:r w:rsidR="004F5F86" w:rsidRPr="004F5F86">
        <w:rPr>
          <w:b/>
          <w:bCs/>
        </w:rPr>
        <w:t xml:space="preserve">at </w:t>
      </w:r>
      <w:r w:rsidRPr="004F5F86">
        <w:rPr>
          <w:b/>
          <w:bCs/>
        </w:rPr>
        <w:t>−</w:t>
      </w:r>
      <w:proofErr w:type="gramEnd"/>
      <w:r w:rsidRPr="004F5F86">
        <w:rPr>
          <w:b/>
          <w:bCs/>
        </w:rPr>
        <w:t>25</w:t>
      </w:r>
      <w:r w:rsidR="004F5F86" w:rsidRPr="004F5F86">
        <w:rPr>
          <w:b/>
          <w:bCs/>
        </w:rPr>
        <w:t xml:space="preserve"> to</w:t>
      </w:r>
      <w:r w:rsidRPr="004F5F86">
        <w:rPr>
          <w:b/>
          <w:bCs/>
        </w:rPr>
        <w:t xml:space="preserve"> −15 °C</w:t>
      </w:r>
      <w:r w:rsidR="004F5F86" w:rsidRPr="004F5F86">
        <w:rPr>
          <w:b/>
          <w:bCs/>
        </w:rPr>
        <w:t xml:space="preserve"> for 6 months</w:t>
      </w:r>
    </w:p>
    <w:p w14:paraId="0427A873" w14:textId="77777777" w:rsidR="0024355D" w:rsidRDefault="0024355D" w:rsidP="0024355D"/>
    <w:p w14:paraId="0075FAEE" w14:textId="28F26071" w:rsidR="0024355D" w:rsidRDefault="0024355D" w:rsidP="0024355D">
      <w:pPr>
        <w:pStyle w:val="Narration"/>
        <w:numPr>
          <w:ilvl w:val="1"/>
          <w:numId w:val="3"/>
        </w:numPr>
      </w:pPr>
      <w:r>
        <w:t xml:space="preserve">Before testing, return both refrigerated and frozen samples to room temperature </w:t>
      </w:r>
      <w:r>
        <w:rPr>
          <w:b/>
        </w:rPr>
        <w:t>[1</w:t>
      </w:r>
      <w:r w:rsidR="004F5F86">
        <w:rPr>
          <w:b/>
        </w:rPr>
        <w:t>-TXT</w:t>
      </w:r>
      <w:r>
        <w:rPr>
          <w:b/>
        </w:rPr>
        <w:t>]</w:t>
      </w:r>
      <w:r>
        <w:t>.</w:t>
      </w:r>
    </w:p>
    <w:p w14:paraId="23F7F08E" w14:textId="2626FDD2" w:rsidR="0024355D" w:rsidRDefault="0024355D" w:rsidP="0024355D">
      <w:pPr>
        <w:pStyle w:val="ShotDescription"/>
        <w:numPr>
          <w:ilvl w:val="2"/>
          <w:numId w:val="3"/>
        </w:numPr>
      </w:pPr>
      <w:r>
        <w:t>Talent placing samples from refrigerator and freezer onto a bench.</w:t>
      </w:r>
      <w:r w:rsidR="004F5F86">
        <w:t xml:space="preserve"> </w:t>
      </w:r>
      <w:r w:rsidR="004F5F86" w:rsidRPr="004F5F86">
        <w:rPr>
          <w:b/>
          <w:bCs/>
        </w:rPr>
        <w:t xml:space="preserve">TXT: </w:t>
      </w:r>
      <w:r w:rsidR="004F5F86" w:rsidRPr="004F5F86">
        <w:rPr>
          <w:b/>
          <w:bCs/>
        </w:rPr>
        <w:t>Samples may be frozen and thawed up to three times</w:t>
      </w:r>
      <w:r w:rsidR="004F5F86">
        <w:t xml:space="preserve"> </w:t>
      </w:r>
    </w:p>
    <w:p w14:paraId="79D43D44" w14:textId="77777777" w:rsidR="0024355D" w:rsidRDefault="0024355D" w:rsidP="0024355D"/>
    <w:p w14:paraId="5E3F570F" w14:textId="1282DA42" w:rsidR="0024355D" w:rsidRDefault="0024355D" w:rsidP="004F5F86">
      <w:pPr>
        <w:pStyle w:val="Narration"/>
        <w:numPr>
          <w:ilvl w:val="1"/>
          <w:numId w:val="3"/>
        </w:numPr>
      </w:pPr>
      <w:r>
        <w:t xml:space="preserve">Open the white cover on the reagent tube and hold the tube upright </w:t>
      </w:r>
      <w:r>
        <w:rPr>
          <w:b/>
        </w:rPr>
        <w:t>[1]</w:t>
      </w:r>
      <w:r>
        <w:t>.</w:t>
      </w:r>
      <w:r w:rsidR="004F5F86">
        <w:t xml:space="preserve"> </w:t>
      </w:r>
      <w:r w:rsidR="004F5F86">
        <w:t>Press the cap down completely to release the sample onto the test card</w:t>
      </w:r>
      <w:r w:rsidR="004F5F86">
        <w:t xml:space="preserve"> </w:t>
      </w:r>
      <w:r w:rsidR="004F5F86" w:rsidRPr="004F5F86">
        <w:rPr>
          <w:b/>
          <w:bCs/>
        </w:rPr>
        <w:t>[</w:t>
      </w:r>
      <w:r w:rsidR="004F5F86">
        <w:rPr>
          <w:b/>
          <w:bCs/>
        </w:rPr>
        <w:t>2</w:t>
      </w:r>
      <w:r w:rsidR="004F5F86" w:rsidRPr="004F5F86">
        <w:rPr>
          <w:b/>
          <w:bCs/>
        </w:rPr>
        <w:t>]</w:t>
      </w:r>
      <w:r w:rsidR="004F5F86">
        <w:t xml:space="preserve">. Allow the sample to flow across the detection area labeled </w:t>
      </w:r>
      <w:r w:rsidR="004F5F86">
        <w:rPr>
          <w:b/>
        </w:rPr>
        <w:t>T</w:t>
      </w:r>
      <w:r w:rsidR="004F5F86">
        <w:t xml:space="preserve"> and the quality control area labeled </w:t>
      </w:r>
      <w:r w:rsidR="004F5F86">
        <w:rPr>
          <w:b/>
        </w:rPr>
        <w:t>C</w:t>
      </w:r>
      <w:r w:rsidR="004F5F86">
        <w:t>, both of which are coated with mouse anti-</w:t>
      </w:r>
      <w:r w:rsidR="004F5F86" w:rsidRPr="004F5F86">
        <w:rPr>
          <w:i/>
          <w:iCs/>
        </w:rPr>
        <w:t>H</w:t>
      </w:r>
      <w:r w:rsidR="004F5F86">
        <w:rPr>
          <w:i/>
          <w:iCs/>
        </w:rPr>
        <w:t>elicobacter</w:t>
      </w:r>
      <w:r w:rsidR="004F5F86" w:rsidRPr="004F5F86">
        <w:rPr>
          <w:i/>
          <w:iCs/>
        </w:rPr>
        <w:t xml:space="preserve"> </w:t>
      </w:r>
      <w:r w:rsidR="004F5F86" w:rsidRPr="004F5F86">
        <w:rPr>
          <w:i/>
          <w:iCs/>
        </w:rPr>
        <w:t>pylori</w:t>
      </w:r>
      <w:r w:rsidR="004F5F86">
        <w:t xml:space="preserve"> antibody </w:t>
      </w:r>
      <w:r w:rsidR="004F5F86">
        <w:rPr>
          <w:b/>
        </w:rPr>
        <w:t>[</w:t>
      </w:r>
      <w:r w:rsidR="004F5F86">
        <w:rPr>
          <w:b/>
        </w:rPr>
        <w:t>3</w:t>
      </w:r>
      <w:r w:rsidR="004F5F86">
        <w:rPr>
          <w:b/>
        </w:rPr>
        <w:t>]</w:t>
      </w:r>
      <w:r w:rsidR="004F5F86">
        <w:t>.</w:t>
      </w:r>
    </w:p>
    <w:p w14:paraId="5899940E" w14:textId="77777777" w:rsidR="0024355D" w:rsidRDefault="0024355D" w:rsidP="0024355D">
      <w:pPr>
        <w:pStyle w:val="ShotDescription"/>
        <w:numPr>
          <w:ilvl w:val="2"/>
          <w:numId w:val="3"/>
        </w:numPr>
      </w:pPr>
      <w:r>
        <w:t>Talent flipping open the small white cap while keeping the tube in vertical position.</w:t>
      </w:r>
    </w:p>
    <w:p w14:paraId="2CB1DF69" w14:textId="46487EEE" w:rsidR="004F5F86" w:rsidRDefault="004F5F86" w:rsidP="0024355D">
      <w:pPr>
        <w:pStyle w:val="ShotDescription"/>
        <w:numPr>
          <w:ilvl w:val="2"/>
          <w:numId w:val="3"/>
        </w:numPr>
      </w:pPr>
      <w:r>
        <w:t>Talent pressing the cap down to release the sample.</w:t>
      </w:r>
    </w:p>
    <w:p w14:paraId="71E90CF0" w14:textId="663A4F65" w:rsidR="0024355D" w:rsidRDefault="0024355D" w:rsidP="0024355D">
      <w:pPr>
        <w:pStyle w:val="ShotDescription"/>
        <w:numPr>
          <w:ilvl w:val="2"/>
          <w:numId w:val="3"/>
        </w:numPr>
      </w:pPr>
      <w:r>
        <w:t xml:space="preserve">Close-up of the test card as liquid flows past areas marked </w:t>
      </w:r>
      <w:r>
        <w:rPr>
          <w:b/>
        </w:rPr>
        <w:t>T</w:t>
      </w:r>
      <w:r>
        <w:t xml:space="preserve"> and </w:t>
      </w:r>
      <w:r>
        <w:rPr>
          <w:b/>
        </w:rPr>
        <w:t>C</w:t>
      </w:r>
      <w:r>
        <w:t xml:space="preserve"> with visible reaction.</w:t>
      </w:r>
    </w:p>
    <w:p w14:paraId="14A23A84" w14:textId="77777777" w:rsidR="0024355D" w:rsidRDefault="0024355D" w:rsidP="0024355D"/>
    <w:p w14:paraId="2EABA003" w14:textId="74A927A6" w:rsidR="0024355D" w:rsidRDefault="0024355D" w:rsidP="0024355D">
      <w:pPr>
        <w:pStyle w:val="Narration"/>
        <w:numPr>
          <w:ilvl w:val="1"/>
          <w:numId w:val="3"/>
        </w:numPr>
      </w:pPr>
      <w:r>
        <w:t xml:space="preserve">Wait for 10 to 20 minutes to allow for chromogenic reaction formation in the detection area if </w:t>
      </w:r>
      <w:r w:rsidR="004F5F86">
        <w:t>the</w:t>
      </w:r>
      <w:r>
        <w:t xml:space="preserve"> antigen is present </w:t>
      </w:r>
      <w:r>
        <w:rPr>
          <w:b/>
        </w:rPr>
        <w:t>[1]</w:t>
      </w:r>
      <w:r>
        <w:t>.</w:t>
      </w:r>
    </w:p>
    <w:p w14:paraId="21396321" w14:textId="73C964B3" w:rsidR="0024355D" w:rsidRDefault="004F5F86" w:rsidP="0024355D">
      <w:pPr>
        <w:pStyle w:val="ShotDescription"/>
        <w:numPr>
          <w:ilvl w:val="2"/>
          <w:numId w:val="3"/>
        </w:numPr>
      </w:pPr>
      <w:r>
        <w:t xml:space="preserve">Talent setting a </w:t>
      </w:r>
      <w:r w:rsidR="0024355D">
        <w:t>Timer.</w:t>
      </w:r>
    </w:p>
    <w:p w14:paraId="319CA109" w14:textId="77777777" w:rsidR="0024355D" w:rsidRDefault="0024355D" w:rsidP="0024355D"/>
    <w:p w14:paraId="60DAAB03" w14:textId="067D17F3" w:rsidR="0024355D" w:rsidRDefault="0024355D" w:rsidP="0024355D">
      <w:pPr>
        <w:pStyle w:val="Narration"/>
        <w:numPr>
          <w:ilvl w:val="1"/>
          <w:numId w:val="3"/>
        </w:numPr>
      </w:pPr>
      <w:r>
        <w:t>Observe the presence or absence of colored lines in the test and control areas</w:t>
      </w:r>
      <w:r w:rsidR="004F5F86">
        <w:t xml:space="preserve"> </w:t>
      </w:r>
      <w:r w:rsidR="004F5F86" w:rsidRPr="004F5F86">
        <w:rPr>
          <w:b/>
          <w:bCs/>
        </w:rPr>
        <w:t>[</w:t>
      </w:r>
      <w:r w:rsidR="004F5F86">
        <w:rPr>
          <w:b/>
          <w:bCs/>
        </w:rPr>
        <w:t>1</w:t>
      </w:r>
      <w:r w:rsidR="004F5F86" w:rsidRPr="004F5F86">
        <w:rPr>
          <w:b/>
          <w:bCs/>
        </w:rPr>
        <w:t>]</w:t>
      </w:r>
      <w:r>
        <w:t xml:space="preserve">. Compare the result with the color card to determine the concentration of </w:t>
      </w:r>
      <w:r w:rsidRPr="004F5F86">
        <w:rPr>
          <w:i/>
          <w:iCs/>
        </w:rPr>
        <w:t>H</w:t>
      </w:r>
      <w:r w:rsidR="004F5F86" w:rsidRPr="004F5F86">
        <w:rPr>
          <w:i/>
          <w:iCs/>
        </w:rPr>
        <w:t>elicobacter</w:t>
      </w:r>
      <w:r>
        <w:t xml:space="preserve"> </w:t>
      </w:r>
      <w:r w:rsidRPr="004F5F86">
        <w:rPr>
          <w:i/>
          <w:iCs/>
        </w:rPr>
        <w:t>pylori</w:t>
      </w:r>
      <w:r>
        <w:t xml:space="preserve"> antigen </w:t>
      </w:r>
      <w:r>
        <w:rPr>
          <w:b/>
        </w:rPr>
        <w:t>[</w:t>
      </w:r>
      <w:r w:rsidR="004F5F86">
        <w:rPr>
          <w:b/>
        </w:rPr>
        <w:t>2-TXT</w:t>
      </w:r>
      <w:r>
        <w:rPr>
          <w:b/>
        </w:rPr>
        <w:t>]</w:t>
      </w:r>
      <w:r>
        <w:t>.</w:t>
      </w:r>
    </w:p>
    <w:p w14:paraId="612E3A17" w14:textId="77777777" w:rsidR="004F5F86" w:rsidRDefault="004F5F86" w:rsidP="0024355D">
      <w:pPr>
        <w:pStyle w:val="ShotDescription"/>
        <w:numPr>
          <w:ilvl w:val="2"/>
          <w:numId w:val="3"/>
        </w:numPr>
      </w:pPr>
      <w:r>
        <w:t>Talent examining the test card.</w:t>
      </w:r>
    </w:p>
    <w:p w14:paraId="7BBD5E4A" w14:textId="760E9588" w:rsidR="0024355D" w:rsidRDefault="004F5F86" w:rsidP="0024355D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>
        <w:t xml:space="preserve"> of </w:t>
      </w:r>
      <w:r w:rsidR="0024355D">
        <w:t>the test card being held next to a printed color interpretation card, with finger pointing to matching color intensity.</w:t>
      </w:r>
      <w:r>
        <w:t xml:space="preserve"> </w:t>
      </w:r>
      <w:r w:rsidRPr="004F5F86">
        <w:rPr>
          <w:b/>
          <w:bCs/>
        </w:rPr>
        <w:t>TXT: Confirm the results after performing DNA extraction and qPCR</w:t>
      </w:r>
      <w:r>
        <w:t xml:space="preserve"> </w:t>
      </w:r>
    </w:p>
    <w:p w14:paraId="2AD73E5C" w14:textId="77777777" w:rsidR="0024355D" w:rsidRDefault="0024355D" w:rsidP="0024355D"/>
    <w:p w14:paraId="0A8C72CC" w14:textId="77777777" w:rsidR="004F5F86" w:rsidRDefault="004F5F8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529401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E45938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1099D">
        <w:rPr>
          <w:rFonts w:eastAsia="Times New Roman" w:cstheme="minorHAnsi"/>
          <w:bCs/>
        </w:rPr>
        <w:t>60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616A71" w14:textId="77777777" w:rsidR="004F5F86" w:rsidRDefault="004F5F86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F5F86">
        <w:rPr>
          <w:rFonts w:cstheme="minorHAnsi"/>
        </w:rPr>
        <w:t xml:space="preserve">Among the fecal </w:t>
      </w:r>
      <w:r w:rsidRPr="004F5F86">
        <w:rPr>
          <w:rFonts w:cstheme="minorHAnsi"/>
          <w:i/>
          <w:iCs/>
        </w:rPr>
        <w:t>H</w:t>
      </w:r>
      <w:r w:rsidRPr="004F5F86">
        <w:rPr>
          <w:rFonts w:cstheme="minorHAnsi"/>
          <w:i/>
          <w:iCs/>
        </w:rPr>
        <w:t>elicobacter</w:t>
      </w:r>
      <w:r w:rsidRPr="004F5F86">
        <w:rPr>
          <w:rFonts w:cstheme="minorHAnsi"/>
        </w:rPr>
        <w:t xml:space="preserve"> </w:t>
      </w:r>
      <w:r w:rsidRPr="004F5F86">
        <w:rPr>
          <w:rFonts w:cstheme="minorHAnsi"/>
          <w:i/>
          <w:iCs/>
        </w:rPr>
        <w:t>pylori</w:t>
      </w:r>
      <w:r w:rsidRPr="004F5F86">
        <w:rPr>
          <w:rFonts w:cstheme="minorHAnsi"/>
        </w:rPr>
        <w:t xml:space="preserve"> antigen results of 261 subjects, 52 were positive</w:t>
      </w:r>
      <w:r>
        <w:rPr>
          <w:rFonts w:cstheme="minorHAnsi"/>
        </w:rPr>
        <w:t xml:space="preserve"> </w:t>
      </w:r>
      <w:r w:rsidRPr="004F5F8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F5F86">
        <w:rPr>
          <w:rFonts w:cstheme="minorHAnsi"/>
          <w:b/>
          <w:bCs/>
        </w:rPr>
        <w:t>]</w:t>
      </w:r>
      <w:r w:rsidRPr="004F5F86">
        <w:rPr>
          <w:rFonts w:cstheme="minorHAnsi"/>
        </w:rPr>
        <w:t xml:space="preserve"> and 209 were negative</w:t>
      </w:r>
      <w:r>
        <w:rPr>
          <w:rFonts w:cstheme="minorHAnsi"/>
        </w:rPr>
        <w:t xml:space="preserve"> </w:t>
      </w:r>
      <w:r w:rsidRPr="004F5F8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4F5F86">
        <w:rPr>
          <w:rFonts w:cstheme="minorHAnsi"/>
          <w:b/>
          <w:bCs/>
        </w:rPr>
        <w:t>]</w:t>
      </w:r>
      <w:r w:rsidRPr="004F5F86">
        <w:rPr>
          <w:rFonts w:cstheme="minorHAnsi"/>
        </w:rPr>
        <w:t xml:space="preserve">. </w:t>
      </w:r>
    </w:p>
    <w:p w14:paraId="30B6FF14" w14:textId="48AE592F" w:rsidR="004F5F86" w:rsidRPr="00B07A3B" w:rsidRDefault="004F5F86" w:rsidP="004F5F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</w:t>
      </w:r>
      <w:r w:rsidR="00B672B1"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4F5F86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52</w:t>
      </w:r>
    </w:p>
    <w:p w14:paraId="77646626" w14:textId="16E2E046" w:rsidR="004F5F86" w:rsidRPr="00B07A3B" w:rsidRDefault="004F5F86" w:rsidP="004F5F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</w:t>
      </w:r>
      <w:r w:rsidR="00B672B1"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4F5F86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209</w:t>
      </w:r>
    </w:p>
    <w:p w14:paraId="5973209D" w14:textId="77777777" w:rsidR="004F5F86" w:rsidRDefault="004F5F86" w:rsidP="004F5F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A0085A3" w14:textId="36D3D3E2" w:rsidR="00495959" w:rsidRPr="00B07A3B" w:rsidRDefault="004F5F86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F5F86">
        <w:rPr>
          <w:rFonts w:cstheme="minorHAnsi"/>
        </w:rPr>
        <w:t xml:space="preserve">Among the results of qPCR with the feces of 261 subjects, 83 were positive </w:t>
      </w:r>
      <w:r w:rsidRPr="004F5F8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F5F86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4F5F86">
        <w:rPr>
          <w:rFonts w:cstheme="minorHAnsi"/>
        </w:rPr>
        <w:t xml:space="preserve">and 178 were negative </w:t>
      </w:r>
      <w:r w:rsidRPr="004F5F8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4F5F86">
        <w:rPr>
          <w:rFonts w:cstheme="minorHAnsi"/>
          <w:b/>
          <w:bCs/>
        </w:rPr>
        <w:t>]</w:t>
      </w:r>
      <w:r w:rsidRPr="004F5F86">
        <w:rPr>
          <w:rFonts w:cstheme="minorHAnsi"/>
        </w:rPr>
        <w:t>.</w:t>
      </w:r>
    </w:p>
    <w:p w14:paraId="71138099" w14:textId="4A5A465D" w:rsidR="00495959" w:rsidRPr="004F5F86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F5F86">
        <w:rPr>
          <w:rFonts w:cstheme="minorHAnsi"/>
        </w:rPr>
        <w:t xml:space="preserve"> Table 2 </w:t>
      </w:r>
      <w:r w:rsidR="004F5F86" w:rsidRPr="004F5F86">
        <w:rPr>
          <w:rFonts w:cstheme="minorHAnsi"/>
          <w:i/>
          <w:iCs/>
          <w:color w:val="3333FF"/>
        </w:rPr>
        <w:t xml:space="preserve">Video editor: Highlight </w:t>
      </w:r>
      <w:r w:rsidR="004F5F86">
        <w:rPr>
          <w:rFonts w:cstheme="minorHAnsi"/>
          <w:i/>
          <w:iCs/>
          <w:color w:val="3333FF"/>
        </w:rPr>
        <w:t>83</w:t>
      </w:r>
    </w:p>
    <w:p w14:paraId="450486E3" w14:textId="714D61AB" w:rsidR="004F5F86" w:rsidRPr="00B07A3B" w:rsidRDefault="004F5F86" w:rsidP="004F5F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2 </w:t>
      </w:r>
      <w:r w:rsidRPr="004F5F86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178</w:t>
      </w:r>
    </w:p>
    <w:p w14:paraId="2DEBAACF" w14:textId="77777777" w:rsidR="004F5F86" w:rsidRPr="00B07A3B" w:rsidRDefault="004F5F86" w:rsidP="004F5F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52A64851" w:rsidR="00495959" w:rsidRDefault="00F1099D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1099D">
        <w:rPr>
          <w:rFonts w:cstheme="minorHAnsi"/>
        </w:rPr>
        <w:t xml:space="preserve">The positive rate </w:t>
      </w:r>
      <w:r>
        <w:rPr>
          <w:rFonts w:cstheme="minorHAnsi"/>
        </w:rPr>
        <w:t xml:space="preserve">in </w:t>
      </w:r>
      <w:proofErr w:type="spellStart"/>
      <w:r w:rsidRPr="00F1099D">
        <w:rPr>
          <w:rFonts w:cstheme="minorHAnsi"/>
        </w:rPr>
        <w:t>Shitan</w:t>
      </w:r>
      <w:proofErr w:type="spellEnd"/>
      <w:r w:rsidRPr="00F1099D">
        <w:rPr>
          <w:rFonts w:cstheme="minorHAnsi"/>
        </w:rPr>
        <w:t xml:space="preserve"> village</w:t>
      </w:r>
      <w:r>
        <w:rPr>
          <w:rFonts w:cstheme="minorHAnsi"/>
        </w:rPr>
        <w:t xml:space="preserve"> </w:t>
      </w:r>
      <w:r w:rsidRPr="00F1099D">
        <w:rPr>
          <w:rFonts w:cstheme="minorHAnsi"/>
        </w:rPr>
        <w:t>was 19.92%</w:t>
      </w:r>
      <w:r>
        <w:rPr>
          <w:rFonts w:cstheme="minorHAnsi"/>
        </w:rPr>
        <w:t xml:space="preserve"> </w:t>
      </w:r>
      <w:r w:rsidRPr="00F1099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F1099D">
        <w:rPr>
          <w:rFonts w:cstheme="minorHAnsi"/>
          <w:b/>
          <w:bCs/>
        </w:rPr>
        <w:t>]</w:t>
      </w:r>
      <w:r w:rsidRPr="00F1099D">
        <w:rPr>
          <w:rFonts w:cstheme="minorHAnsi"/>
        </w:rPr>
        <w:t xml:space="preserve">, which was slightly lower than the national positive rate of </w:t>
      </w:r>
      <w:bookmarkStart w:id="2" w:name="_Hlk196378242"/>
      <w:r w:rsidRPr="00F1099D">
        <w:rPr>
          <w:rFonts w:cstheme="minorHAnsi"/>
        </w:rPr>
        <w:t>42.8%</w:t>
      </w:r>
      <w:r>
        <w:rPr>
          <w:rFonts w:cstheme="minorHAnsi"/>
        </w:rPr>
        <w:t xml:space="preserve"> </w:t>
      </w:r>
      <w:bookmarkEnd w:id="2"/>
      <w:r w:rsidRPr="00F1099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F1099D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AB38479" w14:textId="79A12D5E" w:rsidR="00F1099D" w:rsidRPr="004F5F86" w:rsidRDefault="00F1099D" w:rsidP="00F1099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</w:t>
      </w:r>
      <w:r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4F5F86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19.92%</w:t>
      </w:r>
    </w:p>
    <w:p w14:paraId="03EE11AB" w14:textId="0A8D3AED" w:rsidR="00F1099D" w:rsidRPr="00B07A3B" w:rsidRDefault="00F1099D" w:rsidP="00F1099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</w:t>
      </w:r>
      <w:r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4F5F86">
        <w:rPr>
          <w:rFonts w:cstheme="minorHAnsi"/>
          <w:i/>
          <w:iCs/>
          <w:color w:val="3333FF"/>
        </w:rPr>
        <w:t xml:space="preserve">Video editor: Highlight </w:t>
      </w:r>
      <w:r w:rsidRPr="00F1099D">
        <w:rPr>
          <w:rFonts w:cstheme="minorHAnsi"/>
          <w:i/>
          <w:iCs/>
          <w:color w:val="3333FF"/>
        </w:rPr>
        <w:t xml:space="preserve">42.8% </w:t>
      </w:r>
    </w:p>
    <w:p w14:paraId="4D98F447" w14:textId="5F287C53" w:rsidR="00495959" w:rsidRPr="00B07A3B" w:rsidRDefault="00F1099D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02E" w14:textId="77777777" w:rsidR="00C21AF2" w:rsidRDefault="00C21AF2">
      <w:r>
        <w:separator/>
      </w:r>
    </w:p>
    <w:p w14:paraId="5B172873" w14:textId="77777777" w:rsidR="00C21AF2" w:rsidRDefault="00C21AF2"/>
  </w:endnote>
  <w:endnote w:type="continuationSeparator" w:id="0">
    <w:p w14:paraId="65983D85" w14:textId="77777777" w:rsidR="00C21AF2" w:rsidRDefault="00C21AF2">
      <w:r>
        <w:continuationSeparator/>
      </w:r>
    </w:p>
    <w:p w14:paraId="1C7D09F6" w14:textId="77777777" w:rsidR="00C21AF2" w:rsidRDefault="00C21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BBA37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4355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5DE8" w14:textId="77777777" w:rsidR="00C21AF2" w:rsidRDefault="00C21AF2">
      <w:r>
        <w:separator/>
      </w:r>
    </w:p>
    <w:p w14:paraId="096E6DDE" w14:textId="77777777" w:rsidR="00C21AF2" w:rsidRDefault="00C21AF2"/>
  </w:footnote>
  <w:footnote w:type="continuationSeparator" w:id="0">
    <w:p w14:paraId="0F87A160" w14:textId="77777777" w:rsidR="00C21AF2" w:rsidRDefault="00C21AF2">
      <w:r>
        <w:continuationSeparator/>
      </w:r>
    </w:p>
    <w:p w14:paraId="6146A987" w14:textId="77777777" w:rsidR="00C21AF2" w:rsidRDefault="00C21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355D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F8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72B1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AF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C32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99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D4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4355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4355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4355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355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4355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4355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68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A7ED5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A68A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1947</Words>
  <Characters>10226</Characters>
  <Application>Microsoft Office Word</Application>
  <DocSecurity>0</DocSecurity>
  <Lines>255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