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3415" w14:textId="77777777" w:rsidR="00915758" w:rsidRDefault="00000000">
      <w:pPr>
        <w:outlineLvl w:val="0"/>
        <w:rPr>
          <w:rFonts w:eastAsia="Times New Roman" w:cstheme="minorHAnsi"/>
          <w:b/>
        </w:rPr>
      </w:pPr>
      <w:r>
        <w:rPr>
          <w:rFonts w:eastAsia="Times New Roman" w:cstheme="minorHAnsi"/>
          <w:b/>
        </w:rPr>
        <w:t>Submission ID #: 68190</w:t>
      </w:r>
    </w:p>
    <w:p w14:paraId="193E3416" w14:textId="77777777" w:rsidR="00915758" w:rsidRDefault="00000000">
      <w:pPr>
        <w:outlineLvl w:val="0"/>
        <w:rPr>
          <w:rFonts w:eastAsia="Times New Roman" w:cstheme="minorHAnsi"/>
          <w:b/>
        </w:rPr>
      </w:pPr>
      <w:r>
        <w:rPr>
          <w:rFonts w:eastAsia="Times New Roman" w:cstheme="minorHAnsi"/>
          <w:b/>
        </w:rPr>
        <w:t>Scriptwriter Name: Debopriya Sadhukhan</w:t>
      </w:r>
    </w:p>
    <w:p w14:paraId="193E3417" w14:textId="77777777" w:rsidR="00915758" w:rsidRDefault="00000000">
      <w:pPr>
        <w:outlineLvl w:val="0"/>
        <w:rPr>
          <w:rFonts w:eastAsia="Times New Roman" w:cstheme="minorHAnsi"/>
          <w:b/>
        </w:rPr>
      </w:pPr>
      <w:r>
        <w:rPr>
          <w:rFonts w:eastAsia="Times New Roman" w:cstheme="minorHAnsi"/>
          <w:b/>
        </w:rPr>
        <w:t xml:space="preserve">Project Page Link: </w:t>
      </w:r>
      <w:hyperlink r:id="rId8" w:history="1">
        <w:r w:rsidR="00915758">
          <w:rPr>
            <w:rStyle w:val="Hyperlink"/>
            <w:rFonts w:eastAsia="Times New Roman" w:cstheme="minorHAnsi"/>
            <w:b/>
          </w:rPr>
          <w:t>https://review.jove.com/account/file-uploader?src=20797998</w:t>
        </w:r>
      </w:hyperlink>
      <w:r>
        <w:rPr>
          <w:rFonts w:eastAsia="Times New Roman" w:cstheme="minorHAnsi"/>
          <w:b/>
        </w:rPr>
        <w:t xml:space="preserve"> </w:t>
      </w:r>
    </w:p>
    <w:p w14:paraId="193E3418" w14:textId="77777777" w:rsidR="00915758" w:rsidRDefault="00915758">
      <w:pPr>
        <w:outlineLvl w:val="0"/>
        <w:rPr>
          <w:rFonts w:eastAsia="Times New Roman" w:cstheme="minorHAnsi"/>
          <w:b/>
        </w:rPr>
      </w:pPr>
    </w:p>
    <w:p w14:paraId="193E3419" w14:textId="77777777" w:rsidR="00915758"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Fonts w:ascii="Calibri" w:hAnsi="Calibri" w:cs="Calibri"/>
          <w:b/>
          <w:bCs/>
          <w:sz w:val="32"/>
          <w:szCs w:val="32"/>
        </w:rPr>
        <w:t>Minimally Invasive Cisterna Magna Injection Model for Leptomeningeal Metastasis Studies in Mice</w:t>
      </w:r>
    </w:p>
    <w:p w14:paraId="193E341A" w14:textId="77777777" w:rsidR="00915758" w:rsidRDefault="00915758">
      <w:pPr>
        <w:outlineLvl w:val="0"/>
        <w:rPr>
          <w:rFonts w:eastAsia="Times New Roman" w:cstheme="minorHAnsi"/>
          <w:b/>
        </w:rPr>
      </w:pPr>
    </w:p>
    <w:p w14:paraId="193E341B" w14:textId="77777777" w:rsidR="00915758"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193E341C" w14:textId="77777777" w:rsidR="00915758" w:rsidRDefault="00915758">
      <w:pPr>
        <w:outlineLvl w:val="0"/>
        <w:rPr>
          <w:rFonts w:eastAsia="Times New Roman" w:cstheme="minorHAnsi"/>
          <w:b/>
          <w:sz w:val="28"/>
          <w:szCs w:val="28"/>
        </w:rPr>
      </w:pPr>
    </w:p>
    <w:p w14:paraId="193E341D" w14:textId="77777777" w:rsidR="00915758" w:rsidRDefault="00000000">
      <w:pPr>
        <w:pStyle w:val="NormalWeb"/>
        <w:widowControl/>
        <w:rPr>
          <w:rFonts w:ascii="Calibri" w:eastAsia="DengXian" w:hAnsi="Calibri" w:cs="Calibri"/>
          <w:kern w:val="24"/>
          <w:vertAlign w:val="superscript"/>
        </w:rPr>
      </w:pPr>
      <w:r>
        <w:rPr>
          <w:rFonts w:ascii="Calibri" w:eastAsia="DengXian" w:hAnsi="Calibri" w:cs="Calibri"/>
          <w:kern w:val="24"/>
        </w:rPr>
        <w:t>Xiaoyi Wang</w:t>
      </w:r>
      <w:r>
        <w:rPr>
          <w:rFonts w:ascii="Calibri" w:eastAsia="DengXian" w:hAnsi="Calibri" w:cs="Calibri"/>
          <w:kern w:val="24"/>
          <w:vertAlign w:val="superscript"/>
        </w:rPr>
        <w:t>1</w:t>
      </w:r>
      <w:r>
        <w:rPr>
          <w:rFonts w:ascii="Calibri" w:eastAsia="DengXian" w:hAnsi="Calibri" w:cs="Calibri"/>
          <w:kern w:val="24"/>
        </w:rPr>
        <w:t>, Tie Tong</w:t>
      </w:r>
      <w:r>
        <w:rPr>
          <w:rFonts w:ascii="Calibri" w:eastAsia="DengXian" w:hAnsi="Calibri" w:cs="Calibri"/>
          <w:kern w:val="24"/>
          <w:vertAlign w:val="superscript"/>
        </w:rPr>
        <w:t>2</w:t>
      </w:r>
      <w:r>
        <w:rPr>
          <w:rFonts w:ascii="Calibri" w:eastAsia="DengXian" w:hAnsi="Calibri" w:cs="Calibri"/>
          <w:kern w:val="24"/>
        </w:rPr>
        <w:t>, Qingsheng Xu</w:t>
      </w:r>
      <w:r>
        <w:rPr>
          <w:rFonts w:ascii="Calibri" w:eastAsia="DengXian" w:hAnsi="Calibri" w:cs="Calibri"/>
          <w:kern w:val="24"/>
          <w:vertAlign w:val="superscript"/>
        </w:rPr>
        <w:t>1</w:t>
      </w:r>
      <w:r>
        <w:rPr>
          <w:rFonts w:ascii="Calibri" w:eastAsia="DengXian" w:hAnsi="Calibri" w:cs="Calibri"/>
          <w:kern w:val="24"/>
        </w:rPr>
        <w:t xml:space="preserve">, </w:t>
      </w:r>
      <w:proofErr w:type="spellStart"/>
      <w:r>
        <w:rPr>
          <w:rFonts w:ascii="Calibri" w:eastAsia="DengXian" w:hAnsi="Calibri" w:cs="Calibri"/>
          <w:kern w:val="24"/>
        </w:rPr>
        <w:t>Yuxiang</w:t>
      </w:r>
      <w:proofErr w:type="spellEnd"/>
      <w:r>
        <w:rPr>
          <w:rFonts w:ascii="Calibri" w:eastAsia="DengXian" w:hAnsi="Calibri" w:cs="Calibri"/>
          <w:kern w:val="24"/>
        </w:rPr>
        <w:t xml:space="preserve"> Weng</w:t>
      </w:r>
      <w:r>
        <w:rPr>
          <w:rFonts w:ascii="Calibri" w:eastAsia="DengXian" w:hAnsi="Calibri" w:cs="Calibri"/>
          <w:kern w:val="24"/>
          <w:vertAlign w:val="superscript"/>
        </w:rPr>
        <w:t>1</w:t>
      </w:r>
      <w:r>
        <w:rPr>
          <w:rFonts w:ascii="Calibri" w:eastAsia="DengXian" w:hAnsi="Calibri" w:cs="Calibri"/>
          <w:kern w:val="24"/>
        </w:rPr>
        <w:t xml:space="preserve">, </w:t>
      </w:r>
      <w:proofErr w:type="spellStart"/>
      <w:r>
        <w:rPr>
          <w:rFonts w:ascii="Calibri" w:eastAsia="DengXian" w:hAnsi="Calibri" w:cs="Calibri"/>
          <w:kern w:val="24"/>
        </w:rPr>
        <w:t>Weijie</w:t>
      </w:r>
      <w:proofErr w:type="spellEnd"/>
      <w:r>
        <w:rPr>
          <w:rFonts w:ascii="Calibri" w:eastAsia="DengXian" w:hAnsi="Calibri" w:cs="Calibri"/>
          <w:kern w:val="24"/>
        </w:rPr>
        <w:t xml:space="preserve"> Zhang</w:t>
      </w:r>
      <w:r>
        <w:rPr>
          <w:rFonts w:ascii="Calibri" w:eastAsia="DengXian" w:hAnsi="Calibri" w:cs="Calibri"/>
          <w:kern w:val="24"/>
          <w:vertAlign w:val="superscript"/>
        </w:rPr>
        <w:t xml:space="preserve">3 </w:t>
      </w:r>
    </w:p>
    <w:p w14:paraId="193E341E" w14:textId="77777777" w:rsidR="00915758" w:rsidRDefault="00915758">
      <w:pPr>
        <w:pStyle w:val="NormalWeb"/>
        <w:widowControl/>
        <w:rPr>
          <w:rFonts w:ascii="Calibri" w:eastAsia="DengXian" w:hAnsi="Calibri" w:cs="Calibri"/>
          <w:kern w:val="24"/>
          <w:vertAlign w:val="superscript"/>
        </w:rPr>
      </w:pPr>
    </w:p>
    <w:p w14:paraId="193E341F" w14:textId="77777777" w:rsidR="00915758" w:rsidRDefault="00000000">
      <w:pPr>
        <w:pStyle w:val="NormalWeb"/>
        <w:widowControl/>
        <w:rPr>
          <w:rFonts w:ascii="Calibri" w:eastAsia="DengXian" w:hAnsi="Calibri" w:cs="Calibri"/>
          <w:kern w:val="24"/>
        </w:rPr>
      </w:pPr>
      <w:r>
        <w:rPr>
          <w:rFonts w:ascii="Calibri" w:eastAsia="DengXian" w:hAnsi="Calibri" w:cs="Calibri"/>
          <w:kern w:val="24"/>
          <w:vertAlign w:val="superscript"/>
        </w:rPr>
        <w:t>1</w:t>
      </w:r>
      <w:r>
        <w:rPr>
          <w:rFonts w:ascii="Calibri" w:eastAsia="DengXian" w:hAnsi="Calibri" w:cs="Calibri"/>
          <w:kern w:val="24"/>
        </w:rPr>
        <w:t xml:space="preserve">Department of Neurosurgery, the First Affiliated Hospital, </w:t>
      </w:r>
      <w:r>
        <w:rPr>
          <w:rFonts w:ascii="Calibri" w:hAnsi="Calibri" w:cs="Calibri"/>
        </w:rPr>
        <w:t>School of Medicine, Zhejiang University</w:t>
      </w:r>
    </w:p>
    <w:p w14:paraId="193E3420" w14:textId="77777777" w:rsidR="00915758" w:rsidRDefault="00000000">
      <w:pPr>
        <w:pStyle w:val="NormalWeb"/>
        <w:widowControl/>
        <w:rPr>
          <w:rFonts w:ascii="Calibri" w:hAnsi="Calibri" w:cs="Calibri"/>
        </w:rPr>
      </w:pPr>
      <w:r>
        <w:rPr>
          <w:rFonts w:ascii="Calibri" w:eastAsia="DengXian" w:hAnsi="Calibri" w:cs="Calibri"/>
          <w:kern w:val="24"/>
          <w:vertAlign w:val="superscript"/>
        </w:rPr>
        <w:t>2</w:t>
      </w:r>
      <w:r>
        <w:rPr>
          <w:rFonts w:ascii="Calibri" w:hAnsi="Calibri" w:cs="Calibri"/>
        </w:rPr>
        <w:t>Life Sciences Institute, Zhejiang University</w:t>
      </w:r>
    </w:p>
    <w:p w14:paraId="193E3421" w14:textId="77777777" w:rsidR="00915758" w:rsidRDefault="00000000">
      <w:pPr>
        <w:outlineLvl w:val="0"/>
        <w:rPr>
          <w:rFonts w:eastAsia="Times New Roman" w:cstheme="minorHAnsi"/>
          <w:b/>
          <w:sz w:val="28"/>
          <w:szCs w:val="28"/>
        </w:rPr>
      </w:pPr>
      <w:r>
        <w:rPr>
          <w:rFonts w:ascii="Calibri" w:eastAsia="DengXian" w:hAnsi="Calibri" w:cs="Calibri"/>
          <w:kern w:val="24"/>
          <w:vertAlign w:val="superscript"/>
        </w:rPr>
        <w:t>3</w:t>
      </w:r>
      <w:r>
        <w:rPr>
          <w:rFonts w:ascii="Calibri" w:hAnsi="Calibri" w:cs="Calibri"/>
        </w:rPr>
        <w:t xml:space="preserve">Zhejiang Key Laboratory of Molecular Cancer Biology, Life Sciences Institute, and Department of </w:t>
      </w:r>
      <w:proofErr w:type="spellStart"/>
      <w:r>
        <w:rPr>
          <w:rFonts w:ascii="Calibri" w:hAnsi="Calibri" w:cs="Calibri"/>
        </w:rPr>
        <w:t>Orthopaedic</w:t>
      </w:r>
      <w:proofErr w:type="spellEnd"/>
      <w:r>
        <w:rPr>
          <w:rFonts w:ascii="Calibri" w:hAnsi="Calibri" w:cs="Calibri"/>
        </w:rPr>
        <w:t xml:space="preserve"> Surgery, the Second Affiliated Hospital, School of Medicine, Zhejiang University</w:t>
      </w:r>
    </w:p>
    <w:p w14:paraId="193E3422" w14:textId="77777777" w:rsidR="00915758" w:rsidRDefault="00915758">
      <w:pPr>
        <w:widowControl w:val="0"/>
        <w:autoSpaceDE w:val="0"/>
        <w:autoSpaceDN w:val="0"/>
        <w:adjustRightInd w:val="0"/>
        <w:rPr>
          <w:rFonts w:eastAsia="Times New Roman" w:cstheme="minorHAnsi"/>
          <w:color w:val="000000"/>
        </w:rPr>
      </w:pPr>
    </w:p>
    <w:p w14:paraId="193E3424" w14:textId="77777777" w:rsidR="00915758" w:rsidRDefault="00915758">
      <w:pPr>
        <w:widowControl w:val="0"/>
        <w:autoSpaceDE w:val="0"/>
        <w:autoSpaceDN w:val="0"/>
        <w:adjustRightInd w:val="0"/>
        <w:rPr>
          <w:rFonts w:eastAsia="Times New Roman" w:cstheme="minorHAnsi"/>
          <w:color w:val="000000"/>
        </w:rPr>
      </w:pPr>
    </w:p>
    <w:p w14:paraId="193E3425" w14:textId="77777777" w:rsidR="00915758" w:rsidRDefault="00915758">
      <w:pPr>
        <w:outlineLvl w:val="0"/>
        <w:rPr>
          <w:rFonts w:eastAsia="Times New Roman" w:cstheme="minorHAnsi"/>
        </w:rPr>
      </w:pPr>
    </w:p>
    <w:p w14:paraId="193E3426" w14:textId="77777777" w:rsidR="00915758" w:rsidRDefault="00000000">
      <w:pPr>
        <w:outlineLvl w:val="0"/>
        <w:rPr>
          <w:rFonts w:eastAsia="Times New Roman" w:cstheme="minorHAnsi"/>
          <w:b/>
        </w:rPr>
      </w:pPr>
      <w:r>
        <w:rPr>
          <w:rFonts w:eastAsia="Times New Roman" w:cstheme="minorHAnsi"/>
          <w:b/>
        </w:rPr>
        <w:t xml:space="preserve">Corresponding Authors: </w:t>
      </w:r>
    </w:p>
    <w:p w14:paraId="193E3427" w14:textId="77777777" w:rsidR="00915758" w:rsidRDefault="00915758">
      <w:pPr>
        <w:outlineLvl w:val="0"/>
        <w:rPr>
          <w:rFonts w:eastAsia="Times New Roman" w:cstheme="minorHAnsi"/>
        </w:rPr>
      </w:pPr>
      <w:bookmarkStart w:id="0" w:name="_Hlk25233958"/>
    </w:p>
    <w:p w14:paraId="193E3428" w14:textId="77777777" w:rsidR="00915758" w:rsidRDefault="00000000">
      <w:pPr>
        <w:pStyle w:val="3"/>
        <w:rPr>
          <w:rFonts w:ascii="Calibri" w:hAnsi="Calibri" w:cs="Calibri"/>
          <w:sz w:val="24"/>
          <w:szCs w:val="24"/>
        </w:rPr>
      </w:pPr>
      <w:r>
        <w:rPr>
          <w:rFonts w:ascii="Calibri" w:hAnsi="Calibri" w:cs="Calibri"/>
          <w:sz w:val="24"/>
          <w:szCs w:val="24"/>
        </w:rPr>
        <w:t>Weijie Zhang</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(weijiez@zju.edu.cn)</w:t>
      </w:r>
    </w:p>
    <w:p w14:paraId="193E3429" w14:textId="77777777" w:rsidR="00915758" w:rsidRDefault="00000000">
      <w:pPr>
        <w:pStyle w:val="3"/>
        <w:rPr>
          <w:rFonts w:ascii="Calibri" w:hAnsi="Calibri" w:cs="Calibri"/>
          <w:sz w:val="24"/>
          <w:szCs w:val="24"/>
        </w:rPr>
      </w:pPr>
      <w:proofErr w:type="spellStart"/>
      <w:r>
        <w:rPr>
          <w:rFonts w:ascii="Calibri" w:eastAsia="DengXian" w:hAnsi="Calibri" w:cs="Calibri"/>
          <w:kern w:val="24"/>
          <w:sz w:val="24"/>
          <w:szCs w:val="24"/>
        </w:rPr>
        <w:t>Yuxiang</w:t>
      </w:r>
      <w:proofErr w:type="spellEnd"/>
      <w:r>
        <w:rPr>
          <w:rFonts w:ascii="Calibri" w:eastAsia="DengXian" w:hAnsi="Calibri" w:cs="Calibri"/>
          <w:kern w:val="24"/>
          <w:sz w:val="24"/>
          <w:szCs w:val="24"/>
        </w:rPr>
        <w:t xml:space="preserve"> Weng</w:t>
      </w:r>
      <w:r>
        <w:rPr>
          <w:rFonts w:ascii="Calibri" w:eastAsia="DengXian" w:hAnsi="Calibri" w:cs="Calibri"/>
          <w:kern w:val="24"/>
          <w:sz w:val="24"/>
          <w:szCs w:val="24"/>
        </w:rPr>
        <w:tab/>
      </w:r>
      <w:r>
        <w:rPr>
          <w:rFonts w:ascii="Calibri" w:eastAsia="DengXian" w:hAnsi="Calibri" w:cs="Calibri"/>
          <w:kern w:val="24"/>
          <w:sz w:val="24"/>
          <w:szCs w:val="24"/>
        </w:rPr>
        <w:tab/>
        <w:t>(</w:t>
      </w:r>
      <w:r>
        <w:rPr>
          <w:rFonts w:ascii="Calibri" w:hAnsi="Calibri" w:cs="Calibri"/>
          <w:sz w:val="24"/>
          <w:szCs w:val="24"/>
        </w:rPr>
        <w:t>wengyuxiang@zju.edu.cn)</w:t>
      </w:r>
    </w:p>
    <w:p w14:paraId="193E342A" w14:textId="77777777" w:rsidR="00915758" w:rsidRDefault="00915758">
      <w:pPr>
        <w:outlineLvl w:val="0"/>
        <w:rPr>
          <w:rFonts w:eastAsia="Times New Roman" w:cstheme="minorHAnsi"/>
        </w:rPr>
      </w:pPr>
    </w:p>
    <w:p w14:paraId="193E342B" w14:textId="77777777" w:rsidR="00915758" w:rsidRDefault="00915758">
      <w:pPr>
        <w:outlineLvl w:val="0"/>
        <w:rPr>
          <w:rFonts w:eastAsia="Times New Roman" w:cstheme="minorHAnsi"/>
        </w:rPr>
      </w:pPr>
    </w:p>
    <w:p w14:paraId="193E342C" w14:textId="77777777" w:rsidR="00915758"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bookmarkEnd w:id="0"/>
    </w:p>
    <w:p w14:paraId="193E342D" w14:textId="77777777" w:rsidR="00915758" w:rsidRDefault="00915758">
      <w:pPr>
        <w:outlineLvl w:val="0"/>
        <w:rPr>
          <w:rFonts w:cstheme="minorHAnsi"/>
          <w:b/>
          <w:sz w:val="22"/>
          <w:szCs w:val="22"/>
        </w:rPr>
      </w:pPr>
    </w:p>
    <w:p w14:paraId="193E342E" w14:textId="77777777" w:rsidR="00915758" w:rsidRDefault="00000000">
      <w:pPr>
        <w:pStyle w:val="NormalWeb"/>
        <w:widowControl/>
        <w:rPr>
          <w:rFonts w:ascii="Calibri" w:eastAsia="DengXian" w:hAnsi="Calibri" w:cs="Calibri"/>
          <w:kern w:val="24"/>
          <w:vertAlign w:val="superscript"/>
        </w:rPr>
      </w:pPr>
      <w:r>
        <w:rPr>
          <w:rFonts w:ascii="Calibri" w:eastAsia="DengXian" w:hAnsi="Calibri" w:cs="Calibri"/>
          <w:kern w:val="24"/>
        </w:rPr>
        <w:t>Xiaoyi Wang</w:t>
      </w:r>
      <w:r>
        <w:rPr>
          <w:rFonts w:ascii="Calibri" w:eastAsia="DengXian" w:hAnsi="Calibri" w:cs="Calibri"/>
          <w:kern w:val="24"/>
        </w:rPr>
        <w:tab/>
      </w:r>
      <w:r>
        <w:rPr>
          <w:rFonts w:ascii="Calibri" w:eastAsia="DengXian" w:hAnsi="Calibri" w:cs="Calibri"/>
          <w:kern w:val="24"/>
        </w:rPr>
        <w:tab/>
      </w:r>
      <w:r>
        <w:rPr>
          <w:rFonts w:ascii="Calibri" w:eastAsia="DengXian" w:hAnsi="Calibri" w:cs="Calibri"/>
          <w:kern w:val="24"/>
        </w:rPr>
        <w:tab/>
        <w:t>(3160103646@zju.edu.cn)</w:t>
      </w:r>
    </w:p>
    <w:p w14:paraId="193E342F" w14:textId="77777777" w:rsidR="00915758" w:rsidRDefault="00000000">
      <w:pPr>
        <w:pStyle w:val="NormalWeb"/>
        <w:widowControl/>
        <w:rPr>
          <w:rFonts w:ascii="Calibri" w:eastAsia="DengXian" w:hAnsi="Calibri" w:cs="Calibri"/>
          <w:kern w:val="24"/>
          <w:vertAlign w:val="superscript"/>
        </w:rPr>
      </w:pPr>
      <w:r>
        <w:rPr>
          <w:rFonts w:ascii="Calibri" w:eastAsia="DengXian" w:hAnsi="Calibri" w:cs="Calibri"/>
          <w:kern w:val="24"/>
        </w:rPr>
        <w:t>Tie Tong</w:t>
      </w:r>
      <w:r>
        <w:rPr>
          <w:rFonts w:ascii="Calibri" w:eastAsia="DengXian" w:hAnsi="Calibri" w:cs="Calibri"/>
          <w:kern w:val="24"/>
        </w:rPr>
        <w:tab/>
      </w:r>
      <w:r>
        <w:rPr>
          <w:rFonts w:ascii="Calibri" w:eastAsia="DengXian" w:hAnsi="Calibri" w:cs="Calibri"/>
          <w:kern w:val="24"/>
        </w:rPr>
        <w:tab/>
      </w:r>
      <w:r>
        <w:rPr>
          <w:rFonts w:ascii="Calibri" w:eastAsia="DengXian" w:hAnsi="Calibri" w:cs="Calibri"/>
          <w:kern w:val="24"/>
        </w:rPr>
        <w:tab/>
      </w:r>
      <w:r>
        <w:rPr>
          <w:rFonts w:ascii="Calibri" w:eastAsia="DengXian" w:hAnsi="Calibri" w:cs="Calibri"/>
          <w:kern w:val="24"/>
        </w:rPr>
        <w:tab/>
        <w:t>(tongtie2022@zju.edu.cn)</w:t>
      </w:r>
    </w:p>
    <w:p w14:paraId="193E3430" w14:textId="77777777" w:rsidR="00915758" w:rsidRDefault="00000000">
      <w:pPr>
        <w:pStyle w:val="NormalWeb"/>
        <w:widowControl/>
        <w:rPr>
          <w:rFonts w:ascii="Calibri" w:hAnsi="Calibri" w:cs="Calibri"/>
        </w:rPr>
      </w:pPr>
      <w:r>
        <w:rPr>
          <w:rFonts w:ascii="Calibri" w:eastAsia="DengXian" w:hAnsi="Calibri" w:cs="Calibri"/>
          <w:kern w:val="24"/>
        </w:rPr>
        <w:t>Qingsheng Xu</w:t>
      </w:r>
      <w:r>
        <w:rPr>
          <w:rFonts w:ascii="Calibri" w:eastAsia="DengXian" w:hAnsi="Calibri" w:cs="Calibri"/>
          <w:kern w:val="24"/>
        </w:rPr>
        <w:tab/>
      </w:r>
      <w:r>
        <w:rPr>
          <w:rFonts w:ascii="Calibri" w:eastAsia="DengXian" w:hAnsi="Calibri" w:cs="Calibri"/>
          <w:kern w:val="24"/>
        </w:rPr>
        <w:tab/>
        <w:t>(xuqingsheng79@zju.edu.cn)</w:t>
      </w:r>
    </w:p>
    <w:p w14:paraId="193E3431" w14:textId="77777777" w:rsidR="00915758" w:rsidRDefault="00000000">
      <w:pPr>
        <w:pStyle w:val="3"/>
        <w:rPr>
          <w:rFonts w:ascii="Calibri" w:hAnsi="Calibri" w:cs="Calibri"/>
          <w:sz w:val="24"/>
          <w:szCs w:val="24"/>
        </w:rPr>
      </w:pPr>
      <w:r>
        <w:rPr>
          <w:rFonts w:ascii="Calibri" w:hAnsi="Calibri" w:cs="Calibri"/>
          <w:sz w:val="24"/>
          <w:szCs w:val="24"/>
        </w:rPr>
        <w:t>Weijie Zhang</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(weijiez@zju.edu.cn)</w:t>
      </w:r>
    </w:p>
    <w:p w14:paraId="193E3432" w14:textId="77777777" w:rsidR="00915758" w:rsidRDefault="00000000">
      <w:pPr>
        <w:outlineLvl w:val="0"/>
        <w:rPr>
          <w:rFonts w:cstheme="minorHAnsi"/>
          <w:b/>
          <w:sz w:val="22"/>
          <w:szCs w:val="22"/>
        </w:rPr>
      </w:pPr>
      <w:proofErr w:type="spellStart"/>
      <w:r>
        <w:rPr>
          <w:rFonts w:ascii="Calibri" w:eastAsia="DengXian" w:hAnsi="Calibri" w:cs="Calibri"/>
          <w:kern w:val="24"/>
        </w:rPr>
        <w:t>Yuxiang</w:t>
      </w:r>
      <w:proofErr w:type="spellEnd"/>
      <w:r>
        <w:rPr>
          <w:rFonts w:ascii="Calibri" w:eastAsia="DengXian" w:hAnsi="Calibri" w:cs="Calibri"/>
          <w:kern w:val="24"/>
        </w:rPr>
        <w:t xml:space="preserve"> Weng</w:t>
      </w:r>
      <w:r>
        <w:rPr>
          <w:rFonts w:ascii="Calibri" w:eastAsia="DengXian" w:hAnsi="Calibri" w:cs="Calibri"/>
          <w:kern w:val="24"/>
        </w:rPr>
        <w:tab/>
      </w:r>
      <w:r>
        <w:rPr>
          <w:rFonts w:ascii="Calibri" w:eastAsia="DengXian" w:hAnsi="Calibri" w:cs="Calibri"/>
          <w:kern w:val="24"/>
        </w:rPr>
        <w:tab/>
        <w:t>(</w:t>
      </w:r>
      <w:r>
        <w:rPr>
          <w:rFonts w:ascii="Calibri" w:hAnsi="Calibri" w:cs="Calibri"/>
        </w:rPr>
        <w:t>wengyuxiang@zju.edu.cn)</w:t>
      </w:r>
    </w:p>
    <w:p w14:paraId="193E3433" w14:textId="77777777" w:rsidR="00915758" w:rsidRDefault="00000000">
      <w:pPr>
        <w:rPr>
          <w:rFonts w:cstheme="minorHAnsi"/>
          <w:b/>
          <w:sz w:val="22"/>
          <w:szCs w:val="22"/>
        </w:rPr>
      </w:pPr>
      <w:r>
        <w:rPr>
          <w:rFonts w:cstheme="minorHAnsi"/>
          <w:b/>
          <w:sz w:val="22"/>
          <w:szCs w:val="22"/>
        </w:rPr>
        <w:br w:type="page"/>
      </w:r>
    </w:p>
    <w:p w14:paraId="193E3434" w14:textId="77777777" w:rsidR="00915758"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193E3435" w14:textId="77777777" w:rsidR="00915758" w:rsidRDefault="00000000">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No</w:t>
      </w:r>
      <w:r>
        <w:rPr>
          <w:rFonts w:eastAsia="Times New Roman" w:cstheme="minorHAnsi"/>
        </w:rPr>
        <w:t xml:space="preserve">  </w:t>
      </w:r>
    </w:p>
    <w:p w14:paraId="193E343C" w14:textId="6CD415AF" w:rsidR="00915758" w:rsidRDefault="00915758">
      <w:pPr>
        <w:spacing w:before="120"/>
        <w:ind w:left="720"/>
        <w:rPr>
          <w:rFonts w:eastAsia="Times New Roman" w:cstheme="minorHAnsi"/>
          <w:b/>
          <w:color w:val="7F7F7F" w:themeColor="text1" w:themeTint="80"/>
        </w:rPr>
      </w:pPr>
    </w:p>
    <w:p w14:paraId="193E343D" w14:textId="77777777" w:rsidR="00915758" w:rsidRDefault="00915758">
      <w:pPr>
        <w:spacing w:before="120"/>
        <w:ind w:left="720"/>
        <w:rPr>
          <w:rFonts w:eastAsia="Times New Roman" w:cstheme="minorHAnsi"/>
          <w:b/>
          <w:color w:val="7F7F7F" w:themeColor="text1" w:themeTint="80"/>
        </w:rPr>
      </w:pPr>
    </w:p>
    <w:p w14:paraId="193E343E" w14:textId="79C836B7" w:rsidR="00915758"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00DD53F9">
        <w:rPr>
          <w:rFonts w:eastAsia="Times New Roman" w:cstheme="minorHAnsi"/>
          <w:b/>
        </w:rPr>
        <w:t>Yes</w:t>
      </w:r>
    </w:p>
    <w:p w14:paraId="193E343F" w14:textId="708F51C9" w:rsidR="00915758" w:rsidRDefault="00977A09">
      <w:pPr>
        <w:spacing w:before="120"/>
        <w:ind w:left="720"/>
        <w:rPr>
          <w:rFonts w:cstheme="minorHAnsi"/>
        </w:rPr>
      </w:pPr>
      <w:r>
        <w:rPr>
          <w:rFonts w:cstheme="minorHAnsi"/>
        </w:rPr>
        <w:t>W</w:t>
      </w:r>
      <w:r w:rsidR="00000000">
        <w:rPr>
          <w:rFonts w:cstheme="minorHAnsi"/>
        </w:rPr>
        <w:t>e will need you to record using screen recording software.</w:t>
      </w:r>
    </w:p>
    <w:p w14:paraId="193E3440" w14:textId="77777777" w:rsidR="00915758" w:rsidRDefault="00000000">
      <w:pPr>
        <w:spacing w:before="120"/>
        <w:ind w:left="720"/>
        <w:rPr>
          <w:rFonts w:cstheme="minorHAnsi"/>
        </w:rPr>
      </w:pPr>
      <w:r>
        <w:rPr>
          <w:rFonts w:cstheme="minorHAnsi"/>
        </w:rPr>
        <w:t xml:space="preserve">We recommend using the screen capture program </w:t>
      </w:r>
      <w:hyperlink r:id="rId9" w:history="1">
        <w:r w:rsidR="00915758">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sidR="00915758">
          <w:rPr>
            <w:rStyle w:val="Hyperlink"/>
            <w:rFonts w:cstheme="minorHAnsi"/>
          </w:rPr>
          <w:t>https://review.jove.com/v/5848/screen-capture-instructions-for-authors?status=a7854k</w:t>
        </w:r>
      </w:hyperlink>
    </w:p>
    <w:p w14:paraId="193E3441" w14:textId="3E69617C" w:rsidR="00915758" w:rsidRDefault="00977A09">
      <w:pPr>
        <w:spacing w:before="120"/>
        <w:ind w:left="720"/>
        <w:rPr>
          <w:rFonts w:eastAsia="Times New Roman" w:cstheme="minorHAnsi"/>
        </w:rPr>
      </w:pPr>
      <w:r>
        <w:rPr>
          <w:rFonts w:cstheme="minorHAnsi"/>
          <w:highlight w:val="yellow"/>
        </w:rPr>
        <w:t>P</w:t>
      </w:r>
      <w:r w:rsidR="00000000">
        <w:rPr>
          <w:rFonts w:cstheme="minorHAnsi"/>
          <w:highlight w:val="yellow"/>
        </w:rPr>
        <w:t>lease upload all screen-captured video files to your project page as soon as possible</w:t>
      </w:r>
      <w:r w:rsidR="00000000">
        <w:rPr>
          <w:rFonts w:cstheme="minorHAnsi"/>
        </w:rPr>
        <w:t>.</w:t>
      </w:r>
    </w:p>
    <w:p w14:paraId="193E3442" w14:textId="77777777" w:rsidR="00915758" w:rsidRDefault="00915758">
      <w:pPr>
        <w:spacing w:before="120"/>
        <w:rPr>
          <w:rFonts w:eastAsia="Times New Roman" w:cstheme="minorHAnsi"/>
          <w:b/>
        </w:rPr>
      </w:pPr>
    </w:p>
    <w:p w14:paraId="193E3443" w14:textId="77777777" w:rsidR="00915758"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eastAsia="SimSun" w:cstheme="minorHAnsi" w:hint="eastAsia"/>
          <w:b/>
          <w:bCs/>
          <w:lang w:eastAsia="zh-CN"/>
        </w:rPr>
        <w:t>No</w:t>
      </w:r>
    </w:p>
    <w:p w14:paraId="193E3447" w14:textId="77777777" w:rsidR="00915758" w:rsidRDefault="00915758">
      <w:pPr>
        <w:rPr>
          <w:rFonts w:eastAsia="Times New Roman" w:cstheme="minorHAnsi"/>
        </w:rPr>
      </w:pPr>
    </w:p>
    <w:p w14:paraId="4F524FF0" w14:textId="77777777" w:rsidR="00977A09" w:rsidRDefault="00977A09">
      <w:pPr>
        <w:rPr>
          <w:rFonts w:cstheme="minorHAnsi"/>
          <w:b/>
          <w:sz w:val="22"/>
          <w:szCs w:val="22"/>
        </w:rPr>
      </w:pPr>
    </w:p>
    <w:p w14:paraId="193E3448" w14:textId="77777777" w:rsidR="00915758" w:rsidRDefault="00000000">
      <w:pPr>
        <w:rPr>
          <w:rFonts w:cstheme="minorHAnsi"/>
          <w:b/>
          <w:sz w:val="22"/>
          <w:szCs w:val="22"/>
        </w:rPr>
      </w:pPr>
      <w:r>
        <w:rPr>
          <w:rFonts w:cstheme="minorHAnsi"/>
          <w:b/>
          <w:sz w:val="22"/>
          <w:szCs w:val="22"/>
        </w:rPr>
        <w:t>Current Protocol Length</w:t>
      </w:r>
    </w:p>
    <w:p w14:paraId="193E3449" w14:textId="77777777" w:rsidR="00915758"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14</w:t>
      </w:r>
      <w:proofErr w:type="gramEnd"/>
    </w:p>
    <w:p w14:paraId="193E344A" w14:textId="77777777" w:rsidR="00915758" w:rsidRDefault="00000000">
      <w:pPr>
        <w:rPr>
          <w:rFonts w:cstheme="minorHAnsi"/>
          <w:b/>
          <w:sz w:val="22"/>
          <w:szCs w:val="22"/>
        </w:rPr>
      </w:pPr>
      <w:r>
        <w:rPr>
          <w:rFonts w:cstheme="minorHAnsi"/>
          <w:bCs/>
          <w:sz w:val="22"/>
          <w:szCs w:val="22"/>
        </w:rPr>
        <w:t>Number of Shots:  30</w:t>
      </w:r>
      <w:r>
        <w:rPr>
          <w:rFonts w:cstheme="minorHAnsi"/>
          <w:b/>
          <w:sz w:val="22"/>
          <w:szCs w:val="22"/>
        </w:rPr>
        <w:br w:type="page"/>
      </w:r>
    </w:p>
    <w:p w14:paraId="193E344B" w14:textId="77777777" w:rsidR="00915758" w:rsidRDefault="00000000">
      <w:pPr>
        <w:pStyle w:val="Heading1"/>
        <w:rPr>
          <w:rFonts w:cstheme="minorHAnsi"/>
        </w:rPr>
      </w:pPr>
      <w:r>
        <w:rPr>
          <w:rFonts w:cstheme="minorHAnsi"/>
        </w:rPr>
        <w:t>Introduction</w:t>
      </w:r>
    </w:p>
    <w:p w14:paraId="193E344C" w14:textId="77777777" w:rsidR="00915758"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193E344D" w14:textId="77777777" w:rsidR="00915758" w:rsidRDefault="00915758">
      <w:pPr>
        <w:rPr>
          <w:rFonts w:cstheme="minorHAnsi"/>
          <w:b/>
        </w:rPr>
      </w:pPr>
    </w:p>
    <w:p w14:paraId="193E3455" w14:textId="77777777" w:rsidR="00915758" w:rsidRDefault="00915758">
      <w:pPr>
        <w:rPr>
          <w:rFonts w:eastAsia="Times New Roman" w:cstheme="minorHAnsi"/>
          <w:b/>
        </w:rPr>
      </w:pPr>
    </w:p>
    <w:p w14:paraId="193E3456" w14:textId="77777777" w:rsidR="00915758"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193E3457" w14:textId="764250FE" w:rsidR="00915758" w:rsidRDefault="00000000">
      <w:pPr>
        <w:pStyle w:val="ListParagraph"/>
        <w:numPr>
          <w:ilvl w:val="1"/>
          <w:numId w:val="2"/>
        </w:numPr>
        <w:spacing w:before="120"/>
        <w:contextualSpacing w:val="0"/>
        <w:rPr>
          <w:rFonts w:eastAsia="Times New Roman" w:cstheme="minorHAnsi"/>
        </w:rPr>
      </w:pPr>
      <w:proofErr w:type="spellStart"/>
      <w:r w:rsidRPr="00045D66">
        <w:rPr>
          <w:rFonts w:ascii="Calibri" w:hAnsi="Calibri" w:cs="Calibri"/>
          <w:b/>
          <w:bCs/>
          <w:u w:val="single"/>
        </w:rPr>
        <w:t>Weijie</w:t>
      </w:r>
      <w:proofErr w:type="spellEnd"/>
      <w:r w:rsidRPr="00045D66">
        <w:rPr>
          <w:rFonts w:ascii="Calibri" w:hAnsi="Calibri" w:cs="Calibri"/>
          <w:b/>
          <w:bCs/>
          <w:u w:val="single"/>
        </w:rPr>
        <w:t xml:space="preserve"> Zhang</w:t>
      </w:r>
      <w:r w:rsidRPr="00045D66">
        <w:rPr>
          <w:rStyle w:val="AuthorName"/>
          <w:rFonts w:asciiTheme="minorHAnsi" w:eastAsia="Times" w:hAnsiTheme="minorHAnsi" w:cstheme="minorHAnsi"/>
          <w:b w:val="0"/>
          <w:bCs/>
        </w:rPr>
        <w:t>:</w:t>
      </w:r>
      <w:r w:rsidR="00045D66">
        <w:rPr>
          <w:rFonts w:cstheme="minorHAnsi"/>
        </w:rPr>
        <w:t xml:space="preserve"> </w:t>
      </w:r>
      <w:r w:rsidR="00045D66" w:rsidRPr="00045D66">
        <w:rPr>
          <w:rFonts w:cstheme="minorHAnsi"/>
        </w:rPr>
        <w:t xml:space="preserve">Leptomeningeal metastasis is a severe and often fatal form of </w:t>
      </w:r>
      <w:proofErr w:type="gramStart"/>
      <w:r w:rsidR="00045D66" w:rsidRPr="00045D66">
        <w:rPr>
          <w:rFonts w:cstheme="minorHAnsi"/>
        </w:rPr>
        <w:t>cancer</w:t>
      </w:r>
      <w:proofErr w:type="gramEnd"/>
      <w:r w:rsidR="00045D66" w:rsidRPr="00045D66">
        <w:rPr>
          <w:rFonts w:cstheme="minorHAnsi"/>
        </w:rPr>
        <w:t xml:space="preserve"> </w:t>
      </w:r>
      <w:proofErr w:type="gramStart"/>
      <w:r w:rsidR="00045D66" w:rsidRPr="00045D66">
        <w:rPr>
          <w:rFonts w:cstheme="minorHAnsi"/>
        </w:rPr>
        <w:t>spread</w:t>
      </w:r>
      <w:proofErr w:type="gramEnd"/>
      <w:r w:rsidR="00045D66" w:rsidRPr="00045D66">
        <w:rPr>
          <w:rFonts w:cstheme="minorHAnsi"/>
        </w:rPr>
        <w:t xml:space="preserve">. Its development likely depends on interactions between tumor cells and the unique leptomeningeal environment, which can be effectively studied using animal </w:t>
      </w:r>
      <w:commentRangeStart w:id="1"/>
      <w:r w:rsidR="00045D66" w:rsidRPr="00045D66">
        <w:rPr>
          <w:rFonts w:cstheme="minorHAnsi"/>
        </w:rPr>
        <w:t>models</w:t>
      </w:r>
      <w:commentRangeEnd w:id="1"/>
      <w:r w:rsidR="00B463D5">
        <w:rPr>
          <w:rStyle w:val="CommentReference"/>
          <w:lang w:val="zh-CN" w:eastAsia="zh-CN"/>
        </w:rPr>
        <w:commentReference w:id="1"/>
      </w:r>
      <w:r w:rsidR="00045D66" w:rsidRPr="00045D66">
        <w:rPr>
          <w:rFonts w:cstheme="minorHAnsi"/>
        </w:rPr>
        <w:t>.</w:t>
      </w:r>
    </w:p>
    <w:p w14:paraId="193E3458" w14:textId="77777777" w:rsidR="00915758" w:rsidRDefault="00915758">
      <w:pPr>
        <w:rPr>
          <w:rFonts w:eastAsia="Times New Roman" w:cstheme="minorHAnsi"/>
          <w:b/>
          <w:bCs/>
        </w:rPr>
      </w:pPr>
    </w:p>
    <w:p w14:paraId="741A7E47" w14:textId="220A00C8" w:rsidR="00390B5E" w:rsidRPr="00390B5E" w:rsidRDefault="00390B5E" w:rsidP="00390B5E">
      <w:pPr>
        <w:pStyle w:val="ListParagraph"/>
        <w:numPr>
          <w:ilvl w:val="2"/>
          <w:numId w:val="2"/>
        </w:numPr>
        <w:rPr>
          <w:rFonts w:eastAsia="Times New Roman" w:cstheme="minorHAnsi"/>
          <w:b/>
          <w:bC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90B5E">
        <w:rPr>
          <w:rStyle w:val="AuthorName"/>
          <w:rFonts w:asciiTheme="minorHAnsi" w:eastAsia="Times" w:hAnsiTheme="minorHAnsi" w:cstheme="minorHAnsi"/>
          <w:b w:val="0"/>
          <w:bCs/>
          <w:i/>
          <w:iCs/>
          <w:color w:val="3333CC"/>
          <w:u w:val="none"/>
        </w:rPr>
        <w:t>Suggested B-roll: LAB MEDIA: Figure 2A, 2B.</w:t>
      </w:r>
    </w:p>
    <w:p w14:paraId="193E345A" w14:textId="43DB0A29" w:rsidR="00915758" w:rsidRDefault="00915758" w:rsidP="00045D66">
      <w:pPr>
        <w:pStyle w:val="ListParagraph"/>
        <w:spacing w:before="120" w:after="240"/>
        <w:ind w:left="907"/>
        <w:contextualSpacing w:val="0"/>
        <w:rPr>
          <w:rFonts w:eastAsia="Times New Roman" w:cstheme="minorHAnsi"/>
        </w:rPr>
      </w:pPr>
    </w:p>
    <w:p w14:paraId="193E345B" w14:textId="77777777" w:rsidR="00915758" w:rsidRDefault="00000000">
      <w:pPr>
        <w:spacing w:before="120"/>
        <w:rPr>
          <w:rFonts w:eastAsia="Times New Roman" w:cstheme="minorHAnsi"/>
          <w:sz w:val="28"/>
          <w:szCs w:val="28"/>
        </w:rPr>
      </w:pPr>
      <w:r>
        <w:rPr>
          <w:rFonts w:cstheme="minorHAnsi"/>
          <w:color w:val="000000"/>
          <w:shd w:val="clear" w:color="auto" w:fill="FFFFFF"/>
        </w:rPr>
        <w:t>What technologies are currently used to advance research in your field?</w:t>
      </w:r>
    </w:p>
    <w:p w14:paraId="193E345C" w14:textId="2D83E79C" w:rsidR="00915758" w:rsidRDefault="00000000">
      <w:pPr>
        <w:pStyle w:val="ListParagraph"/>
        <w:numPr>
          <w:ilvl w:val="1"/>
          <w:numId w:val="2"/>
        </w:numPr>
        <w:spacing w:before="120" w:after="240"/>
        <w:contextualSpacing w:val="0"/>
        <w:rPr>
          <w:rFonts w:ascii="Calibri" w:eastAsia="DengXian" w:hAnsi="Calibri" w:cs="Calibri"/>
          <w:kern w:val="24"/>
        </w:rPr>
      </w:pPr>
      <w:r w:rsidRPr="00045D66">
        <w:rPr>
          <w:rFonts w:ascii="Calibri" w:eastAsia="DengXian" w:hAnsi="Calibri" w:cs="Calibri"/>
          <w:b/>
          <w:bCs/>
          <w:kern w:val="24"/>
          <w:u w:val="single"/>
        </w:rPr>
        <w:t>Xiaoyi Wang:</w:t>
      </w:r>
      <w:r>
        <w:rPr>
          <w:rFonts w:ascii="Calibri" w:eastAsia="DengXian" w:hAnsi="Calibri" w:cs="Calibri"/>
          <w:kern w:val="24"/>
        </w:rPr>
        <w:t xml:space="preserve"> </w:t>
      </w:r>
      <w:r w:rsidR="00054CA4" w:rsidRPr="00054CA4">
        <w:rPr>
          <w:rFonts w:ascii="Calibri" w:eastAsia="DengXian" w:hAnsi="Calibri" w:cs="Calibri"/>
          <w:kern w:val="24"/>
        </w:rPr>
        <w:t>To study leptomeningeal metastasis in vivo, researchers commonly use techniques such as intracardiac, intracarotid artery, or direct injection of cancer cells into the cisterna magna or cerebral ventricles. These approaches help generate reliable mouse models for LM research.</w:t>
      </w:r>
      <w:r>
        <w:rPr>
          <w:rFonts w:ascii="Calibri" w:eastAsia="DengXian" w:hAnsi="Calibri" w:cs="Calibri"/>
          <w:kern w:val="24"/>
          <w:lang w:eastAsia="zh-CN"/>
        </w:rPr>
        <w:t xml:space="preserve"> </w:t>
      </w:r>
    </w:p>
    <w:p w14:paraId="1FB2BC20" w14:textId="69C6BE0F" w:rsidR="00390B5E" w:rsidRPr="00390B5E" w:rsidRDefault="00390B5E" w:rsidP="00390B5E">
      <w:pPr>
        <w:pStyle w:val="ListParagraph"/>
        <w:numPr>
          <w:ilvl w:val="2"/>
          <w:numId w:val="2"/>
        </w:numPr>
        <w:spacing w:before="120" w:after="240"/>
        <w:contextualSpacing w:val="0"/>
        <w:rPr>
          <w:rStyle w:val="AuthorName"/>
          <w:rFonts w:eastAsia="DengXian"/>
          <w:b w:val="0"/>
          <w:kern w:val="24"/>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B463D5">
        <w:rPr>
          <w:rStyle w:val="AuthorName"/>
          <w:rFonts w:asciiTheme="minorHAnsi" w:eastAsia="Times" w:hAnsiTheme="minorHAnsi" w:cstheme="minorHAnsi"/>
          <w:b w:val="0"/>
          <w:bCs/>
          <w:u w:val="none"/>
        </w:rPr>
        <w:t xml:space="preserve"> </w:t>
      </w:r>
      <w:r w:rsidR="00B463D5" w:rsidRPr="00390B5E">
        <w:rPr>
          <w:rStyle w:val="AuthorName"/>
          <w:rFonts w:asciiTheme="minorHAnsi" w:eastAsia="Times" w:hAnsiTheme="minorHAnsi" w:cstheme="minorHAnsi"/>
          <w:b w:val="0"/>
          <w:bCs/>
          <w:i/>
          <w:iCs/>
          <w:color w:val="3333CC"/>
          <w:u w:val="none"/>
        </w:rPr>
        <w:t>Suggested B-roll:</w:t>
      </w:r>
      <w:r w:rsidR="00B463D5">
        <w:rPr>
          <w:rStyle w:val="AuthorName"/>
          <w:rFonts w:asciiTheme="minorHAnsi" w:eastAsia="Times" w:hAnsiTheme="minorHAnsi" w:cstheme="minorHAnsi"/>
          <w:b w:val="0"/>
          <w:bCs/>
          <w:i/>
          <w:iCs/>
          <w:color w:val="3333CC"/>
          <w:u w:val="none"/>
        </w:rPr>
        <w:t xml:space="preserve"> 4.2.1, 4.3.1, 4.4.1.</w:t>
      </w:r>
    </w:p>
    <w:p w14:paraId="4FACF329" w14:textId="77777777" w:rsidR="00390B5E" w:rsidRDefault="00390B5E" w:rsidP="00390B5E">
      <w:pPr>
        <w:pStyle w:val="ListParagraph"/>
        <w:spacing w:before="120" w:after="240"/>
        <w:ind w:left="1627"/>
        <w:contextualSpacing w:val="0"/>
        <w:rPr>
          <w:rFonts w:ascii="Calibri" w:eastAsia="DengXian" w:hAnsi="Calibri" w:cs="Calibri"/>
          <w:kern w:val="24"/>
        </w:rPr>
      </w:pPr>
    </w:p>
    <w:p w14:paraId="193E345D" w14:textId="77777777" w:rsidR="00915758" w:rsidRDefault="00000000">
      <w:pPr>
        <w:spacing w:before="120"/>
        <w:rPr>
          <w:rFonts w:eastAsia="Times New Roman" w:cstheme="minorHAnsi"/>
        </w:rPr>
      </w:pPr>
      <w:r>
        <w:rPr>
          <w:rFonts w:cstheme="minorHAnsi"/>
          <w:color w:val="000000"/>
          <w:shd w:val="clear" w:color="auto" w:fill="FFFFFF"/>
        </w:rPr>
        <w:t>What are the current experimental challenges?</w:t>
      </w:r>
    </w:p>
    <w:p w14:paraId="193E345E" w14:textId="6F094F47" w:rsidR="00915758" w:rsidRPr="00390B5E" w:rsidRDefault="00000000">
      <w:pPr>
        <w:pStyle w:val="ListParagraph"/>
        <w:numPr>
          <w:ilvl w:val="1"/>
          <w:numId w:val="2"/>
        </w:numPr>
        <w:spacing w:before="120"/>
        <w:contextualSpacing w:val="0"/>
        <w:rPr>
          <w:rFonts w:eastAsia="Times New Roman" w:cstheme="minorHAnsi"/>
        </w:rPr>
      </w:pPr>
      <w:r w:rsidRPr="00054CA4">
        <w:rPr>
          <w:rFonts w:ascii="Calibri" w:eastAsia="DengXian" w:hAnsi="Calibri" w:cs="Calibri"/>
          <w:b/>
          <w:bCs/>
          <w:kern w:val="24"/>
          <w:u w:val="single"/>
        </w:rPr>
        <w:t>Xiaoyi Wang:</w:t>
      </w:r>
      <w:r>
        <w:rPr>
          <w:rFonts w:ascii="Calibri" w:eastAsia="DengXian" w:hAnsi="Calibri" w:cs="Calibri"/>
          <w:kern w:val="24"/>
        </w:rPr>
        <w:t xml:space="preserve"> </w:t>
      </w:r>
      <w:r w:rsidR="00DD53F9" w:rsidRPr="00DD53F9">
        <w:rPr>
          <w:rFonts w:ascii="Calibri" w:eastAsia="DengXian" w:hAnsi="Calibri" w:cs="Calibri"/>
          <w:kern w:val="24"/>
        </w:rPr>
        <w:t>Current techniques have notable limitations. For example, intracardiac injections often produce tumors outside the leptomeningeal space and can lead to death unrelated to leptomeningeal metastasis, while carotid approaches are highly invasive and time-consuming.</w:t>
      </w:r>
    </w:p>
    <w:p w14:paraId="4B6804FA" w14:textId="7BB62B23" w:rsidR="00390B5E" w:rsidRDefault="00390B5E" w:rsidP="00390B5E">
      <w:pPr>
        <w:pStyle w:val="ListParagraph"/>
        <w:numPr>
          <w:ilvl w:val="2"/>
          <w:numId w:val="2"/>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93E345F" w14:textId="77777777" w:rsidR="00915758" w:rsidRDefault="00915758">
      <w:pPr>
        <w:rPr>
          <w:rFonts w:eastAsia="Times New Roman" w:cstheme="minorHAnsi"/>
          <w:b/>
          <w:bCs/>
        </w:rPr>
      </w:pPr>
    </w:p>
    <w:p w14:paraId="193E3465" w14:textId="77777777" w:rsidR="00915758" w:rsidRDefault="00915758">
      <w:pPr>
        <w:rPr>
          <w:rFonts w:eastAsia="Times New Roman" w:cstheme="minorHAnsi"/>
          <w:b/>
          <w:bCs/>
        </w:rPr>
      </w:pPr>
    </w:p>
    <w:p w14:paraId="193E3466" w14:textId="77777777" w:rsidR="00915758"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193E3467" w14:textId="67DE8398" w:rsidR="00915758" w:rsidRPr="00390B5E" w:rsidRDefault="00000000">
      <w:pPr>
        <w:pStyle w:val="ListParagraph"/>
        <w:numPr>
          <w:ilvl w:val="1"/>
          <w:numId w:val="2"/>
        </w:numPr>
        <w:spacing w:before="120"/>
        <w:contextualSpacing w:val="0"/>
        <w:rPr>
          <w:rFonts w:eastAsia="Times New Roman" w:cstheme="minorHAnsi"/>
        </w:rPr>
      </w:pPr>
      <w:r w:rsidRPr="00DD53F9">
        <w:rPr>
          <w:rFonts w:ascii="Calibri" w:eastAsia="DengXian" w:hAnsi="Calibri" w:cs="Calibri"/>
          <w:b/>
          <w:bCs/>
          <w:kern w:val="24"/>
          <w:u w:val="single"/>
        </w:rPr>
        <w:t>Xiaoyi Wang:</w:t>
      </w:r>
      <w:r>
        <w:rPr>
          <w:rFonts w:ascii="Calibri" w:eastAsia="DengXian" w:hAnsi="Calibri" w:cs="Calibri"/>
          <w:kern w:val="24"/>
        </w:rPr>
        <w:t xml:space="preserve"> </w:t>
      </w:r>
      <w:r w:rsidR="00DD53F9">
        <w:rPr>
          <w:rFonts w:ascii="Calibri" w:eastAsia="DengXian" w:hAnsi="Calibri" w:cs="Calibri"/>
          <w:kern w:val="24"/>
        </w:rPr>
        <w:t>This</w:t>
      </w:r>
      <w:r w:rsidR="00DD53F9" w:rsidRPr="00DD53F9">
        <w:rPr>
          <w:rFonts w:ascii="Calibri" w:eastAsia="DengXian" w:hAnsi="Calibri" w:cs="Calibri"/>
          <w:kern w:val="24"/>
        </w:rPr>
        <w:t xml:space="preserve"> protocol can robustly generate LM models. It bypasses the blood–brain barrier, precisely delivers tumor cells into the leptomeningeal space, and reduces both surgical trauma and procedure time.</w:t>
      </w:r>
    </w:p>
    <w:p w14:paraId="5C2162CD" w14:textId="3484A5B5" w:rsidR="00390B5E" w:rsidRDefault="00390B5E" w:rsidP="00390B5E">
      <w:pPr>
        <w:pStyle w:val="ListParagraph"/>
        <w:numPr>
          <w:ilvl w:val="2"/>
          <w:numId w:val="2"/>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B463D5">
        <w:rPr>
          <w:rStyle w:val="AuthorName"/>
          <w:rFonts w:asciiTheme="minorHAnsi" w:eastAsia="Times" w:hAnsiTheme="minorHAnsi" w:cstheme="minorHAnsi"/>
          <w:b w:val="0"/>
          <w:bCs/>
          <w:u w:val="none"/>
        </w:rPr>
        <w:t xml:space="preserve"> </w:t>
      </w:r>
      <w:r w:rsidR="00B463D5" w:rsidRPr="00390B5E">
        <w:rPr>
          <w:rStyle w:val="AuthorName"/>
          <w:rFonts w:asciiTheme="minorHAnsi" w:eastAsia="Times" w:hAnsiTheme="minorHAnsi" w:cstheme="minorHAnsi"/>
          <w:b w:val="0"/>
          <w:bCs/>
          <w:i/>
          <w:iCs/>
          <w:color w:val="3333CC"/>
          <w:u w:val="none"/>
        </w:rPr>
        <w:t>Suggested B-roll:</w:t>
      </w:r>
      <w:r w:rsidR="00B463D5">
        <w:rPr>
          <w:rStyle w:val="AuthorName"/>
          <w:rFonts w:asciiTheme="minorHAnsi" w:eastAsia="Times" w:hAnsiTheme="minorHAnsi" w:cstheme="minorHAnsi"/>
          <w:b w:val="0"/>
          <w:bCs/>
          <w:i/>
          <w:iCs/>
          <w:color w:val="3333CC"/>
          <w:u w:val="none"/>
        </w:rPr>
        <w:t xml:space="preserve"> LAB MEDIA: Figure 4.</w:t>
      </w:r>
    </w:p>
    <w:p w14:paraId="193E346E" w14:textId="77777777" w:rsidR="00915758" w:rsidRDefault="00915758">
      <w:pPr>
        <w:contextualSpacing/>
        <w:outlineLvl w:val="0"/>
        <w:rPr>
          <w:rFonts w:eastAsia="Times New Roman" w:cstheme="minorHAnsi"/>
          <w:b/>
        </w:rPr>
      </w:pPr>
    </w:p>
    <w:p w14:paraId="193E346F" w14:textId="77777777" w:rsidR="00915758" w:rsidRDefault="00915758">
      <w:pPr>
        <w:contextualSpacing/>
        <w:outlineLvl w:val="0"/>
        <w:rPr>
          <w:rFonts w:eastAsia="Times New Roman" w:cstheme="minorHAnsi"/>
          <w:b/>
        </w:rPr>
      </w:pPr>
    </w:p>
    <w:p w14:paraId="193E3470" w14:textId="77777777" w:rsidR="00915758"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193E347F" w14:textId="164DD3AC" w:rsidR="00915758" w:rsidRDefault="00000000" w:rsidP="00DD53F9">
      <w:pPr>
        <w:contextualSpacing/>
        <w:outlineLvl w:val="0"/>
        <w:rPr>
          <w:rFonts w:cstheme="minorHAnsi"/>
          <w:b/>
          <w:bCs/>
        </w:rPr>
      </w:pPr>
      <w:r>
        <w:rPr>
          <w:rFonts w:cstheme="minorHAnsi"/>
          <w:b/>
          <w:i/>
          <w:color w:val="0000FF"/>
        </w:rPr>
        <w:br w:type="page"/>
      </w:r>
      <w:r>
        <w:rPr>
          <w:rFonts w:cstheme="minorHAnsi"/>
          <w:b/>
          <w:bCs/>
        </w:rPr>
        <w:t>Ethics Title Card</w:t>
      </w:r>
    </w:p>
    <w:p w14:paraId="193E3480" w14:textId="5B5304C4" w:rsidR="00915758" w:rsidRDefault="00000000">
      <w:pPr>
        <w:pStyle w:val="ListParagraph"/>
        <w:spacing w:before="120" w:after="240"/>
        <w:ind w:left="360"/>
        <w:contextualSpacing w:val="0"/>
        <w:rPr>
          <w:rFonts w:cstheme="minorHAnsi"/>
          <w:b/>
          <w:i/>
          <w:color w:val="0000FF"/>
        </w:rPr>
      </w:pPr>
      <w:r>
        <w:rPr>
          <w:rFonts w:eastAsia="Times New Roman" w:cstheme="minorHAnsi"/>
        </w:rPr>
        <w:t xml:space="preserve">This research has been approved </w:t>
      </w:r>
      <w:r>
        <w:rPr>
          <w:rFonts w:ascii="Calibri" w:hAnsi="Calibri" w:cs="Calibri"/>
        </w:rPr>
        <w:t>by the ZJU-Laboratory Animal Welfare and Ethics Review Committee</w:t>
      </w:r>
      <w:r w:rsidR="00A7564A">
        <w:rPr>
          <w:rFonts w:ascii="Calibri" w:hAnsi="Calibri" w:cs="Calibri"/>
        </w:rPr>
        <w:t xml:space="preserve"> (</w:t>
      </w:r>
      <w:r w:rsidR="004B7A16">
        <w:rPr>
          <w:rFonts w:ascii="Calibri" w:hAnsi="Calibri" w:cs="Calibri"/>
        </w:rPr>
        <w:t xml:space="preserve">Protocol ID: </w:t>
      </w:r>
      <w:r w:rsidR="00A7564A">
        <w:rPr>
          <w:rFonts w:ascii="Calibri" w:hAnsi="Calibri" w:cs="Calibri"/>
        </w:rPr>
        <w:t>ZJU</w:t>
      </w:r>
      <w:r w:rsidR="004B7A16">
        <w:rPr>
          <w:rFonts w:ascii="Calibri" w:hAnsi="Calibri" w:cs="Calibri"/>
        </w:rPr>
        <w:t>20230155).</w:t>
      </w:r>
    </w:p>
    <w:p w14:paraId="193E3481" w14:textId="77777777" w:rsidR="00915758" w:rsidRDefault="00000000">
      <w:pPr>
        <w:contextualSpacing/>
        <w:outlineLvl w:val="0"/>
        <w:rPr>
          <w:rFonts w:eastAsia="Times New Roman" w:cstheme="minorHAnsi"/>
          <w:b/>
        </w:rPr>
      </w:pPr>
      <w:r>
        <w:rPr>
          <w:rFonts w:eastAsia="Times New Roman" w:cstheme="minorHAnsi"/>
          <w:b/>
        </w:rPr>
        <w:br w:type="page"/>
      </w:r>
    </w:p>
    <w:p w14:paraId="193E3488" w14:textId="2904991E" w:rsidR="00915758" w:rsidRDefault="00000000" w:rsidP="00DD53F9">
      <w:pPr>
        <w:pStyle w:val="Heading1"/>
        <w:rPr>
          <w:rFonts w:cstheme="minorHAnsi"/>
          <w:lang w:eastAsia="zh-TW"/>
        </w:rPr>
      </w:pPr>
      <w:r>
        <w:rPr>
          <w:rFonts w:cstheme="minorHAnsi"/>
        </w:rPr>
        <w:t xml:space="preserve">Protocol  </w:t>
      </w:r>
    </w:p>
    <w:p w14:paraId="24BBCC10" w14:textId="77777777" w:rsidR="00390B5E" w:rsidRPr="00390B5E" w:rsidRDefault="00390B5E" w:rsidP="00390B5E">
      <w:pPr>
        <w:shd w:val="clear" w:color="auto" w:fill="FFFFFF"/>
        <w:spacing w:before="120"/>
        <w:rPr>
          <w:rFonts w:ascii="Calibri" w:eastAsia="Times New Roman" w:hAnsi="Calibri" w:cs="Calibri"/>
          <w:b/>
          <w:bCs/>
          <w:color w:val="000000"/>
          <w:highlight w:val="yellow"/>
          <w:lang w:eastAsia="en-IN"/>
        </w:rPr>
      </w:pPr>
      <w:r w:rsidRPr="00390B5E">
        <w:rPr>
          <w:rFonts w:ascii="Calibri" w:eastAsia="Times New Roman" w:hAnsi="Calibri" w:cs="Calibri"/>
          <w:b/>
          <w:bCs/>
          <w:color w:val="000000"/>
          <w:highlight w:val="yellow"/>
          <w:lang w:eastAsia="en-IN"/>
        </w:rPr>
        <w:t xml:space="preserve">NOTE to Authors: </w:t>
      </w:r>
      <w:bookmarkStart w:id="2" w:name="_Hlk164261745"/>
      <w:r w:rsidRPr="00390B5E">
        <w:rPr>
          <w:rFonts w:ascii="Calibri" w:hAnsi="Calibri" w:cs="Calibri"/>
          <w:color w:val="0D0D0D"/>
          <w:highlight w:val="yellow"/>
          <w:shd w:val="clear" w:color="auto" w:fill="FFFFFF"/>
        </w:rPr>
        <w:t xml:space="preserve">Please consider the following key points for shots involving </w:t>
      </w:r>
      <w:r w:rsidRPr="00390B5E">
        <w:rPr>
          <w:rFonts w:ascii="Calibri" w:hAnsi="Calibri" w:cs="Calibri"/>
          <w:b/>
          <w:bCs/>
          <w:color w:val="0D0D0D"/>
          <w:highlight w:val="yellow"/>
          <w:shd w:val="clear" w:color="auto" w:fill="FFFFFF"/>
        </w:rPr>
        <w:t>live animals/survival surgery</w:t>
      </w:r>
      <w:r w:rsidRPr="00390B5E">
        <w:rPr>
          <w:rFonts w:ascii="Calibri" w:hAnsi="Calibri" w:cs="Calibri"/>
          <w:color w:val="0D0D0D"/>
          <w:highlight w:val="yellow"/>
          <w:shd w:val="clear" w:color="auto" w:fill="FFFFFF"/>
        </w:rPr>
        <w:t xml:space="preserve"> (as</w:t>
      </w:r>
      <w:r w:rsidRPr="00390B5E">
        <w:rPr>
          <w:rFonts w:ascii="Calibri" w:eastAsia="Times New Roman" w:hAnsi="Calibri" w:cs="Calibri"/>
          <w:b/>
          <w:bCs/>
          <w:color w:val="000000"/>
          <w:highlight w:val="yellow"/>
          <w:lang w:eastAsia="en-IN"/>
        </w:rPr>
        <w:t xml:space="preserve"> </w:t>
      </w:r>
      <w:r w:rsidRPr="00390B5E">
        <w:rPr>
          <w:rFonts w:ascii="Calibri" w:hAnsi="Calibri" w:cs="Calibri"/>
          <w:color w:val="0D0D0D"/>
          <w:highlight w:val="yellow"/>
          <w:shd w:val="clear" w:color="auto" w:fill="FFFFFF"/>
        </w:rPr>
        <w:t xml:space="preserve">applicable) to avoid raising concerns by </w:t>
      </w:r>
      <w:proofErr w:type="spellStart"/>
      <w:r w:rsidRPr="00390B5E">
        <w:rPr>
          <w:rFonts w:ascii="Calibri" w:hAnsi="Calibri" w:cs="Calibri"/>
          <w:color w:val="0D0D0D"/>
          <w:highlight w:val="yellow"/>
          <w:shd w:val="clear" w:color="auto" w:fill="FFFFFF"/>
        </w:rPr>
        <w:t>JoVE’s</w:t>
      </w:r>
      <w:proofErr w:type="spellEnd"/>
      <w:r w:rsidRPr="00390B5E">
        <w:rPr>
          <w:rFonts w:ascii="Calibri" w:hAnsi="Calibri" w:cs="Calibri"/>
          <w:color w:val="0D0D0D"/>
          <w:highlight w:val="yellow"/>
          <w:shd w:val="clear" w:color="auto" w:fill="FFFFFF"/>
        </w:rPr>
        <w:t xml:space="preserve"> veterinary reviewers.</w:t>
      </w:r>
      <w:bookmarkEnd w:id="2"/>
    </w:p>
    <w:p w14:paraId="53905522" w14:textId="77777777" w:rsidR="00390B5E" w:rsidRPr="00390B5E" w:rsidRDefault="00390B5E" w:rsidP="00390B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390B5E">
        <w:rPr>
          <w:rFonts w:ascii="Calibri" w:eastAsia="Times New Roman" w:hAnsi="Calibri" w:cs="Calibri"/>
          <w:color w:val="000000"/>
          <w:highlight w:val="yellow"/>
          <w:lang w:eastAsia="en-IN"/>
        </w:rPr>
        <w:t>If lifting the animal by the tail, hold it close to the tail base, not far from it.</w:t>
      </w:r>
    </w:p>
    <w:p w14:paraId="631ED297" w14:textId="77777777" w:rsidR="00390B5E" w:rsidRPr="00390B5E" w:rsidRDefault="00390B5E" w:rsidP="00390B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390B5E">
        <w:rPr>
          <w:rFonts w:ascii="Calibri" w:eastAsia="Times New Roman" w:hAnsi="Calibri" w:cs="Calibri"/>
          <w:color w:val="000000"/>
          <w:highlight w:val="yellow"/>
          <w:lang w:eastAsia="en-IN"/>
        </w:rPr>
        <w:t xml:space="preserve">Shave </w:t>
      </w:r>
      <w:r w:rsidRPr="00390B5E">
        <w:rPr>
          <w:rFonts w:ascii="Calibri" w:eastAsia="Times New Roman" w:hAnsi="Calibri" w:cs="Calibri"/>
          <w:b/>
          <w:bCs/>
          <w:color w:val="000000"/>
          <w:highlight w:val="yellow"/>
          <w:lang w:eastAsia="en-IN"/>
        </w:rPr>
        <w:t>150%</w:t>
      </w:r>
      <w:r w:rsidRPr="00390B5E">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3081D182" w14:textId="77777777" w:rsidR="00390B5E" w:rsidRPr="00390B5E" w:rsidRDefault="00390B5E" w:rsidP="00390B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390B5E">
        <w:rPr>
          <w:rFonts w:ascii="Calibri" w:eastAsia="Times New Roman" w:hAnsi="Calibri" w:cs="Calibri"/>
          <w:color w:val="000000"/>
          <w:highlight w:val="yellow"/>
          <w:lang w:eastAsia="en-IN"/>
        </w:rPr>
        <w:t>Prep the surgical site with both iodine-based scrubs and alcohol.</w:t>
      </w:r>
    </w:p>
    <w:p w14:paraId="7F4F3C38" w14:textId="77777777" w:rsidR="00390B5E" w:rsidRPr="00390B5E" w:rsidRDefault="00390B5E" w:rsidP="00390B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390B5E">
        <w:rPr>
          <w:rFonts w:ascii="Calibri" w:eastAsia="Times New Roman" w:hAnsi="Calibri" w:cs="Calibri"/>
          <w:color w:val="000000"/>
          <w:highlight w:val="yellow"/>
          <w:lang w:eastAsia="en-IN"/>
        </w:rPr>
        <w:t xml:space="preserve">Use </w:t>
      </w:r>
      <w:r w:rsidRPr="00390B5E">
        <w:rPr>
          <w:rFonts w:ascii="Calibri" w:eastAsia="Times New Roman" w:hAnsi="Calibri" w:cs="Calibri"/>
          <w:b/>
          <w:bCs/>
          <w:color w:val="000000"/>
          <w:highlight w:val="yellow"/>
          <w:lang w:eastAsia="en-IN"/>
        </w:rPr>
        <w:t>sterile gloves only</w:t>
      </w:r>
      <w:r w:rsidRPr="00390B5E">
        <w:rPr>
          <w:rFonts w:ascii="Calibri" w:eastAsia="Times New Roman" w:hAnsi="Calibri" w:cs="Calibri"/>
          <w:color w:val="000000"/>
          <w:highlight w:val="yellow"/>
          <w:lang w:eastAsia="en-IN"/>
        </w:rPr>
        <w:t xml:space="preserve"> for surgery (not examination or non-sterile gloves).</w:t>
      </w:r>
    </w:p>
    <w:p w14:paraId="4AC8277B" w14:textId="77777777" w:rsidR="00390B5E" w:rsidRPr="00390B5E" w:rsidRDefault="00390B5E" w:rsidP="00390B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390B5E">
        <w:rPr>
          <w:rFonts w:ascii="Calibri" w:eastAsia="Times New Roman" w:hAnsi="Calibri" w:cs="Calibri"/>
          <w:color w:val="000000"/>
          <w:highlight w:val="yellow"/>
          <w:lang w:eastAsia="en-IN"/>
        </w:rPr>
        <w:t>Make skin incisions with a surgical blade, not scissors.</w:t>
      </w:r>
    </w:p>
    <w:p w14:paraId="1EC7A3DD" w14:textId="6C671CC8" w:rsidR="00390B5E" w:rsidRPr="00390B5E" w:rsidRDefault="00390B5E" w:rsidP="00390B5E">
      <w:pPr>
        <w:pStyle w:val="ListParagraph"/>
        <w:numPr>
          <w:ilvl w:val="0"/>
          <w:numId w:val="5"/>
        </w:numPr>
        <w:shd w:val="clear" w:color="auto" w:fill="FFFFFF"/>
        <w:spacing w:before="120"/>
        <w:rPr>
          <w:rFonts w:ascii="Calibri" w:eastAsia="Times New Roman" w:hAnsi="Calibri" w:cs="Calibri"/>
          <w:b/>
          <w:bCs/>
          <w:color w:val="000000"/>
          <w:lang w:eastAsia="en-IN"/>
        </w:rPr>
      </w:pPr>
      <w:r w:rsidRPr="00390B5E">
        <w:rPr>
          <w:rFonts w:ascii="Calibri" w:eastAsia="Times New Roman" w:hAnsi="Calibri" w:cs="Calibri"/>
          <w:color w:val="000000"/>
          <w:highlight w:val="yellow"/>
          <w:lang w:eastAsia="en-IN"/>
        </w:rPr>
        <w:t>Avoid using silk thread for closing skin incisions in survival surgeries.</w:t>
      </w:r>
    </w:p>
    <w:p w14:paraId="2FFA2386" w14:textId="77777777" w:rsidR="00390B5E" w:rsidRDefault="00390B5E" w:rsidP="00390B5E">
      <w:pPr>
        <w:pStyle w:val="ListParagraph"/>
        <w:shd w:val="clear" w:color="auto" w:fill="FFFFFF"/>
        <w:spacing w:before="120"/>
        <w:rPr>
          <w:rFonts w:ascii="Calibri" w:eastAsia="Times New Roman" w:hAnsi="Calibri" w:cs="Calibri"/>
          <w:color w:val="000000"/>
          <w:lang w:eastAsia="en-IN"/>
        </w:rPr>
      </w:pPr>
    </w:p>
    <w:p w14:paraId="4CAABC5E" w14:textId="77777777" w:rsidR="00390B5E" w:rsidRPr="00390B5E" w:rsidRDefault="00390B5E" w:rsidP="00390B5E">
      <w:pPr>
        <w:pStyle w:val="ListParagraph"/>
        <w:shd w:val="clear" w:color="auto" w:fill="FFFFFF"/>
        <w:spacing w:before="120"/>
        <w:rPr>
          <w:rFonts w:ascii="Calibri" w:eastAsia="Times New Roman" w:hAnsi="Calibri" w:cs="Calibri"/>
          <w:b/>
          <w:bCs/>
          <w:color w:val="000000"/>
          <w:lang w:eastAsia="en-IN"/>
        </w:rPr>
      </w:pPr>
    </w:p>
    <w:p w14:paraId="193E3489" w14:textId="489888DF" w:rsidR="00915758" w:rsidRDefault="00000000">
      <w:pPr>
        <w:pStyle w:val="ListParagraph"/>
        <w:numPr>
          <w:ilvl w:val="0"/>
          <w:numId w:val="2"/>
        </w:numPr>
        <w:spacing w:before="120"/>
        <w:contextualSpacing w:val="0"/>
        <w:rPr>
          <w:rFonts w:cstheme="minorHAnsi"/>
          <w:b/>
          <w:bCs/>
        </w:rPr>
      </w:pPr>
      <w:r>
        <w:rPr>
          <w:rFonts w:ascii="Calibri" w:hAnsi="Calibri" w:cs="Calibri"/>
          <w:b/>
          <w:bCs/>
        </w:rPr>
        <w:t>Preparation of Cancer Cells for Injection</w:t>
      </w:r>
    </w:p>
    <w:p w14:paraId="790FF93A" w14:textId="74D91F74" w:rsidR="00390B5E" w:rsidRPr="00390B5E" w:rsidRDefault="00000000" w:rsidP="00390B5E">
      <w:pPr>
        <w:pStyle w:val="ListParagraph"/>
        <w:spacing w:before="120"/>
        <w:ind w:left="360"/>
        <w:contextualSpacing w:val="0"/>
        <w:rPr>
          <w:rFonts w:cstheme="minorHAnsi"/>
        </w:rPr>
      </w:pPr>
      <w:r>
        <w:rPr>
          <w:rFonts w:cstheme="minorHAnsi"/>
          <w:b/>
          <w:bCs/>
        </w:rPr>
        <w:t xml:space="preserve">Demonstrator: </w:t>
      </w:r>
      <w:r>
        <w:rPr>
          <w:rFonts w:ascii="Calibri" w:eastAsia="DengXian" w:hAnsi="Calibri" w:cs="Calibri"/>
          <w:kern w:val="24"/>
        </w:rPr>
        <w:t>Xiaoyi Wang</w:t>
      </w:r>
      <w:r>
        <w:rPr>
          <w:rFonts w:cstheme="minorHAnsi"/>
        </w:rPr>
        <w:t xml:space="preserve"> </w:t>
      </w:r>
    </w:p>
    <w:p w14:paraId="193E348D" w14:textId="77777777" w:rsidR="00915758" w:rsidRPr="00DD53F9" w:rsidRDefault="00915758" w:rsidP="00DD53F9">
      <w:pPr>
        <w:spacing w:before="120"/>
        <w:rPr>
          <w:rFonts w:cstheme="minorHAnsi"/>
        </w:rPr>
      </w:pPr>
    </w:p>
    <w:p w14:paraId="193E348E" w14:textId="72C54307" w:rsidR="00915758" w:rsidRDefault="00000000">
      <w:pPr>
        <w:pStyle w:val="Narration"/>
        <w:numPr>
          <w:ilvl w:val="1"/>
          <w:numId w:val="2"/>
        </w:numPr>
      </w:pPr>
      <w:r>
        <w:t>To begin, take one million Lewis lung carcinoma or LLC1</w:t>
      </w:r>
      <w:r w:rsidR="00977A09">
        <w:t xml:space="preserve"> </w:t>
      </w:r>
      <w:r w:rsidR="00977A09" w:rsidRPr="00977A09">
        <w:rPr>
          <w:i/>
          <w:iCs/>
          <w:color w:val="EE0000"/>
        </w:rPr>
        <w:t>(L-L-C-one)</w:t>
      </w:r>
      <w:r w:rsidRPr="00977A09">
        <w:rPr>
          <w:color w:val="EE0000"/>
        </w:rPr>
        <w:t xml:space="preserve"> </w:t>
      </w:r>
      <w:r>
        <w:t>cells in DMEM</w:t>
      </w:r>
      <w:r w:rsidR="00977A09">
        <w:t xml:space="preserve"> </w:t>
      </w:r>
      <w:r w:rsidR="00977A09" w:rsidRPr="00977A09">
        <w:rPr>
          <w:i/>
          <w:iCs/>
          <w:color w:val="EE0000"/>
        </w:rPr>
        <w:t>(D-M-E-M)</w:t>
      </w:r>
      <w:r>
        <w:t xml:space="preserve"> supplemented with 10% fetal bovine serum and 0.1 milligram per milliliter penicillin-streptomycin </w:t>
      </w:r>
      <w:r>
        <w:rPr>
          <w:b/>
          <w:bCs/>
        </w:rPr>
        <w:t>[1]</w:t>
      </w:r>
      <w:r>
        <w:t xml:space="preserve"> and culture at 37 degrees Celsius in a 5% carbon dioxide incubator </w:t>
      </w:r>
      <w:r>
        <w:rPr>
          <w:b/>
        </w:rPr>
        <w:t>[2]</w:t>
      </w:r>
      <w:r>
        <w:t xml:space="preserve">. When cells reach 70 to 90 percent confluency </w:t>
      </w:r>
      <w:r>
        <w:rPr>
          <w:b/>
          <w:bCs/>
        </w:rPr>
        <w:t>[3]</w:t>
      </w:r>
      <w:r>
        <w:t xml:space="preserve">, use 2 milliliters of 0.25 percent Trypsin-EDTA solution to </w:t>
      </w:r>
      <w:proofErr w:type="spellStart"/>
      <w:r>
        <w:t>trypsinize</w:t>
      </w:r>
      <w:proofErr w:type="spellEnd"/>
      <w:r>
        <w:t xml:space="preserve"> them for 1 minute </w:t>
      </w:r>
      <w:r>
        <w:rPr>
          <w:b/>
        </w:rPr>
        <w:t>[4]</w:t>
      </w:r>
      <w:r>
        <w:t xml:space="preserve">. Centrifuge the cells at 300 </w:t>
      </w:r>
      <w:r>
        <w:rPr>
          <w:i/>
          <w:iCs/>
        </w:rPr>
        <w:t xml:space="preserve">g </w:t>
      </w:r>
      <w:r>
        <w:t xml:space="preserve">for 3 minutes </w:t>
      </w:r>
      <w:r>
        <w:rPr>
          <w:b/>
        </w:rPr>
        <w:t>[5]</w:t>
      </w:r>
      <w:r>
        <w:t xml:space="preserve">, wash them twice with ice-cold PBS </w:t>
      </w:r>
      <w:r>
        <w:rPr>
          <w:b/>
        </w:rPr>
        <w:t>[6]</w:t>
      </w:r>
      <w:r>
        <w:t xml:space="preserve">, and re-suspend them in 1 milliliter of PBS </w:t>
      </w:r>
      <w:r>
        <w:rPr>
          <w:b/>
        </w:rPr>
        <w:t>[7]</w:t>
      </w:r>
      <w:r>
        <w:t>.</w:t>
      </w:r>
    </w:p>
    <w:p w14:paraId="193E348F" w14:textId="77777777" w:rsidR="00915758" w:rsidRDefault="00915758"/>
    <w:p w14:paraId="193E3490" w14:textId="1EFDD32E" w:rsidR="00915758" w:rsidRDefault="00000000">
      <w:pPr>
        <w:pStyle w:val="ShotDescription"/>
        <w:numPr>
          <w:ilvl w:val="2"/>
          <w:numId w:val="2"/>
        </w:numPr>
      </w:pPr>
      <w:r>
        <w:t xml:space="preserve">WIDE: </w:t>
      </w:r>
      <w:r>
        <w:t xml:space="preserve">Talent adding LLC1 cells in a cell culture </w:t>
      </w:r>
      <w:r>
        <w:rPr>
          <w:rFonts w:eastAsia="SimSun" w:hint="eastAsia"/>
          <w:lang w:eastAsia="zh-CN"/>
        </w:rPr>
        <w:t>dish</w:t>
      </w:r>
      <w:r>
        <w:t xml:space="preserve"> containing DMEM supplemented with 10% fetal bovine serum and penicillin-streptomycin</w:t>
      </w:r>
      <w:r w:rsidR="00DD53F9">
        <w:t>.</w:t>
      </w:r>
      <w:r>
        <w:t xml:space="preserve"> </w:t>
      </w:r>
    </w:p>
    <w:p w14:paraId="193E3491" w14:textId="3E3A5F28" w:rsidR="00915758" w:rsidRDefault="00000000">
      <w:pPr>
        <w:pStyle w:val="ShotDescription"/>
        <w:numPr>
          <w:ilvl w:val="2"/>
          <w:numId w:val="2"/>
        </w:numPr>
      </w:pPr>
      <w:r>
        <w:t xml:space="preserve">Talent placing the </w:t>
      </w:r>
      <w:r>
        <w:rPr>
          <w:rFonts w:eastAsia="SimSun" w:hint="eastAsia"/>
          <w:lang w:eastAsia="zh-CN"/>
        </w:rPr>
        <w:t>dish</w:t>
      </w:r>
      <w:r>
        <w:t xml:space="preserve"> with cultured cells into the incubator.</w:t>
      </w:r>
    </w:p>
    <w:p w14:paraId="193E3492" w14:textId="77777777" w:rsidR="00915758" w:rsidRDefault="00000000">
      <w:pPr>
        <w:pStyle w:val="ShotDescription"/>
        <w:numPr>
          <w:ilvl w:val="2"/>
          <w:numId w:val="2"/>
        </w:numPr>
      </w:pPr>
      <w:r>
        <w:t>A shot of the 70 to 90 percent confluent cells.</w:t>
      </w:r>
    </w:p>
    <w:p w14:paraId="193E3493" w14:textId="66FC9F96" w:rsidR="00915758" w:rsidRDefault="00000000">
      <w:pPr>
        <w:pStyle w:val="ShotDescription"/>
        <w:numPr>
          <w:ilvl w:val="2"/>
          <w:numId w:val="2"/>
        </w:numPr>
      </w:pPr>
      <w:r>
        <w:t xml:space="preserve">Talent adding Trypsin-EDTA solution to the </w:t>
      </w:r>
      <w:r>
        <w:rPr>
          <w:rFonts w:eastAsia="SimSun" w:hint="eastAsia"/>
          <w:lang w:eastAsia="zh-CN"/>
        </w:rPr>
        <w:t>dish</w:t>
      </w:r>
      <w:r>
        <w:t xml:space="preserve">.  </w:t>
      </w:r>
    </w:p>
    <w:p w14:paraId="193E3494" w14:textId="77777777" w:rsidR="00915758" w:rsidRDefault="00000000">
      <w:pPr>
        <w:pStyle w:val="ShotDescription"/>
        <w:numPr>
          <w:ilvl w:val="2"/>
          <w:numId w:val="2"/>
        </w:numPr>
      </w:pPr>
      <w:r>
        <w:t xml:space="preserve">Talent placing the cells in the centrifuge.  </w:t>
      </w:r>
    </w:p>
    <w:p w14:paraId="193E3495" w14:textId="77777777" w:rsidR="00915758" w:rsidRDefault="00000000">
      <w:pPr>
        <w:pStyle w:val="ShotDescription"/>
        <w:numPr>
          <w:ilvl w:val="2"/>
          <w:numId w:val="2"/>
        </w:numPr>
      </w:pPr>
      <w:r>
        <w:t xml:space="preserve">Talent pipetting ice-cold PBS to wash the cell pellet.  </w:t>
      </w:r>
    </w:p>
    <w:p w14:paraId="193E3496" w14:textId="77777777" w:rsidR="00915758" w:rsidRDefault="00000000">
      <w:pPr>
        <w:pStyle w:val="ShotDescription"/>
        <w:numPr>
          <w:ilvl w:val="2"/>
          <w:numId w:val="2"/>
        </w:numPr>
      </w:pPr>
      <w:r>
        <w:t>Talent re-suspending the washed pellet in PBS.</w:t>
      </w:r>
    </w:p>
    <w:p w14:paraId="193E3497" w14:textId="77777777" w:rsidR="00915758" w:rsidRDefault="00915758"/>
    <w:p w14:paraId="193E3498" w14:textId="77777777" w:rsidR="00915758" w:rsidRDefault="00000000">
      <w:pPr>
        <w:pStyle w:val="Narration"/>
        <w:numPr>
          <w:ilvl w:val="1"/>
          <w:numId w:val="2"/>
        </w:numPr>
      </w:pPr>
      <w:r>
        <w:t xml:space="preserve">Using a hemocytometer and Trypan Blue solution, assess the concentration of viable cells </w:t>
      </w:r>
      <w:r>
        <w:rPr>
          <w:b/>
        </w:rPr>
        <w:t>[1-TXT]</w:t>
      </w:r>
      <w:r>
        <w:t xml:space="preserve">. Then, adjust the concentration to two million cells per milliliter in ice-cold PBS </w:t>
      </w:r>
      <w:r>
        <w:rPr>
          <w:b/>
        </w:rPr>
        <w:t>[2]</w:t>
      </w:r>
      <w:r>
        <w:t>.</w:t>
      </w:r>
    </w:p>
    <w:p w14:paraId="193E3499" w14:textId="77777777" w:rsidR="00915758" w:rsidRDefault="00915758"/>
    <w:p w14:paraId="193E349A" w14:textId="77777777" w:rsidR="00915758" w:rsidRDefault="00000000">
      <w:pPr>
        <w:pStyle w:val="ShotDescription"/>
        <w:numPr>
          <w:ilvl w:val="2"/>
          <w:numId w:val="2"/>
        </w:numPr>
      </w:pPr>
      <w:r>
        <w:t xml:space="preserve">Talent loading the cell suspension mixed with Trypan Blue into a hemocytometer. </w:t>
      </w:r>
      <w:r>
        <w:rPr>
          <w:b/>
          <w:bCs/>
        </w:rPr>
        <w:t>TXT: Ensure the cell viability is &gt;90%, with most of the cells being single</w:t>
      </w:r>
    </w:p>
    <w:p w14:paraId="193E349B" w14:textId="77777777" w:rsidR="00915758" w:rsidRDefault="00000000">
      <w:pPr>
        <w:pStyle w:val="ShotDescription"/>
        <w:numPr>
          <w:ilvl w:val="2"/>
          <w:numId w:val="2"/>
        </w:numPr>
      </w:pPr>
      <w:r>
        <w:t>Talent adjusting the concentration by pipetting and diluting with PBS.</w:t>
      </w:r>
    </w:p>
    <w:p w14:paraId="193E349C" w14:textId="77777777" w:rsidR="00915758" w:rsidRDefault="00915758"/>
    <w:p w14:paraId="193E349D" w14:textId="77777777" w:rsidR="00915758" w:rsidRDefault="00000000">
      <w:pPr>
        <w:pStyle w:val="Narration"/>
        <w:numPr>
          <w:ilvl w:val="1"/>
          <w:numId w:val="2"/>
        </w:numPr>
      </w:pPr>
      <w:r>
        <w:t xml:space="preserve">Aliquot 50 microliters of the adjusted cell suspension into separate microcentrifuge tubes to minimize repetitive pipetting </w:t>
      </w:r>
      <w:r>
        <w:rPr>
          <w:b/>
        </w:rPr>
        <w:t>[1]</w:t>
      </w:r>
      <w:r>
        <w:t xml:space="preserve"> and keep the cell </w:t>
      </w:r>
      <w:proofErr w:type="gramStart"/>
      <w:r>
        <w:t>suspensions</w:t>
      </w:r>
      <w:proofErr w:type="gramEnd"/>
      <w:r>
        <w:t xml:space="preserve"> on ice until ready for injection </w:t>
      </w:r>
      <w:r>
        <w:rPr>
          <w:b/>
          <w:bCs/>
        </w:rPr>
        <w:t>[2-TXT]</w:t>
      </w:r>
      <w:r>
        <w:t>.</w:t>
      </w:r>
    </w:p>
    <w:p w14:paraId="193E349E" w14:textId="77777777" w:rsidR="00915758" w:rsidRDefault="00915758"/>
    <w:p w14:paraId="193E349F" w14:textId="77777777" w:rsidR="00915758" w:rsidRDefault="00000000">
      <w:pPr>
        <w:pStyle w:val="ShotDescription"/>
        <w:numPr>
          <w:ilvl w:val="2"/>
          <w:numId w:val="2"/>
        </w:numPr>
      </w:pPr>
      <w:r>
        <w:t>Talent aliquoting 50 microliters of the adjusted cell suspension into a separate microcentrifuge tube.</w:t>
      </w:r>
    </w:p>
    <w:p w14:paraId="193E34A0" w14:textId="77777777" w:rsidR="00915758" w:rsidRDefault="00000000">
      <w:pPr>
        <w:pStyle w:val="ShotDescription"/>
        <w:numPr>
          <w:ilvl w:val="2"/>
          <w:numId w:val="2"/>
        </w:numPr>
      </w:pPr>
      <w:r>
        <w:t xml:space="preserve">Talent placing microcentrifuge tube containing cell suspension onto ice. </w:t>
      </w:r>
      <w:r>
        <w:rPr>
          <w:b/>
          <w:bCs/>
        </w:rPr>
        <w:t xml:space="preserve">TXT: 10 µL of GFP-Luciferase-labeled LLC1 cells per mouse </w:t>
      </w:r>
      <w:proofErr w:type="gramStart"/>
      <w:r>
        <w:rPr>
          <w:b/>
          <w:bCs/>
        </w:rPr>
        <w:t>is</w:t>
      </w:r>
      <w:proofErr w:type="gramEnd"/>
      <w:r>
        <w:rPr>
          <w:b/>
          <w:bCs/>
        </w:rPr>
        <w:t xml:space="preserve"> used here for injection</w:t>
      </w:r>
    </w:p>
    <w:p w14:paraId="193E34A1" w14:textId="77777777" w:rsidR="00915758" w:rsidRDefault="00915758">
      <w:pPr>
        <w:pStyle w:val="ShotDescription"/>
        <w:ind w:firstLine="0"/>
      </w:pPr>
    </w:p>
    <w:p w14:paraId="193E34A2" w14:textId="77777777" w:rsidR="00915758" w:rsidRDefault="00915758"/>
    <w:p w14:paraId="193E34A4" w14:textId="453FFA19" w:rsidR="00915758" w:rsidRPr="00DD53F9" w:rsidRDefault="00000000" w:rsidP="00DD53F9">
      <w:pPr>
        <w:pStyle w:val="ListParagraph"/>
        <w:numPr>
          <w:ilvl w:val="0"/>
          <w:numId w:val="2"/>
        </w:numPr>
        <w:jc w:val="both"/>
      </w:pPr>
      <w:r>
        <w:rPr>
          <w:rFonts w:ascii="Calibri" w:hAnsi="Calibri" w:cs="Calibri"/>
          <w:b/>
        </w:rPr>
        <w:t>Mice Preparation for the Cisterna Magna Injection</w:t>
      </w:r>
    </w:p>
    <w:p w14:paraId="193E34A5" w14:textId="77777777" w:rsidR="00915758" w:rsidRDefault="00915758">
      <w:pPr>
        <w:pStyle w:val="ListParagraph"/>
        <w:ind w:left="360"/>
        <w:jc w:val="both"/>
      </w:pPr>
    </w:p>
    <w:p w14:paraId="193E34A6" w14:textId="77777777" w:rsidR="00915758" w:rsidRDefault="00000000">
      <w:pPr>
        <w:pStyle w:val="Narration"/>
        <w:numPr>
          <w:ilvl w:val="1"/>
          <w:numId w:val="2"/>
        </w:numPr>
      </w:pPr>
      <w:r>
        <w:t xml:space="preserve">After shaving the fur from the posterior occipital region of the mouse </w:t>
      </w:r>
      <w:r>
        <w:rPr>
          <w:b/>
          <w:bCs/>
        </w:rPr>
        <w:t>[1-TXT]</w:t>
      </w:r>
      <w:r>
        <w:t xml:space="preserve">, apply a depilatory cream to completely remove any remaining fur from the same region </w:t>
      </w:r>
      <w:r>
        <w:rPr>
          <w:b/>
        </w:rPr>
        <w:t>[2]</w:t>
      </w:r>
      <w:r>
        <w:t>.</w:t>
      </w:r>
    </w:p>
    <w:p w14:paraId="193E34A7" w14:textId="77777777" w:rsidR="00915758" w:rsidRDefault="00915758"/>
    <w:p w14:paraId="193E34A8" w14:textId="3978E7B3" w:rsidR="00915758" w:rsidRDefault="00000000">
      <w:pPr>
        <w:pStyle w:val="ShotDescription"/>
        <w:numPr>
          <w:ilvl w:val="2"/>
          <w:numId w:val="2"/>
        </w:numPr>
      </w:pPr>
      <w:r>
        <w:t xml:space="preserve">A shot of the shaved posterior occipital region of the mouse. </w:t>
      </w:r>
      <w:r>
        <w:rPr>
          <w:b/>
          <w:bCs/>
        </w:rPr>
        <w:t xml:space="preserve">TXT: Anesthesia: 200 mg/kg 2% tribromoethanol, </w:t>
      </w:r>
      <w:r>
        <w:rPr>
          <w:rFonts w:hint="eastAsia"/>
          <w:b/>
          <w:bCs/>
        </w:rPr>
        <w:t>intraperitoneally</w:t>
      </w:r>
    </w:p>
    <w:p w14:paraId="193E34A9" w14:textId="77777777" w:rsidR="00915758" w:rsidRDefault="00000000">
      <w:pPr>
        <w:pStyle w:val="ShotDescription"/>
        <w:numPr>
          <w:ilvl w:val="2"/>
          <w:numId w:val="2"/>
        </w:numPr>
      </w:pPr>
      <w:r>
        <w:t>Talent applying depilatory cream with a cotton swab to the shaved region and removing residual fur.</w:t>
      </w:r>
    </w:p>
    <w:p w14:paraId="193E34AA" w14:textId="77777777" w:rsidR="00915758" w:rsidRDefault="00915758"/>
    <w:p w14:paraId="193E34AB" w14:textId="049448EC" w:rsidR="00915758" w:rsidRDefault="00977A09">
      <w:pPr>
        <w:pStyle w:val="Narration"/>
        <w:numPr>
          <w:ilvl w:val="1"/>
          <w:numId w:val="2"/>
        </w:numPr>
      </w:pPr>
      <w:r w:rsidRPr="00977A09">
        <w:rPr>
          <w:bCs/>
        </w:rPr>
        <w:t>Place the mouse in a prone position, with its neck resting over a 15-milliliter centrifuge tube</w:t>
      </w:r>
      <w:r>
        <w:rPr>
          <w:b/>
        </w:rPr>
        <w:t xml:space="preserve"> </w:t>
      </w:r>
      <w:r w:rsidR="00000000">
        <w:rPr>
          <w:b/>
        </w:rPr>
        <w:t>[1]</w:t>
      </w:r>
      <w:r w:rsidR="00000000">
        <w:t xml:space="preserve">. Secure the head and lower back with tape </w:t>
      </w:r>
      <w:r w:rsidR="00000000">
        <w:rPr>
          <w:b/>
          <w:bCs/>
        </w:rPr>
        <w:t>[2]</w:t>
      </w:r>
      <w:r w:rsidR="00000000">
        <w:t xml:space="preserve"> and use the index finger to palpate the space between the occiput and the C1 vertebra </w:t>
      </w:r>
      <w:r w:rsidR="00000000">
        <w:rPr>
          <w:b/>
        </w:rPr>
        <w:t>[3]</w:t>
      </w:r>
      <w:r w:rsidR="00000000">
        <w:t>.</w:t>
      </w:r>
    </w:p>
    <w:p w14:paraId="193E34AC" w14:textId="77777777" w:rsidR="00915758" w:rsidRDefault="00915758"/>
    <w:p w14:paraId="193E34AD" w14:textId="77777777" w:rsidR="00915758" w:rsidRDefault="00000000">
      <w:pPr>
        <w:pStyle w:val="ShotDescription"/>
        <w:numPr>
          <w:ilvl w:val="2"/>
          <w:numId w:val="2"/>
        </w:numPr>
      </w:pPr>
      <w:r>
        <w:t xml:space="preserve">Talent gently positioning the mouse in a prone position with its neck resting on the centrifuge tube.  </w:t>
      </w:r>
    </w:p>
    <w:p w14:paraId="193E34AE" w14:textId="77777777" w:rsidR="00915758" w:rsidRDefault="00000000">
      <w:pPr>
        <w:pStyle w:val="ShotDescription"/>
        <w:numPr>
          <w:ilvl w:val="2"/>
          <w:numId w:val="2"/>
        </w:numPr>
      </w:pPr>
      <w:r>
        <w:t>Talent securing the head and lower back of the mouse with tape.</w:t>
      </w:r>
    </w:p>
    <w:p w14:paraId="193E34AF" w14:textId="77777777" w:rsidR="00915758" w:rsidRDefault="00000000">
      <w:pPr>
        <w:pStyle w:val="ShotDescription"/>
        <w:numPr>
          <w:ilvl w:val="2"/>
          <w:numId w:val="2"/>
        </w:numPr>
      </w:pPr>
      <w:r>
        <w:t>Talent locating the occiput-C1 gap with their index finger.</w:t>
      </w:r>
    </w:p>
    <w:p w14:paraId="193E34B0" w14:textId="77777777" w:rsidR="00915758" w:rsidRDefault="00915758"/>
    <w:p w14:paraId="193E34B1" w14:textId="77777777" w:rsidR="00915758" w:rsidRDefault="00000000">
      <w:pPr>
        <w:pStyle w:val="Narration"/>
        <w:numPr>
          <w:ilvl w:val="1"/>
          <w:numId w:val="2"/>
        </w:numPr>
      </w:pPr>
      <w:r>
        <w:t xml:space="preserve">Disinfect the posterior occipital region with three rounds of wiping using 75% ethanol-soaked sterile cotton swabs </w:t>
      </w:r>
      <w:r>
        <w:rPr>
          <w:b/>
        </w:rPr>
        <w:t>[1]</w:t>
      </w:r>
      <w:r>
        <w:t xml:space="preserve">, followed by cleaning with betadine surgical scrub </w:t>
      </w:r>
      <w:r>
        <w:rPr>
          <w:b/>
        </w:rPr>
        <w:t>[2]</w:t>
      </w:r>
      <w:r>
        <w:t xml:space="preserve">. Cover the non-sterile parts of the animal using a sterile drape </w:t>
      </w:r>
      <w:r>
        <w:rPr>
          <w:b/>
        </w:rPr>
        <w:t>[3]</w:t>
      </w:r>
      <w:r>
        <w:t>.</w:t>
      </w:r>
    </w:p>
    <w:p w14:paraId="193E34B2" w14:textId="77777777" w:rsidR="00915758" w:rsidRDefault="00915758"/>
    <w:p w14:paraId="193E34B3" w14:textId="77777777" w:rsidR="00915758" w:rsidRDefault="00000000">
      <w:pPr>
        <w:pStyle w:val="ShotDescription"/>
        <w:numPr>
          <w:ilvl w:val="2"/>
          <w:numId w:val="2"/>
        </w:numPr>
      </w:pPr>
      <w:r>
        <w:t xml:space="preserve">Talent wiping the posterior occipital region with ethanol-soaked cotton swabs.  </w:t>
      </w:r>
    </w:p>
    <w:p w14:paraId="193E34B4" w14:textId="77777777" w:rsidR="00915758" w:rsidRDefault="00000000">
      <w:pPr>
        <w:pStyle w:val="ShotDescription"/>
        <w:numPr>
          <w:ilvl w:val="2"/>
          <w:numId w:val="2"/>
        </w:numPr>
      </w:pPr>
      <w:r>
        <w:t xml:space="preserve">Talent applying betadine scrub over the disinfected area.  </w:t>
      </w:r>
    </w:p>
    <w:p w14:paraId="193E34B5" w14:textId="77777777" w:rsidR="00915758" w:rsidRDefault="00000000">
      <w:pPr>
        <w:pStyle w:val="ShotDescription"/>
        <w:numPr>
          <w:ilvl w:val="2"/>
          <w:numId w:val="2"/>
        </w:numPr>
      </w:pPr>
      <w:r>
        <w:t>Talent covering the rest of the animal with a sterile surgical drape.</w:t>
      </w:r>
    </w:p>
    <w:p w14:paraId="193E34B6" w14:textId="77777777" w:rsidR="00915758" w:rsidRDefault="00915758">
      <w:pPr>
        <w:pStyle w:val="ShotDescription"/>
        <w:ind w:firstLine="0"/>
      </w:pPr>
    </w:p>
    <w:p w14:paraId="193E34B8" w14:textId="58B2C270" w:rsidR="00915758" w:rsidRPr="00DD53F9" w:rsidRDefault="00000000" w:rsidP="00DD53F9">
      <w:pPr>
        <w:pStyle w:val="ShotDescription"/>
        <w:numPr>
          <w:ilvl w:val="0"/>
          <w:numId w:val="2"/>
        </w:numPr>
      </w:pPr>
      <w:r>
        <w:rPr>
          <w:b/>
        </w:rPr>
        <w:t>Cisterna Magna Injection Procedure and Assessment of Leptomeningeal Tumor Growth</w:t>
      </w:r>
      <w:r w:rsidRPr="00DD53F9">
        <w:rPr>
          <w:rFonts w:cstheme="minorHAnsi"/>
        </w:rPr>
        <w:t xml:space="preserve"> </w:t>
      </w:r>
    </w:p>
    <w:p w14:paraId="193E34B9" w14:textId="77777777" w:rsidR="00915758" w:rsidRDefault="00915758">
      <w:pPr>
        <w:pStyle w:val="ShotDescription"/>
        <w:ind w:left="360" w:firstLine="0"/>
      </w:pPr>
    </w:p>
    <w:p w14:paraId="193E34BA" w14:textId="77777777" w:rsidR="00915758" w:rsidRDefault="00915758"/>
    <w:p w14:paraId="193E34BB" w14:textId="77777777" w:rsidR="00915758" w:rsidRDefault="00000000">
      <w:pPr>
        <w:pStyle w:val="Narration"/>
        <w:numPr>
          <w:ilvl w:val="1"/>
          <w:numId w:val="2"/>
        </w:numPr>
      </w:pPr>
      <w:r>
        <w:t xml:space="preserve">Gently pipette the cell suspension and aspirate 10 microliters into a 31-gauge, 8-millimeter insulin syringe </w:t>
      </w:r>
      <w:r>
        <w:rPr>
          <w:b/>
        </w:rPr>
        <w:t>[1]</w:t>
      </w:r>
      <w:r>
        <w:t>.</w:t>
      </w:r>
    </w:p>
    <w:p w14:paraId="193E34BC" w14:textId="77777777" w:rsidR="00915758" w:rsidRDefault="00915758"/>
    <w:p w14:paraId="193E34BD" w14:textId="77777777" w:rsidR="00915758" w:rsidRDefault="00000000">
      <w:pPr>
        <w:pStyle w:val="ShotDescription"/>
        <w:numPr>
          <w:ilvl w:val="2"/>
          <w:numId w:val="2"/>
        </w:numPr>
      </w:pPr>
      <w:r>
        <w:t>Talent pipetting the cell suspension and aspirating 10 microliters into the insulin syringe.</w:t>
      </w:r>
    </w:p>
    <w:p w14:paraId="193E34BE" w14:textId="77777777" w:rsidR="00915758" w:rsidRDefault="00915758"/>
    <w:p w14:paraId="193E34BF" w14:textId="77777777" w:rsidR="00915758" w:rsidRDefault="00000000">
      <w:pPr>
        <w:pStyle w:val="Narration"/>
        <w:numPr>
          <w:ilvl w:val="1"/>
          <w:numId w:val="2"/>
        </w:numPr>
      </w:pPr>
      <w:r>
        <w:t xml:space="preserve">Palpate the space between the occiput and the C1 vertebra of the mouse using the index finger to locate the puncture site at the lower median margin of the posterior occipital skull </w:t>
      </w:r>
      <w:r>
        <w:rPr>
          <w:b/>
        </w:rPr>
        <w:t>[1-TXT]</w:t>
      </w:r>
      <w:r>
        <w:t>.</w:t>
      </w:r>
    </w:p>
    <w:p w14:paraId="193E34C0" w14:textId="77777777" w:rsidR="00915758" w:rsidRDefault="00915758"/>
    <w:p w14:paraId="193E34C1" w14:textId="77777777" w:rsidR="00915758" w:rsidRDefault="00000000">
      <w:pPr>
        <w:pStyle w:val="ShotDescription"/>
        <w:numPr>
          <w:ilvl w:val="2"/>
          <w:numId w:val="2"/>
        </w:numPr>
      </w:pPr>
      <w:r>
        <w:t xml:space="preserve">Talent palpating the space between the occiput and the C1 vertebra of the mouse using the index finger to locate the puncture site. </w:t>
      </w:r>
      <w:r>
        <w:rPr>
          <w:b/>
          <w:bCs/>
        </w:rPr>
        <w:t>TXT: Mark the puncture site if necessary</w:t>
      </w:r>
    </w:p>
    <w:p w14:paraId="193E34C2" w14:textId="77777777" w:rsidR="00915758" w:rsidRDefault="00915758"/>
    <w:p w14:paraId="193E34C3" w14:textId="77777777" w:rsidR="00915758" w:rsidRDefault="00000000">
      <w:pPr>
        <w:pStyle w:val="Narration"/>
        <w:numPr>
          <w:ilvl w:val="1"/>
          <w:numId w:val="2"/>
        </w:numPr>
      </w:pPr>
      <w:r>
        <w:t xml:space="preserve">Insert the needle at a 45 to 50-degree angle into the cisterna magna through the identified puncture site and advance to a depth of 4 millimeters </w:t>
      </w:r>
      <w:r>
        <w:rPr>
          <w:b/>
        </w:rPr>
        <w:t>[1]</w:t>
      </w:r>
      <w:r>
        <w:t>.</w:t>
      </w:r>
    </w:p>
    <w:p w14:paraId="193E34C4" w14:textId="77777777" w:rsidR="00915758" w:rsidRDefault="00915758"/>
    <w:p w14:paraId="193E34C5" w14:textId="77777777" w:rsidR="00915758" w:rsidRDefault="00000000">
      <w:pPr>
        <w:pStyle w:val="ShotDescription"/>
        <w:numPr>
          <w:ilvl w:val="2"/>
          <w:numId w:val="2"/>
        </w:numPr>
      </w:pPr>
      <w:r>
        <w:t>Talent holding the syringe at an angle and inserting the needle into the puncture site to the specified depth.</w:t>
      </w:r>
    </w:p>
    <w:p w14:paraId="193E34C6" w14:textId="77777777" w:rsidR="00915758" w:rsidRDefault="00915758"/>
    <w:p w14:paraId="193E34C7" w14:textId="77777777" w:rsidR="00915758" w:rsidRDefault="00000000">
      <w:pPr>
        <w:pStyle w:val="Narration"/>
        <w:numPr>
          <w:ilvl w:val="1"/>
          <w:numId w:val="2"/>
        </w:numPr>
      </w:pPr>
      <w:r>
        <w:t xml:space="preserve">Slowly inject the cell suspension by advancing the syringe plunger, keeping the syringe steady with the hand placed on the table </w:t>
      </w:r>
      <w:r>
        <w:rPr>
          <w:b/>
        </w:rPr>
        <w:t>[1]</w:t>
      </w:r>
      <w:r>
        <w:t>.</w:t>
      </w:r>
    </w:p>
    <w:p w14:paraId="193E34C8" w14:textId="77777777" w:rsidR="00915758" w:rsidRDefault="00915758"/>
    <w:p w14:paraId="193E34C9" w14:textId="77777777" w:rsidR="00915758" w:rsidRDefault="00000000">
      <w:pPr>
        <w:pStyle w:val="ShotDescription"/>
        <w:numPr>
          <w:ilvl w:val="2"/>
          <w:numId w:val="2"/>
        </w:numPr>
      </w:pPr>
      <w:r>
        <w:t>Talent slowly pushing the plunger with the syringe hand stabilized on the tabletop.</w:t>
      </w:r>
    </w:p>
    <w:p w14:paraId="193E34CA" w14:textId="77777777" w:rsidR="00915758" w:rsidRDefault="00915758"/>
    <w:p w14:paraId="193E34CB" w14:textId="77777777" w:rsidR="00915758" w:rsidRDefault="00000000">
      <w:pPr>
        <w:pStyle w:val="Narration"/>
        <w:numPr>
          <w:ilvl w:val="1"/>
          <w:numId w:val="2"/>
        </w:numPr>
      </w:pPr>
      <w:r>
        <w:t xml:space="preserve">After inoculation, hold the syringe in position for an additional 10 seconds to allow intracranial pressure to equilibrate </w:t>
      </w:r>
      <w:r>
        <w:rPr>
          <w:b/>
        </w:rPr>
        <w:t>[1]</w:t>
      </w:r>
      <w:r>
        <w:t xml:space="preserve">. Then, withdraw the needle and press the puncture site with a sterile cotton swab for 1 to 2 minutes </w:t>
      </w:r>
      <w:r>
        <w:rPr>
          <w:b/>
        </w:rPr>
        <w:t>[2]</w:t>
      </w:r>
      <w:r>
        <w:t>.</w:t>
      </w:r>
    </w:p>
    <w:p w14:paraId="193E34CC" w14:textId="77777777" w:rsidR="00915758" w:rsidRDefault="00915758"/>
    <w:p w14:paraId="193E34CD" w14:textId="77777777" w:rsidR="00915758" w:rsidRDefault="00000000">
      <w:pPr>
        <w:pStyle w:val="ShotDescription"/>
        <w:numPr>
          <w:ilvl w:val="2"/>
          <w:numId w:val="2"/>
        </w:numPr>
      </w:pPr>
      <w:r>
        <w:t xml:space="preserve">Talent </w:t>
      </w:r>
      <w:proofErr w:type="gramStart"/>
      <w:r>
        <w:t>keeping</w:t>
      </w:r>
      <w:proofErr w:type="gramEnd"/>
      <w:r>
        <w:t xml:space="preserve"> the syringe in place without movement.  </w:t>
      </w:r>
    </w:p>
    <w:p w14:paraId="193E34CE" w14:textId="77777777" w:rsidR="00915758" w:rsidRDefault="00000000">
      <w:pPr>
        <w:pStyle w:val="ShotDescription"/>
        <w:numPr>
          <w:ilvl w:val="2"/>
          <w:numId w:val="2"/>
        </w:numPr>
      </w:pPr>
      <w:r>
        <w:t>Talent withdrawing the needle and pressing the puncture site with a cotton swab.</w:t>
      </w:r>
    </w:p>
    <w:p w14:paraId="193E34CF" w14:textId="77777777" w:rsidR="00915758" w:rsidRDefault="00915758"/>
    <w:p w14:paraId="193E34D0" w14:textId="77777777" w:rsidR="00915758" w:rsidRDefault="00000000">
      <w:pPr>
        <w:pStyle w:val="Narration"/>
        <w:numPr>
          <w:ilvl w:val="1"/>
          <w:numId w:val="2"/>
        </w:numPr>
      </w:pPr>
      <w:r>
        <w:t xml:space="preserve">Transfer the animals to clean cages placed on a heating pad and monitor them until they fully recover </w:t>
      </w:r>
      <w:r>
        <w:rPr>
          <w:b/>
        </w:rPr>
        <w:t>[1-TXT]</w:t>
      </w:r>
      <w:r>
        <w:t>.</w:t>
      </w:r>
    </w:p>
    <w:p w14:paraId="193E34D1" w14:textId="77777777" w:rsidR="00915758" w:rsidRDefault="00915758"/>
    <w:p w14:paraId="193E34D2" w14:textId="77777777" w:rsidR="00915758" w:rsidRDefault="00000000">
      <w:pPr>
        <w:pStyle w:val="ShotDescription"/>
        <w:numPr>
          <w:ilvl w:val="2"/>
          <w:numId w:val="2"/>
        </w:numPr>
      </w:pPr>
      <w:r>
        <w:t xml:space="preserve">Talent placing the mouse into a clean cage over a heating pad. </w:t>
      </w:r>
      <w:r>
        <w:rPr>
          <w:b/>
          <w:bCs/>
        </w:rPr>
        <w:t>TXT: Monitor the mouse’s physical activity and inspect the injection site daily for 7 d</w:t>
      </w:r>
    </w:p>
    <w:p w14:paraId="193E34D3" w14:textId="77777777" w:rsidR="00915758" w:rsidRDefault="00915758"/>
    <w:p w14:paraId="193E34D4" w14:textId="77777777" w:rsidR="00915758" w:rsidRDefault="00915758"/>
    <w:p w14:paraId="193E34D5" w14:textId="77777777" w:rsidR="00915758" w:rsidRDefault="00000000">
      <w:pPr>
        <w:pStyle w:val="Narration"/>
        <w:numPr>
          <w:ilvl w:val="1"/>
          <w:numId w:val="2"/>
        </w:numPr>
      </w:pPr>
      <w:r>
        <w:t xml:space="preserve">For the bioluminescence imaging, after anesthetizing the mouse, inject D-luciferin at 150 micrograms per gram into the retroorbital vein </w:t>
      </w:r>
      <w:r>
        <w:rPr>
          <w:b/>
          <w:bCs/>
        </w:rPr>
        <w:t>[1]</w:t>
      </w:r>
      <w:r>
        <w:t xml:space="preserve">. Place the mouse into the imaging chamber </w:t>
      </w:r>
      <w:r>
        <w:rPr>
          <w:b/>
        </w:rPr>
        <w:t>[2-TXT]</w:t>
      </w:r>
      <w:r>
        <w:t>.</w:t>
      </w:r>
    </w:p>
    <w:p w14:paraId="193E34D6" w14:textId="77777777" w:rsidR="00915758" w:rsidRDefault="00915758"/>
    <w:p w14:paraId="193E34D7" w14:textId="77777777" w:rsidR="00915758" w:rsidRDefault="00000000">
      <w:pPr>
        <w:pStyle w:val="ShotDescription"/>
        <w:numPr>
          <w:ilvl w:val="2"/>
          <w:numId w:val="2"/>
        </w:numPr>
      </w:pPr>
      <w:r>
        <w:t xml:space="preserve">Talent injecting D-luciferin into the retroorbital vein.  </w:t>
      </w:r>
    </w:p>
    <w:p w14:paraId="193E34D8" w14:textId="77777777" w:rsidR="00915758" w:rsidRPr="00977A09" w:rsidRDefault="00000000">
      <w:pPr>
        <w:pStyle w:val="ShotDescription"/>
        <w:numPr>
          <w:ilvl w:val="2"/>
          <w:numId w:val="2"/>
        </w:numPr>
      </w:pPr>
      <w:r>
        <w:t xml:space="preserve">Talent placing the mouse into the imaging chamber. </w:t>
      </w:r>
      <w:r>
        <w:rPr>
          <w:b/>
          <w:bCs/>
        </w:rPr>
        <w:t>TXT: Position the mouse’s nose into the designated cone on the anesthesia manifold</w:t>
      </w:r>
    </w:p>
    <w:p w14:paraId="54581A27" w14:textId="77777777" w:rsidR="00977A09" w:rsidRDefault="00977A09" w:rsidP="00977A09">
      <w:pPr>
        <w:pStyle w:val="ShotDescription"/>
        <w:ind w:left="0" w:firstLine="0"/>
        <w:rPr>
          <w:b/>
          <w:bCs/>
        </w:rPr>
      </w:pPr>
    </w:p>
    <w:p w14:paraId="4F20E724" w14:textId="395A32B5" w:rsidR="00977A09" w:rsidRPr="00977A09" w:rsidRDefault="00977A09" w:rsidP="00977A09">
      <w:pPr>
        <w:pStyle w:val="ShotDescription"/>
        <w:ind w:left="0" w:firstLine="0"/>
        <w:rPr>
          <w:i/>
          <w:iCs/>
        </w:rPr>
      </w:pPr>
      <w:r w:rsidRPr="00977A09">
        <w:rPr>
          <w:b/>
          <w:bCs/>
          <w:i/>
          <w:iCs/>
          <w:color w:val="3333CC"/>
        </w:rPr>
        <w:t>Videographer: Please record the screen for 4.8.1 and 4.8.2 as a backup.</w:t>
      </w:r>
    </w:p>
    <w:p w14:paraId="193E34D9" w14:textId="77777777" w:rsidR="00915758" w:rsidRDefault="00915758"/>
    <w:p w14:paraId="193E34DA" w14:textId="001A255B" w:rsidR="00915758" w:rsidRDefault="00000000">
      <w:pPr>
        <w:pStyle w:val="Narration"/>
        <w:numPr>
          <w:ilvl w:val="1"/>
          <w:numId w:val="2"/>
        </w:numPr>
      </w:pPr>
      <w:r>
        <w:t>Immediately image the animal using the IVIS</w:t>
      </w:r>
      <w:r w:rsidR="00390B5E">
        <w:t xml:space="preserve"> </w:t>
      </w:r>
      <w:r w:rsidR="00390B5E" w:rsidRPr="00390B5E">
        <w:rPr>
          <w:i/>
          <w:iCs/>
          <w:color w:val="EE0000"/>
        </w:rPr>
        <w:t>(Eye-Vis)</w:t>
      </w:r>
      <w:r>
        <w:t xml:space="preserve"> system, setting the exposure time between 0.5 seconds and 2 minutes </w:t>
      </w:r>
      <w:r>
        <w:rPr>
          <w:b/>
        </w:rPr>
        <w:t>[1]</w:t>
      </w:r>
      <w:r>
        <w:t xml:space="preserve">. Confirm successful tumor cell inoculation in the leptomeningeal space by identifying a dispersed bioluminescent signal across the head and spinal cord </w:t>
      </w:r>
      <w:r>
        <w:rPr>
          <w:b/>
        </w:rPr>
        <w:t>[2-TXT]</w:t>
      </w:r>
      <w:r>
        <w:t>.</w:t>
      </w:r>
    </w:p>
    <w:p w14:paraId="193E34DB" w14:textId="77777777" w:rsidR="00915758" w:rsidRDefault="00915758"/>
    <w:p w14:paraId="193E34DC" w14:textId="77777777" w:rsidR="00915758" w:rsidRDefault="00000000">
      <w:pPr>
        <w:pStyle w:val="ShotDescription"/>
        <w:numPr>
          <w:ilvl w:val="2"/>
          <w:numId w:val="2"/>
        </w:numPr>
      </w:pPr>
      <w:r>
        <w:t xml:space="preserve">SCREEN: </w:t>
      </w:r>
      <w:r>
        <w:rPr>
          <w:highlight w:val="yellow"/>
        </w:rPr>
        <w:t>To be provided by authors:</w:t>
      </w:r>
      <w:r>
        <w:t xml:space="preserve"> Display the IVIS software interface as imaging begins, showing exposure time settings.  </w:t>
      </w:r>
    </w:p>
    <w:p w14:paraId="193E34DD" w14:textId="77777777" w:rsidR="00915758" w:rsidRDefault="00000000">
      <w:pPr>
        <w:pStyle w:val="ShotDescription"/>
        <w:numPr>
          <w:ilvl w:val="2"/>
          <w:numId w:val="2"/>
        </w:numPr>
      </w:pPr>
      <w:r>
        <w:t xml:space="preserve">SCREEN: </w:t>
      </w:r>
      <w:r>
        <w:rPr>
          <w:highlight w:val="yellow"/>
        </w:rPr>
        <w:t>To be provided by authors:</w:t>
      </w:r>
      <w:r>
        <w:t xml:space="preserve"> Bioluminescent signal across the head and spine region being identified confirming tumor presence. </w:t>
      </w:r>
      <w:r>
        <w:rPr>
          <w:b/>
          <w:bCs/>
        </w:rPr>
        <w:t>TXT: Monitor the progression of LM every 4 d; Adjust imaging intervals based on tumor growth kinetics</w:t>
      </w:r>
    </w:p>
    <w:p w14:paraId="193E34DE" w14:textId="77777777" w:rsidR="00915758" w:rsidRDefault="00915758"/>
    <w:p w14:paraId="193E34DF" w14:textId="77777777" w:rsidR="00915758" w:rsidRDefault="00000000">
      <w:r>
        <w:rPr>
          <w:highlight w:val="yellow"/>
        </w:rPr>
        <w:t xml:space="preserve">Authors: Filming a computer screen sometimes produces low-quality images. Please record the screen for the SCREEN shots directly from your computer and upload them along with a summary to your project page: </w:t>
      </w:r>
      <w:hyperlink r:id="rId15" w:history="1">
        <w:r w:rsidR="00915758">
          <w:rPr>
            <w:rStyle w:val="Hyperlink"/>
            <w:highlight w:val="yellow"/>
          </w:rPr>
          <w:t>https://review.jove.com/account/file-uploader?src=20797998</w:t>
        </w:r>
      </w:hyperlink>
      <w:r>
        <w:t xml:space="preserve"> </w:t>
      </w:r>
    </w:p>
    <w:p w14:paraId="193E34E0" w14:textId="77777777" w:rsidR="00915758" w:rsidRDefault="00915758">
      <w:pPr>
        <w:pStyle w:val="ListParagraph"/>
        <w:spacing w:before="120"/>
        <w:ind w:left="1627"/>
        <w:contextualSpacing w:val="0"/>
        <w:rPr>
          <w:rFonts w:cstheme="minorHAnsi"/>
        </w:rPr>
      </w:pPr>
    </w:p>
    <w:p w14:paraId="193E34E1" w14:textId="77777777" w:rsidR="00915758" w:rsidRDefault="00000000">
      <w:pPr>
        <w:pStyle w:val="ListParagraph"/>
        <w:numPr>
          <w:ilvl w:val="2"/>
          <w:numId w:val="2"/>
        </w:numPr>
        <w:spacing w:before="120"/>
        <w:contextualSpacing w:val="0"/>
        <w:rPr>
          <w:rFonts w:cstheme="minorHAnsi"/>
        </w:rPr>
      </w:pPr>
      <w:r>
        <w:rPr>
          <w:rFonts w:cstheme="minorHAnsi"/>
        </w:rPr>
        <w:br w:type="page"/>
      </w:r>
    </w:p>
    <w:p w14:paraId="193E34E7" w14:textId="140E7356" w:rsidR="00915758" w:rsidRDefault="00000000" w:rsidP="00DD53F9">
      <w:pPr>
        <w:pStyle w:val="Heading1"/>
        <w:rPr>
          <w:rFonts w:cstheme="minorHAnsi"/>
        </w:rPr>
      </w:pPr>
      <w:r>
        <w:rPr>
          <w:rFonts w:cstheme="minorHAnsi"/>
        </w:rPr>
        <w:t>Results</w:t>
      </w:r>
    </w:p>
    <w:p w14:paraId="193E34E8" w14:textId="77777777" w:rsidR="00915758"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193E34E9" w14:textId="77777777" w:rsidR="00915758" w:rsidRDefault="00915758">
      <w:pPr>
        <w:pStyle w:val="ListParagraph"/>
        <w:spacing w:before="240"/>
        <w:ind w:left="360"/>
        <w:outlineLvl w:val="0"/>
        <w:rPr>
          <w:rFonts w:cstheme="minorHAnsi"/>
          <w:lang w:eastAsia="zh-TW"/>
        </w:rPr>
      </w:pPr>
    </w:p>
    <w:p w14:paraId="193E34EA" w14:textId="7420420F" w:rsidR="00915758" w:rsidRDefault="00000000">
      <w:pPr>
        <w:pStyle w:val="ListParagraph"/>
        <w:numPr>
          <w:ilvl w:val="1"/>
          <w:numId w:val="2"/>
        </w:numPr>
        <w:spacing w:before="120"/>
        <w:contextualSpacing w:val="0"/>
        <w:outlineLvl w:val="0"/>
        <w:rPr>
          <w:rFonts w:cstheme="minorHAnsi"/>
        </w:rPr>
      </w:pPr>
      <w:r>
        <w:rPr>
          <w:rFonts w:cstheme="minorHAnsi"/>
        </w:rPr>
        <w:t xml:space="preserve">In </w:t>
      </w:r>
      <w:proofErr w:type="gramStart"/>
      <w:r>
        <w:rPr>
          <w:rFonts w:cstheme="minorHAnsi"/>
        </w:rPr>
        <w:t>vivo</w:t>
      </w:r>
      <w:proofErr w:type="gramEnd"/>
      <w:r>
        <w:rPr>
          <w:rFonts w:cstheme="minorHAnsi"/>
        </w:rPr>
        <w:t xml:space="preserve"> bioluminescence imaging demonstrated that intra-cisterna magna injection of </w:t>
      </w:r>
      <w:r>
        <w:rPr>
          <w:rFonts w:ascii="Calibri" w:hAnsi="Calibri" w:cs="Calibri"/>
        </w:rPr>
        <w:t>Lewis lung carcinoma</w:t>
      </w:r>
      <w:r>
        <w:rPr>
          <w:rFonts w:cstheme="minorHAnsi"/>
        </w:rPr>
        <w:t xml:space="preserve"> cells led to strong signal accumulation in the brain and spinal cord, indicating successful leptomeningeal metastasis formation </w:t>
      </w:r>
      <w:r>
        <w:rPr>
          <w:rFonts w:cstheme="minorHAnsi"/>
          <w:b/>
          <w:bCs/>
        </w:rPr>
        <w:t>[1]</w:t>
      </w:r>
      <w:r>
        <w:rPr>
          <w:rFonts w:cstheme="minorHAnsi"/>
        </w:rPr>
        <w:t>.</w:t>
      </w:r>
    </w:p>
    <w:p w14:paraId="193E34EB" w14:textId="77777777" w:rsidR="00915758" w:rsidRDefault="00000000">
      <w:pPr>
        <w:pStyle w:val="ListParagraph"/>
        <w:numPr>
          <w:ilvl w:val="2"/>
          <w:numId w:val="2"/>
        </w:numPr>
        <w:spacing w:before="120"/>
        <w:contextualSpacing w:val="0"/>
        <w:outlineLvl w:val="0"/>
        <w:rPr>
          <w:rFonts w:cstheme="minorHAnsi"/>
        </w:rPr>
      </w:pPr>
      <w:r>
        <w:rPr>
          <w:rFonts w:cstheme="minorHAnsi"/>
        </w:rPr>
        <w:t>LAB MEDIA: Figure 2A.</w:t>
      </w:r>
    </w:p>
    <w:p w14:paraId="193E34EC" w14:textId="77777777" w:rsidR="00915758" w:rsidRDefault="00000000">
      <w:pPr>
        <w:pStyle w:val="ListParagraph"/>
        <w:numPr>
          <w:ilvl w:val="1"/>
          <w:numId w:val="2"/>
        </w:numPr>
        <w:spacing w:before="120"/>
        <w:contextualSpacing w:val="0"/>
        <w:outlineLvl w:val="0"/>
        <w:rPr>
          <w:rFonts w:cstheme="minorHAnsi"/>
        </w:rPr>
      </w:pPr>
      <w:r>
        <w:rPr>
          <w:rFonts w:cstheme="minorHAnsi"/>
        </w:rPr>
        <w:t xml:space="preserve">Intra-carotid artery injection resulted in localized brain parenchymal metastases without leptomeningeal metastasis involvement </w:t>
      </w:r>
      <w:r>
        <w:rPr>
          <w:rFonts w:cstheme="minorHAnsi"/>
          <w:b/>
          <w:bCs/>
        </w:rPr>
        <w:t>[1]</w:t>
      </w:r>
      <w:r>
        <w:rPr>
          <w:rFonts w:cstheme="minorHAnsi"/>
        </w:rPr>
        <w:t>.</w:t>
      </w:r>
    </w:p>
    <w:p w14:paraId="193E34ED" w14:textId="77777777" w:rsidR="00915758" w:rsidRDefault="00000000">
      <w:pPr>
        <w:pStyle w:val="ListParagraph"/>
        <w:numPr>
          <w:ilvl w:val="2"/>
          <w:numId w:val="2"/>
        </w:numPr>
        <w:spacing w:before="120"/>
        <w:contextualSpacing w:val="0"/>
        <w:outlineLvl w:val="0"/>
        <w:rPr>
          <w:rFonts w:cstheme="minorHAnsi"/>
        </w:rPr>
      </w:pPr>
      <w:r>
        <w:rPr>
          <w:rFonts w:cstheme="minorHAnsi"/>
        </w:rPr>
        <w:t>LAB MEDIA: Figure 2B.</w:t>
      </w:r>
    </w:p>
    <w:p w14:paraId="193E34EE" w14:textId="77777777" w:rsidR="00915758" w:rsidRDefault="00000000">
      <w:pPr>
        <w:pStyle w:val="ListParagraph"/>
        <w:numPr>
          <w:ilvl w:val="1"/>
          <w:numId w:val="2"/>
        </w:numPr>
        <w:spacing w:before="120"/>
        <w:contextualSpacing w:val="0"/>
        <w:outlineLvl w:val="0"/>
        <w:rPr>
          <w:rFonts w:cstheme="minorHAnsi"/>
        </w:rPr>
      </w:pPr>
      <w:r>
        <w:rPr>
          <w:rFonts w:cstheme="minorHAnsi"/>
        </w:rPr>
        <w:t xml:space="preserve">Intra-cardiac injection led to widespread extracranial metastases, with no evidence of leptomeningeal metastasis across three mice </w:t>
      </w:r>
      <w:r>
        <w:rPr>
          <w:rFonts w:cstheme="minorHAnsi"/>
          <w:b/>
          <w:bCs/>
        </w:rPr>
        <w:t>[1]</w:t>
      </w:r>
      <w:r>
        <w:rPr>
          <w:rFonts w:cstheme="minorHAnsi"/>
        </w:rPr>
        <w:t>.</w:t>
      </w:r>
    </w:p>
    <w:p w14:paraId="193E34EF" w14:textId="77777777" w:rsidR="00915758" w:rsidRDefault="00000000">
      <w:pPr>
        <w:pStyle w:val="ListParagraph"/>
        <w:numPr>
          <w:ilvl w:val="2"/>
          <w:numId w:val="2"/>
        </w:numPr>
        <w:spacing w:before="120"/>
        <w:contextualSpacing w:val="0"/>
        <w:outlineLvl w:val="0"/>
        <w:rPr>
          <w:rFonts w:cstheme="minorHAnsi"/>
        </w:rPr>
      </w:pPr>
      <w:r>
        <w:rPr>
          <w:rFonts w:cstheme="minorHAnsi"/>
        </w:rPr>
        <w:t>LAB MEDIA: Figure 2C.</w:t>
      </w:r>
    </w:p>
    <w:p w14:paraId="193E34F0" w14:textId="77777777" w:rsidR="00915758" w:rsidRDefault="00000000">
      <w:pPr>
        <w:pStyle w:val="ListParagraph"/>
        <w:numPr>
          <w:ilvl w:val="1"/>
          <w:numId w:val="2"/>
        </w:numPr>
        <w:spacing w:before="120"/>
        <w:contextualSpacing w:val="0"/>
        <w:outlineLvl w:val="0"/>
        <w:rPr>
          <w:rFonts w:cstheme="minorHAnsi"/>
        </w:rPr>
      </w:pPr>
      <w:r>
        <w:rPr>
          <w:rFonts w:cstheme="minorHAnsi"/>
        </w:rPr>
        <w:t xml:space="preserve">Similar metastasis patterns were observed following cisterna magna injection of A549 </w:t>
      </w:r>
      <w:r>
        <w:rPr>
          <w:rFonts w:cstheme="minorHAnsi"/>
          <w:i/>
          <w:iCs/>
          <w:color w:val="FF0000"/>
        </w:rPr>
        <w:t>(A-five-forty-nine)</w:t>
      </w:r>
      <w:r>
        <w:rPr>
          <w:rFonts w:cstheme="minorHAnsi"/>
        </w:rPr>
        <w:t xml:space="preserve"> cells in NSG </w:t>
      </w:r>
      <w:r>
        <w:rPr>
          <w:rFonts w:cstheme="minorHAnsi"/>
          <w:i/>
          <w:iCs/>
          <w:color w:val="FF0000"/>
        </w:rPr>
        <w:t>(N-S-G)</w:t>
      </w:r>
      <w:r>
        <w:rPr>
          <w:rFonts w:cstheme="minorHAnsi"/>
        </w:rPr>
        <w:t xml:space="preserve"> mice, confirming model reproducibility </w:t>
      </w:r>
      <w:r>
        <w:rPr>
          <w:rFonts w:cstheme="minorHAnsi"/>
          <w:b/>
          <w:bCs/>
        </w:rPr>
        <w:t>[1]</w:t>
      </w:r>
      <w:r>
        <w:rPr>
          <w:rFonts w:cstheme="minorHAnsi"/>
        </w:rPr>
        <w:t>.</w:t>
      </w:r>
    </w:p>
    <w:p w14:paraId="193E34F1" w14:textId="77777777" w:rsidR="00915758" w:rsidRDefault="00000000">
      <w:pPr>
        <w:pStyle w:val="ListParagraph"/>
        <w:numPr>
          <w:ilvl w:val="2"/>
          <w:numId w:val="2"/>
        </w:numPr>
        <w:spacing w:before="120"/>
        <w:contextualSpacing w:val="0"/>
        <w:outlineLvl w:val="0"/>
        <w:rPr>
          <w:rFonts w:cstheme="minorHAnsi"/>
        </w:rPr>
      </w:pPr>
      <w:r>
        <w:rPr>
          <w:rFonts w:cstheme="minorHAnsi"/>
        </w:rPr>
        <w:t>LAB MEDIA: Figure 2D.</w:t>
      </w:r>
    </w:p>
    <w:p w14:paraId="193E34F2" w14:textId="77777777" w:rsidR="00915758" w:rsidRDefault="00000000">
      <w:pPr>
        <w:pStyle w:val="ListParagraph"/>
        <w:numPr>
          <w:ilvl w:val="1"/>
          <w:numId w:val="2"/>
        </w:numPr>
        <w:spacing w:before="120"/>
        <w:contextualSpacing w:val="0"/>
        <w:outlineLvl w:val="0"/>
        <w:rPr>
          <w:rFonts w:cstheme="minorHAnsi"/>
        </w:rPr>
      </w:pPr>
      <w:r>
        <w:rPr>
          <w:rFonts w:cstheme="minorHAnsi"/>
        </w:rPr>
        <w:t xml:space="preserve">Hematoxylin-eosin staining showed tumor cells confined to the leptomeninges and ventricles, not parenchyma </w:t>
      </w:r>
      <w:r>
        <w:rPr>
          <w:rFonts w:cstheme="minorHAnsi"/>
          <w:b/>
          <w:bCs/>
        </w:rPr>
        <w:t>[1].</w:t>
      </w:r>
    </w:p>
    <w:p w14:paraId="193E34F3" w14:textId="77777777" w:rsidR="00915758" w:rsidRDefault="00000000">
      <w:pPr>
        <w:pStyle w:val="ListParagraph"/>
        <w:numPr>
          <w:ilvl w:val="2"/>
          <w:numId w:val="2"/>
        </w:numPr>
        <w:spacing w:before="120"/>
        <w:contextualSpacing w:val="0"/>
        <w:outlineLvl w:val="0"/>
        <w:rPr>
          <w:rFonts w:cstheme="minorHAnsi"/>
        </w:rPr>
      </w:pPr>
      <w:r>
        <w:rPr>
          <w:rFonts w:cstheme="minorHAnsi"/>
        </w:rPr>
        <w:t xml:space="preserve">LAB MEDIA: Figure 3A. </w:t>
      </w:r>
      <w:r>
        <w:rPr>
          <w:rFonts w:cstheme="minorHAnsi"/>
          <w:i/>
          <w:iCs/>
          <w:color w:val="3333CC"/>
        </w:rPr>
        <w:t>Video Editor: Highlight the text “Tumor Cells” and the red arrow beside this.</w:t>
      </w:r>
    </w:p>
    <w:p w14:paraId="193E34F4" w14:textId="77777777" w:rsidR="00915758" w:rsidRDefault="00000000">
      <w:pPr>
        <w:pStyle w:val="ListParagraph"/>
        <w:numPr>
          <w:ilvl w:val="1"/>
          <w:numId w:val="2"/>
        </w:numPr>
        <w:spacing w:before="120"/>
        <w:contextualSpacing w:val="0"/>
        <w:outlineLvl w:val="0"/>
        <w:rPr>
          <w:rFonts w:cstheme="minorHAnsi"/>
        </w:rPr>
      </w:pPr>
      <w:r>
        <w:rPr>
          <w:rFonts w:cstheme="minorHAnsi"/>
        </w:rPr>
        <w:t xml:space="preserve">Immunofluorescence revealed dense GFP-positive tumor clusters in the meninges and ventricles, with sparse presence in parenchyma </w:t>
      </w:r>
      <w:r>
        <w:rPr>
          <w:rFonts w:cstheme="minorHAnsi"/>
          <w:b/>
          <w:bCs/>
        </w:rPr>
        <w:t>[1]</w:t>
      </w:r>
      <w:r>
        <w:rPr>
          <w:rFonts w:cstheme="minorHAnsi"/>
        </w:rPr>
        <w:t>.</w:t>
      </w:r>
    </w:p>
    <w:p w14:paraId="193E34F5" w14:textId="77777777" w:rsidR="00915758" w:rsidRDefault="00000000">
      <w:pPr>
        <w:pStyle w:val="ListParagraph"/>
        <w:numPr>
          <w:ilvl w:val="2"/>
          <w:numId w:val="2"/>
        </w:numPr>
        <w:spacing w:before="120"/>
        <w:contextualSpacing w:val="0"/>
        <w:outlineLvl w:val="0"/>
        <w:rPr>
          <w:rFonts w:cstheme="minorHAnsi"/>
        </w:rPr>
      </w:pPr>
      <w:r>
        <w:rPr>
          <w:rFonts w:cstheme="minorHAnsi"/>
        </w:rPr>
        <w:t xml:space="preserve">LAB MEDIA: Figure 3B. </w:t>
      </w:r>
      <w:r>
        <w:rPr>
          <w:rFonts w:cstheme="minorHAnsi"/>
          <w:i/>
          <w:iCs/>
          <w:color w:val="3333CC"/>
        </w:rPr>
        <w:t>Video Editor: Highlight the green portion.</w:t>
      </w:r>
    </w:p>
    <w:p w14:paraId="193E34F6" w14:textId="77777777" w:rsidR="00915758" w:rsidRDefault="00000000">
      <w:pPr>
        <w:pStyle w:val="ListParagraph"/>
        <w:numPr>
          <w:ilvl w:val="1"/>
          <w:numId w:val="2"/>
        </w:numPr>
        <w:spacing w:before="120"/>
        <w:contextualSpacing w:val="0"/>
        <w:outlineLvl w:val="0"/>
        <w:rPr>
          <w:rFonts w:cstheme="minorHAnsi"/>
        </w:rPr>
      </w:pPr>
      <w:r>
        <w:rPr>
          <w:rFonts w:cstheme="minorHAnsi"/>
        </w:rPr>
        <w:t xml:space="preserve">Two-photon imaging confirmed that the tumor cells were localized within the leptomeningeal space, between the cranium and brain parenchyma </w:t>
      </w:r>
      <w:r>
        <w:rPr>
          <w:rFonts w:cstheme="minorHAnsi"/>
          <w:b/>
          <w:bCs/>
        </w:rPr>
        <w:t>[1]</w:t>
      </w:r>
      <w:r>
        <w:rPr>
          <w:rFonts w:cstheme="minorHAnsi"/>
        </w:rPr>
        <w:t>.</w:t>
      </w:r>
    </w:p>
    <w:p w14:paraId="193E34F7" w14:textId="77777777" w:rsidR="00915758" w:rsidRDefault="00000000">
      <w:pPr>
        <w:pStyle w:val="ListParagraph"/>
        <w:numPr>
          <w:ilvl w:val="2"/>
          <w:numId w:val="2"/>
        </w:numPr>
        <w:spacing w:before="120"/>
        <w:contextualSpacing w:val="0"/>
        <w:outlineLvl w:val="0"/>
        <w:rPr>
          <w:rFonts w:cstheme="minorHAnsi"/>
        </w:rPr>
      </w:pPr>
      <w:r>
        <w:rPr>
          <w:rFonts w:cstheme="minorHAnsi"/>
        </w:rPr>
        <w:t xml:space="preserve">LAB MEDIA: Figure 4. </w:t>
      </w:r>
      <w:r>
        <w:rPr>
          <w:rFonts w:cstheme="minorHAnsi"/>
          <w:i/>
          <w:iCs/>
          <w:color w:val="3333CC"/>
        </w:rPr>
        <w:t>Video Editor: Highlight the green portions, the text “GFP-labelled tumor cells” and the white arrow beside the text.</w:t>
      </w:r>
    </w:p>
    <w:p w14:paraId="193E34F8" w14:textId="77777777" w:rsidR="00915758" w:rsidRDefault="00000000">
      <w:pPr>
        <w:pStyle w:val="ListParagraph"/>
        <w:numPr>
          <w:ilvl w:val="1"/>
          <w:numId w:val="2"/>
        </w:numPr>
        <w:spacing w:before="120"/>
        <w:contextualSpacing w:val="0"/>
        <w:outlineLvl w:val="0"/>
        <w:rPr>
          <w:rFonts w:cstheme="minorHAnsi"/>
        </w:rPr>
      </w:pPr>
      <w:r>
        <w:rPr>
          <w:rFonts w:cstheme="minorHAnsi"/>
        </w:rPr>
        <w:t xml:space="preserve">Stereo fluorescence microscopy also visualized the GFP-positive tumor cells on the brain surface </w:t>
      </w:r>
      <w:r>
        <w:rPr>
          <w:rFonts w:cstheme="minorHAnsi"/>
          <w:b/>
          <w:bCs/>
        </w:rPr>
        <w:t>[1]</w:t>
      </w:r>
      <w:r>
        <w:rPr>
          <w:rFonts w:cstheme="minorHAnsi"/>
        </w:rPr>
        <w:t>.</w:t>
      </w:r>
    </w:p>
    <w:p w14:paraId="193E34F9" w14:textId="77777777" w:rsidR="00915758" w:rsidRDefault="00000000">
      <w:pPr>
        <w:pStyle w:val="ListParagraph"/>
        <w:numPr>
          <w:ilvl w:val="2"/>
          <w:numId w:val="2"/>
        </w:numPr>
        <w:spacing w:before="120"/>
        <w:contextualSpacing w:val="0"/>
        <w:outlineLvl w:val="0"/>
        <w:rPr>
          <w:rFonts w:cstheme="minorHAnsi"/>
        </w:rPr>
      </w:pPr>
      <w:r>
        <w:rPr>
          <w:rFonts w:cstheme="minorHAnsi"/>
        </w:rPr>
        <w:t xml:space="preserve">LAB MEDIA: Figure 5. </w:t>
      </w:r>
      <w:r>
        <w:rPr>
          <w:rFonts w:cstheme="minorHAnsi"/>
          <w:i/>
          <w:iCs/>
          <w:color w:val="3333CC"/>
        </w:rPr>
        <w:t>Video Editor: Highlight B.</w:t>
      </w:r>
    </w:p>
    <w:p w14:paraId="193E34FA" w14:textId="77777777" w:rsidR="00915758" w:rsidRDefault="00915758">
      <w:pPr>
        <w:pStyle w:val="ListParagraph"/>
        <w:spacing w:before="120"/>
        <w:ind w:left="360"/>
        <w:contextualSpacing w:val="0"/>
        <w:outlineLvl w:val="0"/>
        <w:rPr>
          <w:rFonts w:cstheme="minorHAnsi"/>
        </w:rPr>
      </w:pPr>
    </w:p>
    <w:p w14:paraId="193E34FB" w14:textId="77777777" w:rsidR="00915758" w:rsidRDefault="00915758">
      <w:pPr>
        <w:rPr>
          <w:rFonts w:eastAsia="Times New Roman" w:cstheme="minorHAnsi"/>
          <w:sz w:val="52"/>
        </w:rPr>
      </w:pPr>
    </w:p>
    <w:sectPr w:rsidR="00915758">
      <w:headerReference w:type="default" r:id="rId16"/>
      <w:footerReference w:type="even" r:id="rId17"/>
      <w:footerReference w:type="default" r:id="rId18"/>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5-18T19:36:00Z" w:initials="DS">
    <w:p w14:paraId="5FD5E951" w14:textId="77777777" w:rsidR="00B463D5" w:rsidRDefault="00B463D5" w:rsidP="00B463D5">
      <w:pPr>
        <w:pStyle w:val="CommentText"/>
      </w:pPr>
      <w:r>
        <w:rPr>
          <w:rStyle w:val="CommentReference"/>
        </w:rPr>
        <w:annotationRef/>
      </w:r>
      <w:r>
        <w:rPr>
          <w:lang w:val="en-IN"/>
        </w:rPr>
        <w:t>Authors: We have edited this statement for length.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D5E9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3469DE" w16cex:dateUtc="2025-05-18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5E951" w16cid:durableId="303469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0A3D" w14:textId="77777777" w:rsidR="00D545C8" w:rsidRDefault="00D545C8">
      <w:r>
        <w:separator/>
      </w:r>
    </w:p>
  </w:endnote>
  <w:endnote w:type="continuationSeparator" w:id="0">
    <w:p w14:paraId="13FD2EB7" w14:textId="77777777" w:rsidR="00D545C8" w:rsidRDefault="00D5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Meiryo">
    <w:altName w:val="Meiryo"/>
    <w:charset w:val="80"/>
    <w:family w:val="swiss"/>
    <w:pitch w:val="variable"/>
    <w:sig w:usb0="E00002FF" w:usb1="6AC7FFFF" w:usb2="08000012" w:usb3="00000000" w:csb0="0002009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193E34FF" w14:textId="77777777" w:rsidR="00915758"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E3500" w14:textId="77777777" w:rsidR="00915758" w:rsidRDefault="00915758">
    <w:pPr>
      <w:pStyle w:val="Footer"/>
      <w:ind w:right="360"/>
    </w:pPr>
  </w:p>
  <w:p w14:paraId="193E3501" w14:textId="77777777" w:rsidR="00915758" w:rsidRDefault="009157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3502" w14:textId="01BAFB86" w:rsidR="00915758" w:rsidRPr="00977A09" w:rsidRDefault="00000000">
    <w:pPr>
      <w:pStyle w:val="Footer"/>
      <w:tabs>
        <w:tab w:val="clear" w:pos="8640"/>
        <w:tab w:val="right" w:pos="9360"/>
      </w:tabs>
      <w:rPr>
        <w:rFonts w:cstheme="minorHAnsi"/>
        <w:lang w:val="en-US"/>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045D66">
      <w:rPr>
        <w:rFonts w:cstheme="minorHAnsi"/>
        <w:noProof/>
        <w:lang w:val="en-US"/>
      </w:rPr>
      <w:t>2025</w:t>
    </w:r>
    <w:r>
      <w:rPr>
        <w:rFonts w:cstheme="minorHAnsi"/>
        <w:lang w:val="en-US"/>
      </w:rPr>
      <w:fldChar w:fldCharType="end"/>
    </w:r>
    <w:r w:rsidRPr="00DD53F9">
      <w:rPr>
        <w:rFonts w:cstheme="minorHAnsi"/>
        <w:lang w:val="en-US"/>
      </w:rPr>
      <w:t>, Journal of Visualized Experiments</w:t>
    </w:r>
    <w:r w:rsidRPr="00DD53F9">
      <w:rPr>
        <w:rFonts w:cstheme="minorHAnsi"/>
        <w:lang w:val="en-US"/>
      </w:rPr>
      <w:tab/>
    </w:r>
    <w:r w:rsidRPr="00977A09">
      <w:rPr>
        <w:rFonts w:cstheme="minorHAnsi"/>
        <w:lang w:val="en-US"/>
      </w:rPr>
      <w:tab/>
    </w:r>
    <w:r w:rsidR="00B463D5">
      <w:rPr>
        <w:rFonts w:cstheme="minorHAnsi"/>
        <w:lang w:val="en-US"/>
      </w:rPr>
      <w:t xml:space="preserve">May 18, </w:t>
    </w:r>
    <w:proofErr w:type="gramStart"/>
    <w:r w:rsidR="00B463D5">
      <w:rPr>
        <w:rFonts w:cstheme="minorHAnsi"/>
        <w:lang w:val="en-US"/>
      </w:rPr>
      <w:t>2025</w:t>
    </w:r>
    <w:proofErr w:type="gramEnd"/>
    <w:r w:rsidR="00B463D5">
      <w:rPr>
        <w:rFonts w:cstheme="minorHAnsi"/>
        <w:lang w:val="en-US"/>
      </w:rPr>
      <w:t xml:space="preserve">      </w:t>
    </w:r>
    <w:r w:rsidRPr="00977A09">
      <w:rPr>
        <w:rFonts w:cstheme="minorHAnsi"/>
        <w:lang w:val="en-US"/>
      </w:rPr>
      <w:t xml:space="preserve">Page </w:t>
    </w:r>
    <w:r>
      <w:rPr>
        <w:rFonts w:cstheme="minorHAnsi"/>
      </w:rPr>
      <w:fldChar w:fldCharType="begin"/>
    </w:r>
    <w:r w:rsidRPr="00977A09">
      <w:rPr>
        <w:rFonts w:cstheme="minorHAnsi"/>
        <w:lang w:val="en-US"/>
      </w:rPr>
      <w:instrText xml:space="preserve"> PAGE  \* Arabic  \* MERGEFORMAT </w:instrText>
    </w:r>
    <w:r>
      <w:rPr>
        <w:rFonts w:cstheme="minorHAnsi"/>
      </w:rPr>
      <w:fldChar w:fldCharType="separate"/>
    </w:r>
    <w:r w:rsidRPr="00977A09">
      <w:rPr>
        <w:rFonts w:cstheme="minorHAnsi"/>
        <w:lang w:val="en-US"/>
      </w:rPr>
      <w:t>9</w:t>
    </w:r>
    <w:r>
      <w:rPr>
        <w:rFonts w:cstheme="minorHAnsi"/>
      </w:rPr>
      <w:fldChar w:fldCharType="end"/>
    </w:r>
    <w:r w:rsidRPr="00977A09">
      <w:rPr>
        <w:rFonts w:cstheme="minorHAnsi"/>
        <w:lang w:val="en-US"/>
      </w:rPr>
      <w:t xml:space="preserve"> of </w:t>
    </w:r>
    <w:r>
      <w:rPr>
        <w:rFonts w:cstheme="minorHAnsi"/>
      </w:rPr>
      <w:fldChar w:fldCharType="begin"/>
    </w:r>
    <w:r w:rsidRPr="00977A09">
      <w:rPr>
        <w:rFonts w:cstheme="minorHAnsi"/>
        <w:lang w:val="en-US"/>
      </w:rPr>
      <w:instrText xml:space="preserve"> NUMPAGES  \* Arabic  \* MERGEFORMAT </w:instrText>
    </w:r>
    <w:r>
      <w:rPr>
        <w:rFonts w:cstheme="minorHAnsi"/>
      </w:rPr>
      <w:fldChar w:fldCharType="separate"/>
    </w:r>
    <w:r w:rsidRPr="00977A09">
      <w:rPr>
        <w:rFonts w:cstheme="minorHAnsi"/>
        <w:lang w:val="en-US"/>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B1BE" w14:textId="77777777" w:rsidR="00D545C8" w:rsidRDefault="00D545C8">
      <w:r>
        <w:separator/>
      </w:r>
    </w:p>
  </w:footnote>
  <w:footnote w:type="continuationSeparator" w:id="0">
    <w:p w14:paraId="0F6A4416" w14:textId="77777777" w:rsidR="00D545C8" w:rsidRDefault="00D5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34FD" w14:textId="629AC704" w:rsidR="00915758" w:rsidRDefault="00B463D5" w:rsidP="00B463D5">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000000">
      <w:rPr>
        <w:rFonts w:cstheme="minorHAnsi"/>
        <w:b/>
        <w:noProof/>
        <w:color w:val="FF0000"/>
        <w:sz w:val="28"/>
        <w:szCs w:val="28"/>
        <w:u w:val="single"/>
      </w:rPr>
      <w:drawing>
        <wp:anchor distT="0" distB="0" distL="114300" distR="114300" simplePos="0" relativeHeight="251659264" behindDoc="0" locked="0" layoutInCell="1" allowOverlap="1" wp14:anchorId="193E3503" wp14:editId="193E3504">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193E34FE" w14:textId="77777777" w:rsidR="00915758" w:rsidRDefault="009157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741E15D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45196028">
    <w:abstractNumId w:val="4"/>
  </w:num>
  <w:num w:numId="2" w16cid:durableId="1289312256">
    <w:abstractNumId w:val="2"/>
  </w:num>
  <w:num w:numId="3" w16cid:durableId="295992818">
    <w:abstractNumId w:val="1"/>
  </w:num>
  <w:num w:numId="4" w16cid:durableId="1043603964">
    <w:abstractNumId w:val="0"/>
  </w:num>
  <w:num w:numId="5" w16cid:durableId="11649763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2"/>
  <w:doNotUseMarginsForDrawingGridOrigin/>
  <w:drawingGridHorizontalOrigin w:val="1800"/>
  <w:drawingGridVerticalOrigin w:val="1440"/>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 w:name="commondata" w:val="eyJoZGlkIjoiMzA2N2FmMzQzMTY5NDBiODUyZjYwZDE5NjAwMjg5ZTQifQ=="/>
  </w:docVars>
  <w:rsids>
    <w:rsidRoot w:val="00BF2674"/>
    <w:rsid w:val="F3EFF75C"/>
    <w:rsid w:val="00000E22"/>
    <w:rsid w:val="000033EF"/>
    <w:rsid w:val="00003438"/>
    <w:rsid w:val="00003C8B"/>
    <w:rsid w:val="000051DE"/>
    <w:rsid w:val="0000605D"/>
    <w:rsid w:val="00010DD0"/>
    <w:rsid w:val="0001170D"/>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5D66"/>
    <w:rsid w:val="00050B3A"/>
    <w:rsid w:val="00054CA4"/>
    <w:rsid w:val="00055137"/>
    <w:rsid w:val="00074929"/>
    <w:rsid w:val="00083792"/>
    <w:rsid w:val="00085F90"/>
    <w:rsid w:val="0008613B"/>
    <w:rsid w:val="00087625"/>
    <w:rsid w:val="00090BAC"/>
    <w:rsid w:val="000914B6"/>
    <w:rsid w:val="0009624C"/>
    <w:rsid w:val="000A1956"/>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A2A81"/>
    <w:rsid w:val="001B3024"/>
    <w:rsid w:val="001B5C46"/>
    <w:rsid w:val="001C3C85"/>
    <w:rsid w:val="001C5DB5"/>
    <w:rsid w:val="001C7BBC"/>
    <w:rsid w:val="001D5379"/>
    <w:rsid w:val="001D621E"/>
    <w:rsid w:val="001D66A5"/>
    <w:rsid w:val="001E2225"/>
    <w:rsid w:val="001E230F"/>
    <w:rsid w:val="001E52A3"/>
    <w:rsid w:val="001F0890"/>
    <w:rsid w:val="001F615E"/>
    <w:rsid w:val="00214268"/>
    <w:rsid w:val="002422D6"/>
    <w:rsid w:val="00244CDB"/>
    <w:rsid w:val="00247BFF"/>
    <w:rsid w:val="0025166C"/>
    <w:rsid w:val="0025310D"/>
    <w:rsid w:val="002544F1"/>
    <w:rsid w:val="002553AE"/>
    <w:rsid w:val="002617AD"/>
    <w:rsid w:val="00264483"/>
    <w:rsid w:val="00264B3C"/>
    <w:rsid w:val="00265C44"/>
    <w:rsid w:val="00265EAD"/>
    <w:rsid w:val="00265F76"/>
    <w:rsid w:val="00270520"/>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01E7"/>
    <w:rsid w:val="003754A7"/>
    <w:rsid w:val="0038502C"/>
    <w:rsid w:val="00386777"/>
    <w:rsid w:val="00387EDD"/>
    <w:rsid w:val="00390B5E"/>
    <w:rsid w:val="00395684"/>
    <w:rsid w:val="003A1109"/>
    <w:rsid w:val="003A21F0"/>
    <w:rsid w:val="003A49C2"/>
    <w:rsid w:val="003B00BE"/>
    <w:rsid w:val="003B3E2A"/>
    <w:rsid w:val="003B5E26"/>
    <w:rsid w:val="003C1044"/>
    <w:rsid w:val="003C2AEF"/>
    <w:rsid w:val="003C32EC"/>
    <w:rsid w:val="003D0847"/>
    <w:rsid w:val="003D0FD6"/>
    <w:rsid w:val="003D2845"/>
    <w:rsid w:val="003D40E8"/>
    <w:rsid w:val="003E2BC9"/>
    <w:rsid w:val="003E30AE"/>
    <w:rsid w:val="003F4B52"/>
    <w:rsid w:val="004034B6"/>
    <w:rsid w:val="004114EA"/>
    <w:rsid w:val="00414B4F"/>
    <w:rsid w:val="00420A1E"/>
    <w:rsid w:val="00421271"/>
    <w:rsid w:val="004232DB"/>
    <w:rsid w:val="00426350"/>
    <w:rsid w:val="00440FFA"/>
    <w:rsid w:val="004425EC"/>
    <w:rsid w:val="00443E8B"/>
    <w:rsid w:val="004444A6"/>
    <w:rsid w:val="00450B27"/>
    <w:rsid w:val="00453116"/>
    <w:rsid w:val="00455510"/>
    <w:rsid w:val="00455638"/>
    <w:rsid w:val="004566CC"/>
    <w:rsid w:val="00456A5D"/>
    <w:rsid w:val="00457E53"/>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6BB5"/>
    <w:rsid w:val="004B7A16"/>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A5D"/>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0911"/>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2E28"/>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3F1D"/>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57B"/>
    <w:rsid w:val="007B3E0E"/>
    <w:rsid w:val="007B72C5"/>
    <w:rsid w:val="007D4222"/>
    <w:rsid w:val="007D61A8"/>
    <w:rsid w:val="007D7D87"/>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21A7"/>
    <w:rsid w:val="00854994"/>
    <w:rsid w:val="00860BC3"/>
    <w:rsid w:val="008672DA"/>
    <w:rsid w:val="00871F2E"/>
    <w:rsid w:val="00873D1A"/>
    <w:rsid w:val="00875BE8"/>
    <w:rsid w:val="00877B88"/>
    <w:rsid w:val="0088113B"/>
    <w:rsid w:val="008A0177"/>
    <w:rsid w:val="008A413E"/>
    <w:rsid w:val="008A7A3E"/>
    <w:rsid w:val="008B1E79"/>
    <w:rsid w:val="008C642C"/>
    <w:rsid w:val="008D0E4A"/>
    <w:rsid w:val="008D2A6A"/>
    <w:rsid w:val="008D52FB"/>
    <w:rsid w:val="008D5443"/>
    <w:rsid w:val="008D58EC"/>
    <w:rsid w:val="008E74F7"/>
    <w:rsid w:val="008F239E"/>
    <w:rsid w:val="008F7754"/>
    <w:rsid w:val="0090117D"/>
    <w:rsid w:val="00902876"/>
    <w:rsid w:val="009055DD"/>
    <w:rsid w:val="00906EFB"/>
    <w:rsid w:val="009114D8"/>
    <w:rsid w:val="009149A4"/>
    <w:rsid w:val="00915758"/>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7A09"/>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9F5D72"/>
    <w:rsid w:val="00A04542"/>
    <w:rsid w:val="00A07468"/>
    <w:rsid w:val="00A13CC3"/>
    <w:rsid w:val="00A164F5"/>
    <w:rsid w:val="00A20DA8"/>
    <w:rsid w:val="00A218EC"/>
    <w:rsid w:val="00A310D7"/>
    <w:rsid w:val="00A3138F"/>
    <w:rsid w:val="00A319BE"/>
    <w:rsid w:val="00A31F9A"/>
    <w:rsid w:val="00A40760"/>
    <w:rsid w:val="00A4233A"/>
    <w:rsid w:val="00A44EFB"/>
    <w:rsid w:val="00A453C3"/>
    <w:rsid w:val="00A50DAE"/>
    <w:rsid w:val="00A5213D"/>
    <w:rsid w:val="00A5222C"/>
    <w:rsid w:val="00A60320"/>
    <w:rsid w:val="00A622CC"/>
    <w:rsid w:val="00A64D8E"/>
    <w:rsid w:val="00A72FC5"/>
    <w:rsid w:val="00A730E3"/>
    <w:rsid w:val="00A7564A"/>
    <w:rsid w:val="00A77CF6"/>
    <w:rsid w:val="00A84BA8"/>
    <w:rsid w:val="00A84C50"/>
    <w:rsid w:val="00A87F12"/>
    <w:rsid w:val="00A91283"/>
    <w:rsid w:val="00AA132F"/>
    <w:rsid w:val="00AB3338"/>
    <w:rsid w:val="00AC16C3"/>
    <w:rsid w:val="00AC597A"/>
    <w:rsid w:val="00AC5C01"/>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07C74"/>
    <w:rsid w:val="00B13941"/>
    <w:rsid w:val="00B33E59"/>
    <w:rsid w:val="00B340A8"/>
    <w:rsid w:val="00B3428E"/>
    <w:rsid w:val="00B36993"/>
    <w:rsid w:val="00B40E12"/>
    <w:rsid w:val="00B42FA3"/>
    <w:rsid w:val="00B435B8"/>
    <w:rsid w:val="00B4499C"/>
    <w:rsid w:val="00B463D5"/>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5147"/>
    <w:rsid w:val="00C2620F"/>
    <w:rsid w:val="00C34F4C"/>
    <w:rsid w:val="00C428F1"/>
    <w:rsid w:val="00C602B2"/>
    <w:rsid w:val="00C70C90"/>
    <w:rsid w:val="00C7374B"/>
    <w:rsid w:val="00C766A8"/>
    <w:rsid w:val="00C8109F"/>
    <w:rsid w:val="00C82679"/>
    <w:rsid w:val="00C836F3"/>
    <w:rsid w:val="00C9090B"/>
    <w:rsid w:val="00C9250E"/>
    <w:rsid w:val="00C96FC6"/>
    <w:rsid w:val="00C97B11"/>
    <w:rsid w:val="00CB039A"/>
    <w:rsid w:val="00CB0B79"/>
    <w:rsid w:val="00CB5DE5"/>
    <w:rsid w:val="00CB6780"/>
    <w:rsid w:val="00CC0C58"/>
    <w:rsid w:val="00CC1850"/>
    <w:rsid w:val="00CC29BF"/>
    <w:rsid w:val="00CC5139"/>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545C8"/>
    <w:rsid w:val="00D6314B"/>
    <w:rsid w:val="00D654B4"/>
    <w:rsid w:val="00D662C7"/>
    <w:rsid w:val="00D712A3"/>
    <w:rsid w:val="00D75084"/>
    <w:rsid w:val="00D75193"/>
    <w:rsid w:val="00D7547B"/>
    <w:rsid w:val="00D80DEB"/>
    <w:rsid w:val="00D83279"/>
    <w:rsid w:val="00D842FB"/>
    <w:rsid w:val="00D87F73"/>
    <w:rsid w:val="00D95C4C"/>
    <w:rsid w:val="00DA06A8"/>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53F9"/>
    <w:rsid w:val="00DE0E89"/>
    <w:rsid w:val="00DE2554"/>
    <w:rsid w:val="00DE2882"/>
    <w:rsid w:val="00DE39C7"/>
    <w:rsid w:val="00DE46DB"/>
    <w:rsid w:val="00DE66F3"/>
    <w:rsid w:val="00DF0865"/>
    <w:rsid w:val="00DF1693"/>
    <w:rsid w:val="00DF307B"/>
    <w:rsid w:val="00DF6EE3"/>
    <w:rsid w:val="00E04EFB"/>
    <w:rsid w:val="00E072C2"/>
    <w:rsid w:val="00E24673"/>
    <w:rsid w:val="00E24898"/>
    <w:rsid w:val="00E27EF5"/>
    <w:rsid w:val="00E33686"/>
    <w:rsid w:val="00E355EE"/>
    <w:rsid w:val="00E35FB3"/>
    <w:rsid w:val="00E37160"/>
    <w:rsid w:val="00E44C46"/>
    <w:rsid w:val="00E521A5"/>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4A4E"/>
    <w:rsid w:val="00ED592D"/>
    <w:rsid w:val="00ED6438"/>
    <w:rsid w:val="00EE00CF"/>
    <w:rsid w:val="00EE1E2F"/>
    <w:rsid w:val="00EE34E6"/>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092A"/>
    <w:rsid w:val="00F563AC"/>
    <w:rsid w:val="00F56A75"/>
    <w:rsid w:val="00F578BC"/>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 w:val="5F7F0552"/>
    <w:rsid w:val="7FECA39B"/>
    <w:rsid w:val="7FEFB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E3415"/>
  <w14:defaultImageDpi w14:val="330"/>
  <w15:docId w15:val="{4129E440-BCA5-463C-9149-4D2A2FC2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NormalWeb">
    <w:name w:val="Normal (Web)"/>
    <w:basedOn w:val="Normal"/>
    <w:qFormat/>
    <w:pPr>
      <w:widowControl w:val="0"/>
      <w:jc w:val="both"/>
    </w:pPr>
    <w:rPr>
      <w:rFonts w:eastAsiaTheme="minorEastAsia" w:cstheme="minorBidi"/>
      <w:color w:val="auto"/>
      <w:kern w:val="2"/>
      <w:lang w:eastAsia="zh-CN"/>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qForma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10">
    <w:name w:val="修订1"/>
    <w:hidden/>
    <w:semiHidden/>
    <w:qFormat/>
    <w:rPr>
      <w:rFonts w:asciiTheme="minorHAnsi" w:eastAsia="Times" w:hAnsiTheme="minorHAnsi" w:cs="Calibri (Body)"/>
      <w:color w:val="000000" w:themeColor="text1"/>
      <w:sz w:val="24"/>
      <w:szCs w:val="24"/>
      <w:lang w:eastAsia="en-US"/>
    </w:rPr>
  </w:style>
  <w:style w:type="character" w:customStyle="1" w:styleId="11">
    <w:name w:val="未处理的提及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paragraph" w:customStyle="1" w:styleId="3">
    <w:name w:val="无间隔3"/>
    <w:uiPriority w:val="1"/>
    <w:qFormat/>
    <w:pPr>
      <w:widowControl w:val="0"/>
      <w:jc w:val="both"/>
    </w:pPr>
    <w:rPr>
      <w:rFonts w:asciiTheme="minorHAnsi" w:eastAsiaTheme="minorEastAsia" w:hAnsiTheme="minorHAnsi" w:cstheme="minorBidi"/>
      <w:kern w:val="2"/>
      <w:sz w:val="21"/>
      <w:szCs w:val="22"/>
    </w:rPr>
  </w:style>
  <w:style w:type="paragraph" w:styleId="Revision">
    <w:name w:val="Revision"/>
    <w:hidden/>
    <w:uiPriority w:val="99"/>
    <w:unhideWhenUsed/>
    <w:rsid w:val="00E33686"/>
    <w:rPr>
      <w:rFonts w:asciiTheme="minorHAnsi" w:eastAsia="Times" w:hAnsiTheme="minorHAnsi" w:cs="Calibri (Body)"/>
      <w:color w:val="000000" w:themeColor="text1"/>
      <w:sz w:val="24"/>
      <w:szCs w:val="24"/>
      <w:lang w:eastAsia="en-US"/>
    </w:rPr>
  </w:style>
  <w:style w:type="character" w:customStyle="1" w:styleId="ListParagraphChar">
    <w:name w:val="List Paragraph Char"/>
    <w:basedOn w:val="DefaultParagraphFont"/>
    <w:link w:val="ListParagraph"/>
    <w:uiPriority w:val="34"/>
    <w:locked/>
    <w:rsid w:val="00390B5E"/>
    <w:rPr>
      <w:rFonts w:asciiTheme="minorHAnsi" w:eastAsia="Times" w:hAnsiTheme="minorHAnsi" w:cs="Calibri (Body)"/>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797998"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review.jove.com/account/file-uploader?src=20797998" TargetMode="External"/><Relationship Id="rId10" Type="http://schemas.openxmlformats.org/officeDocument/2006/relationships/hyperlink" Target="https://review.jove.com/v/5848/screen-capture-instructions-for-authors?status=a7854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3E46A-42DD-4DD1-830C-47551923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1928</Words>
  <Characters>11206</Characters>
  <Application>Microsoft Office Word</Application>
  <DocSecurity>0</DocSecurity>
  <Lines>280</Lines>
  <Paragraphs>141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32</cp:revision>
  <dcterms:created xsi:type="dcterms:W3CDTF">2025-01-20T16:16:00Z</dcterms:created>
  <dcterms:modified xsi:type="dcterms:W3CDTF">2025-05-18T14:07:00Z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2052-6.11.0.8885</vt:lpwstr>
  </property>
  <property fmtid="{D5CDD505-2E9C-101B-9397-08002B2CF9AE}" pid="4" name="ICV">
    <vt:lpwstr>8B56D9E85F3BF12DD0D318686687933B_42</vt:lpwstr>
  </property>
  <property fmtid="{D5CDD505-2E9C-101B-9397-08002B2CF9AE}" pid="5" name="Mendeley Recent Style Id 0_1">
    <vt:lpwstr>http://www.zotero.org/styles/cell</vt:lpwstr>
  </property>
  <property fmtid="{D5CDD505-2E9C-101B-9397-08002B2CF9AE}" pid="6" name="Mendeley Recent Style Name 0_1">
    <vt:lpwstr>Cell</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http://www.zotero.org/styles/china-national-standard-gb-t-7714-2015-author-date</vt:lpwstr>
  </property>
  <property fmtid="{D5CDD505-2E9C-101B-9397-08002B2CF9AE}" pid="10" name="Mendeley Recent Style Name 2_1">
    <vt:lpwstr>China National Standard GB/T 7714-2015 (author-date, 中文)</vt:lpwstr>
  </property>
  <property fmtid="{D5CDD505-2E9C-101B-9397-08002B2CF9AE}" pid="11" name="Mendeley Recent Style Id 3_1">
    <vt:lpwstr>http://www.zotero.org/styles/china-national-standard-gb-t-7714-2015-numeric</vt:lpwstr>
  </property>
  <property fmtid="{D5CDD505-2E9C-101B-9397-08002B2CF9AE}" pid="12" name="Mendeley Recent Style Name 3_1">
    <vt:lpwstr>China National Standard GB/T 7714-2015 (numeric, 中文)</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http://www.zotero.org/styles/nature-genetics</vt:lpwstr>
  </property>
  <property fmtid="{D5CDD505-2E9C-101B-9397-08002B2CF9AE}" pid="20" name="Mendeley Recent Style Name 7_1">
    <vt:lpwstr>Nature Genetics</vt:lpwstr>
  </property>
  <property fmtid="{D5CDD505-2E9C-101B-9397-08002B2CF9AE}" pid="21" name="Mendeley Recent Style Id 8_1">
    <vt:lpwstr>http://www.zotero.org/styles/nucleic-acids-research</vt:lpwstr>
  </property>
  <property fmtid="{D5CDD505-2E9C-101B-9397-08002B2CF9AE}" pid="22" name="Mendeley Recent Style Name 8_1">
    <vt:lpwstr>Nucleic Acids Research</vt:lpwstr>
  </property>
  <property fmtid="{D5CDD505-2E9C-101B-9397-08002B2CF9AE}" pid="23" name="Mendeley Recent Style Id 9_1">
    <vt:lpwstr>http://www.zotero.org/styles/journal-of-biological-chemistry</vt:lpwstr>
  </property>
  <property fmtid="{D5CDD505-2E9C-101B-9397-08002B2CF9AE}" pid="24" name="Mendeley Recent Style Name 9_1">
    <vt:lpwstr>The Journal of Biological Chemistry</vt:lpwstr>
  </property>
</Properties>
</file>