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600EB0B" w:rsidR="006E4797" w:rsidRPr="00E42762" w:rsidRDefault="00473A1F" w:rsidP="00E42762">
      <w:pPr>
        <w:pBdr>
          <w:top w:val="nil"/>
          <w:left w:val="nil"/>
          <w:bottom w:val="nil"/>
          <w:right w:val="nil"/>
          <w:between w:val="nil"/>
        </w:pBdr>
        <w:rPr>
          <w:color w:val="000000"/>
        </w:rPr>
      </w:pPr>
      <w:r>
        <w:rPr>
          <w:rFonts w:hint="cs"/>
          <w:b/>
          <w:color w:val="000000"/>
          <w:rtl/>
        </w:rPr>
        <w:t>\</w:t>
      </w:r>
      <w:r w:rsidR="00551D82" w:rsidRPr="00E42762">
        <w:rPr>
          <w:b/>
          <w:color w:val="000000"/>
        </w:rPr>
        <w:t>TITLE</w:t>
      </w:r>
      <w:r w:rsidR="00B91615" w:rsidRPr="00E42762">
        <w:rPr>
          <w:b/>
          <w:color w:val="000000"/>
        </w:rPr>
        <w:t>:</w:t>
      </w:r>
    </w:p>
    <w:p w14:paraId="7EBB06D0" w14:textId="4CC06DA8" w:rsidR="006C19FD" w:rsidRPr="00E42762" w:rsidRDefault="00FD5953" w:rsidP="00E42762">
      <w:r w:rsidRPr="00E42762">
        <w:t>Neuroprotective Effects of Intranasally Administered Octadecaneuropeptide Analog in a Mouse Model of MPTP-Induced Parkinson’s Disease</w:t>
      </w:r>
      <w:r w:rsidRPr="00E42762" w:rsidDel="00FD5953">
        <w:t xml:space="preserve"> </w:t>
      </w:r>
      <w:r w:rsidRPr="00E42762">
        <w:t xml:space="preserve"> </w:t>
      </w:r>
    </w:p>
    <w:p w14:paraId="50F9D2AD" w14:textId="77777777" w:rsidR="00C80F3A" w:rsidRPr="00E42762" w:rsidRDefault="00C80F3A" w:rsidP="00E42762">
      <w:pPr>
        <w:rPr>
          <w:b/>
        </w:rPr>
      </w:pPr>
    </w:p>
    <w:p w14:paraId="2CD8481E" w14:textId="5865B5BC" w:rsidR="006E4797" w:rsidRPr="00E42762" w:rsidRDefault="00551D82" w:rsidP="00E42762">
      <w:pPr>
        <w:rPr>
          <w:b/>
        </w:rPr>
      </w:pPr>
      <w:r w:rsidRPr="00E42762">
        <w:rPr>
          <w:b/>
        </w:rPr>
        <w:t xml:space="preserve">AUTHORS AND AFFILIATIONS: </w:t>
      </w:r>
    </w:p>
    <w:p w14:paraId="505859CE" w14:textId="7D3775F0" w:rsidR="00F22FE7" w:rsidRPr="00E42762" w:rsidRDefault="00F22FE7" w:rsidP="00E42762">
      <w:r w:rsidRPr="00E42762">
        <w:t>Zeineb Fridhi</w:t>
      </w:r>
      <w:r w:rsidRPr="00E42762">
        <w:rPr>
          <w:vertAlign w:val="superscript"/>
        </w:rPr>
        <w:t>1</w:t>
      </w:r>
      <w:r w:rsidRPr="00E42762">
        <w:t>, Amine Cherif</w:t>
      </w:r>
      <w:r w:rsidRPr="00E42762">
        <w:rPr>
          <w:vertAlign w:val="superscript"/>
        </w:rPr>
        <w:t>1</w:t>
      </w:r>
      <w:r w:rsidRPr="00E42762">
        <w:t>, Amine Bourzam</w:t>
      </w:r>
      <w:r w:rsidRPr="00E42762">
        <w:rPr>
          <w:vertAlign w:val="superscript"/>
        </w:rPr>
        <w:t>1</w:t>
      </w:r>
      <w:r w:rsidR="000E7DE9" w:rsidRPr="00E42762">
        <w:rPr>
          <w:vertAlign w:val="superscript"/>
        </w:rPr>
        <w:t>,2</w:t>
      </w:r>
      <w:r w:rsidRPr="00E42762">
        <w:t>,</w:t>
      </w:r>
      <w:r w:rsidRPr="00E42762">
        <w:rPr>
          <w:vertAlign w:val="superscript"/>
        </w:rPr>
        <w:t xml:space="preserve"> </w:t>
      </w:r>
      <w:r w:rsidR="000E7DE9" w:rsidRPr="00E42762">
        <w:t>Omayma Dlimi</w:t>
      </w:r>
      <w:r w:rsidR="000E7DE9" w:rsidRPr="00E42762">
        <w:rPr>
          <w:vertAlign w:val="superscript"/>
        </w:rPr>
        <w:t>2</w:t>
      </w:r>
      <w:r w:rsidR="000E7DE9" w:rsidRPr="00E42762">
        <w:t xml:space="preserve">, </w:t>
      </w:r>
      <w:proofErr w:type="spellStart"/>
      <w:r w:rsidRPr="00E42762">
        <w:t>Hannani</w:t>
      </w:r>
      <w:proofErr w:type="spellEnd"/>
      <w:r w:rsidRPr="00E42762">
        <w:t xml:space="preserve"> </w:t>
      </w:r>
      <w:r w:rsidR="00814BFD" w:rsidRPr="00E42762">
        <w:t>Boukhawiye</w:t>
      </w:r>
      <w:r w:rsidRPr="00E42762">
        <w:rPr>
          <w:vertAlign w:val="superscript"/>
        </w:rPr>
        <w:t>1</w:t>
      </w:r>
      <w:r w:rsidRPr="00E42762">
        <w:t>, Zekri Sami</w:t>
      </w:r>
      <w:r w:rsidRPr="00E42762">
        <w:rPr>
          <w:vertAlign w:val="superscript"/>
        </w:rPr>
        <w:t>1,</w:t>
      </w:r>
      <w:r w:rsidR="000E7DE9" w:rsidRPr="00E42762">
        <w:rPr>
          <w:vertAlign w:val="superscript"/>
        </w:rPr>
        <w:t>3</w:t>
      </w:r>
      <w:r w:rsidRPr="00E42762">
        <w:t xml:space="preserve">, </w:t>
      </w:r>
      <w:r w:rsidR="000E7DE9" w:rsidRPr="00E42762">
        <w:t>Karthi Duraisamy</w:t>
      </w:r>
      <w:r w:rsidR="000E7DE9" w:rsidRPr="00E42762">
        <w:rPr>
          <w:vertAlign w:val="superscript"/>
        </w:rPr>
        <w:t>2</w:t>
      </w:r>
      <w:r w:rsidR="000E7DE9" w:rsidRPr="00E42762">
        <w:t xml:space="preserve">, </w:t>
      </w:r>
      <w:r w:rsidR="00D829A3" w:rsidRPr="00E42762">
        <w:t>Marie-Anne Le Solliec</w:t>
      </w:r>
      <w:r w:rsidR="00D829A3" w:rsidRPr="00E42762">
        <w:rPr>
          <w:vertAlign w:val="superscript"/>
        </w:rPr>
        <w:t>2</w:t>
      </w:r>
      <w:r w:rsidR="00D829A3" w:rsidRPr="00E42762">
        <w:t xml:space="preserve">, </w:t>
      </w:r>
      <w:r w:rsidR="00B27728" w:rsidRPr="00E42762">
        <w:t>Taoufik Ghrairi</w:t>
      </w:r>
      <w:r w:rsidR="00B27728" w:rsidRPr="00E42762">
        <w:rPr>
          <w:vertAlign w:val="superscript"/>
        </w:rPr>
        <w:t>1</w:t>
      </w:r>
      <w:r w:rsidR="00B27728" w:rsidRPr="00E42762">
        <w:t xml:space="preserve">, </w:t>
      </w:r>
      <w:r w:rsidRPr="00E42762">
        <w:t xml:space="preserve">Jérôme </w:t>
      </w:r>
      <w:r w:rsidR="008E01EE" w:rsidRPr="00E42762">
        <w:t>Leprince</w:t>
      </w:r>
      <w:r w:rsidR="008E01EE" w:rsidRPr="00E42762">
        <w:rPr>
          <w:vertAlign w:val="superscript"/>
        </w:rPr>
        <w:t>2</w:t>
      </w:r>
      <w:r w:rsidR="001856FD" w:rsidRPr="00E42762">
        <w:rPr>
          <w:vertAlign w:val="superscript"/>
        </w:rPr>
        <w:t>#</w:t>
      </w:r>
      <w:r w:rsidR="00915BE5" w:rsidRPr="00E42762">
        <w:t>*</w:t>
      </w:r>
      <w:r w:rsidR="00515094" w:rsidRPr="00E42762">
        <w:t xml:space="preserve">, </w:t>
      </w:r>
      <w:proofErr w:type="spellStart"/>
      <w:r w:rsidRPr="00E42762">
        <w:t>Olfa</w:t>
      </w:r>
      <w:proofErr w:type="spellEnd"/>
      <w:r w:rsidRPr="00E42762">
        <w:t xml:space="preserve"> Masmoudi-Kouki</w:t>
      </w:r>
      <w:r w:rsidRPr="00E42762">
        <w:rPr>
          <w:vertAlign w:val="superscript"/>
        </w:rPr>
        <w:t>1</w:t>
      </w:r>
      <w:r w:rsidR="001856FD" w:rsidRPr="00E42762">
        <w:rPr>
          <w:vertAlign w:val="superscript"/>
        </w:rPr>
        <w:t>#</w:t>
      </w:r>
      <w:r w:rsidR="009166A4" w:rsidRPr="00E42762">
        <w:t>*</w:t>
      </w:r>
    </w:p>
    <w:p w14:paraId="471B3D96" w14:textId="77777777" w:rsidR="00BF23F1" w:rsidRPr="00E42762" w:rsidRDefault="00BF23F1" w:rsidP="00E42762"/>
    <w:p w14:paraId="687A17B7" w14:textId="31E97562" w:rsidR="00F22FE7" w:rsidRPr="00E42762" w:rsidRDefault="00E2359D" w:rsidP="00E42762">
      <w:r w:rsidRPr="00E42762">
        <w:rPr>
          <w:vertAlign w:val="superscript"/>
        </w:rPr>
        <w:t>1</w:t>
      </w:r>
      <w:r w:rsidRPr="00E42762">
        <w:t>University Tunis El Manar,</w:t>
      </w:r>
      <w:r w:rsidRPr="00E42762">
        <w:rPr>
          <w:vertAlign w:val="superscript"/>
        </w:rPr>
        <w:t xml:space="preserve"> </w:t>
      </w:r>
      <w:r w:rsidRPr="00E42762">
        <w:t xml:space="preserve">Faculty of Sciences of Tunis, LR18ES03, Laboratory </w:t>
      </w:r>
      <w:r w:rsidR="00F22FE7" w:rsidRPr="00E42762">
        <w:t>of Neurophysiology Cellular Physiopathology and Biomolecule Valori</w:t>
      </w:r>
      <w:r w:rsidR="000E7DE9" w:rsidRPr="00E42762">
        <w:t>z</w:t>
      </w:r>
      <w:r w:rsidR="00F22FE7" w:rsidRPr="00E42762">
        <w:t xml:space="preserve">ation, </w:t>
      </w:r>
      <w:r w:rsidRPr="00E42762">
        <w:t>Tunis</w:t>
      </w:r>
      <w:r w:rsidR="00EC74C6" w:rsidRPr="00E42762">
        <w:t xml:space="preserve">, </w:t>
      </w:r>
      <w:r w:rsidR="00F22FE7" w:rsidRPr="00E42762">
        <w:t>Tunisia</w:t>
      </w:r>
    </w:p>
    <w:p w14:paraId="6B090A2B" w14:textId="2AC3D120" w:rsidR="000E7DE9" w:rsidRPr="00E42762" w:rsidRDefault="000E7DE9" w:rsidP="00E42762">
      <w:pPr>
        <w:pStyle w:val="MDPI16affiliation"/>
        <w:spacing w:line="240" w:lineRule="auto"/>
        <w:ind w:left="0" w:firstLine="0"/>
        <w:jc w:val="both"/>
        <w:rPr>
          <w:rFonts w:ascii="Calibri" w:eastAsia="Calibri" w:hAnsi="Calibri" w:cs="Calibri"/>
          <w:sz w:val="24"/>
          <w:szCs w:val="24"/>
          <w:lang w:val="fr-FR" w:eastAsia="en-US" w:bidi="ar-SA"/>
          <w14:ligatures w14:val="none"/>
        </w:rPr>
      </w:pPr>
      <w:r w:rsidRPr="00E42762">
        <w:rPr>
          <w:rFonts w:ascii="Calibri" w:hAnsi="Calibri" w:cs="Calibri"/>
          <w:color w:val="auto"/>
          <w:sz w:val="24"/>
          <w:szCs w:val="24"/>
          <w:vertAlign w:val="superscript"/>
          <w:lang w:val="fr-FR"/>
        </w:rPr>
        <w:t>2</w:t>
      </w:r>
      <w:r w:rsidR="00D11290" w:rsidRPr="00E42762">
        <w:rPr>
          <w:rFonts w:ascii="Calibri" w:hAnsi="Calibri" w:cs="Calibri"/>
          <w:color w:val="auto"/>
          <w:sz w:val="24"/>
          <w:szCs w:val="24"/>
          <w:lang w:val="fr-FR"/>
        </w:rPr>
        <w:t xml:space="preserve">Inserm U1239 </w:t>
      </w:r>
      <w:proofErr w:type="spellStart"/>
      <w:r w:rsidR="00D11290" w:rsidRPr="00E42762">
        <w:rPr>
          <w:rFonts w:ascii="Calibri" w:hAnsi="Calibri" w:cs="Calibri"/>
          <w:color w:val="auto"/>
          <w:sz w:val="24"/>
          <w:szCs w:val="24"/>
          <w:lang w:val="fr-FR"/>
        </w:rPr>
        <w:t>NorDiC</w:t>
      </w:r>
      <w:proofErr w:type="spellEnd"/>
      <w:r w:rsidR="00D11290" w:rsidRPr="00E42762">
        <w:rPr>
          <w:rFonts w:ascii="Calibri" w:hAnsi="Calibri" w:cs="Calibri"/>
          <w:color w:val="auto"/>
          <w:sz w:val="24"/>
          <w:szCs w:val="24"/>
          <w:lang w:val="fr-FR"/>
        </w:rPr>
        <w:t xml:space="preserve">, </w:t>
      </w:r>
      <w:r w:rsidR="008E01EE" w:rsidRPr="00E42762">
        <w:rPr>
          <w:rFonts w:ascii="Calibri" w:hAnsi="Calibri" w:cs="Calibri"/>
          <w:color w:val="auto"/>
          <w:sz w:val="24"/>
          <w:szCs w:val="24"/>
          <w:lang w:val="fr-FR"/>
        </w:rPr>
        <w:t xml:space="preserve">PRIMACEN, </w:t>
      </w:r>
      <w:r w:rsidR="00D11290" w:rsidRPr="00E42762">
        <w:rPr>
          <w:rFonts w:ascii="Calibri" w:hAnsi="Calibri" w:cs="Calibri"/>
          <w:color w:val="auto"/>
          <w:sz w:val="24"/>
          <w:szCs w:val="24"/>
          <w:lang w:val="fr-FR"/>
        </w:rPr>
        <w:t xml:space="preserve">Univ Rouen Normandie, </w:t>
      </w:r>
      <w:r w:rsidRPr="00E42762">
        <w:rPr>
          <w:rFonts w:ascii="Calibri" w:hAnsi="Calibri" w:cs="Calibri"/>
          <w:color w:val="auto"/>
          <w:sz w:val="24"/>
          <w:szCs w:val="24"/>
          <w:lang w:val="fr-FR"/>
        </w:rPr>
        <w:t xml:space="preserve">Rouen, </w:t>
      </w:r>
      <w:r w:rsidR="00D4648D" w:rsidRPr="00E42762">
        <w:rPr>
          <w:rFonts w:ascii="Calibri" w:hAnsi="Calibri" w:cs="Calibri"/>
          <w:color w:val="auto"/>
          <w:sz w:val="24"/>
          <w:szCs w:val="24"/>
          <w:lang w:val="fr-FR"/>
        </w:rPr>
        <w:t>France</w:t>
      </w:r>
    </w:p>
    <w:p w14:paraId="2EECA631" w14:textId="1B8B2909" w:rsidR="00F22FE7" w:rsidRPr="00E42762" w:rsidRDefault="000E7DE9" w:rsidP="00E42762">
      <w:pPr>
        <w:rPr>
          <w:b/>
          <w:bCs/>
          <w:color w:val="000000"/>
        </w:rPr>
      </w:pPr>
      <w:r w:rsidRPr="00E42762">
        <w:rPr>
          <w:vertAlign w:val="superscript"/>
        </w:rPr>
        <w:t>3</w:t>
      </w:r>
      <w:r w:rsidRPr="00E42762">
        <w:rPr>
          <w:rFonts w:eastAsia="Times New Roman"/>
          <w:lang w:eastAsia="de-DE" w:bidi="en-US"/>
        </w:rPr>
        <w:t xml:space="preserve">Confocal </w:t>
      </w:r>
      <w:r w:rsidR="00F22FE7" w:rsidRPr="00E42762">
        <w:rPr>
          <w:rFonts w:eastAsia="Times New Roman"/>
          <w:lang w:eastAsia="de-DE" w:bidi="en-US"/>
        </w:rPr>
        <w:t>Microscopy Unit</w:t>
      </w:r>
      <w:r w:rsidR="00373FB0" w:rsidRPr="00E42762">
        <w:rPr>
          <w:rFonts w:eastAsia="Times New Roman"/>
          <w:lang w:eastAsia="de-DE" w:bidi="en-US"/>
        </w:rPr>
        <w:t xml:space="preserve">, </w:t>
      </w:r>
      <w:r w:rsidR="00F22FE7" w:rsidRPr="00E42762">
        <w:rPr>
          <w:rFonts w:eastAsia="Times New Roman"/>
          <w:lang w:eastAsia="de-DE" w:bidi="en-US"/>
        </w:rPr>
        <w:t>Faculty of Medicine of Tunis, University Tunis El Manar, Tunis, Tunisia</w:t>
      </w:r>
    </w:p>
    <w:p w14:paraId="7800AD3D" w14:textId="77777777" w:rsidR="007F047E" w:rsidRPr="00E42762" w:rsidRDefault="007F047E" w:rsidP="00E42762">
      <w:pPr>
        <w:rPr>
          <w:color w:val="000000"/>
        </w:rPr>
      </w:pPr>
    </w:p>
    <w:p w14:paraId="34F96C45" w14:textId="77777777" w:rsidR="007F047E" w:rsidRPr="00E42762" w:rsidRDefault="007F047E" w:rsidP="00E42762">
      <w:pPr>
        <w:rPr>
          <w:color w:val="000000"/>
        </w:rPr>
      </w:pPr>
      <w:r w:rsidRPr="00E42762">
        <w:rPr>
          <w:color w:val="000000"/>
        </w:rPr>
        <w:t>Email addresses of the co-authors:</w:t>
      </w:r>
    </w:p>
    <w:p w14:paraId="7FA0300E" w14:textId="025D068C" w:rsidR="007F047E" w:rsidRPr="00E42762" w:rsidRDefault="007F047E" w:rsidP="00E42762">
      <w:pPr>
        <w:rPr>
          <w:u w:color="FF0000"/>
        </w:rPr>
      </w:pPr>
      <w:r w:rsidRPr="00E42762">
        <w:t>Zeineb Fridhi</w:t>
      </w:r>
      <w:r w:rsidRPr="00E42762">
        <w:rPr>
          <w:color w:val="000000"/>
        </w:rPr>
        <w:t xml:space="preserve"> </w:t>
      </w:r>
      <w:r w:rsidR="00EC74C6" w:rsidRPr="00E42762">
        <w:rPr>
          <w:color w:val="000000"/>
        </w:rPr>
        <w:tab/>
      </w:r>
      <w:r w:rsidR="00EC74C6" w:rsidRPr="00E42762">
        <w:rPr>
          <w:color w:val="000000"/>
        </w:rPr>
        <w:tab/>
      </w:r>
      <w:r w:rsidR="00EC74C6" w:rsidRPr="00E42762">
        <w:rPr>
          <w:color w:val="000000"/>
        </w:rPr>
        <w:tab/>
        <w:t>(</w:t>
      </w:r>
      <w:hyperlink r:id="rId8" w:history="1">
        <w:r w:rsidR="00EC74C6" w:rsidRPr="00E42762">
          <w:rPr>
            <w:rStyle w:val="Hyperlink"/>
          </w:rPr>
          <w:t>zeinebfridhi@gmail.com</w:t>
        </w:r>
      </w:hyperlink>
      <w:r w:rsidR="00EC74C6" w:rsidRPr="00E42762">
        <w:rPr>
          <w:u w:color="FF0000"/>
        </w:rPr>
        <w:t>)</w:t>
      </w:r>
    </w:p>
    <w:p w14:paraId="1A8C467E" w14:textId="74335173" w:rsidR="007F047E" w:rsidRPr="00E42762" w:rsidRDefault="007F047E" w:rsidP="00E42762">
      <w:pPr>
        <w:rPr>
          <w:u w:color="FF0000"/>
        </w:rPr>
      </w:pPr>
      <w:r w:rsidRPr="00E42762">
        <w:t>Amine Cherif</w:t>
      </w:r>
      <w:r w:rsidRPr="00E42762">
        <w:rPr>
          <w:color w:val="000000"/>
        </w:rPr>
        <w:t xml:space="preserve"> </w:t>
      </w:r>
      <w:r w:rsidR="00EC74C6" w:rsidRPr="00E42762">
        <w:rPr>
          <w:color w:val="000000"/>
        </w:rPr>
        <w:tab/>
      </w:r>
      <w:r w:rsidR="00EC74C6" w:rsidRPr="00E42762">
        <w:rPr>
          <w:color w:val="000000"/>
        </w:rPr>
        <w:tab/>
      </w:r>
      <w:r w:rsidR="00EC74C6" w:rsidRPr="00E42762">
        <w:rPr>
          <w:color w:val="000000"/>
        </w:rPr>
        <w:tab/>
        <w:t>(</w:t>
      </w:r>
      <w:hyperlink r:id="rId9" w:history="1">
        <w:r w:rsidR="00EC74C6" w:rsidRPr="00E42762">
          <w:rPr>
            <w:rStyle w:val="Hyperlink"/>
          </w:rPr>
          <w:t>cherifamine81@gmail.com</w:t>
        </w:r>
      </w:hyperlink>
      <w:r w:rsidR="00EC74C6" w:rsidRPr="00E42762">
        <w:rPr>
          <w:u w:color="FF0000"/>
        </w:rPr>
        <w:t>)</w:t>
      </w:r>
    </w:p>
    <w:p w14:paraId="7DDD21C6" w14:textId="693DD1F4" w:rsidR="007F047E" w:rsidRPr="00E42762" w:rsidRDefault="007F047E" w:rsidP="00E42762">
      <w:pPr>
        <w:rPr>
          <w:u w:color="FF0000"/>
        </w:rPr>
      </w:pPr>
      <w:r w:rsidRPr="00E42762">
        <w:t xml:space="preserve">Amine </w:t>
      </w:r>
      <w:proofErr w:type="spellStart"/>
      <w:r w:rsidRPr="00E42762">
        <w:t>Bourzam</w:t>
      </w:r>
      <w:proofErr w:type="spellEnd"/>
      <w:r w:rsidRPr="00E42762">
        <w:rPr>
          <w:color w:val="000000"/>
        </w:rPr>
        <w:t xml:space="preserve"> </w:t>
      </w:r>
      <w:r w:rsidR="00EC74C6" w:rsidRPr="00E42762">
        <w:rPr>
          <w:color w:val="000000"/>
        </w:rPr>
        <w:tab/>
      </w:r>
      <w:r w:rsidR="00EC74C6" w:rsidRPr="00E42762">
        <w:rPr>
          <w:color w:val="000000"/>
        </w:rPr>
        <w:tab/>
        <w:t>(</w:t>
      </w:r>
      <w:hyperlink r:id="rId10" w:history="1">
        <w:r w:rsidR="00EC74C6" w:rsidRPr="00E42762">
          <w:rPr>
            <w:rStyle w:val="Hyperlink"/>
          </w:rPr>
          <w:t>bourzamamine77@gmail.com</w:t>
        </w:r>
      </w:hyperlink>
      <w:r w:rsidR="00EC74C6" w:rsidRPr="00E42762">
        <w:rPr>
          <w:u w:color="FF0000"/>
        </w:rPr>
        <w:t>)</w:t>
      </w:r>
    </w:p>
    <w:p w14:paraId="04B9BB19" w14:textId="418BA62E" w:rsidR="007F047E" w:rsidRPr="00E42762" w:rsidRDefault="007F047E" w:rsidP="00E42762">
      <w:pPr>
        <w:rPr>
          <w:color w:val="000000"/>
        </w:rPr>
      </w:pPr>
      <w:r w:rsidRPr="00E42762">
        <w:t xml:space="preserve">Omayma </w:t>
      </w:r>
      <w:proofErr w:type="spellStart"/>
      <w:r w:rsidRPr="00E42762">
        <w:t>Dlimi</w:t>
      </w:r>
      <w:proofErr w:type="spellEnd"/>
      <w:r w:rsidRPr="00E42762">
        <w:rPr>
          <w:color w:val="000000"/>
        </w:rPr>
        <w:t xml:space="preserve"> </w:t>
      </w:r>
      <w:r w:rsidR="00772D93" w:rsidRPr="00E42762">
        <w:rPr>
          <w:color w:val="000000"/>
        </w:rPr>
        <w:tab/>
      </w:r>
      <w:r w:rsidR="00772D93" w:rsidRPr="00E42762">
        <w:rPr>
          <w:color w:val="000000"/>
        </w:rPr>
        <w:tab/>
        <w:t>(</w:t>
      </w:r>
      <w:hyperlink r:id="rId11" w:history="1">
        <w:r w:rsidR="00772D93" w:rsidRPr="00E42762">
          <w:rPr>
            <w:rStyle w:val="Hyperlink"/>
          </w:rPr>
          <w:t>omayma.dlimi1@univ-rouen.fr</w:t>
        </w:r>
      </w:hyperlink>
      <w:r w:rsidR="00772D93" w:rsidRPr="00E42762">
        <w:rPr>
          <w:u w:color="FF0000"/>
        </w:rPr>
        <w:t>)</w:t>
      </w:r>
    </w:p>
    <w:p w14:paraId="589B6B97" w14:textId="138CB122" w:rsidR="007F047E" w:rsidRPr="00E42762" w:rsidRDefault="007F047E" w:rsidP="00E42762">
      <w:pPr>
        <w:rPr>
          <w:color w:val="000000"/>
          <w:u w:color="FF0000"/>
        </w:rPr>
      </w:pPr>
      <w:proofErr w:type="spellStart"/>
      <w:r w:rsidRPr="00E42762">
        <w:t>Hannani</w:t>
      </w:r>
      <w:proofErr w:type="spellEnd"/>
      <w:r w:rsidRPr="00E42762">
        <w:t xml:space="preserve"> </w:t>
      </w:r>
      <w:proofErr w:type="spellStart"/>
      <w:r w:rsidRPr="00E42762">
        <w:t>Boukhawiye</w:t>
      </w:r>
      <w:proofErr w:type="spellEnd"/>
      <w:r w:rsidRPr="00E42762">
        <w:rPr>
          <w:color w:val="000000"/>
        </w:rPr>
        <w:t xml:space="preserve"> </w:t>
      </w:r>
      <w:r w:rsidR="00900A70" w:rsidRPr="00E42762">
        <w:rPr>
          <w:color w:val="000000"/>
        </w:rPr>
        <w:tab/>
      </w:r>
      <w:r w:rsidR="00900A70" w:rsidRPr="00E42762">
        <w:rPr>
          <w:color w:val="000000"/>
        </w:rPr>
        <w:tab/>
        <w:t>(</w:t>
      </w:r>
      <w:hyperlink r:id="rId12" w:history="1">
        <w:r w:rsidR="00900A70" w:rsidRPr="00E42762">
          <w:rPr>
            <w:rStyle w:val="Hyperlink"/>
          </w:rPr>
          <w:t>hannani2606@gmail.com</w:t>
        </w:r>
      </w:hyperlink>
      <w:r w:rsidR="00900A70" w:rsidRPr="00E42762">
        <w:rPr>
          <w:color w:val="000000"/>
          <w:u w:color="FF0000"/>
        </w:rPr>
        <w:t>)</w:t>
      </w:r>
    </w:p>
    <w:p w14:paraId="26BE6556" w14:textId="7DE492AA" w:rsidR="007F047E" w:rsidRPr="00E42762" w:rsidRDefault="007F047E" w:rsidP="00E42762">
      <w:pPr>
        <w:rPr>
          <w:color w:val="000000"/>
          <w:u w:color="FF0000"/>
        </w:rPr>
      </w:pPr>
      <w:r w:rsidRPr="00E42762">
        <w:t>Zekri Sami</w:t>
      </w:r>
      <w:r w:rsidRPr="00E42762">
        <w:rPr>
          <w:color w:val="000000"/>
        </w:rPr>
        <w:t xml:space="preserve"> </w:t>
      </w:r>
      <w:r w:rsidR="00900A70" w:rsidRPr="00E42762">
        <w:rPr>
          <w:color w:val="000000"/>
        </w:rPr>
        <w:tab/>
      </w:r>
      <w:r w:rsidR="00900A70" w:rsidRPr="00E42762">
        <w:rPr>
          <w:color w:val="000000"/>
        </w:rPr>
        <w:tab/>
      </w:r>
      <w:r w:rsidR="00900A70" w:rsidRPr="00E42762">
        <w:rPr>
          <w:color w:val="000000"/>
        </w:rPr>
        <w:tab/>
        <w:t>(</w:t>
      </w:r>
      <w:hyperlink r:id="rId13" w:history="1">
        <w:r w:rsidR="00900A70" w:rsidRPr="00E42762">
          <w:rPr>
            <w:rStyle w:val="Hyperlink"/>
          </w:rPr>
          <w:t>sami.zekri@fmt.utm.tn</w:t>
        </w:r>
      </w:hyperlink>
      <w:r w:rsidR="00900A70" w:rsidRPr="00E42762">
        <w:rPr>
          <w:color w:val="000000"/>
          <w:u w:color="FF0000"/>
        </w:rPr>
        <w:t>)</w:t>
      </w:r>
    </w:p>
    <w:p w14:paraId="08F7EDB5" w14:textId="4D41F8E0" w:rsidR="00B86E84" w:rsidRPr="00E42762" w:rsidRDefault="007F047E" w:rsidP="00E42762">
      <w:pPr>
        <w:rPr>
          <w:color w:val="000000"/>
          <w:lang w:val="fr-FR"/>
        </w:rPr>
      </w:pPr>
      <w:proofErr w:type="spellStart"/>
      <w:r w:rsidRPr="00E42762">
        <w:rPr>
          <w:lang w:val="fr-FR"/>
        </w:rPr>
        <w:t>Karthi</w:t>
      </w:r>
      <w:proofErr w:type="spellEnd"/>
      <w:r w:rsidRPr="00E42762">
        <w:rPr>
          <w:lang w:val="fr-FR"/>
        </w:rPr>
        <w:t xml:space="preserve"> </w:t>
      </w:r>
      <w:proofErr w:type="spellStart"/>
      <w:r w:rsidRPr="00E42762">
        <w:rPr>
          <w:lang w:val="fr-FR"/>
        </w:rPr>
        <w:t>Duraisamy</w:t>
      </w:r>
      <w:proofErr w:type="spellEnd"/>
      <w:r w:rsidRPr="00E42762">
        <w:rPr>
          <w:color w:val="000000"/>
          <w:lang w:val="fr-FR"/>
        </w:rPr>
        <w:t xml:space="preserve"> </w:t>
      </w:r>
      <w:r w:rsidR="00900A70" w:rsidRPr="00E42762">
        <w:rPr>
          <w:color w:val="000000"/>
          <w:lang w:val="fr-FR"/>
        </w:rPr>
        <w:tab/>
      </w:r>
      <w:r w:rsidR="00900A70" w:rsidRPr="00E42762">
        <w:rPr>
          <w:color w:val="000000"/>
          <w:lang w:val="fr-FR"/>
        </w:rPr>
        <w:tab/>
        <w:t>(</w:t>
      </w:r>
      <w:hyperlink r:id="rId14" w:history="1">
        <w:r w:rsidR="00900A70" w:rsidRPr="00E42762">
          <w:rPr>
            <w:rStyle w:val="Hyperlink"/>
            <w:lang w:val="fr-FR"/>
          </w:rPr>
          <w:t>karthi.duraisamy@univ-rouen.fr</w:t>
        </w:r>
      </w:hyperlink>
      <w:r w:rsidR="00900A70" w:rsidRPr="00E42762">
        <w:rPr>
          <w:u w:color="FF0000"/>
          <w:lang w:val="fr-FR"/>
        </w:rPr>
        <w:t>)</w:t>
      </w:r>
    </w:p>
    <w:p w14:paraId="5483F7E7" w14:textId="6207E97C" w:rsidR="00B86E84" w:rsidRPr="00E42762" w:rsidRDefault="00B86E84" w:rsidP="00E42762">
      <w:pPr>
        <w:rPr>
          <w:u w:color="FF0000"/>
          <w:lang w:val="fr-FR"/>
        </w:rPr>
      </w:pPr>
      <w:r w:rsidRPr="00E42762">
        <w:rPr>
          <w:lang w:val="fr-FR"/>
        </w:rPr>
        <w:t xml:space="preserve">Marie-Anne Le </w:t>
      </w:r>
      <w:proofErr w:type="spellStart"/>
      <w:r w:rsidRPr="00E42762">
        <w:rPr>
          <w:lang w:val="fr-FR"/>
        </w:rPr>
        <w:t>Solliec</w:t>
      </w:r>
      <w:proofErr w:type="spellEnd"/>
      <w:r w:rsidRPr="00E42762">
        <w:rPr>
          <w:color w:val="000000"/>
          <w:lang w:val="fr-FR"/>
        </w:rPr>
        <w:t xml:space="preserve"> </w:t>
      </w:r>
      <w:r w:rsidR="00900A70" w:rsidRPr="00E42762">
        <w:rPr>
          <w:color w:val="000000"/>
          <w:lang w:val="fr-FR"/>
        </w:rPr>
        <w:tab/>
        <w:t>(</w:t>
      </w:r>
      <w:hyperlink r:id="rId15" w:history="1">
        <w:r w:rsidR="00900A70" w:rsidRPr="00E42762">
          <w:rPr>
            <w:rStyle w:val="Hyperlink"/>
            <w:lang w:val="fr-FR"/>
          </w:rPr>
          <w:t>marie-anne.le-solliec2@univ-rouen.fr</w:t>
        </w:r>
      </w:hyperlink>
      <w:r w:rsidR="00900A70" w:rsidRPr="00E42762">
        <w:rPr>
          <w:u w:color="FF0000"/>
          <w:lang w:val="fr-FR"/>
        </w:rPr>
        <w:t>)</w:t>
      </w:r>
    </w:p>
    <w:p w14:paraId="502CF021" w14:textId="45A01082" w:rsidR="00B86E84" w:rsidRPr="00E42762" w:rsidRDefault="00B86E84" w:rsidP="00E42762">
      <w:pPr>
        <w:rPr>
          <w:color w:val="000000"/>
          <w:u w:color="FF0000"/>
          <w:lang w:val="fr-FR"/>
        </w:rPr>
      </w:pPr>
      <w:r w:rsidRPr="00E42762">
        <w:rPr>
          <w:lang w:val="fr-FR"/>
        </w:rPr>
        <w:t xml:space="preserve">Taoufik </w:t>
      </w:r>
      <w:proofErr w:type="spellStart"/>
      <w:r w:rsidRPr="00E42762">
        <w:rPr>
          <w:lang w:val="fr-FR"/>
        </w:rPr>
        <w:t>Ghrairi</w:t>
      </w:r>
      <w:proofErr w:type="spellEnd"/>
      <w:r w:rsidRPr="00E42762">
        <w:rPr>
          <w:color w:val="000000"/>
          <w:lang w:val="fr-FR"/>
        </w:rPr>
        <w:t xml:space="preserve"> </w:t>
      </w:r>
      <w:r w:rsidR="00900A70" w:rsidRPr="00E42762">
        <w:rPr>
          <w:color w:val="000000"/>
          <w:lang w:val="fr-FR"/>
        </w:rPr>
        <w:tab/>
      </w:r>
      <w:r w:rsidR="00900A70" w:rsidRPr="00E42762">
        <w:rPr>
          <w:color w:val="000000"/>
          <w:lang w:val="fr-FR"/>
        </w:rPr>
        <w:tab/>
        <w:t>(</w:t>
      </w:r>
      <w:hyperlink r:id="rId16" w:history="1">
        <w:r w:rsidR="00900A70" w:rsidRPr="00E42762">
          <w:rPr>
            <w:rStyle w:val="Hyperlink"/>
            <w:lang w:val="fr-FR"/>
          </w:rPr>
          <w:t>taoufik.ghrairi@fst.utm.tn</w:t>
        </w:r>
      </w:hyperlink>
      <w:r w:rsidR="00900A70" w:rsidRPr="00E42762">
        <w:rPr>
          <w:color w:val="000000"/>
          <w:u w:color="FF0000"/>
          <w:lang w:val="fr-FR"/>
        </w:rPr>
        <w:t>)</w:t>
      </w:r>
    </w:p>
    <w:p w14:paraId="70941DD7" w14:textId="77777777" w:rsidR="00B86E84" w:rsidRPr="00E42762" w:rsidRDefault="00B86E84" w:rsidP="00E42762">
      <w:pPr>
        <w:rPr>
          <w:color w:val="000000"/>
          <w:lang w:val="fr-FR"/>
        </w:rPr>
      </w:pPr>
    </w:p>
    <w:p w14:paraId="754341B9" w14:textId="77777777" w:rsidR="00B86E84" w:rsidRPr="00E42762" w:rsidRDefault="00B86E84" w:rsidP="00E42762">
      <w:pPr>
        <w:rPr>
          <w:color w:val="000000"/>
        </w:rPr>
      </w:pPr>
      <w:r w:rsidRPr="00E42762">
        <w:rPr>
          <w:color w:val="000000"/>
        </w:rPr>
        <w:t>*Email addresses of the corresponding authors:</w:t>
      </w:r>
    </w:p>
    <w:p w14:paraId="3F301AC5" w14:textId="4B989575" w:rsidR="00B86E84" w:rsidRPr="00E42762" w:rsidRDefault="00B86E84" w:rsidP="00E42762">
      <w:pPr>
        <w:rPr>
          <w:u w:color="FF0000"/>
          <w:lang w:val="fr-FR"/>
        </w:rPr>
      </w:pPr>
      <w:r w:rsidRPr="00E42762">
        <w:rPr>
          <w:lang w:val="fr-FR"/>
        </w:rPr>
        <w:t>Jérôme Leprince</w:t>
      </w:r>
      <w:r w:rsidRPr="00E42762">
        <w:rPr>
          <w:color w:val="000000"/>
          <w:lang w:val="fr-FR"/>
        </w:rPr>
        <w:t xml:space="preserve"> </w:t>
      </w:r>
      <w:r w:rsidR="00452837" w:rsidRPr="00E42762">
        <w:rPr>
          <w:color w:val="000000"/>
          <w:lang w:val="fr-FR"/>
        </w:rPr>
        <w:tab/>
      </w:r>
      <w:r w:rsidR="00452837" w:rsidRPr="00E42762">
        <w:rPr>
          <w:color w:val="000000"/>
          <w:lang w:val="fr-FR"/>
        </w:rPr>
        <w:tab/>
        <w:t>(</w:t>
      </w:r>
      <w:hyperlink r:id="rId17" w:history="1">
        <w:r w:rsidR="00452837" w:rsidRPr="00E42762">
          <w:rPr>
            <w:rStyle w:val="Hyperlink"/>
            <w:lang w:val="fr-FR"/>
          </w:rPr>
          <w:t>jerome.leprince@univ-rouen.fr</w:t>
        </w:r>
      </w:hyperlink>
      <w:r w:rsidR="00452837" w:rsidRPr="00E42762">
        <w:rPr>
          <w:u w:color="FF0000"/>
          <w:lang w:val="fr-FR"/>
        </w:rPr>
        <w:t>)</w:t>
      </w:r>
    </w:p>
    <w:p w14:paraId="105D080B" w14:textId="7EA66962" w:rsidR="00452837" w:rsidRPr="00E42762" w:rsidRDefault="00B86E84" w:rsidP="00E42762">
      <w:proofErr w:type="spellStart"/>
      <w:r w:rsidRPr="00E42762">
        <w:t>Olfa</w:t>
      </w:r>
      <w:proofErr w:type="spellEnd"/>
      <w:r w:rsidRPr="00E42762">
        <w:t xml:space="preserve"> Masmoudi-Kouki</w:t>
      </w:r>
      <w:r w:rsidRPr="00E42762">
        <w:rPr>
          <w:color w:val="000000"/>
        </w:rPr>
        <w:t xml:space="preserve"> </w:t>
      </w:r>
      <w:r w:rsidR="00452837" w:rsidRPr="00E42762">
        <w:rPr>
          <w:color w:val="000000"/>
        </w:rPr>
        <w:tab/>
        <w:t>(</w:t>
      </w:r>
      <w:hyperlink r:id="rId18" w:history="1">
        <w:r w:rsidR="00452837" w:rsidRPr="00E42762">
          <w:rPr>
            <w:rStyle w:val="Hyperlink"/>
          </w:rPr>
          <w:t>olfa.masmoudi@fst.utm.tn</w:t>
        </w:r>
      </w:hyperlink>
      <w:r w:rsidR="00452837" w:rsidRPr="00E42762">
        <w:t>)</w:t>
      </w:r>
    </w:p>
    <w:p w14:paraId="08CBBBE2" w14:textId="77777777" w:rsidR="00373FB0" w:rsidRPr="00E42762" w:rsidRDefault="00373FB0" w:rsidP="00E42762"/>
    <w:p w14:paraId="55D8EAAB" w14:textId="69D5C682" w:rsidR="00373FB0" w:rsidRPr="00E42762" w:rsidRDefault="00452837" w:rsidP="00E42762">
      <w:pPr>
        <w:pStyle w:val="MDPI16affiliation"/>
        <w:spacing w:line="240" w:lineRule="auto"/>
        <w:ind w:left="0" w:firstLine="0"/>
        <w:jc w:val="both"/>
        <w:rPr>
          <w:rFonts w:ascii="Calibri" w:hAnsi="Calibri" w:cs="Calibri"/>
          <w:sz w:val="24"/>
          <w:szCs w:val="24"/>
          <w:vertAlign w:val="superscript"/>
        </w:rPr>
      </w:pPr>
      <w:r w:rsidRPr="00E42762">
        <w:rPr>
          <w:rFonts w:ascii="Calibri" w:hAnsi="Calibri" w:cs="Calibri"/>
          <w:sz w:val="24"/>
          <w:szCs w:val="24"/>
        </w:rPr>
        <w:t xml:space="preserve"> </w:t>
      </w:r>
      <w:r w:rsidR="00373FB0" w:rsidRPr="00E42762">
        <w:rPr>
          <w:rFonts w:ascii="Calibri" w:hAnsi="Calibri" w:cs="Calibri"/>
          <w:sz w:val="24"/>
          <w:szCs w:val="24"/>
          <w:vertAlign w:val="superscript"/>
        </w:rPr>
        <w:t>#</w:t>
      </w:r>
      <w:r w:rsidR="00373FB0" w:rsidRPr="00E42762">
        <w:rPr>
          <w:rFonts w:ascii="Calibri" w:hAnsi="Calibri" w:cs="Calibri"/>
          <w:sz w:val="24"/>
          <w:szCs w:val="24"/>
        </w:rPr>
        <w:t xml:space="preserve">These authors have equally contributed to this work </w:t>
      </w:r>
    </w:p>
    <w:p w14:paraId="141ABDE5" w14:textId="523BDC0F" w:rsidR="00E5258D" w:rsidRPr="00E42762" w:rsidRDefault="00E5258D" w:rsidP="00E42762">
      <w:pPr>
        <w:rPr>
          <w:color w:val="000000"/>
        </w:rPr>
      </w:pPr>
    </w:p>
    <w:p w14:paraId="01069787" w14:textId="1A6EABA5" w:rsidR="006E4797" w:rsidRPr="00E42762" w:rsidRDefault="00551D82" w:rsidP="00E42762">
      <w:pPr>
        <w:rPr>
          <w:color w:val="808080"/>
        </w:rPr>
      </w:pPr>
      <w:r w:rsidRPr="00E42762">
        <w:rPr>
          <w:b/>
        </w:rPr>
        <w:t>SUMMARY:</w:t>
      </w:r>
      <w:r w:rsidRPr="00E42762">
        <w:t xml:space="preserve"> </w:t>
      </w:r>
    </w:p>
    <w:p w14:paraId="2FEFC22A" w14:textId="6F2E2902" w:rsidR="005639E6" w:rsidRPr="00E42762" w:rsidRDefault="00536250" w:rsidP="00E42762">
      <w:r w:rsidRPr="00E42762">
        <w:t>Intranasal administration enables direct delivery of bioactive molecules to the brain, providing a non-invasive alternative to the intracerebroventricular method. This study demonstrates that intranasal administration of cyclo</w:t>
      </w:r>
      <w:r w:rsidRPr="00E42762">
        <w:rPr>
          <w:vertAlign w:val="subscript"/>
        </w:rPr>
        <w:t>(1-8)</w:t>
      </w:r>
      <w:r w:rsidRPr="00E42762">
        <w:t>OP, an ODN analog, exerts strong neuroprotective effects against MPTP-induced oxidative damage and apoptosis in the striatum in a mouse model of Parkinson’s disease, highlighting therapeutic potential.</w:t>
      </w:r>
    </w:p>
    <w:p w14:paraId="14B864B0" w14:textId="77777777" w:rsidR="00536250" w:rsidRPr="00E42762" w:rsidRDefault="00536250" w:rsidP="00E42762">
      <w:pPr>
        <w:rPr>
          <w:rFonts w:eastAsia="Times New Roman"/>
          <w:u w:val="single" w:color="FF0000"/>
          <w:lang w:eastAsia="fr-FR"/>
        </w:rPr>
      </w:pPr>
    </w:p>
    <w:p w14:paraId="40A249E6" w14:textId="7DBEC635" w:rsidR="006E4797" w:rsidRPr="00E42762" w:rsidRDefault="00551D82" w:rsidP="00E42762">
      <w:r w:rsidRPr="00E42762">
        <w:rPr>
          <w:b/>
        </w:rPr>
        <w:t>ABSTRACT:</w:t>
      </w:r>
      <w:r w:rsidRPr="00E42762">
        <w:t xml:space="preserve"> </w:t>
      </w:r>
    </w:p>
    <w:p w14:paraId="20FC48AD" w14:textId="79A95ADA" w:rsidR="00B61395" w:rsidRPr="00473A1F" w:rsidRDefault="00B61395"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t xml:space="preserve">Parkinson’s disease (PD) is a neurodegenerative disorder for which existing therapies are primarily palliative and lack curative efficacy. Octadecaneuropeptide (ODN) is a peptide exclusively produced by astrocytes that protects neurons against oxidative cell damage and </w:t>
      </w:r>
      <w:proofErr w:type="gramStart"/>
      <w:r w:rsidRPr="00473A1F">
        <w:rPr>
          <w:rFonts w:ascii="Calibri" w:hAnsi="Calibri" w:cs="Calibri"/>
          <w:lang w:val="en-US"/>
        </w:rPr>
        <w:t>apoptosis in</w:t>
      </w:r>
      <w:proofErr w:type="gramEnd"/>
      <w:r w:rsidRPr="00473A1F">
        <w:rPr>
          <w:rFonts w:ascii="Calibri" w:hAnsi="Calibri" w:cs="Calibri"/>
          <w:lang w:val="en-US"/>
        </w:rPr>
        <w:t xml:space="preserve"> </w:t>
      </w:r>
      <w:r w:rsidRPr="00473A1F">
        <w:rPr>
          <w:rStyle w:val="Emphasis"/>
          <w:rFonts w:ascii="Calibri" w:hAnsi="Calibri" w:cs="Calibri"/>
          <w:lang w:val="en-US"/>
        </w:rPr>
        <w:t>in vitro</w:t>
      </w:r>
      <w:r w:rsidRPr="00473A1F">
        <w:rPr>
          <w:rFonts w:ascii="Calibri" w:hAnsi="Calibri" w:cs="Calibri"/>
          <w:lang w:val="en-US"/>
        </w:rPr>
        <w:t xml:space="preserve"> and </w:t>
      </w:r>
      <w:r w:rsidRPr="00473A1F">
        <w:rPr>
          <w:rStyle w:val="Emphasis"/>
          <w:rFonts w:ascii="Calibri" w:hAnsi="Calibri" w:cs="Calibri"/>
          <w:lang w:val="en-US"/>
        </w:rPr>
        <w:t>in vivo</w:t>
      </w:r>
      <w:r w:rsidRPr="00473A1F">
        <w:rPr>
          <w:rFonts w:ascii="Calibri" w:hAnsi="Calibri" w:cs="Calibri"/>
          <w:lang w:val="en-US"/>
        </w:rPr>
        <w:t xml:space="preserve"> models of PD. However, ODN cannot cross the blood-brain barrier (BBB) and requires intracerebroventricular injection to reach the brain, presenting a significant </w:t>
      </w:r>
      <w:r w:rsidRPr="00473A1F">
        <w:rPr>
          <w:rFonts w:ascii="Calibri" w:hAnsi="Calibri" w:cs="Calibri"/>
          <w:lang w:val="en-US"/>
        </w:rPr>
        <w:lastRenderedPageBreak/>
        <w:t>challenge for therapeutic application. This study investigates the neuroprotective efficacy of cyclo</w:t>
      </w:r>
      <w:r w:rsidRPr="00473A1F">
        <w:rPr>
          <w:rFonts w:ascii="Calibri" w:hAnsi="Calibri" w:cs="Calibri"/>
          <w:vertAlign w:val="subscript"/>
          <w:lang w:val="en-US"/>
        </w:rPr>
        <w:t>(1-8</w:t>
      </w:r>
      <w:r w:rsidRPr="00473A1F">
        <w:rPr>
          <w:rFonts w:ascii="Calibri" w:hAnsi="Calibri" w:cs="Calibri"/>
          <w:lang w:val="en-US"/>
        </w:rPr>
        <w:t xml:space="preserve">)OP, an ODN analog, delivered via the intranasal (IN) route to bypass the BBB in an </w:t>
      </w:r>
      <w:r w:rsidRPr="00473A1F">
        <w:rPr>
          <w:rStyle w:val="Emphasis"/>
          <w:rFonts w:ascii="Calibri" w:hAnsi="Calibri" w:cs="Calibri"/>
          <w:lang w:val="en-US"/>
        </w:rPr>
        <w:t>in vivo</w:t>
      </w:r>
      <w:r w:rsidRPr="00473A1F">
        <w:rPr>
          <w:rFonts w:ascii="Calibri" w:hAnsi="Calibri" w:cs="Calibri"/>
          <w:lang w:val="en-US"/>
        </w:rPr>
        <w:t xml:space="preserve"> model of PD. Male C57BL/6J mice were used for the experiments and divided into four groups: sham, MPTP- (20 mg/kg body weight, intraperitoneal), cyclo</w:t>
      </w:r>
      <w:r w:rsidRPr="00473A1F">
        <w:rPr>
          <w:rFonts w:ascii="Calibri" w:hAnsi="Calibri" w:cs="Calibri"/>
          <w:vertAlign w:val="subscript"/>
          <w:lang w:val="en-US"/>
        </w:rPr>
        <w:t>(1-8)</w:t>
      </w:r>
      <w:r w:rsidRPr="00473A1F">
        <w:rPr>
          <w:rFonts w:ascii="Calibri" w:hAnsi="Calibri" w:cs="Calibri"/>
          <w:lang w:val="en-US"/>
        </w:rPr>
        <w:t xml:space="preserve">OP- (10 ng/10 </w:t>
      </w:r>
      <w:r w:rsidRPr="00E42762">
        <w:rPr>
          <w:rFonts w:ascii="Calibri" w:hAnsi="Calibri" w:cs="Calibri"/>
        </w:rPr>
        <w:t>μ</w:t>
      </w:r>
      <w:r w:rsidRPr="00473A1F">
        <w:rPr>
          <w:rFonts w:ascii="Calibri" w:hAnsi="Calibri" w:cs="Calibri"/>
          <w:lang w:val="en-US"/>
        </w:rPr>
        <w:t>L, IN), and MPTP + cyclo</w:t>
      </w:r>
      <w:r w:rsidRPr="00473A1F">
        <w:rPr>
          <w:rFonts w:ascii="Calibri" w:hAnsi="Calibri" w:cs="Calibri"/>
          <w:vertAlign w:val="subscript"/>
          <w:lang w:val="en-US"/>
        </w:rPr>
        <w:t>(1-8)</w:t>
      </w:r>
      <w:r w:rsidRPr="00473A1F">
        <w:rPr>
          <w:rFonts w:ascii="Calibri" w:hAnsi="Calibri" w:cs="Calibri"/>
          <w:lang w:val="en-US"/>
        </w:rPr>
        <w:t xml:space="preserve">OP-treated animals. On day 0 (D0), animals received three intraperitoneal injections of 100 </w:t>
      </w:r>
      <w:r w:rsidRPr="00E42762">
        <w:rPr>
          <w:rFonts w:ascii="Calibri" w:hAnsi="Calibri" w:cs="Calibri"/>
        </w:rPr>
        <w:t>μ</w:t>
      </w:r>
      <w:r w:rsidRPr="00473A1F">
        <w:rPr>
          <w:rFonts w:ascii="Calibri" w:hAnsi="Calibri" w:cs="Calibri"/>
          <w:lang w:val="en-US"/>
        </w:rPr>
        <w:t>L MPTP solution at 2-h intervals (MPTP- and MPTP + cyclo</w:t>
      </w:r>
      <w:r w:rsidRPr="00473A1F">
        <w:rPr>
          <w:rFonts w:ascii="Calibri" w:hAnsi="Calibri" w:cs="Calibri"/>
          <w:vertAlign w:val="subscript"/>
          <w:lang w:val="en-US"/>
        </w:rPr>
        <w:t>(1-8)</w:t>
      </w:r>
      <w:r w:rsidRPr="00473A1F">
        <w:rPr>
          <w:rFonts w:ascii="Calibri" w:hAnsi="Calibri" w:cs="Calibri"/>
          <w:lang w:val="en-US"/>
        </w:rPr>
        <w:t xml:space="preserve">OP-treated mice) or saline solution (sham and cyclo(1-8)OP-treated mice). One hour after the final injection, 10 </w:t>
      </w:r>
      <w:r w:rsidRPr="00E42762">
        <w:rPr>
          <w:rFonts w:ascii="Calibri" w:hAnsi="Calibri" w:cs="Calibri"/>
        </w:rPr>
        <w:t>μ</w:t>
      </w:r>
      <w:r w:rsidRPr="00473A1F">
        <w:rPr>
          <w:rFonts w:ascii="Calibri" w:hAnsi="Calibri" w:cs="Calibri"/>
          <w:lang w:val="en-US"/>
        </w:rPr>
        <w:t>L of IN instillation of cyclo</w:t>
      </w:r>
      <w:r w:rsidRPr="00473A1F">
        <w:rPr>
          <w:rFonts w:ascii="Calibri" w:hAnsi="Calibri" w:cs="Calibri"/>
          <w:vertAlign w:val="subscript"/>
          <w:lang w:val="en-US"/>
        </w:rPr>
        <w:t>(1-8)</w:t>
      </w:r>
      <w:r w:rsidRPr="00473A1F">
        <w:rPr>
          <w:rFonts w:ascii="Calibri" w:hAnsi="Calibri" w:cs="Calibri"/>
          <w:lang w:val="en-US"/>
        </w:rPr>
        <w:t>OP (cyclo</w:t>
      </w:r>
      <w:r w:rsidRPr="00473A1F">
        <w:rPr>
          <w:rFonts w:ascii="Calibri" w:hAnsi="Calibri" w:cs="Calibri"/>
          <w:vertAlign w:val="subscript"/>
          <w:lang w:val="en-US"/>
        </w:rPr>
        <w:t>(1-8)</w:t>
      </w:r>
      <w:r w:rsidRPr="00473A1F">
        <w:rPr>
          <w:rFonts w:ascii="Calibri" w:hAnsi="Calibri" w:cs="Calibri"/>
          <w:lang w:val="en-US"/>
        </w:rPr>
        <w:t>OP- and MPTP + cyclo</w:t>
      </w:r>
      <w:r w:rsidRPr="00473A1F">
        <w:rPr>
          <w:rFonts w:ascii="Calibri" w:hAnsi="Calibri" w:cs="Calibri"/>
          <w:vertAlign w:val="subscript"/>
          <w:lang w:val="en-US"/>
        </w:rPr>
        <w:t>(1-8)</w:t>
      </w:r>
      <w:r w:rsidRPr="00473A1F">
        <w:rPr>
          <w:rFonts w:ascii="Calibri" w:hAnsi="Calibri" w:cs="Calibri"/>
          <w:lang w:val="en-US"/>
        </w:rPr>
        <w:t>OP-treated mice) or IN saline solution (sham and MPTP-treated mice) was administered.</w:t>
      </w:r>
      <w:r w:rsidR="00AE5604" w:rsidRPr="00473A1F">
        <w:rPr>
          <w:rFonts w:ascii="Calibri" w:hAnsi="Calibri" w:cs="Calibri"/>
          <w:lang w:val="en-US"/>
        </w:rPr>
        <w:t xml:space="preserve"> </w:t>
      </w:r>
      <w:r w:rsidRPr="00473A1F">
        <w:rPr>
          <w:rFonts w:ascii="Calibri" w:hAnsi="Calibri" w:cs="Calibri"/>
          <w:lang w:val="en-US"/>
        </w:rPr>
        <w:t>On D7, a cylinder test was performed to assess motor function. Subsequently, animals were sacrificed, and the striatum was removed and analyzed by RT-qPCR to assess caspase-3 gene expression. Tissue samples were also used to measure antioxidant enzyme activities, reactive oxygen species (ROS), malondialdehyde (MDA), and carbonylated protein abundance. A single IN dose of 10 ng cyclo</w:t>
      </w:r>
      <w:r w:rsidRPr="00473A1F">
        <w:rPr>
          <w:rFonts w:ascii="Calibri" w:hAnsi="Calibri" w:cs="Calibri"/>
          <w:vertAlign w:val="subscript"/>
          <w:lang w:val="en-US"/>
        </w:rPr>
        <w:t>(1-8)</w:t>
      </w:r>
      <w:r w:rsidRPr="00473A1F">
        <w:rPr>
          <w:rFonts w:ascii="Calibri" w:hAnsi="Calibri" w:cs="Calibri"/>
          <w:lang w:val="en-US"/>
        </w:rPr>
        <w:t>OP, administered 1 h after the final MPTP dose, prevented neurotoxicity in the striatum 7 days post-treatment. Cyclo</w:t>
      </w:r>
      <w:r w:rsidRPr="00473A1F">
        <w:rPr>
          <w:rFonts w:ascii="Calibri" w:hAnsi="Calibri" w:cs="Calibri"/>
          <w:vertAlign w:val="subscript"/>
          <w:lang w:val="en-US"/>
        </w:rPr>
        <w:t>(1-8)</w:t>
      </w:r>
      <w:r w:rsidRPr="00473A1F">
        <w:rPr>
          <w:rFonts w:ascii="Calibri" w:hAnsi="Calibri" w:cs="Calibri"/>
          <w:lang w:val="en-US"/>
        </w:rPr>
        <w:t>OP-mediated neuroprotection was associated with strong inhibition of caspase-3 expression induced by MPTP in the striatum. Additionally, cyclo</w:t>
      </w:r>
      <w:r w:rsidRPr="00473A1F">
        <w:rPr>
          <w:rFonts w:ascii="Calibri" w:hAnsi="Calibri" w:cs="Calibri"/>
          <w:vertAlign w:val="subscript"/>
          <w:lang w:val="en-US"/>
        </w:rPr>
        <w:t>(1-8)</w:t>
      </w:r>
      <w:r w:rsidRPr="00473A1F">
        <w:rPr>
          <w:rFonts w:ascii="Calibri" w:hAnsi="Calibri" w:cs="Calibri"/>
          <w:lang w:val="en-US"/>
        </w:rPr>
        <w:t>OP restored the activities of antioxidant enzymes, preventing the accumulation of ROS, lipid peroxidation products, and protein carbonylation in the striatum.</w:t>
      </w:r>
    </w:p>
    <w:p w14:paraId="648AF5D0" w14:textId="468D7452" w:rsidR="00C930DB" w:rsidRPr="00E42762" w:rsidRDefault="00C930DB" w:rsidP="00E42762"/>
    <w:p w14:paraId="0646E204" w14:textId="59A362E8" w:rsidR="00A26D91" w:rsidRPr="00E42762" w:rsidRDefault="00551D82" w:rsidP="00E42762">
      <w:pPr>
        <w:rPr>
          <w:color w:val="808080"/>
        </w:rPr>
      </w:pPr>
      <w:r w:rsidRPr="00E42762">
        <w:rPr>
          <w:b/>
        </w:rPr>
        <w:t>INTRODUCTION</w:t>
      </w:r>
      <w:r w:rsidR="005F4C94" w:rsidRPr="00E42762">
        <w:t>:</w:t>
      </w:r>
    </w:p>
    <w:p w14:paraId="5443245E" w14:textId="3DA2413A" w:rsidR="0059567C" w:rsidRPr="00E42762" w:rsidRDefault="0059567C" w:rsidP="00E42762">
      <w:pPr>
        <w:autoSpaceDE w:val="0"/>
        <w:autoSpaceDN w:val="0"/>
        <w:adjustRightInd w:val="0"/>
      </w:pPr>
      <w:r w:rsidRPr="00E42762">
        <w:t>Parkinson's disease (PD) is a neurodegenerative disorder marked by the progressive loss of dopaminergic neurons in the substantia nigra</w:t>
      </w:r>
      <w:r w:rsidR="00EE1AEC" w:rsidRPr="00E42762">
        <w:t>,</w:t>
      </w:r>
      <w:r w:rsidRPr="00E42762">
        <w:t xml:space="preserve"> which innervate</w:t>
      </w:r>
      <w:r w:rsidR="00FA4C2D" w:rsidRPr="00E42762">
        <w:t>s</w:t>
      </w:r>
      <w:r w:rsidRPr="00E42762">
        <w:t xml:space="preserve"> the striatum</w:t>
      </w:r>
      <w:r w:rsidR="00161731" w:rsidRPr="00E42762">
        <w:t>. This loss</w:t>
      </w:r>
      <w:r w:rsidRPr="00E42762">
        <w:t xml:space="preserve"> result</w:t>
      </w:r>
      <w:r w:rsidR="00161731" w:rsidRPr="00E42762">
        <w:t>s</w:t>
      </w:r>
      <w:r w:rsidRPr="00E42762">
        <w:t xml:space="preserve"> in significant neurological symptoms, including severe motor deficits such as muscle rigidity, akinesia, and bradykinesia</w:t>
      </w:r>
      <w:r w:rsidRPr="00E42762">
        <w:rPr>
          <w:vertAlign w:val="superscript"/>
        </w:rPr>
        <w:fldChar w:fldCharType="begin"/>
      </w:r>
      <w:r w:rsidR="00655BCC" w:rsidRPr="00E42762">
        <w:rPr>
          <w:vertAlign w:val="superscript"/>
        </w:rPr>
        <w:instrText xml:space="preserve"> ADDIN ZOTERO_ITEM CSL_CITATION {"citationID":"QgasUU5j","properties":{"formattedCitation":"(1)","plainCitation":"(1)","noteIndex":0},"citationItems":[{"id":"dKMGonER/fIhSKyTt","uris":["http://zotero.org/users/local/gyNd5DuB/items/VX2PJCTD"],"itemData":{"id":146,"type":"article-journal","abstract":"Amongst the popular animal models of Parkinson’s disease (PD) commonly used in researches are those that employ neurotoxins, especially the 1-methyl- 4-phenyl-1, 2, 3, 6-tetrahydropyridine (MPTP). MPTP neurotoxin exerts its neurotoxicity by causing a barrage of insults such as oxidative stress, mitochondrial apoptosis, inflammation, excitotoxicity, and formation of inclusion bodies acting singly and in concert. All of this ultimately leads to dopaminergic neuron damage in substantia nigra pars compacta and striatum. The selective neurotoxicity induced by MPTP in the nigrostriatal dopaminergic neuron of the mouse brain brought a new dawn in our perspectives about PD. For decades now MPTP-induced mouse model of PD has become the gold standard in PD research despite its shortcoming in fully recapitulating PD symptomatology. It has the advantage of easy practicability, affordability, less ethical consideration, and more clinical correlation over the other toxin models of PD. The model has rejuvenated researches in PD and has also opened new frontiers in the quest for more novel therapeutic and adjuvant agents for PD. Hence, this review summarizes the MPTP’s role in producing Parkinson-like symptoms in mice, the MPTP-induced mouse model’s experimental role, and the recent development in PD therapeutics using this model to enrich our existing knowledge on this neurotoxin. Furthermore, our review promotes the use of this model by researchers for developing more promising therapeutic strategies.","container-title":"Bosnian Journal of Basic Medical Sciences","DOI":"10.17305/bjbms.2020.5181","ISSN":"1840-4812, 1512-8601","journalAbbreviation":"Bosn J of Basic Med Sci","license":"https://creativecommons.org/licenses/by/4.0","source":"Semantic Scholar","title":"MPTP-induced mouse model of Parkinson’s disease: A promising direction of therapeutic strategies","title-short":"MPTP-induced mouse model of Parkinson’s disease","URL":"http://www.bjbms.org/ojs/index.php/bjbms/article/view/5181","author":[{"family":"Mat Taib","given":"Che Norma"},{"family":"Mustapha","given":"Musa"}],"accessed":{"date-parts":[["2024",10,20]]},"issued":{"date-parts":[["2020",12,14]]}}}],"schema":"https://github.com/citation-style-language/schema/raw/master/csl-citation.json"} </w:instrText>
      </w:r>
      <w:r w:rsidRPr="00E42762">
        <w:rPr>
          <w:vertAlign w:val="superscript"/>
        </w:rPr>
        <w:fldChar w:fldCharType="separate"/>
      </w:r>
      <w:r w:rsidR="00655BCC" w:rsidRPr="00E42762">
        <w:rPr>
          <w:vertAlign w:val="superscript"/>
        </w:rPr>
        <w:t>1</w:t>
      </w:r>
      <w:r w:rsidRPr="00E42762">
        <w:rPr>
          <w:vertAlign w:val="superscript"/>
        </w:rPr>
        <w:fldChar w:fldCharType="end"/>
      </w:r>
      <w:r w:rsidRPr="00E42762">
        <w:t xml:space="preserve">. The prevalence of neurodegenerative diseases like PD continues to rise, </w:t>
      </w:r>
      <w:r w:rsidR="00D5562A" w:rsidRPr="00E42762">
        <w:t>primarily due to an aging population, posing a substantial public health challenge</w:t>
      </w:r>
      <w:r w:rsidRPr="00E42762">
        <w:rPr>
          <w:vertAlign w:val="superscript"/>
        </w:rPr>
        <w:fldChar w:fldCharType="begin"/>
      </w:r>
      <w:r w:rsidR="00655BCC" w:rsidRPr="00E42762">
        <w:rPr>
          <w:vertAlign w:val="superscript"/>
        </w:rPr>
        <w:instrText xml:space="preserve"> ADDIN ZOTERO_ITEM CSL_CITATION {"citationID":"8MLhwrsH","properties":{"formattedCitation":"(2)","plainCitation":"(2)","noteIndex":0},"citationItems":[{"id":"dKMGonER/9sfEn2jm","uris":["http://zotero.org/users/local/gyNd5DuB/items/VLE54TAJ"],"itemData":{"id":153,"type":"article-journal","abstract":"Parkinson's disease (PD) is the second most common neurodegenerative disease worldwide. Motor deficits usually associated with PD correlate with dopaminergic axonal neurodegeneration starting at the striatum, which is then followed by dopaminergic neuronal death in the substantia nigra pars compacta (SN), with both events occurring already at the prodromal stage. We will overview the main physiological characteristics responsible for the higher susceptibility of the nigrostriatal circuit to mitochondrial dysfunction and oxidative stress, as hinted by the acting mechanisms of the PD-causing neurotoxin 1-methyl-4-phenyl-1,2,3,6-tetrahydropyridine (MPTP). Then, we will present multiple lines of evidence linking several cell death mechanisms involving mitochondria and production of reactive oxygen species to neuronal loss in PD, namely intrinsic and extrinsic apoptosis, necroptosis, ferroptosis, parthanatos and mitochondrial permeability transition-driven necrosis. We will focus on gathered data from postmortem PD samples and relevant in vivo models, especially MPTP-based models.","container-title":"Ageing Research Reviews","DOI":"10.1016/j.arr.2021.101263","ISSN":"1872-9649","journalAbbreviation":"Ageing Res Rev","language":"eng","note":"PMID: 33540042","page":"101263","source":"PubMed","title":"Oxidative stress and regulated cell death in Parkinson's disease","volume":"67","author":[{"family":"Dionísio","given":"P. A."},{"family":"Amaral","given":"J. D."},{"family":"Rodrigues","given":"C. M. P."}],"issued":{"date-parts":[["2021",5]]}}}],"schema":"https://github.com/citation-style-language/schema/raw/master/csl-citation.json"} </w:instrText>
      </w:r>
      <w:r w:rsidRPr="00E42762">
        <w:rPr>
          <w:vertAlign w:val="superscript"/>
        </w:rPr>
        <w:fldChar w:fldCharType="separate"/>
      </w:r>
      <w:r w:rsidR="00655BCC" w:rsidRPr="00E42762">
        <w:rPr>
          <w:vertAlign w:val="superscript"/>
        </w:rPr>
        <w:t>2</w:t>
      </w:r>
      <w:r w:rsidRPr="00E42762">
        <w:rPr>
          <w:vertAlign w:val="superscript"/>
        </w:rPr>
        <w:fldChar w:fldCharType="end"/>
      </w:r>
      <w:r w:rsidRPr="00E42762">
        <w:t>. Current treatments for PD predominantly rely on dopaminergic analogs and intracerebral high-frequency stimulation</w:t>
      </w:r>
      <w:r w:rsidRPr="00E42762">
        <w:rPr>
          <w:vertAlign w:val="superscript"/>
        </w:rPr>
        <w:fldChar w:fldCharType="begin"/>
      </w:r>
      <w:r w:rsidR="00655BCC" w:rsidRPr="00E42762">
        <w:rPr>
          <w:vertAlign w:val="superscript"/>
        </w:rPr>
        <w:instrText xml:space="preserve"> ADDIN ZOTERO_ITEM CSL_CITATION {"citationID":"V3jAFIwM","properties":{"formattedCitation":"(3,4)","plainCitation":"(3,4)","noteIndex":0},"citationItems":[{"id":"dKMGonER/d5SgN3a6","uris":["http://zotero.org/users/local/gyNd5DuB/items/VJB23AL4"],"itemData":{"id":143,"type":"article-journal","abstract":"Existing dopaminergic-based therapies for Parkinson disease (PD) are limited by side effects and lack of long-term efficacy. Here, Charvinet al. discuss the challenges facing the development of novel treatments for PD, assess emerging disease-modifying non-dopaminergic therapeutic strategies and highlight novel therapies aimed at managing symptoms of the disease.","container-title":"Nature Reviews Drug Discovery","DOI":"10.1038/nrd.2018.136","ISSN":"1474-1784","issue":"11","journalAbbreviation":"Nat Rev Drug Discov","language":"en","license":"2018 Springer Nature Limited","note":"publisher: Nature Publishing Group","page":"804-822","source":"www.nature.com","title":"Therapeutic strategies for Parkinson disease: beyond dopaminergic drugs","title-short":"Therapeutic strategies for Parkinson disease","volume":"17","author":[{"family":"Charvin","given":"Delphine"},{"family":"Medori","given":"Rossella"},{"family":"Hauser","given":"Robert A."},{"family":"Rascol","given":"Olivier"}],"issued":{"date-parts":[["2018",11]]}}},{"id":"dKMGonER/tKLaAnet","uris":["http://zotero.org/users/local/gyNd5DuB/items/8AIT99QC"],"itemData":{"id":144,"type":"article","abstract":"Parkinson’s disease (PD) is a common neurodegenerative disease typified by a movement disorder consisting of bradykinesia, rest tremor, rigidity, and postural instability. Treatment options for PD are limited, with most of the current approaches based on restoration of dopaminergic tone in the striatum. However, these do not alter disease course and do not treat the non-dopamine-dependent features of PD such as freezing of gait, cognitive impairment, and other non-motor features of the disorder, which often have the greatest impact on quality of life. As understanding of PD pathogenesis grows, novel therapeutic avenues are emerging. These include treatments that aim to control the symptoms of PD without the problematic side effects seen with currently available treatments and those that are aimed towards slowing pathology, reducing neuronal loss, and attenuating disease course. In this latter regard, there has been much interest in drug repurposing (the use of established drugs for a new indication), with many drugs being reported to affect PD-relevant intracellular processes. This approach offers an expedited route to the clinic, given that pharmacokinetic and safety data are potentially already available. In terms of better symptomatic therapies that are also regenerative, gene therapies and cell-based treatments are beginning to enter clinical trials, and developments in other neurosurgical strategies such as more nuanced deep brain stimulation approaches mean that the landscape of PD treatment is likely to evolve considerably over the coming years. In this review, we provide an overview of the novel therapeutic approaches that are close to, or are already in, clinical trials.","DOI":"10.12688/f1000research.25634.1","language":"en","license":"http://creativecommons.org/licenses/by/4.0/","number":"9:862","publisher":"F1000Research","source":"f1000research.com","title":"Recent developments in the treatment of Parkinson's Disease","URL":"https://f1000research.com/articles/9-862","author":[{"family":"Stoker","given":"Thomas B."},{"family":"Barker","given":"Roger A."}],"accessed":{"date-parts":[["2024",10,20]]},"issued":{"date-parts":[["2020",7,31]]}}}],"schema":"https://github.com/citation-style-language/schema/raw/master/csl-citation.json"} </w:instrText>
      </w:r>
      <w:r w:rsidRPr="00E42762">
        <w:rPr>
          <w:vertAlign w:val="superscript"/>
        </w:rPr>
        <w:fldChar w:fldCharType="separate"/>
      </w:r>
      <w:r w:rsidR="00655BCC" w:rsidRPr="00E42762">
        <w:rPr>
          <w:vertAlign w:val="superscript"/>
        </w:rPr>
        <w:t>3,4</w:t>
      </w:r>
      <w:r w:rsidRPr="00E42762">
        <w:rPr>
          <w:vertAlign w:val="superscript"/>
        </w:rPr>
        <w:fldChar w:fldCharType="end"/>
      </w:r>
      <w:r w:rsidRPr="00E42762">
        <w:t xml:space="preserve">. </w:t>
      </w:r>
      <w:r w:rsidR="00D5562A" w:rsidRPr="00E42762">
        <w:t>However, these therapies lack neuroprotective effects and fail to halt disease progression, underscoring the urgent need for innovative strategies to prevent neuronal loss, promote regeneration, and mitigate disease advancement</w:t>
      </w:r>
      <w:r w:rsidRPr="00E42762">
        <w:fldChar w:fldCharType="begin"/>
      </w:r>
      <w:r w:rsidR="00655BCC" w:rsidRPr="00E42762">
        <w:instrText xml:space="preserve"> ADDIN ZOTERO_ITEM CSL_CITATION {"citationID":"9DQeu6Yb","properties":{"formattedCitation":"(5)","plainCitation":"(5)","noteIndex":0},"citationItems":[{"id":"dKMGonER/UU2nve7G","uris":["http://zotero.org/users/local/gyNd5DuB/items/R76ZMXEK"],"itemData":{"id":108,"type":"article-journal","abstract":"Although initially thought to be important primarily in neural development, a number of trophic proteins have been found to have neuroprotective and neuroregenerative activity in the adult central nervous system, particularly for midbrain dopamine neurons (MDN). Neurorestoration is potentially feasi …","container-title":"Parkinsonism &amp; related disorders","DOI":"10.1016/S1353-8020(11)70045-1","ISSN":"1873-5126","issue":"0 1","language":"en","note":"publisher: Parkinsonism Relat Disord\nPMID: 22166416","source":"pubmed.ncbi.nlm.nih.gov","title":"Neurorestoration","URL":"https://pubmed.ncbi.nlm.nih.gov/22166416/","volume":"18 Suppl 1","author":[{"family":"M","given":"Airavaara"},{"family":"Mh","given":"Voutilainen"},{"family":"Y","given":"Wang"},{"family":"B","given":"Hoffer"}],"accessed":{"date-parts":[["2024",10,17]]},"issued":{"date-parts":[["2012",1]]}}}],"schema":"https://github.com/citation-style-language/schema/raw/master/csl-citation.json"} </w:instrText>
      </w:r>
      <w:r w:rsidRPr="00E42762">
        <w:fldChar w:fldCharType="separate"/>
      </w:r>
      <w:r w:rsidR="00655BCC" w:rsidRPr="00E42762">
        <w:rPr>
          <w:vertAlign w:val="superscript"/>
        </w:rPr>
        <w:t>5</w:t>
      </w:r>
      <w:r w:rsidRPr="00E42762">
        <w:fldChar w:fldCharType="end"/>
      </w:r>
      <w:r w:rsidRPr="00E42762">
        <w:t>.</w:t>
      </w:r>
    </w:p>
    <w:p w14:paraId="359C0B60" w14:textId="77777777" w:rsidR="005F4C94" w:rsidRPr="00E42762" w:rsidRDefault="005F4C94" w:rsidP="00E42762">
      <w:pPr>
        <w:autoSpaceDE w:val="0"/>
        <w:autoSpaceDN w:val="0"/>
        <w:adjustRightInd w:val="0"/>
      </w:pPr>
    </w:p>
    <w:p w14:paraId="0862225D" w14:textId="7CF348F6" w:rsidR="0059567C" w:rsidRPr="00E42762" w:rsidRDefault="00387441" w:rsidP="00E42762">
      <w:pPr>
        <w:widowControl/>
        <w:autoSpaceDE w:val="0"/>
        <w:autoSpaceDN w:val="0"/>
        <w:adjustRightInd w:val="0"/>
      </w:pPr>
      <w:r w:rsidRPr="00E42762">
        <w:rPr>
          <w:u w:color="FF0000"/>
        </w:rPr>
        <w:t>O</w:t>
      </w:r>
      <w:r w:rsidR="0059567C" w:rsidRPr="00E42762">
        <w:rPr>
          <w:u w:color="FF0000"/>
        </w:rPr>
        <w:t xml:space="preserve">ctadecaneuropeptide (ODN) is a peptide </w:t>
      </w:r>
      <w:r w:rsidR="00E634C6" w:rsidRPr="00E42762">
        <w:rPr>
          <w:u w:color="FF0000"/>
        </w:rPr>
        <w:t>derived from</w:t>
      </w:r>
      <w:r w:rsidR="0059567C" w:rsidRPr="00E42762">
        <w:rPr>
          <w:u w:color="FF0000"/>
        </w:rPr>
        <w:t xml:space="preserve"> the proteolytic </w:t>
      </w:r>
      <w:r w:rsidR="00E634C6" w:rsidRPr="00E42762">
        <w:rPr>
          <w:u w:color="FF0000"/>
        </w:rPr>
        <w:t>processing</w:t>
      </w:r>
      <w:r w:rsidR="0059567C" w:rsidRPr="00E42762">
        <w:rPr>
          <w:u w:color="FF0000"/>
        </w:rPr>
        <w:t xml:space="preserve"> of the 86-amino acid precursor diazepam-binding inhibitor (DBI)</w:t>
      </w:r>
      <w:r w:rsidR="0059567C" w:rsidRPr="00E42762">
        <w:rPr>
          <w:u w:color="FF0000"/>
          <w:vertAlign w:val="superscript"/>
        </w:rPr>
        <w:fldChar w:fldCharType="begin"/>
      </w:r>
      <w:r w:rsidR="00655BCC" w:rsidRPr="00E42762">
        <w:rPr>
          <w:u w:color="FF0000"/>
          <w:vertAlign w:val="superscript"/>
        </w:rPr>
        <w:instrText xml:space="preserve"> ADDIN ZOTERO_ITEM CSL_CITATION {"citationID":"tNPv15Ud","properties":{"formattedCitation":"(6)","plainCitation":"(6)","noteIndex":0},"citationItems":[{"id":"dKMGonER/w6likwXn","uris":["http://zotero.org/users/local/gyNd5DuB/items/W7BR9P3B"],"itemData":{"id":150,"type":"article-journal","abstract":"A brain polypeptide termed diazepam-binding inhibitor (DBI) and thought to be chemically and functionally related to the endogenous effector of the benzodiazepine recognition site was purified to homogeneity. This peptide gives a single band of protein on NaDodSO4 and acidic urea gel electrophoresis. A single UV-absorbing peak was obtained by HPLC using three different columns and solvent systems. DBI has a molecular mass of approximately equal to 11,000 daltons. Carboxyl-terminus analysis shows that tyrosine is the only residue while the amino-terminus was blocked. Cyanogen bromide treatment of DBI yields three polypeptide fragments, and the sequences of two of them have been determined for a total of 45 amino acids. DBI is a competitive inhibitor for the binding of [3H]diazepam, [3H]flunitrazepam, beta-[3H]carboline propyl esters, and 3H-labeled Ro 15-1788. The Ki for [3H]-diazepam and beta-[3H]carboline binding were 4 and 1 microM, respectively. Doses of DBI that inhibited [3H]diazepam binding by greater than 50% fail to change [3H]etorphine, gamma-amino[3H]butyric acid, [3H]-quinuclidinyl benzilate, [3H]dihydroalprenolol, [3H]adenosine, and [3H]imipramine binding tested at their respective Kd values. DBI injected intraventricularly at doses of 5-10 nmol completely reversed the anticonflict action of diazepam on unpunished drinking and, similar to the anxiety-inducing beta-carboline derivative FG 7142 (beta-carboline-3-carboxylic acid methyl ester), facilitated the shock-induced suppression of drinking by lowering the threshold for this response.","container-title":"Proceedings of the National Academy of Sciences of the United States of America","DOI":"10.1073/pnas.80.11.3531","ISSN":"0027-8424","issue":"11","journalAbbreviation":"Proc Natl Acad Sci U S A","language":"eng","note":"PMID: 6304714\nPMCID: PMC394079","page":"3531-3535","source":"PubMed","title":"Isolation, characterization, and purification to homogeneity of an endogenous polypeptide with agonistic action on benzodiazepine receptors","volume":"80","author":[{"family":"Guidotti","given":"A."},{"family":"Forchetti","given":"C. M."},{"family":"Corda","given":"M. G."},{"family":"Konkel","given":"D."},{"family":"Bennett","given":"C. D."},{"family":"Costa","given":"E."}],"issued":{"date-parts":[["1983",6]]}}}],"schema":"https://github.com/citation-style-language/schema/raw/master/csl-citation.json"} </w:instrText>
      </w:r>
      <w:r w:rsidR="0059567C" w:rsidRPr="00E42762">
        <w:rPr>
          <w:u w:color="FF0000"/>
          <w:vertAlign w:val="superscript"/>
        </w:rPr>
        <w:fldChar w:fldCharType="separate"/>
      </w:r>
      <w:r w:rsidR="00655BCC" w:rsidRPr="00E42762">
        <w:rPr>
          <w:vertAlign w:val="superscript"/>
        </w:rPr>
        <w:t>6</w:t>
      </w:r>
      <w:r w:rsidR="0059567C" w:rsidRPr="00E42762">
        <w:rPr>
          <w:u w:color="FF0000"/>
          <w:vertAlign w:val="superscript"/>
        </w:rPr>
        <w:fldChar w:fldCharType="end"/>
      </w:r>
      <w:r w:rsidR="0059567C" w:rsidRPr="00E42762">
        <w:rPr>
          <w:u w:color="FF0000"/>
        </w:rPr>
        <w:t>,</w:t>
      </w:r>
      <w:r w:rsidR="00161731" w:rsidRPr="00E42762">
        <w:rPr>
          <w:u w:color="FF0000"/>
        </w:rPr>
        <w:t xml:space="preserve"> </w:t>
      </w:r>
      <w:r w:rsidR="0059567C" w:rsidRPr="00E42762">
        <w:rPr>
          <w:u w:color="FF0000"/>
        </w:rPr>
        <w:t>expressed</w:t>
      </w:r>
      <w:r w:rsidR="00161731" w:rsidRPr="00E42762">
        <w:rPr>
          <w:u w:color="FF0000"/>
        </w:rPr>
        <w:t xml:space="preserve"> primar</w:t>
      </w:r>
      <w:r w:rsidR="00EE1AEC" w:rsidRPr="00E42762">
        <w:rPr>
          <w:u w:color="FF0000"/>
        </w:rPr>
        <w:t>i</w:t>
      </w:r>
      <w:r w:rsidR="00161731" w:rsidRPr="00E42762">
        <w:rPr>
          <w:u w:color="FF0000"/>
        </w:rPr>
        <w:t>ly</w:t>
      </w:r>
      <w:r w:rsidR="00E634C6" w:rsidRPr="00E42762">
        <w:rPr>
          <w:u w:color="FF0000"/>
        </w:rPr>
        <w:t xml:space="preserve"> by</w:t>
      </w:r>
      <w:r w:rsidR="0059567C" w:rsidRPr="00E42762">
        <w:rPr>
          <w:u w:color="FF0000"/>
        </w:rPr>
        <w:t xml:space="preserve"> </w:t>
      </w:r>
      <w:proofErr w:type="spellStart"/>
      <w:r w:rsidR="0059567C" w:rsidRPr="00E42762">
        <w:rPr>
          <w:u w:color="FF0000"/>
        </w:rPr>
        <w:t>astroglia</w:t>
      </w:r>
      <w:r w:rsidR="00401525" w:rsidRPr="00E42762">
        <w:rPr>
          <w:u w:color="FF0000"/>
        </w:rPr>
        <w:t>l</w:t>
      </w:r>
      <w:proofErr w:type="spellEnd"/>
      <w:r w:rsidR="0059567C" w:rsidRPr="00E42762">
        <w:rPr>
          <w:u w:color="FF0000"/>
        </w:rPr>
        <w:t xml:space="preserve"> cells in the</w:t>
      </w:r>
      <w:r w:rsidR="00E634C6" w:rsidRPr="00E42762">
        <w:rPr>
          <w:u w:color="FF0000"/>
        </w:rPr>
        <w:t xml:space="preserve"> mammalian</w:t>
      </w:r>
      <w:r w:rsidR="0059567C" w:rsidRPr="00E42762">
        <w:rPr>
          <w:u w:color="FF0000"/>
        </w:rPr>
        <w:t xml:space="preserve"> central nervous system</w:t>
      </w:r>
      <w:r w:rsidR="00E634C6" w:rsidRPr="00E42762">
        <w:t>.</w:t>
      </w:r>
      <w:r w:rsidR="006478A4" w:rsidRPr="00E42762">
        <w:t xml:space="preserve"> </w:t>
      </w:r>
      <w:r w:rsidR="00E634C6" w:rsidRPr="00E42762">
        <w:rPr>
          <w:u w:color="FF0000"/>
        </w:rPr>
        <w:t xml:space="preserve">The evolutionary conservation of </w:t>
      </w:r>
      <w:r w:rsidR="00161731" w:rsidRPr="00E42762">
        <w:rPr>
          <w:u w:color="FF0000"/>
        </w:rPr>
        <w:t>ODN’s</w:t>
      </w:r>
      <w:r w:rsidR="005639E6" w:rsidRPr="00E42762">
        <w:rPr>
          <w:u w:color="FF0000"/>
        </w:rPr>
        <w:t xml:space="preserve"> </w:t>
      </w:r>
      <w:r w:rsidR="00E634C6" w:rsidRPr="00E42762">
        <w:rPr>
          <w:u w:color="FF0000"/>
        </w:rPr>
        <w:t>primary structure</w:t>
      </w:r>
      <w:r w:rsidR="00161731" w:rsidRPr="00E42762">
        <w:rPr>
          <w:u w:color="FF0000"/>
        </w:rPr>
        <w:t xml:space="preserve"> </w:t>
      </w:r>
      <w:r w:rsidR="00E634C6" w:rsidRPr="00E42762">
        <w:rPr>
          <w:u w:color="FF0000"/>
        </w:rPr>
        <w:t>suggests its</w:t>
      </w:r>
      <w:r w:rsidR="005639E6" w:rsidRPr="00E42762">
        <w:rPr>
          <w:u w:color="FF0000"/>
        </w:rPr>
        <w:t xml:space="preserve"> </w:t>
      </w:r>
      <w:r w:rsidR="00161731" w:rsidRPr="00E42762">
        <w:rPr>
          <w:u w:color="FF0000"/>
        </w:rPr>
        <w:t>significant biological roles</w:t>
      </w:r>
      <w:r w:rsidR="0059567C" w:rsidRPr="00E42762">
        <w:rPr>
          <w:u w:color="FF0000"/>
        </w:rPr>
        <w:t xml:space="preserve">. </w:t>
      </w:r>
      <w:r w:rsidR="00E634C6" w:rsidRPr="00E42762">
        <w:rPr>
          <w:u w:color="FF0000"/>
        </w:rPr>
        <w:t>ODN has been shown to regulate key functions such as food intake, sleep, aggression, and anxiety-related behaviors</w:t>
      </w:r>
      <w:r w:rsidR="00467ABD" w:rsidRPr="00E42762">
        <w:rPr>
          <w:u w:color="FF0000"/>
          <w:vertAlign w:val="superscript"/>
        </w:rPr>
        <w:fldChar w:fldCharType="begin"/>
      </w:r>
      <w:r w:rsidR="00655BCC" w:rsidRPr="00E42762">
        <w:rPr>
          <w:u w:color="FF0000"/>
          <w:vertAlign w:val="superscript"/>
        </w:rPr>
        <w:instrText xml:space="preserve"> ADDIN ZOTERO_ITEM CSL_CITATION {"citationID":"7ngNGWmd","properties":{"formattedCitation":"(7)","plainCitation":"(7)","noteIndex":0},"citationItems":[{"id":"dKMGonER/kYrTZfPM","uris":["http://zotero.org/users/local/gyNd5DuB/items/4LUU7VM4"],"itemData":{"id":"sMZY4lvA/PpjCeno5","type":"article-journal","abstract":"The existence of specific binding sites for benzodiazepines (BZs) in the brain has prompted the search for endogenous BZ receptor ligands designated by the generic term « endozepines ». This has led to the identification of an 86-amino acid polypeptide capable of displacing [3H]diazepam binding to brain membranes, thus called diazepam-binding inhibitor (DBI). It was subsequently found that the sequence of DBI is identical to that of a lipid carrier protein termed acyl-CoA-binding protein (ACBP). The primary structure of DBI/ACBP has been well preserved, suggesting that endozepines exert vital functions. The DBI/ACBP gene is expressed by astroglial cells in the central nervous system, and by various cell types in peripheral organs. Endoproteolytic cleavage of DBI/ACBP generates several bioactive peptides including a triakontatetraneuropeptide that acts as a selective ligand of peripheral BZ receptors/translocator protein, and an octadecaneuropeptide that activates a G protein-coupled receptor and behaves as an allosteric modulator of the GABAAR. Although DBI/ACBP is devoid of a signal peptide, endozepines are released by astrocytes in a regulated manner. Consistent with the diversity and wide distribution of BZ-binding sites, endozepines appear to exert a large array of biological functions and pharmacological effects. Thus, intracerebroventricular administration of DBI or derived peptides induces proconflict and anxiety-like behaviors, and reduces food intake. Reciprocally, the expression of DBI/ACBP mRNA is regulated by stress and metabolic signals. In vitro, endozepines stimulate astrocyte proliferation and protect neurons and astrocytes from apoptotic cell death. Endozepines also regulate neurosteroid biosynthesis and neuropeptide expression, and promote neurogenesis. In peripheral organs, endozepines activate steroid hormone production, stimulate acyl chain ceramide synthesis and trigger pro-inflammatory cytokine secretion. The expression of the DBI/ACBP gene is enhanced in addiction/withdrawal animal models, in patients with neurodegenerative disorders and in various types of tumors. We review herein the current knowledge concerning the various actions of endozepines and discuss the physiopathological implications of these regulatory gliopeptides.","container-title":"Pharmacology &amp; Therapeutics","DOI":"10.1016/j.pharmthera.2019.06.008","ISSN":"1879-016X","journalAbbreviation":"Pharmacol Ther","language":"eng","note":"PMID: 31283949","page":"107386","source":"PubMed","title":"Endozepines and their receptors: Structure, functions and pathophysiological significance","title-short":"Endozepines and their receptors","volume":"208","author":[{"family":"Tonon","given":"Marie-Christine"},{"family":"Vaudry","given":"Hubert"},{"family":"Chuquet","given":"Julien"},{"family":"Guillebaud","given":"Florent"},{"family":"Fan","given":"Jinjiang"},{"family":"Masmoudi-Kouki","given":"Olfa"},{"family":"Vaudry","given":"David"},{"family":"Lanfray","given":"Damien"},{"family":"Morin","given":"Fabrice"},{"family":"Prevot","given":"Vincent"},{"family":"Papadopoulos","given":"Vassilios"},{"family":"Troadec","given":"Jean-Denis"},{"family":"Leprince","given":"Jérôme"}],"issued":{"date-parts":[["2020",4]]}}}],"schema":"https://github.com/citation-style-language/schema/raw/master/csl-citation.json"} </w:instrText>
      </w:r>
      <w:r w:rsidR="00467ABD" w:rsidRPr="00E42762">
        <w:rPr>
          <w:u w:color="FF0000"/>
          <w:vertAlign w:val="superscript"/>
        </w:rPr>
        <w:fldChar w:fldCharType="separate"/>
      </w:r>
      <w:r w:rsidR="00655BCC" w:rsidRPr="00E42762">
        <w:rPr>
          <w:vertAlign w:val="superscript"/>
        </w:rPr>
        <w:t>7</w:t>
      </w:r>
      <w:r w:rsidR="00467ABD" w:rsidRPr="00E42762">
        <w:rPr>
          <w:u w:color="FF0000"/>
          <w:vertAlign w:val="superscript"/>
        </w:rPr>
        <w:fldChar w:fldCharType="end"/>
      </w:r>
      <w:r w:rsidR="0059567C" w:rsidRPr="00E42762">
        <w:rPr>
          <w:u w:color="FF0000"/>
        </w:rPr>
        <w:t>.</w:t>
      </w:r>
      <w:r w:rsidR="005639E6" w:rsidRPr="00E42762">
        <w:rPr>
          <w:u w:color="FF0000"/>
        </w:rPr>
        <w:t xml:space="preserve"> </w:t>
      </w:r>
      <w:r w:rsidR="008D5AC3" w:rsidRPr="00E42762">
        <w:rPr>
          <w:u w:color="FF0000"/>
        </w:rPr>
        <w:t>Beyond</w:t>
      </w:r>
      <w:r w:rsidR="00E634C6" w:rsidRPr="00E42762">
        <w:rPr>
          <w:u w:color="FF0000"/>
        </w:rPr>
        <w:t xml:space="preserve"> its regulatory role, extensive research has demonstrated the neuroprotective properties of ODN in various neurological disorders associated with neuronal degeneration</w:t>
      </w:r>
      <w:r w:rsidR="0059567C" w:rsidRPr="00E42762">
        <w:rPr>
          <w:u w:color="FF0000"/>
        </w:rPr>
        <w:t>. For instance, ODN</w:t>
      </w:r>
      <w:r w:rsidR="00161731" w:rsidRPr="00E42762">
        <w:rPr>
          <w:u w:color="FF0000"/>
        </w:rPr>
        <w:t xml:space="preserve"> </w:t>
      </w:r>
      <w:r w:rsidR="00306F58" w:rsidRPr="00E42762">
        <w:rPr>
          <w:u w:color="FF0000"/>
        </w:rPr>
        <w:t>protect</w:t>
      </w:r>
      <w:r w:rsidR="00161731" w:rsidRPr="00E42762">
        <w:rPr>
          <w:u w:color="FF0000"/>
        </w:rPr>
        <w:t>s</w:t>
      </w:r>
      <w:r w:rsidR="00306F58" w:rsidRPr="00E42762">
        <w:rPr>
          <w:u w:color="FF0000"/>
        </w:rPr>
        <w:t xml:space="preserve"> dopaminergic neurons</w:t>
      </w:r>
      <w:r w:rsidR="0059567C" w:rsidRPr="00E42762">
        <w:rPr>
          <w:u w:color="FF0000"/>
        </w:rPr>
        <w:t xml:space="preserve"> in a model of </w:t>
      </w:r>
      <w:r w:rsidR="00384390" w:rsidRPr="00E42762">
        <w:rPr>
          <w:u w:color="FF0000"/>
        </w:rPr>
        <w:t>PD</w:t>
      </w:r>
      <w:r w:rsidR="0059567C" w:rsidRPr="00E42762">
        <w:rPr>
          <w:u w:color="FF0000"/>
          <w:vertAlign w:val="superscript"/>
        </w:rPr>
        <w:fldChar w:fldCharType="begin"/>
      </w:r>
      <w:r w:rsidR="00655BCC" w:rsidRPr="00E42762">
        <w:rPr>
          <w:u w:color="FF0000"/>
          <w:vertAlign w:val="superscript"/>
        </w:rPr>
        <w:instrText xml:space="preserve"> ADDIN ZOTERO_ITEM CSL_CITATION {"citationID":"U33G53fi","properties":{"formattedCitation":"(8)","plainCitation":"(8)","noteIndex":0},"citationItems":[{"id":"dKMGonER/xkNm4sD3","uris":["http://zotero.org/users/local/gyNd5DuB/items/KQ478BEV"],"itemData":{"id":85,"type":"article-journal","abstract":"Parkinson's disease (PD) is a neurodegenerative disorder characterized by a progressive loss of dopamine (DA) neurons through apoptotic, inflammatory and oxidative stress mechanisms. The octadecaneuropeptide (ODN) is a diazepam-binding inhibitor (DBI)-derived peptide, expressed by astrocytes, which protects neurons against oxidative cell damages and apoptosis in an in vitro model of PD. The present study reveals that a single intracerebroventricular injection of 10 ng ODN 1 h after the last administration of 1-methyl-4-phenyl-1,2,3,6-tetrahydropyridine (MPTP) prevented the degeneration of DA neurons induced by the toxin in the substantia nigra pars compacta of mice, 7 days after treatment. ODN-mediated neuroprotection was associated with a reduction of the number of glial fibrillary acidic protein-positive reactive astrocytes and a strong inhibition of the expression of pro-inflammatory genes such as interleukins 1β and 6, and tumor necrosis factor-α. Moreover, ODN blocked the inhibition of the anti-apoptotic gene Bcl-2, and the stimulation of the pro-apoptotic genes Bax and caspase-3, induced by MPTP in the substantia nigra pars compacta. ODN also decreased or even in some cases abolished MPTP-induced oxidative damages, overproduction of reactive oxygen species and accumulation of lipid oxidation products in DA neurons. Furthermore, DBI knockout mice appeared to be more vulnerable than wild-type animals to MPTP neurotoxicity. Taken together, these results show that the gliopeptide ODN exerts a potent neuroprotective effect against MPTP-induced degeneration of nigrostriatal DA neurons in mice, through mechanisms involving downregulation of neuroinflammatory, oxidative and apoptotic processes. ODN may, thus, reduce neuronal damages in PD and other cerebral injuries involving oxidative neurodegeneration.","container-title":"Cellular and molecular life sciences: CMLS","DOI":"10.1007/s00018-017-2727-2","ISSN":"1420-9071","issue":"11","journalAbbreviation":"Cell Mol Life Sci","language":"eng","note":"PMID: 29264673\nPMCID: PMC11105203","page":"2075-2091","source":"PubMed","title":"Neuroprotective effects of the gliopeptide ODN in an in vivo model of Parkinson's disease","volume":"75","author":[{"family":"Bahdoudi","given":"Seyma"},{"family":"Ghouili","given":"Ikram"},{"family":"Hmiden","given":"Mansour"},{"family":"Rego","given":"Jean-Luc","non-dropping-particle":"do"},{"family":"Lefranc","given":"Benjamin"},{"family":"Leprince","given":"Jérôme"},{"family":"Chuquet","given":"Julien"},{"family":"Rego","given":"Jean-Claude","non-dropping-particle":"do"},{"family":"Marcher","given":"Ann-Britt"},{"family":"Mandrup","given":"Susanne"},{"family":"Vaudry","given":"Hubert"},{"family":"Tonon","given":"Marie-Christine"},{"family":"Amri","given":"Mohamed"},{"family":"Masmoudi-Kouki","given":"Olfa"},{"family":"Vaudry","given":"David"}],"issued":{"date-parts":[["2018",6]]}}}],"schema":"https://github.com/citation-style-language/schema/raw/master/csl-citation.json"} </w:instrText>
      </w:r>
      <w:r w:rsidR="0059567C" w:rsidRPr="00E42762">
        <w:rPr>
          <w:u w:color="FF0000"/>
          <w:vertAlign w:val="superscript"/>
        </w:rPr>
        <w:fldChar w:fldCharType="separate"/>
      </w:r>
      <w:r w:rsidR="00655BCC" w:rsidRPr="00E42762">
        <w:rPr>
          <w:vertAlign w:val="superscript"/>
        </w:rPr>
        <w:t>8</w:t>
      </w:r>
      <w:r w:rsidR="0059567C" w:rsidRPr="00E42762">
        <w:rPr>
          <w:u w:color="FF0000"/>
          <w:vertAlign w:val="superscript"/>
        </w:rPr>
        <w:fldChar w:fldCharType="end"/>
      </w:r>
      <w:r w:rsidR="0059567C" w:rsidRPr="00E42762">
        <w:rPr>
          <w:u w:color="FF0000"/>
        </w:rPr>
        <w:t xml:space="preserve">, </w:t>
      </w:r>
      <w:r w:rsidR="00306F58" w:rsidRPr="00E42762">
        <w:rPr>
          <w:u w:color="FF0000"/>
        </w:rPr>
        <w:t xml:space="preserve">and </w:t>
      </w:r>
      <w:r w:rsidR="0059567C" w:rsidRPr="00E42762">
        <w:rPr>
          <w:u w:color="FF0000"/>
        </w:rPr>
        <w:t>reduce</w:t>
      </w:r>
      <w:r w:rsidR="00161731" w:rsidRPr="00E42762">
        <w:rPr>
          <w:u w:color="FF0000"/>
        </w:rPr>
        <w:t>s</w:t>
      </w:r>
      <w:r w:rsidR="0059567C" w:rsidRPr="00E42762">
        <w:rPr>
          <w:u w:color="FF0000"/>
        </w:rPr>
        <w:t xml:space="preserve"> infarct </w:t>
      </w:r>
      <w:r w:rsidR="00306F58" w:rsidRPr="00E42762">
        <w:rPr>
          <w:u w:color="FF0000"/>
        </w:rPr>
        <w:t>size while</w:t>
      </w:r>
      <w:r w:rsidR="0059567C" w:rsidRPr="00E42762">
        <w:rPr>
          <w:u w:color="FF0000"/>
        </w:rPr>
        <w:t xml:space="preserve"> </w:t>
      </w:r>
      <w:r w:rsidR="00306F58" w:rsidRPr="00E42762">
        <w:rPr>
          <w:u w:color="FF0000"/>
        </w:rPr>
        <w:t>enhancing</w:t>
      </w:r>
      <w:r w:rsidR="0059567C" w:rsidRPr="00E42762">
        <w:rPr>
          <w:u w:color="FF0000"/>
        </w:rPr>
        <w:t xml:space="preserve"> functional recovery </w:t>
      </w:r>
      <w:r w:rsidR="00306F58" w:rsidRPr="00E42762">
        <w:rPr>
          <w:u w:color="FF0000"/>
        </w:rPr>
        <w:t>following</w:t>
      </w:r>
      <w:r w:rsidR="0059567C" w:rsidRPr="00E42762">
        <w:rPr>
          <w:u w:color="FF0000"/>
        </w:rPr>
        <w:t xml:space="preserve"> stroke</w:t>
      </w:r>
      <w:r w:rsidR="00384390" w:rsidRPr="00E42762">
        <w:rPr>
          <w:u w:color="FF0000"/>
        </w:rPr>
        <w:t xml:space="preserve"> in rodents</w:t>
      </w:r>
      <w:r w:rsidR="004B003E" w:rsidRPr="00E42762">
        <w:rPr>
          <w:u w:color="FF0000"/>
          <w:vertAlign w:val="superscript"/>
        </w:rPr>
        <w:fldChar w:fldCharType="begin"/>
      </w:r>
      <w:r w:rsidR="00655BCC" w:rsidRPr="00E42762">
        <w:rPr>
          <w:u w:color="FF0000"/>
          <w:vertAlign w:val="superscript"/>
        </w:rPr>
        <w:instrText xml:space="preserve"> ADDIN ZOTERO_ITEM CSL_CITATION {"citationID":"BnEPGD28","properties":{"formattedCitation":"(9)","plainCitation":"(9)","noteIndex":0},"citationItems":[{"id":"dKMGonER/zshFWCCq","uris":["http://zotero.org/users/local/gyNd5DuB/items/HKAX4856"],"itemData":{"id":132,"type":"article-journal","abstract":"Intranasal (IN) administration appears to be a suitable route for clinical use as it allows direct delivery of bioactive molecules to the central nervous system, reducing systemic exposure and sides effects. Nevertheless, only some molecules can be transported to the brain from the nasal cavity. This led us to compare the efficiency of an IN, intravenous (IV), and intraperitoneal (IP) administration of pituitary adenylate cyclase-activating polypeptide (PACAP) after transient or permanent middle cerebral artery occlusion (MCAO) in C57BL/6 mice. The results show that the neuroprotective effect of PACAP is much more efficient after IN administration than IV injection while IP injection had no effect. IN administration of PACAP reduced the infarct volume when injected within 6 h after the reperfusion and improved functional recovery up to at least 1 week after the ischemia.","container-title":"Frontiers in Endocrinology","DOI":"10.3389/fendo.2020.585082","ISSN":"1664-2392","journalAbbreviation":"Front. Endocrinol.","language":"en","page":"585082","source":"DOI.org (Crossref)","title":"Intranasal Administration of PACAP Is an Efficient Delivery Route to Reduce Infarct Volume and Promote Functional Recovery After Transient and Permanent Middle Cerebral Artery Occlusion","volume":"11","author":[{"family":"Cherait","given":"Asma"},{"family":"Maucotel","given":"Julie"},{"family":"Lefranc","given":"Benjamin"},{"family":"Leprince","given":"Jérôme"},{"family":"Vaudry","given":"David"}],"issued":{"date-parts":[["2021",1,20]]}}}],"schema":"https://github.com/citation-style-language/schema/raw/master/csl-citation.json"} </w:instrText>
      </w:r>
      <w:r w:rsidR="004B003E" w:rsidRPr="00E42762">
        <w:rPr>
          <w:u w:color="FF0000"/>
          <w:vertAlign w:val="superscript"/>
        </w:rPr>
        <w:fldChar w:fldCharType="separate"/>
      </w:r>
      <w:r w:rsidR="00655BCC" w:rsidRPr="00E42762">
        <w:rPr>
          <w:vertAlign w:val="superscript"/>
        </w:rPr>
        <w:t>9</w:t>
      </w:r>
      <w:r w:rsidR="004B003E" w:rsidRPr="00E42762">
        <w:rPr>
          <w:u w:color="FF0000"/>
          <w:vertAlign w:val="superscript"/>
        </w:rPr>
        <w:fldChar w:fldCharType="end"/>
      </w:r>
      <w:r w:rsidR="008444AC" w:rsidRPr="00E42762">
        <w:t>.</w:t>
      </w:r>
      <w:r w:rsidR="0059567C" w:rsidRPr="00E42762">
        <w:t xml:space="preserve"> One of ODN’s key features is its ability to counteract many deleterious processes activated </w:t>
      </w:r>
      <w:r w:rsidR="00161731" w:rsidRPr="00E42762">
        <w:t>during</w:t>
      </w:r>
      <w:r w:rsidR="0059567C" w:rsidRPr="00E42762">
        <w:t xml:space="preserve"> brain damage through its anti-apoptotic, anti-inflammatory, antioxidant, and immunomodulatory activities</w:t>
      </w:r>
      <w:r w:rsidR="0059567C" w:rsidRPr="00E42762">
        <w:rPr>
          <w:vertAlign w:val="superscript"/>
        </w:rPr>
        <w:fldChar w:fldCharType="begin"/>
      </w:r>
      <w:r w:rsidR="00655BCC" w:rsidRPr="00E42762">
        <w:rPr>
          <w:vertAlign w:val="superscript"/>
        </w:rPr>
        <w:instrText xml:space="preserve"> ADDIN ZOTERO_ITEM CSL_CITATION {"citationID":"UhK1oy6W","properties":{"formattedCitation":"(10\\uc0\\u8211{}12)","plainCitation":"(10–12)","noteIndex":0},"citationItems":[{"id":"dKMGonER/w7pWvAkz","uris":["http://zotero.org/users/local/gyNd5DuB/items/I7LVGGJ8"],"itemData":{"id":121,"type":"article-journal","abstract":"Astrocytes speciﬁcally synthesize and release endozepines, a family of regulatory peptides including octadecaneuropeptide (ODN). We have previously reported that ODN rescues neurons and astrocytes from 6-OHDA-induced oxidative stress and cell death. The purpose of this study was to examine the potential implication of miR-34b, miR-29a, and miR-21 in the protective activity of ODN on 6-OHDA-induced oxidative stress and cell death in cultured rat astrocytes. Flow cytometry analysis showed that 6-OHDA increased the number of early apoptotic and apoptotic dead cells while treatment with the subnanomolar dose of ODN signiﬁcantly reduced the number of apoptotic cells induced by 6-OHDA. 6-OHDA-treated astrocytes exhibited the over-expression of miR-21 (+118%) associated with a knockdown of miR-34b (−61%) and miR-29a (−49%). Co-treatment of astrocytes with ODN blocked the 6-OHDA-stimulated production of ROS and NO and stimulation of Bax and caspase-3 gene transcription. Concomitantly, ODN down-regulated the expression of miR-34b and miR-29a and rescued the 6-OHDA-associated reduced expression of miR21, indicating that ODN regulates their expression during cell death. Transfection with miR-213p inhibitor prevented the eﬀect of 6-OHDA against cell death. In conclusion, our study indicated that (i) the expression of miRNAs miR-34b, miR-29a, and miR-21 is modiﬁed in astrocytes under 6OHDA injury and (ii) that ODN prevents this deregulation to induce its neuroprotective action. The present study identiﬁed miR-21 as an emerging candidate and as a promising pharmacological target that opens new neuroprotective therapeutic strategies in neurodegenerative diseases, especially in Parkinson’s disease.","container-title":"Cells","DOI":"10.3390/cells13141188","ISSN":"2073-4409","issue":"14","journalAbbreviation":"Cells","language":"en","license":"https://creativecommons.org/licenses/by/4.0/","page":"1188","source":"DOI.org (Crossref)","title":"Octadecaneuropeptide, ODN, Promotes Cell Survival against 6-OHDA-Induced Oxidative Stress and Apoptosis by Modulating the Expression of miR-34b, miR-29a, and miR-21in Cultured Astrocytes","volume":"13","author":[{"family":"Bourzam","given":"Amine"},{"family":"Hamdi","given":"Yosra"},{"family":"Bahdoudi","given":"Seyma"},{"family":"Duraisamy","given":"Karthi"},{"family":"El Mehdi","given":"Mouna"},{"family":"Basille-Dugay","given":"Magali"},{"family":"Dlimi","given":"Omayma"},{"family":"Kharrat","given":"Maher"},{"family":"Vejux","given":"Anne"},{"family":"Lizard","given":"Gérard"},{"family":"Ghrairi","given":"Taoufik"},{"family":"Lefranc","given":"Benjamin"},{"family":"Vaudry","given":"David"},{"family":"Boutin","given":"Jean A."},{"family":"Leprince","given":"Jérôme"},{"family":"Masmoudi-Kouki","given":"Olfa"}],"issued":{"date-parts":[["2024",7,12]]}}},{"id":"dKMGonER/pqNxEBLh","uris":["http://zotero.org/users/local/gyNd5DuB/items/9KQDA72Q"],"itemData":{"id":138,"type":"article-journal","abstract":"Neurodegenerative diseases are characterized by oxidative stress, mitochondrial damage, and death of neuronal cells. To counteract such damage and to favor neurogenesis, neurotrophic factors could be used as therapeutic agents. Octadecaneuropeptide (ODN), produced by astrocytes, is a potent neuroprotective agent. In N2a cells, we studied the ability of ODN to promote neuronal differentiation. This parameter was evaluated by phase contrast microscopy, staining with crystal violet, cresyl blue, and Sulforhodamine 101. The effect of ODN on cell viability and mitochondrial activity was determined with fluorescein diacetate and DiOC6(3), respectively. The impact of ODN on the topography of mitochondria and peroxisomes, two tightly connected organelles involved in nerve cell functions and lipid metabolism, was evaluated by transmission electron microscopy and fluorescence microscopy: detection of mitochondria with MitoTracker Red, and peroxisome with an antibody directed against the ABCD3 peroxisomal transporter. The profiles in fatty acids, cholesterol, and cholesterol precursors were determined by gas chromatography, in some cases coupled with mass spectrometry. Treatment of N2a cells with ODN (10-14 M, 48 h) induces neurite outgrowth. ODN-induced neuronal differentiation was associated with modification of topographical distribution of mitochondria and peroxisomes throughout the neurites and did not affect cell viability and mitochondrial activity. The inhibition of ODN-induced N2a differentiation with H89, U73122, chelerythrine and U0126 supports the activation of a PKA/PLC/PKC/MEK/ERK-dependent signaling pathway. Although there is no difference in fatty acid profile between control and ODN-treated cells, the level of cholesterol and some of its precursors (lanosterol, desmosterol, lathosterol) was increased in ODN-treated cells. The ability of ODN to induce neuronal differentiation without cytotoxicity reinforces the interest for this neuropeptide with neurotrophic properties to overcome nerve cell damage in major neurodegenerative diseases.","container-title":"Molecules (Basel, Switzerland)","DOI":"10.3390/molecules24183310","ISSN":"1420-3049","issue":"18","journalAbbreviation":"Molecules","language":"eng","note":"PMID: 31514417\nPMCID: PMC6767053","page":"3310","source":"PubMed","title":"Octadecaneuropeptide (ODN) Induces N2a Cells Differentiation through a PKA/PLC/PKC/MEK/ERK-Dependent Pathway: Incidence on Peroxisome, Mitochondria, and Lipid Profiles","title-short":"Octadecaneuropeptide (ODN) Induces N2a Cells Differentiation through a PKA/PLC/PKC/MEK/ERK-Dependent Pathway","volume":"24","author":[{"family":"Namsi","given":"Amira"},{"family":"Nury","given":"Thomas"},{"family":"Khan","given":"Amira S."},{"family":"Leprince","given":"Jérôme"},{"family":"Vaudry","given":"David"},{"family":"Caccia","given":"Claudio"},{"family":"Leoni","given":"Valerio"},{"family":"Atanasov","given":"Atanas G."},{"family":"Tonon","given":"Marie-Christine"},{"family":"Masmoudi-Kouki","given":"Olfa"},{"family":"Lizard","given":"Gérard"}],"issued":{"date-parts":[["2019",9,11]]}}},{"id":"dKMGonER/zZAniRBu","uris":["http://zotero.org/users/local/gyNd5DuB/items/EDHFDCBI"],"itemData":{"id":135,"type":"article-journal","abstract":"Octadecaneuropeptide (ODN) and its precursor diazepam-binding inhibitor (DBI) are peptides belonging to the family of endozepines. Endozepines are exclusively produced by astroglial cells in the central nervous system of mammals, and their release is regulated by stress signals and neuroactive compounds. There is now compelling evidence that the gliopeptide ODN protects cultured neurons and astrocytes from apoptotic cell death induced by various neurotoxic agents. In vivo, ODN causes a very strong neuroprotective action against neuronal degeneration in a mouse model of Parkinson's disease. The neuroprotective activity of ODN is based on its capacity to reduce inflammation, apoptosis, and oxidative stress. The protective effects of ODN are mediated through its metabotropic receptor. This receptor activates a transduction cascade of second messengers to stimulate protein kinase A (PKA), protein kinase C (PKC), and mitogen-activated protein kinase (MAPK)-extracellular signal-regulated kinase (ERK) signaling pathways, which in turn inhibits the expression of proapoptotic factor Bax and the mitochondrial apoptotic pathway. In N2a cells, ODN also promotes survival and stimulates neurite outgrowth. During the ODN-induced neuronal differentiation process, numerous mitochondria and peroxisomes are identified in the neurites and an increase in the amount of cholesterol and fatty acids is observed. The antiapoptotic and neurotrophic properties of ODN, including its antioxidant, antiapoptotic, and pro-differentiating effects, suggest that this gliopeptide and some of its selective and stable derivatives may have therapeutic value for the treatment of some neurodegenerative diseases.","container-title":"Frontiers in Endocrinology","DOI":"10.3389/fendo.2020.566026","ISSN":"1664-2392","journalAbbreviation":"Front Endocrinol (Lausanne)","language":"eng","note":"PMID: 33250858\nPMCID: PMC7672186","page":"566026","source":"PubMed","title":"Cytoprotective and Neurotrophic Effects of Octadecaneuropeptide (ODN) in in vitro and in vivo Models of Neurodegenerative Diseases","volume":"11","author":[{"family":"Masmoudi-Kouki","given":"Olfa"},{"family":"Namsi","given":"Amira"},{"family":"Hamdi","given":"Yosra"},{"family":"Bahdoudi","given":"Seyma"},{"family":"Ghouili","given":"Ikram"},{"family":"Chuquet","given":"Julien"},{"family":"Leprince","given":"Jérôme"},{"family":"Lefranc","given":"Benjamin"},{"family":"Ghrairi","given":"Taoufik"},{"family":"Tonon","given":"Marie-Christine"},{"family":"Lizard","given":"Gérard"},{"family":"Vaudry","given":"David"}],"issued":{"date-parts":[["2020"]]}}}],"schema":"https://github.com/citation-style-language/schema/raw/master/csl-citation.json"} </w:instrText>
      </w:r>
      <w:r w:rsidR="0059567C" w:rsidRPr="00E42762">
        <w:rPr>
          <w:vertAlign w:val="superscript"/>
        </w:rPr>
        <w:fldChar w:fldCharType="separate"/>
      </w:r>
      <w:r w:rsidR="00655BCC" w:rsidRPr="00E42762">
        <w:rPr>
          <w:vertAlign w:val="superscript"/>
        </w:rPr>
        <w:t>10–12</w:t>
      </w:r>
      <w:r w:rsidR="0059567C" w:rsidRPr="00E42762">
        <w:rPr>
          <w:vertAlign w:val="superscript"/>
        </w:rPr>
        <w:fldChar w:fldCharType="end"/>
      </w:r>
      <w:r w:rsidR="0059567C" w:rsidRPr="00E42762">
        <w:t>. Furthermore, ODN may act beyond the acute phase of stroke by promoting neurogenesis and neuronal plasticity</w:t>
      </w:r>
      <w:r w:rsidR="008444AC" w:rsidRPr="00E42762">
        <w:rPr>
          <w:vertAlign w:val="superscript"/>
        </w:rPr>
        <w:fldChar w:fldCharType="begin"/>
      </w:r>
      <w:r w:rsidR="00655BCC" w:rsidRPr="00E42762">
        <w:rPr>
          <w:vertAlign w:val="superscript"/>
        </w:rPr>
        <w:instrText xml:space="preserve"> ADDIN ZOTERO_ITEM CSL_CITATION {"citationID":"jZZE574y","properties":{"formattedCitation":"(9)","plainCitation":"(9)","noteIndex":0},"citationItems":[{"id":"dKMGonER/zshFWCCq","uris":["http://zotero.org/users/local/gyNd5DuB/items/HKAX4856"],"itemData":{"id":132,"type":"article-journal","abstract":"Intranasal (IN) administration appears to be a suitable route for clinical use as it allows direct delivery of bioactive molecules to the central nervous system, reducing systemic exposure and sides effects. Nevertheless, only some molecules can be transported to the brain from the nasal cavity. This led us to compare the efficiency of an IN, intravenous (IV), and intraperitoneal (IP) administration of pituitary adenylate cyclase-activating polypeptide (PACAP) after transient or permanent middle cerebral artery occlusion (MCAO) in C57BL/6 mice. The results show that the neuroprotective effect of PACAP is much more efficient after IN administration than IV injection while IP injection had no effect. IN administration of PACAP reduced the infarct volume when injected within 6 h after the reperfusion and improved functional recovery up to at least 1 week after the ischemia.","container-title":"Frontiers in Endocrinology","DOI":"10.3389/fendo.2020.585082","ISSN":"1664-2392","journalAbbreviation":"Front. Endocrinol.","language":"en","page":"585082","source":"DOI.org (Crossref)","title":"Intranasal Administration of PACAP Is an Efficient Delivery Route to Reduce Infarct Volume and Promote Functional Recovery After Transient and Permanent Middle Cerebral Artery Occlusion","volume":"11","author":[{"family":"Cherait","given":"Asma"},{"family":"Maucotel","given":"Julie"},{"family":"Lefranc","given":"Benjamin"},{"family":"Leprince","given":"Jérôme"},{"family":"Vaudry","given":"David"}],"issued":{"date-parts":[["2021",1,20]]}}}],"schema":"https://github.com/citation-style-language/schema/raw/master/csl-citation.json"} </w:instrText>
      </w:r>
      <w:r w:rsidR="008444AC" w:rsidRPr="00E42762">
        <w:rPr>
          <w:vertAlign w:val="superscript"/>
        </w:rPr>
        <w:fldChar w:fldCharType="separate"/>
      </w:r>
      <w:r w:rsidR="00655BCC" w:rsidRPr="00E42762">
        <w:rPr>
          <w:vertAlign w:val="superscript"/>
        </w:rPr>
        <w:t>9</w:t>
      </w:r>
      <w:r w:rsidR="008444AC" w:rsidRPr="00E42762">
        <w:rPr>
          <w:vertAlign w:val="superscript"/>
        </w:rPr>
        <w:fldChar w:fldCharType="end"/>
      </w:r>
      <w:r w:rsidR="0059567C" w:rsidRPr="00E42762">
        <w:t xml:space="preserve">. </w:t>
      </w:r>
      <w:r w:rsidR="00FD6B97" w:rsidRPr="00E42762">
        <w:t>For potential clinical applications of peptides or their analogs as therapeutic agents, cho</w:t>
      </w:r>
      <w:r w:rsidR="00161731" w:rsidRPr="00E42762">
        <w:t>osing</w:t>
      </w:r>
      <w:r w:rsidR="00FD6B97" w:rsidRPr="00E42762">
        <w:t xml:space="preserve"> an optimal route of administration is crucial to prevent rapid degradation in the bloodstream and </w:t>
      </w:r>
      <w:r w:rsidR="00FD6B97" w:rsidRPr="00E42762">
        <w:lastRenderedPageBreak/>
        <w:t>minimize the first-pass effect. Among various delivery strategies, intranasal (IN) administration has emerged as a promising non-invasive alternative, allowing direct delivery of certain bioactive molecules to the brain while bypassing the blood-brain barrier (BBB)</w:t>
      </w:r>
      <w:r w:rsidR="009C1044" w:rsidRPr="00E42762">
        <w:fldChar w:fldCharType="begin"/>
      </w:r>
      <w:r w:rsidR="00655BCC" w:rsidRPr="00E42762">
        <w:instrText xml:space="preserve"> ADDIN ZOTERO_ITEM CSL_CITATION {"citationID":"Lv4UHvH1","properties":{"formattedCitation":"(13\\uc0\\u8211{}15)","plainCitation":"(13–15)","noteIndex":0},"citationItems":[{"id":"dKMGonER/u9zxBscs","uris":["http://zotero.org/users/local/gyNd5DuB/items/CP4WGBIV"],"itemData":{"id":203,"type":"article-journal","abstract":"There are no clinically relevant treatments available that improve function in the growing population of very preterm infants (less than 32 weeks' gestation) with neonatal brain injury. Diffuse white matter injury (DWMI) is a common finding in these children and results in chronic neurodevelopmental impairments. As shown recently, failure in oligodendrocyte progenitor cell maturation contributes to DWMI. We demonstrated previously that the epidermal growth factor receptor (EGFR) has an important role in oligodendrocyte development. Here we examine whether enhanced EGFR signalling stimulates the endogenous response of EGFR-expressing progenitor cells during a critical period after brain injury, and promotes cellular and behavioural recovery in the developing brain. Using an established mouse model of very preterm brain injury, we demonstrate that selective overexpression of human EGFR in oligodendrocyte lineage cells or the administration of intranasal heparin-binding EGF immediately after injury decreases oligodendroglia death, enhances generation of new oligodendrocytes from progenitor cells and promotes functional recovery. Furthermore, these interventions diminish ultrastructural abnormalities and alleviate behavioural deficits on white-matter-specific paradigms. Inhibition of EGFR signalling with a molecularly targeted agent used for cancer therapy demonstrates that EGFR activation is an important contributor to oligodendrocyte regeneration and functional recovery after DWMI. Thus, our study provides direct evidence that targeting EGFR in oligodendrocyte progenitor cells at a specific time after injury is clinically feasible and potentially applicable to the treatment of premature children with white matter injury.","container-title":"Nature","DOI":"10.1038/nature12880","ISSN":"1476-4687","issue":"7487","journalAbbreviation":"Nature","language":"eng","note":"PMID: 24390343\nPMCID: PMC4106485","page":"230-234","source":"PubMed","title":"Intranasal epidermal growth factor treatment rescues neonatal brain injury","volume":"506","author":[{"family":"Scafidi","given":"Joseph"},{"family":"Hammond","given":"Timothy R."},{"family":"Scafidi","given":"Susanna"},{"family":"Ritter","given":"Jonathan"},{"family":"Jablonska","given":"Beata"},{"family":"Roncal","given":"Maria"},{"family":"Szigeti-Buck","given":"Klara"},{"family":"Coman","given":"Daniel"},{"family":"Huang","given":"Yuegao"},{"family":"McCarter","given":"Robert J."},{"family":"Hyder","given":"Fahmeed"},{"family":"Horvath","given":"Tamas L."},{"family":"Gallo","given":"Vittorio"}],"issued":{"date-parts":[["2014",2,13]]}}},{"id":"dKMGonER/EcK6q4L2","uris":["http://zotero.org/users/local/gyNd5DuB/items/IHSXED9V"],"itemData":{"id":201,"type":"article-journal","abstract":"Huntington's disease (HD) is an autosomal dominant disease caused by an expansion of CAG repeats in the gene encoding for huntingtin. Brain metabolic dysfunction and altered Akt signaling pathways have been associated with disease progression. Nevertheless, conflicting results persist regarding the role of insulin-like growth factor-1 (IGF-1)/Akt pathway in HD. While high plasma levels of IGF-1 correlated with cognitive decline in HD patients, other data showed protective effects of IGF-1 in HD striatal neurons and R6/2 mice. Thus, in the present study, we investigated motor phenotype, peripheral and central metabolic profile, and striatal and cortical signaling pathways in YAC128 mice subjected to intranasal administration of recombinant human IGF-1 (rhIGF-1) for 2 weeks, in order to promote IGF-1 delivery to the brain. We show that IGF-1 supplementation enhances IGF-1 cortical levels and improves motor activity and both peripheral and central metabolic abnormalities in YAC128 mice. Moreover, decreased Akt activation in HD mice brain was ameliorated following IGF-1 administration. Upregulation of Akt following rhIGF-1 treatment occurred concomitantly with increased phosphorylation of mutant huntingtin on Ser421. These data suggest that intranasal administration of rhIGF-1 ameliorates HD-associated glucose metabolic brain abnormalities and mice phenotype.","container-title":"Molecular Neurobiology","DOI":"10.1007/s12035-013-8585-5","ISSN":"1559-1182","issue":"3","journalAbbreviation":"Mol Neurobiol","language":"en","page":"1126-1142","source":"Springer Link","title":"IGF-1 Intranasal Administration Rescues Huntington's Disease Phenotypes in YAC128 Mice","volume":"49","author":[{"family":"Lopes","given":"Carla"},{"family":"Ribeiro","given":"Márcio"},{"family":"Duarte","given":"Ana I."},{"family":"Humbert","given":"Sandrine"},{"family":"Saudou","given":"Frederic"},{"family":"Pereira de Almeida","given":"Luís"},{"family":"Hayden","given":"Michael"},{"family":"Rego","given":"A. Cristina"}],"issued":{"date-parts":[["2014",6,1]]}}},{"id":"dKMGonER/BHdmN69J","uris":["http://zotero.org/users/local/gyNd5DuB/items/LDMCJ7G3"],"itemData":{"id":133,"type":"article-journal","abstract":"Pituitary adenylate cyclase activating polypeptide (PACAP) is a potent neurotrophic and neuroprotectant that is transported across the blood-brain barrier in amounts sufficient to affect brain function. However, its short half-life in blood makes it ...","container-title":"Peptides","DOI":"10.1016/j.peptides.2012.05.021","issue":"2","language":"en","note":"PMID: 22687366","page":"168","source":"pmc.ncbi.nlm.nih.gov","title":"Intranasal Administration of PACAP: Uptake by Brain and Brain Region Targeting with Cyclodextrins","title-short":"Intranasal Administration of PACAP","volume":"36","author":[{"family":"Nonaka","given":"Naoko"},{"family":"Farr","given":"Susan A."},{"family":"Nakamachi","given":"Tomoya"},{"family":"Morley","given":"John E."},{"family":"Nakamura","given":"Masanori"},{"family":"Shioda","given":"Seiji"},{"family":"Banks","given":"William A."}],"issued":{"date-parts":[["2012",6,9]]}}}],"schema":"https://github.com/citation-style-language/schema/raw/master/csl-citation.json"} </w:instrText>
      </w:r>
      <w:r w:rsidR="009C1044" w:rsidRPr="00E42762">
        <w:fldChar w:fldCharType="separate"/>
      </w:r>
      <w:r w:rsidR="00655BCC" w:rsidRPr="00E42762">
        <w:rPr>
          <w:vertAlign w:val="superscript"/>
        </w:rPr>
        <w:t>13–15</w:t>
      </w:r>
      <w:r w:rsidR="009C1044" w:rsidRPr="00E42762">
        <w:fldChar w:fldCharType="end"/>
      </w:r>
      <w:r w:rsidR="0059567C" w:rsidRPr="00E42762">
        <w:t xml:space="preserve">. </w:t>
      </w:r>
      <w:r w:rsidR="00790F76" w:rsidRPr="00E42762">
        <w:t xml:space="preserve">This route </w:t>
      </w:r>
      <w:r w:rsidR="00BB10C3" w:rsidRPr="00E42762">
        <w:t>eliminates</w:t>
      </w:r>
      <w:r w:rsidR="00790F76" w:rsidRPr="00E42762">
        <w:t xml:space="preserve"> the need for </w:t>
      </w:r>
      <w:r w:rsidR="00161731" w:rsidRPr="00E42762">
        <w:t xml:space="preserve">invasive </w:t>
      </w:r>
      <w:r w:rsidR="00790F76" w:rsidRPr="00E42762">
        <w:t>stereotaxic injection</w:t>
      </w:r>
      <w:r w:rsidR="00161731" w:rsidRPr="00E42762">
        <w:t>s</w:t>
      </w:r>
      <w:r w:rsidR="00401525" w:rsidRPr="00E42762">
        <w:t xml:space="preserve"> </w:t>
      </w:r>
      <w:r w:rsidR="00FD6B97" w:rsidRPr="00E42762">
        <w:t>and enhances</w:t>
      </w:r>
      <w:r w:rsidR="00BB10C3" w:rsidRPr="00E42762">
        <w:t xml:space="preserve"> </w:t>
      </w:r>
      <w:r w:rsidR="00FD6B97" w:rsidRPr="00E42762">
        <w:t xml:space="preserve">brain </w:t>
      </w:r>
      <w:r w:rsidR="00BB10C3" w:rsidRPr="00E42762">
        <w:t>biodistribution compared to peripheral organs</w:t>
      </w:r>
      <w:r w:rsidR="00790F76" w:rsidRPr="00E42762">
        <w:t>.</w:t>
      </w:r>
      <w:r w:rsidR="0059567C" w:rsidRPr="00E42762">
        <w:t xml:space="preserve"> For instance, pituitary adenylate cyclase-activating polypeptide (PACAP) has demonstrated greater efficacy in brain uptake and neuroprotection when delivered </w:t>
      </w:r>
      <w:r w:rsidR="00070D5E" w:rsidRPr="00E42762">
        <w:t xml:space="preserve">by IN instillation </w:t>
      </w:r>
      <w:r w:rsidR="0059567C" w:rsidRPr="00E42762">
        <w:t>compared to intravenous injection, significantly reducing infarct volume</w:t>
      </w:r>
      <w:r w:rsidR="00401525" w:rsidRPr="00E42762">
        <w:t xml:space="preserve"> </w:t>
      </w:r>
      <w:r w:rsidR="0059567C" w:rsidRPr="00E42762">
        <w:t>and improving functional recovery in stroke models</w:t>
      </w:r>
      <w:r w:rsidR="0059567C" w:rsidRPr="00E42762">
        <w:rPr>
          <w:vertAlign w:val="superscript"/>
        </w:rPr>
        <w:fldChar w:fldCharType="begin"/>
      </w:r>
      <w:r w:rsidR="00655BCC" w:rsidRPr="00E42762">
        <w:rPr>
          <w:vertAlign w:val="superscript"/>
        </w:rPr>
        <w:instrText xml:space="preserve"> ADDIN ZOTERO_ITEM CSL_CITATION {"citationID":"CSFnEhyK","properties":{"formattedCitation":"(9)","plainCitation":"(9)","noteIndex":0},"citationItems":[{"id":"dKMGonER/zshFWCCq","uris":["http://zotero.org/users/local/gyNd5DuB/items/HKAX4856"],"itemData":{"id":132,"type":"article-journal","abstract":"Intranasal (IN) administration appears to be a suitable route for clinical use as it allows direct delivery of bioactive molecules to the central nervous system, reducing systemic exposure and sides effects. Nevertheless, only some molecules can be transported to the brain from the nasal cavity. This led us to compare the efficiency of an IN, intravenous (IV), and intraperitoneal (IP) administration of pituitary adenylate cyclase-activating polypeptide (PACAP) after transient or permanent middle cerebral artery occlusion (MCAO) in C57BL/6 mice. The results show that the neuroprotective effect of PACAP is much more efficient after IN administration than IV injection while IP injection had no effect. IN administration of PACAP reduced the infarct volume when injected within 6 h after the reperfusion and improved functional recovery up to at least 1 week after the ischemia.","container-title":"Frontiers in Endocrinology","DOI":"10.3389/fendo.2020.585082","ISSN":"1664-2392","journalAbbreviation":"Front. Endocrinol.","language":"en","page":"585082","source":"DOI.org (Crossref)","title":"Intranasal Administration of PACAP Is an Efficient Delivery Route to Reduce Infarct Volume and Promote Functional Recovery After Transient and Permanent Middle Cerebral Artery Occlusion","volume":"11","author":[{"family":"Cherait","given":"Asma"},{"family":"Maucotel","given":"Julie"},{"family":"Lefranc","given":"Benjamin"},{"family":"Leprince","given":"Jérôme"},{"family":"Vaudry","given":"David"}],"issued":{"date-parts":[["2021",1,20]]}}}],"schema":"https://github.com/citation-style-language/schema/raw/master/csl-citation.json"} </w:instrText>
      </w:r>
      <w:r w:rsidR="0059567C" w:rsidRPr="00E42762">
        <w:rPr>
          <w:vertAlign w:val="superscript"/>
        </w:rPr>
        <w:fldChar w:fldCharType="separate"/>
      </w:r>
      <w:r w:rsidR="00655BCC" w:rsidRPr="00E42762">
        <w:rPr>
          <w:vertAlign w:val="superscript"/>
        </w:rPr>
        <w:t>9</w:t>
      </w:r>
      <w:r w:rsidR="0059567C" w:rsidRPr="00E42762">
        <w:rPr>
          <w:vertAlign w:val="superscript"/>
        </w:rPr>
        <w:fldChar w:fldCharType="end"/>
      </w:r>
      <w:r w:rsidR="0059567C" w:rsidRPr="00E42762">
        <w:t>.</w:t>
      </w:r>
      <w:r w:rsidR="00F252E5" w:rsidRPr="00E42762">
        <w:t xml:space="preserve"> </w:t>
      </w:r>
    </w:p>
    <w:p w14:paraId="64151AA6" w14:textId="77777777" w:rsidR="00D17F15" w:rsidRPr="00E42762" w:rsidRDefault="00D17F15" w:rsidP="00E42762">
      <w:pPr>
        <w:widowControl/>
        <w:autoSpaceDE w:val="0"/>
        <w:autoSpaceDN w:val="0"/>
        <w:adjustRightInd w:val="0"/>
      </w:pPr>
    </w:p>
    <w:p w14:paraId="295E4175" w14:textId="7091B6D9" w:rsidR="006C5D4D" w:rsidRPr="00E42762" w:rsidRDefault="00F252E5" w:rsidP="00E42762">
      <w:pPr>
        <w:widowControl/>
        <w:autoSpaceDE w:val="0"/>
        <w:autoSpaceDN w:val="0"/>
        <w:adjustRightInd w:val="0"/>
      </w:pPr>
      <w:r w:rsidRPr="00E42762">
        <w:t xml:space="preserve">Although </w:t>
      </w:r>
      <w:r w:rsidR="00EB5E8C" w:rsidRPr="00E42762">
        <w:t>IN</w:t>
      </w:r>
      <w:r w:rsidRPr="00E42762">
        <w:t xml:space="preserve"> </w:t>
      </w:r>
      <w:r w:rsidR="000D6A1C" w:rsidRPr="00E42762">
        <w:t xml:space="preserve">administration is a minimally invasive and efficient technique for delivering therapeutic agents directly to </w:t>
      </w:r>
      <w:r w:rsidRPr="00E42762">
        <w:t xml:space="preserve">the brain by bypassing the BBB, its </w:t>
      </w:r>
      <w:r w:rsidR="000D6A1C" w:rsidRPr="00E42762">
        <w:t>efficacy</w:t>
      </w:r>
      <w:r w:rsidRPr="00E42762">
        <w:t xml:space="preserve"> remains </w:t>
      </w:r>
      <w:r w:rsidR="00183EEB" w:rsidRPr="00E42762">
        <w:t>depend</w:t>
      </w:r>
      <w:r w:rsidR="00A703CE" w:rsidRPr="00E42762">
        <w:t>ent</w:t>
      </w:r>
      <w:r w:rsidR="000D6A1C" w:rsidRPr="00E42762">
        <w:t xml:space="preserve"> on several practical parameters, including dose and total volume</w:t>
      </w:r>
      <w:r w:rsidRPr="00E42762">
        <w:t xml:space="preserve"> administered. In rodents, the recommended volume typically ranges from 10 to 25 µL per nostril to avoid aspiration or overflow into the gastrointestinal tract</w:t>
      </w:r>
      <w:r w:rsidR="00410621" w:rsidRPr="00E42762">
        <w:fldChar w:fldCharType="begin"/>
      </w:r>
      <w:r w:rsidR="00655BCC" w:rsidRPr="00E42762">
        <w:instrText xml:space="preserve"> ADDIN ZOTERO_ITEM CSL_CITATION {"citationID":"xtp6QhGG","properties":{"unsorted":true,"formattedCitation":"(16,17)","plainCitation":"(16,17)","noteIndex":0},"citationItems":[{"id":214,"uris":["http://zotero.org/users/15991884/items/4YNJHGWP"],"itemData":{"id":214,"type":"article-journal","container-title":"European Journal of Pharmaceutical Sciences: Official Journal of the European Federation for Pharmaceutical Sciences","DOI":"10.1016/s0928-0987(00)00087-7","ISSN":"0928-0987","issue":"1","journalAbbreviation":"Eur J Pharm Sci","language":"eng","note":"PMID: 10913748","page":"1-18","source":"PubMed","title":"Transport of drugs from the nasal cavity to the central nervous system","volume":"11","author":[{"family":"Illum","given":"L."}],"issued":{"date-parts":[["2000",7]]}}},{"id":216,"uris":["http://zotero.org/users/15991884/items/6ENZSTG6"],"itemData":{"id":216,"type":"article-journal","abstract":"Intranasal delivery provides a practical, non-invasive method of bypassing the blood-brain barrier (BBB) to deliver therapeutic agents to the brain and spinal cord. This technology allows drugs that do not cross the BBB to be delivered to the central nervous system within minutes. It also directly delivers drugs that do cross the BBB to the brain, eliminating the need for systemic administration and its potential side effects. This is possible because of the unique connections that the olfactory and trigeminal nerves provide between the brain and external environment. Intranasal delivery does not necessarily require any modification to therapeutic agents. A wide variety of therapeutics, including both small molecules and macromolecules, can be targeted to the olfactory system and connected memory areas affected by Alzheimer's disease. Using the intranasal delivery system, researchers have reversed neurodegeneration and rescued memory in a transgenic mouse model of Alzheimer's disease. Intranasal insulin-like growth factor-I, deferoxamine, and erythropoietin have been shown to protect the brain against stroke in animal models. Intranasal delivery has been used to target the neuroprotective peptide NAP to the brain to treat neurodegeneration. Intranasal fibroblast growth factor-2 and epidermal growth factor have been shown to stimulate neurogenesis in adult animals. Intranasal insulin improves memory, attention, and functioning in patients with Alzheimer's disease or mild cognitive impairment, and even improves memory and mood in normal adult humans. This new method of delivery can revolutionize the treatment of Alzheimer's disease, stroke, and other brain disorders.","container-title":"BMC neuroscience","DOI":"10.1186/1471-2202-9-S3-S5","ISSN":"1471-2202","issue":"Suppl 3","journalAbbreviation":"BMC Neurosci","language":"eng","note":"PMID: 19091002\nPMCID: PMC2604883","page":"S5","source":"PubMed","title":"Intranasal delivery bypasses the blood-brain barrier to target therapeutic agents to the central nervous system and treat neurodegenerative disease","volume":"9 Suppl 3","author":[{"family":"Hanson","given":"Leah R."},{"family":"Frey","given":"William H."}],"issued":{"date-parts":[["2008",12,10]]}}}],"schema":"https://github.com/citation-style-language/schema/raw/master/csl-citation.json"} </w:instrText>
      </w:r>
      <w:r w:rsidR="00410621" w:rsidRPr="00E42762">
        <w:fldChar w:fldCharType="separate"/>
      </w:r>
      <w:r w:rsidR="00655BCC" w:rsidRPr="00E42762">
        <w:rPr>
          <w:vertAlign w:val="superscript"/>
        </w:rPr>
        <w:t>16,17</w:t>
      </w:r>
      <w:r w:rsidR="00410621" w:rsidRPr="00E42762">
        <w:fldChar w:fldCharType="end"/>
      </w:r>
      <w:r w:rsidR="00FB1B5D" w:rsidRPr="00E42762">
        <w:t xml:space="preserve">. </w:t>
      </w:r>
      <w:r w:rsidRPr="00E42762">
        <w:t>The efficiency of nasal uptake is also affected by the animal’s size, nasal cavity surface area, mucociliary clearance, and compound properties such as lipophilicity and molecular weight</w:t>
      </w:r>
      <w:r w:rsidR="00410621" w:rsidRPr="00E42762">
        <w:fldChar w:fldCharType="begin"/>
      </w:r>
      <w:r w:rsidR="00655BCC" w:rsidRPr="00E42762">
        <w:instrText xml:space="preserve"> ADDIN ZOTERO_ITEM CSL_CITATION {"citationID":"TP64gVaf","properties":{"formattedCitation":"(18,19)","plainCitation":"(18,19)","noteIndex":0},"citationItems":[{"id":195,"uris":["http://zotero.org/users/15991884/items/BI6KMFIQ"],"itemData":{"id":195,"type":"article-journal","abstract":"The blood–brain barrier (BBB) limits the distribution of systemically administered therapeutics to the central nervous system (CNS), posing a significant challenge to drug development efforts to treat neurological and psychiatric diseases and disorders. Intranasal delivery is a noninvasive and convenient method that rapidly targets therapeutics to the CNS, bypassing the BBB and minimizing systemic exposure. This review focuses on the current understanding of the mechanisms underlying intranasal delivery to the CNS, with a discussion of pathways from the nasal cavity to the CNS involving the olfactory and trigeminal nerves, the vasculature, the cerebrospinal fluid, and the lymphatic system. In addition to the properties of the therapeutic, deposition of the drug formulation within the nasal passages and composition of the formulation can influence the pathway a therapeutic follows into the CNS after intranasal administration. Experimental factors, such as head position, volume, and method of administration, and formulation parameters, such as pH, osmolarity, or inclusion of permeation enhancers or mucoadhesives, can influence formulation deposition within the nasal passages and pathways followed into the CNS. Significant research will be required to develop and improve current intranasal treatments and careful consideration should be given to the factors discussed in this review. © 2009 Wiley‐Liss, Inc. and the American Pharmacists Association J Pharm Sci 99: 1654–1673, 2010","container-title":"Journal of Pharmaceutical Sciences","DOI":"10.1002/jps.21924","ISSN":"0022-3549","issue":"4","journalAbbreviation":"Journal of Pharmaceutical Sciences","page":"1654-1673","source":"ScienceDirect","title":"Intranasal delivery to the central nervous system: Mechanisms and experimental considerations","title-short":"Intranasal delivery to the central nervous system","volume":"99","author":[{"family":"Dhuria","given":"Shyeilla V."},{"family":"Hanson","given":"Leah R."},{"family":"Frey","given":"William H."}],"issued":{"date-parts":[["2010",4,1]]}}},{"id":199,"uris":["http://zotero.org/users/15991884/items/7RIR6HH9"],"itemData":{"id":199,"type":"article-journal","abstract":"Treatment of central nervous system (CNS) diseases is very difficult due to the blood–brain barrier's (BBB) ability to severely restrict entry of all but small, non-polar compounds. Intranasal administration is a non-invasive method of drug delivery which may bypass the BBB to allow therapeutic substances direct access to the CNS. Intranasal delivery of large molecular weight biologics such as proteins, gene vectors, and stem cells is a potentially useful strategy to treat a variety of diseases/disorders of the CNS including stroke, Parkinson's disease, multiple sclerosis, Alzheimer's disease, epilepsy, and psychiatric disorders. Here we give an overview of relevant nasal anatomy and physiology and discuss the pathways and mechanisms likely involved in drug transport from the nasal epithelium to the CNS. Finally we review both pre-clinical and clinical studies involving intranasal delivery of biologics to the CNS.","collection-title":"Delivery of Therapeutics to the Central Nervous System","container-title":"Advanced Drug Delivery Reviews","DOI":"10.1016/j.addr.2011.11.002","ISSN":"0169-409X","issue":"7","journalAbbreviation":"Advanced Drug Delivery Reviews","page":"614-628","source":"ScienceDirect","title":"Intranasal delivery of biologics to the central nervous system","volume":"64","author":[{"family":"Lochhead","given":"Jeffrey J."},{"family":"Thorne","given":"Robert G."}],"issued":{"date-parts":[["2012",5,15]]}}}],"schema":"https://github.com/citation-style-language/schema/raw/master/csl-citation.json"} </w:instrText>
      </w:r>
      <w:r w:rsidR="00410621" w:rsidRPr="00E42762">
        <w:fldChar w:fldCharType="separate"/>
      </w:r>
      <w:r w:rsidR="00655BCC" w:rsidRPr="00E42762">
        <w:rPr>
          <w:vertAlign w:val="superscript"/>
        </w:rPr>
        <w:t>18,19</w:t>
      </w:r>
      <w:r w:rsidR="00410621" w:rsidRPr="00E42762">
        <w:fldChar w:fldCharType="end"/>
      </w:r>
      <w:r w:rsidR="00195622" w:rsidRPr="00E42762">
        <w:t>.</w:t>
      </w:r>
      <w:r w:rsidRPr="00E42762">
        <w:t xml:space="preserve"> These constraints should be considered during protocol design to ensure reproducibility and translational relevance in preclinical models.</w:t>
      </w:r>
    </w:p>
    <w:p w14:paraId="55D04366" w14:textId="77777777" w:rsidR="00F252E5" w:rsidRPr="00E42762" w:rsidRDefault="00F252E5" w:rsidP="00E42762">
      <w:pPr>
        <w:widowControl/>
        <w:autoSpaceDE w:val="0"/>
        <w:autoSpaceDN w:val="0"/>
        <w:adjustRightInd w:val="0"/>
      </w:pPr>
    </w:p>
    <w:p w14:paraId="3379F09A" w14:textId="52F09ACA" w:rsidR="00E5258D" w:rsidRPr="00E42762" w:rsidRDefault="00A703CE" w:rsidP="00E42762">
      <w:r w:rsidRPr="00E42762">
        <w:t xml:space="preserve">An </w:t>
      </w:r>
      <w:r w:rsidRPr="00E42762">
        <w:rPr>
          <w:i/>
          <w:iCs/>
        </w:rPr>
        <w:t>i</w:t>
      </w:r>
      <w:r w:rsidR="005639E6" w:rsidRPr="00E42762">
        <w:rPr>
          <w:i/>
          <w:iCs/>
        </w:rPr>
        <w:t>n vivo</w:t>
      </w:r>
      <w:r w:rsidR="005639E6" w:rsidRPr="00E42762">
        <w:t xml:space="preserve"> study </w:t>
      </w:r>
      <w:r w:rsidR="00765DDA" w:rsidRPr="00E42762">
        <w:t>has</w:t>
      </w:r>
      <w:r w:rsidR="005639E6" w:rsidRPr="00E42762">
        <w:t xml:space="preserve"> shown that </w:t>
      </w:r>
      <w:r w:rsidR="00974F25" w:rsidRPr="00E42762">
        <w:t>intracerebroventricular (ICV) injection of low doses of ODN conferred significant neuroprotective effects, particularly by preventing the degeneration of dopaminergic neurons in MPTP-treated mic</w:t>
      </w:r>
      <w:r w:rsidR="00B20D79" w:rsidRPr="00E42762">
        <w:t>e</w:t>
      </w:r>
      <w:r w:rsidR="00B20D79" w:rsidRPr="00E42762">
        <w:fldChar w:fldCharType="begin"/>
      </w:r>
      <w:r w:rsidR="00655BCC" w:rsidRPr="00E42762">
        <w:instrText xml:space="preserve"> ADDIN ZOTERO_ITEM CSL_CITATION {"citationID":"z0HIIGwh","properties":{"formattedCitation":"(8)","plainCitation":"(8)","noteIndex":0},"citationItems":[{"id":"dKMGonER/xkNm4sD3","uris":["http://zotero.org/users/local/gyNd5DuB/items/KQ478BEV"],"itemData":{"id":"jr4CYZkG/Wn92Mazu","type":"article-journal","abstract":"Parkinson's disease (PD) is a neurodegenerative disorder characterized by a progressive loss of dopamine (DA) neurons through apoptotic, inflammatory and oxidative stress mechanisms. The octadecaneuropeptide (ODN) is a diazepam-binding inhibitor (DBI)-derived peptide, expressed by astrocytes, which protects neurons against oxidative cell damages and apoptosis in an in vitro model of PD. The present study reveals that a single intracerebroventricular injection of 10 ng ODN 1 h after the last administration of 1-methyl-4-phenyl-1,2,3,6-tetrahydropyridine (MPTP) prevented the degeneration of DA neurons induced by the toxin in the substantia nigra pars compacta of mice, 7 days after treatment. ODN-mediated neuroprotection was associated with a reduction of the number of glial fibrillary acidic protein-positive reactive astrocytes and a strong inhibition of the expression of pro-inflammatory genes such as interleukins 1β and 6, and tumor necrosis factor-α. Moreover, ODN blocked the inhibition of the anti-apoptotic gene Bcl-2, and the stimulation of the pro-apoptotic genes Bax and caspase-3, induced by MPTP in the substantia nigra pars compacta. ODN also decreased or even in some cases abolished MPTP-induced oxidative damages, overproduction of reactive oxygen species and accumulation of lipid oxidation products in DA neurons. Furthermore, DBI knockout mice appeared to be more vulnerable than wild-type animals to MPTP neurotoxicity. Taken together, these results show that the gliopeptide ODN exerts a potent neuroprotective effect against MPTP-induced degeneration of nigrostriatal DA neurons in mice, through mechanisms involving downregulation of neuroinflammatory, oxidative and apoptotic processes. ODN may, thus, reduce neuronal damages in PD and other cerebral injuries involving oxidative neurodegeneration.","container-title":"Cellular and molecular life sciences: CMLS","DOI":"10.1007/s00018-017-2727-2","ISSN":"1420-9071","issue":"11","journalAbbreviation":"Cell Mol Life Sci","language":"eng","note":"PMID: 29264673\nPMCID: PMC11105203","page":"2075-2091","source":"PubMed","title":"Neuroprotective effects of the gliopeptide ODN in an in vivo model of Parkinson's disease","volume":"75","author":[{"family":"Bahdoudi","given":"Seyma"},{"family":"Ghouili","given":"Ikram"},{"family":"Hmiden","given":"Mansour"},{"family":"Rego","given":"Jean-Luc","non-dropping-particle":"do"},{"family":"Lefranc","given":"Benjamin"},{"family":"Leprince","given":"Jérôme"},{"family":"Chuquet","given":"Julien"},{"family":"Rego","given":"Jean-Claude","non-dropping-particle":"do"},{"family":"Marcher","given":"Ann-Britt"},{"family":"Mandrup","given":"Susanne"},{"family":"Vaudry","given":"Hubert"},{"family":"Tonon","given":"Marie-Christine"},{"family":"Amri","given":"Mohamed"},{"family":"Masmoudi-Kouki","given":"Olfa"},{"family":"Vaudry","given":"David"}],"issued":{"date-parts":[["2018",6]]}}}],"schema":"https://github.com/citation-style-language/schema/raw/master/csl-citation.json"} </w:instrText>
      </w:r>
      <w:r w:rsidR="00B20D79" w:rsidRPr="00E42762">
        <w:fldChar w:fldCharType="separate"/>
      </w:r>
      <w:r w:rsidR="00655BCC" w:rsidRPr="00E42762">
        <w:rPr>
          <w:vertAlign w:val="superscript"/>
        </w:rPr>
        <w:t>8</w:t>
      </w:r>
      <w:r w:rsidR="00B20D79" w:rsidRPr="00E42762">
        <w:fldChar w:fldCharType="end"/>
      </w:r>
      <w:r w:rsidR="00974F25" w:rsidRPr="00E42762">
        <w:t xml:space="preserve">. </w:t>
      </w:r>
      <w:r w:rsidR="008D5AC3" w:rsidRPr="00E42762">
        <w:t>Th</w:t>
      </w:r>
      <w:r w:rsidR="00FD6B97" w:rsidRPr="00E42762">
        <w:t>e current</w:t>
      </w:r>
      <w:r w:rsidR="008D5AC3" w:rsidRPr="00E42762">
        <w:t xml:space="preserve"> study aims to evaluate the feasibility and efficacy of </w:t>
      </w:r>
      <w:r w:rsidR="00EB5E8C" w:rsidRPr="00E42762">
        <w:t xml:space="preserve">IN </w:t>
      </w:r>
      <w:r w:rsidR="008D5AC3" w:rsidRPr="00E42762">
        <w:t>administration of the ODN analog, cyclo</w:t>
      </w:r>
      <w:r w:rsidR="008D5AC3" w:rsidRPr="00E42762">
        <w:rPr>
          <w:vertAlign w:val="subscript"/>
        </w:rPr>
        <w:t>(1-8)</w:t>
      </w:r>
      <w:r w:rsidR="008D5AC3" w:rsidRPr="00E42762">
        <w:t>OP, as a non-invasive alternative to ICV injection for del</w:t>
      </w:r>
      <w:r w:rsidR="005639E6" w:rsidRPr="00E42762">
        <w:t>ivering neuroprotective peptide analog</w:t>
      </w:r>
      <w:r w:rsidR="008D5AC3" w:rsidRPr="00E42762">
        <w:t xml:space="preserve"> to</w:t>
      </w:r>
      <w:r w:rsidR="005639E6" w:rsidRPr="00E42762">
        <w:t xml:space="preserve"> the brain</w:t>
      </w:r>
      <w:r w:rsidR="009210BC" w:rsidRPr="00E42762">
        <w:t xml:space="preserve">, specifically </w:t>
      </w:r>
      <w:r w:rsidR="005639E6" w:rsidRPr="00E42762">
        <w:t xml:space="preserve">to </w:t>
      </w:r>
      <w:r w:rsidR="008D5AC3" w:rsidRPr="00E42762">
        <w:t>determine whether this route can prevent dopaminergic neuronal loss and improve motor outcomes in MPTP-treated mice, a well-</w:t>
      </w:r>
      <w:r w:rsidR="005639E6" w:rsidRPr="00E42762">
        <w:t xml:space="preserve">established model of </w:t>
      </w:r>
      <w:r w:rsidR="00FB1B5D" w:rsidRPr="00E42762">
        <w:t>PD</w:t>
      </w:r>
      <w:r w:rsidR="00974F25" w:rsidRPr="00E42762">
        <w:t xml:space="preserve">.  </w:t>
      </w:r>
    </w:p>
    <w:p w14:paraId="47734FB3" w14:textId="77777777" w:rsidR="006C5D4D" w:rsidRPr="00E42762" w:rsidRDefault="006C5D4D" w:rsidP="00E42762">
      <w:pPr>
        <w:rPr>
          <w:u w:val="single" w:color="FF0000"/>
        </w:rPr>
      </w:pPr>
    </w:p>
    <w:p w14:paraId="7468984A" w14:textId="2DB4A239" w:rsidR="006C19FD" w:rsidRPr="00E42762" w:rsidRDefault="00551D82" w:rsidP="00E42762">
      <w:r w:rsidRPr="00E42762">
        <w:rPr>
          <w:b/>
        </w:rPr>
        <w:t>PROTOCOL</w:t>
      </w:r>
      <w:r w:rsidR="006C5D4D" w:rsidRPr="00E42762">
        <w:rPr>
          <w:b/>
        </w:rPr>
        <w:t>:</w:t>
      </w:r>
      <w:r w:rsidRPr="00E42762">
        <w:t xml:space="preserve"> </w:t>
      </w:r>
    </w:p>
    <w:p w14:paraId="647F93B6" w14:textId="0A1AC116" w:rsidR="006A3886" w:rsidRPr="00E42762" w:rsidRDefault="00CD55CD" w:rsidP="00E42762">
      <w:r w:rsidRPr="00E42762">
        <w:t xml:space="preserve">All experiments followed the American Veterinary Medical Association guidelines and were approved by the Medical Ethical Committee of the Pasteur Institute (approval number: FST/LNFP/Pro 160220). Ten-week-old C57BL/6J male mice were obtained from the Pasteur Institute of Tunis. Mice were housed in three per cage in a temperature-controlled room (21 °C ± 1 °C) with a 12-h light/dark cycle and provided free access to food and water for </w:t>
      </w:r>
      <w:r w:rsidR="00BE5F9B" w:rsidRPr="00E42762">
        <w:t>1</w:t>
      </w:r>
      <w:r w:rsidRPr="00E42762">
        <w:t xml:space="preserve"> week of acclimatization. Details of the reagents and equipment used are listed in the </w:t>
      </w:r>
      <w:r w:rsidRPr="00E42762">
        <w:rPr>
          <w:b/>
          <w:bCs/>
        </w:rPr>
        <w:t>Table of Materials</w:t>
      </w:r>
      <w:r w:rsidRPr="00E42762">
        <w:t>.</w:t>
      </w:r>
    </w:p>
    <w:p w14:paraId="6189B658" w14:textId="77777777" w:rsidR="00BE5F9B" w:rsidRPr="00E42762" w:rsidRDefault="00BE5F9B" w:rsidP="00E42762">
      <w:pPr>
        <w:rPr>
          <w:color w:val="EE0000"/>
        </w:rPr>
      </w:pPr>
    </w:p>
    <w:p w14:paraId="4AEBAA12" w14:textId="1E29B422" w:rsidR="00A316A2" w:rsidRPr="00E42762" w:rsidRDefault="00EF253A" w:rsidP="00E42762">
      <w:pPr>
        <w:pStyle w:val="ListParagraph"/>
        <w:numPr>
          <w:ilvl w:val="0"/>
          <w:numId w:val="30"/>
        </w:numPr>
        <w:spacing w:after="0" w:line="240" w:lineRule="auto"/>
        <w:ind w:left="0" w:firstLine="0"/>
        <w:jc w:val="both"/>
        <w:rPr>
          <w:rFonts w:ascii="Calibri" w:hAnsi="Calibri" w:cs="Calibri"/>
          <w:b/>
          <w:bCs/>
          <w:sz w:val="24"/>
          <w:szCs w:val="24"/>
          <w:highlight w:val="yellow"/>
        </w:rPr>
      </w:pPr>
      <w:r w:rsidRPr="00E42762">
        <w:rPr>
          <w:rFonts w:ascii="Calibri" w:hAnsi="Calibri" w:cs="Calibri"/>
          <w:b/>
          <w:bCs/>
          <w:sz w:val="24"/>
          <w:szCs w:val="24"/>
          <w:highlight w:val="yellow"/>
        </w:rPr>
        <w:t>Treatment procedure</w:t>
      </w:r>
    </w:p>
    <w:p w14:paraId="5722EBD3" w14:textId="77777777" w:rsidR="00A57879" w:rsidRPr="00E42762" w:rsidRDefault="00A57879" w:rsidP="00E42762">
      <w:pPr>
        <w:pStyle w:val="ListParagraph"/>
        <w:spacing w:after="0" w:line="240" w:lineRule="auto"/>
        <w:ind w:left="0"/>
        <w:jc w:val="both"/>
        <w:rPr>
          <w:rFonts w:ascii="Calibri" w:hAnsi="Calibri" w:cs="Calibri"/>
          <w:b/>
          <w:bCs/>
          <w:color w:val="EE0000"/>
          <w:sz w:val="24"/>
          <w:szCs w:val="24"/>
        </w:rPr>
      </w:pPr>
    </w:p>
    <w:p w14:paraId="3CE9046D" w14:textId="77777777" w:rsidR="00883F1E" w:rsidRPr="00473A1F" w:rsidRDefault="00883F1E" w:rsidP="00E42762">
      <w:pPr>
        <w:pStyle w:val="NormalWeb"/>
        <w:spacing w:before="0" w:beforeAutospacing="0" w:after="0" w:afterAutospacing="0"/>
        <w:jc w:val="both"/>
        <w:rPr>
          <w:rFonts w:ascii="Calibri" w:hAnsi="Calibri" w:cs="Calibri"/>
          <w:lang w:val="en-US"/>
        </w:rPr>
      </w:pPr>
      <w:r w:rsidRPr="00473A1F">
        <w:rPr>
          <w:rFonts w:ascii="Calibri" w:hAnsi="Calibri" w:cs="Calibri"/>
          <w:highlight w:val="yellow"/>
          <w:lang w:val="en-US"/>
        </w:rPr>
        <w:t>1.1. Divide animals into four groups: sham (n = 9), MPTP- (n = 9), cyclo</w:t>
      </w:r>
      <w:r w:rsidRPr="00473A1F">
        <w:rPr>
          <w:rFonts w:ascii="Calibri" w:hAnsi="Calibri" w:cs="Calibri"/>
          <w:highlight w:val="yellow"/>
          <w:vertAlign w:val="subscript"/>
          <w:lang w:val="en-US"/>
        </w:rPr>
        <w:t>(1-8)</w:t>
      </w:r>
      <w:r w:rsidRPr="00473A1F">
        <w:rPr>
          <w:rFonts w:ascii="Calibri" w:hAnsi="Calibri" w:cs="Calibri"/>
          <w:highlight w:val="yellow"/>
          <w:lang w:val="en-US"/>
        </w:rPr>
        <w:t>OP- (n = 9), and MPTP + cyclo(1-8)OP-treated (n = 9).</w:t>
      </w:r>
    </w:p>
    <w:p w14:paraId="60925798" w14:textId="77777777" w:rsidR="00883F1E" w:rsidRPr="00473A1F" w:rsidRDefault="00883F1E" w:rsidP="00E42762">
      <w:pPr>
        <w:pStyle w:val="NormalWeb"/>
        <w:spacing w:before="0" w:beforeAutospacing="0" w:after="0" w:afterAutospacing="0"/>
        <w:jc w:val="both"/>
        <w:rPr>
          <w:rFonts w:ascii="Calibri" w:hAnsi="Calibri" w:cs="Calibri"/>
          <w:lang w:val="en-US"/>
        </w:rPr>
      </w:pPr>
    </w:p>
    <w:p w14:paraId="525B96B3" w14:textId="0E112637" w:rsidR="00883F1E" w:rsidRPr="00473A1F" w:rsidRDefault="00883F1E" w:rsidP="00E42762">
      <w:pPr>
        <w:pStyle w:val="NormalWeb"/>
        <w:spacing w:before="0" w:beforeAutospacing="0" w:after="0" w:afterAutospacing="0"/>
        <w:jc w:val="both"/>
        <w:rPr>
          <w:rFonts w:ascii="Calibri" w:hAnsi="Calibri" w:cs="Calibri"/>
          <w:lang w:val="en-US"/>
        </w:rPr>
      </w:pPr>
      <w:r w:rsidRPr="00473A1F">
        <w:rPr>
          <w:rFonts w:ascii="Calibri" w:hAnsi="Calibri" w:cs="Calibri"/>
          <w:highlight w:val="yellow"/>
          <w:lang w:val="en-US"/>
        </w:rPr>
        <w:t xml:space="preserve">1.2. Administer three intraperitoneal (IP) injections of MPTP (20 mg/kg b.w.) in 100 </w:t>
      </w:r>
      <w:r w:rsidRPr="00E42762">
        <w:rPr>
          <w:rFonts w:ascii="Calibri" w:hAnsi="Calibri" w:cs="Calibri"/>
          <w:highlight w:val="yellow"/>
        </w:rPr>
        <w:t>μ</w:t>
      </w:r>
      <w:r w:rsidRPr="00473A1F">
        <w:rPr>
          <w:rFonts w:ascii="Calibri" w:hAnsi="Calibri" w:cs="Calibri"/>
          <w:highlight w:val="yellow"/>
          <w:lang w:val="en-US"/>
        </w:rPr>
        <w:t xml:space="preserve">L of 0.9% NaCl at 2-h intervals on the first day of treatment (D0). 1 h after the final MPTP injection, administer 10 </w:t>
      </w:r>
      <w:r w:rsidRPr="00E42762">
        <w:rPr>
          <w:rFonts w:ascii="Calibri" w:hAnsi="Calibri" w:cs="Calibri"/>
          <w:highlight w:val="yellow"/>
        </w:rPr>
        <w:t>μ</w:t>
      </w:r>
      <w:r w:rsidRPr="00473A1F">
        <w:rPr>
          <w:rFonts w:ascii="Calibri" w:hAnsi="Calibri" w:cs="Calibri"/>
          <w:highlight w:val="yellow"/>
          <w:lang w:val="en-US"/>
        </w:rPr>
        <w:t>L intranasally (IN) of cyclo</w:t>
      </w:r>
      <w:r w:rsidRPr="00473A1F">
        <w:rPr>
          <w:rFonts w:ascii="Calibri" w:hAnsi="Calibri" w:cs="Calibri"/>
          <w:highlight w:val="yellow"/>
          <w:vertAlign w:val="subscript"/>
          <w:lang w:val="en-US"/>
        </w:rPr>
        <w:t>(1-8)</w:t>
      </w:r>
      <w:r w:rsidRPr="00473A1F">
        <w:rPr>
          <w:rFonts w:ascii="Calibri" w:hAnsi="Calibri" w:cs="Calibri"/>
          <w:highlight w:val="yellow"/>
          <w:lang w:val="en-US"/>
        </w:rPr>
        <w:t>OP (10 ng) or saline.</w:t>
      </w:r>
    </w:p>
    <w:p w14:paraId="43F3098F" w14:textId="77777777" w:rsidR="00883F1E" w:rsidRPr="00473A1F" w:rsidRDefault="00883F1E" w:rsidP="00E42762">
      <w:pPr>
        <w:pStyle w:val="NormalWeb"/>
        <w:spacing w:before="0" w:beforeAutospacing="0" w:after="0" w:afterAutospacing="0"/>
        <w:jc w:val="both"/>
        <w:rPr>
          <w:rFonts w:ascii="Calibri" w:hAnsi="Calibri" w:cs="Calibri"/>
          <w:lang w:val="en-US"/>
        </w:rPr>
      </w:pPr>
    </w:p>
    <w:p w14:paraId="1EB12759" w14:textId="1B41BCC1" w:rsidR="00883F1E" w:rsidRPr="00473A1F" w:rsidRDefault="00883F1E" w:rsidP="00E42762">
      <w:pPr>
        <w:pStyle w:val="NormalWeb"/>
        <w:spacing w:before="0" w:beforeAutospacing="0" w:after="0" w:afterAutospacing="0"/>
        <w:jc w:val="both"/>
        <w:rPr>
          <w:rFonts w:ascii="Calibri" w:hAnsi="Calibri" w:cs="Calibri"/>
          <w:lang w:val="en-US"/>
        </w:rPr>
      </w:pPr>
      <w:r w:rsidRPr="00473A1F">
        <w:rPr>
          <w:rFonts w:ascii="Calibri" w:hAnsi="Calibri" w:cs="Calibri"/>
          <w:highlight w:val="yellow"/>
          <w:lang w:val="en-US"/>
        </w:rPr>
        <w:t>1.3. Inject control animals with saline instead of MPTP, with or without cyclo</w:t>
      </w:r>
      <w:r w:rsidRPr="00473A1F">
        <w:rPr>
          <w:rFonts w:ascii="Calibri" w:hAnsi="Calibri" w:cs="Calibri"/>
          <w:highlight w:val="yellow"/>
          <w:vertAlign w:val="subscript"/>
          <w:lang w:val="en-US"/>
        </w:rPr>
        <w:t>(1-8)</w:t>
      </w:r>
      <w:r w:rsidRPr="00473A1F">
        <w:rPr>
          <w:rFonts w:ascii="Calibri" w:hAnsi="Calibri" w:cs="Calibri"/>
          <w:highlight w:val="yellow"/>
          <w:lang w:val="en-US"/>
        </w:rPr>
        <w:t>OP (</w:t>
      </w:r>
      <w:r w:rsidRPr="00473A1F">
        <w:rPr>
          <w:rFonts w:ascii="Calibri" w:hAnsi="Calibri" w:cs="Calibri"/>
          <w:b/>
          <w:bCs/>
          <w:highlight w:val="yellow"/>
          <w:lang w:val="en-US"/>
        </w:rPr>
        <w:t>Figure 1</w:t>
      </w:r>
      <w:r w:rsidRPr="00473A1F">
        <w:rPr>
          <w:rFonts w:ascii="Calibri" w:hAnsi="Calibri" w:cs="Calibri"/>
          <w:highlight w:val="yellow"/>
          <w:lang w:val="en-US"/>
        </w:rPr>
        <w:t>).</w:t>
      </w:r>
    </w:p>
    <w:p w14:paraId="54AA241E" w14:textId="77777777" w:rsidR="00883F1E" w:rsidRPr="00473A1F" w:rsidRDefault="00883F1E" w:rsidP="00E42762">
      <w:pPr>
        <w:pStyle w:val="NormalWeb"/>
        <w:spacing w:before="0" w:beforeAutospacing="0" w:after="0" w:afterAutospacing="0"/>
        <w:jc w:val="both"/>
        <w:rPr>
          <w:rFonts w:ascii="Calibri" w:hAnsi="Calibri" w:cs="Calibri"/>
          <w:lang w:val="en-US"/>
        </w:rPr>
      </w:pPr>
    </w:p>
    <w:p w14:paraId="0D3F3E67" w14:textId="25BAA40F" w:rsidR="00883F1E" w:rsidRPr="00473A1F" w:rsidRDefault="00883F1E" w:rsidP="00E42762">
      <w:pPr>
        <w:pStyle w:val="NormalWeb"/>
        <w:spacing w:before="0" w:beforeAutospacing="0" w:after="0" w:afterAutospacing="0"/>
        <w:jc w:val="both"/>
        <w:rPr>
          <w:rFonts w:ascii="Calibri" w:hAnsi="Calibri" w:cs="Calibri"/>
          <w:lang w:val="en-US"/>
        </w:rPr>
      </w:pPr>
      <w:r w:rsidRPr="00473A1F">
        <w:rPr>
          <w:rFonts w:ascii="Calibri" w:hAnsi="Calibri" w:cs="Calibri"/>
          <w:highlight w:val="yellow"/>
          <w:lang w:val="en-US"/>
        </w:rPr>
        <w:t>1.4. On the seventh day (D7), subject mice to the cylinder test.</w:t>
      </w:r>
      <w:r w:rsidRPr="00473A1F">
        <w:rPr>
          <w:rFonts w:ascii="Calibri" w:hAnsi="Calibri" w:cs="Calibri"/>
          <w:lang w:val="en-US"/>
        </w:rPr>
        <w:t xml:space="preserve"> Then deeply anesthetize the mice using an IP injection of pentobarbital and sacrifice them </w:t>
      </w:r>
      <w:r w:rsidR="00073059" w:rsidRPr="00473A1F">
        <w:rPr>
          <w:rFonts w:ascii="Calibri" w:hAnsi="Calibri" w:cs="Calibri"/>
          <w:lang w:val="en-US"/>
        </w:rPr>
        <w:t xml:space="preserve">(following institutionally approved protocols) </w:t>
      </w:r>
      <w:r w:rsidRPr="00473A1F">
        <w:rPr>
          <w:rFonts w:ascii="Calibri" w:hAnsi="Calibri" w:cs="Calibri"/>
          <w:lang w:val="en-US"/>
        </w:rPr>
        <w:t>to collect brains for real-time PCR and biochemical analyses</w:t>
      </w:r>
      <w:r w:rsidR="00CD202A" w:rsidRPr="00473A1F">
        <w:rPr>
          <w:rFonts w:ascii="Calibri" w:hAnsi="Calibri" w:cs="Calibri"/>
          <w:vertAlign w:val="superscript"/>
          <w:lang w:val="en-US"/>
        </w:rPr>
        <w:t>20</w:t>
      </w:r>
      <w:r w:rsidRPr="00473A1F">
        <w:rPr>
          <w:rFonts w:ascii="Calibri" w:hAnsi="Calibri" w:cs="Calibri"/>
          <w:lang w:val="en-US"/>
        </w:rPr>
        <w:t xml:space="preserve"> (</w:t>
      </w:r>
      <w:r w:rsidRPr="00473A1F">
        <w:rPr>
          <w:rFonts w:ascii="Calibri" w:hAnsi="Calibri" w:cs="Calibri"/>
          <w:b/>
          <w:bCs/>
          <w:lang w:val="en-US"/>
        </w:rPr>
        <w:t>Figure 2</w:t>
      </w:r>
      <w:r w:rsidRPr="00473A1F">
        <w:rPr>
          <w:rFonts w:ascii="Calibri" w:hAnsi="Calibri" w:cs="Calibri"/>
          <w:lang w:val="en-US"/>
        </w:rPr>
        <w:t>).</w:t>
      </w:r>
    </w:p>
    <w:p w14:paraId="74601B70" w14:textId="77777777" w:rsidR="00883F1E" w:rsidRPr="00E42762" w:rsidRDefault="00883F1E" w:rsidP="00E42762">
      <w:pPr>
        <w:pStyle w:val="ListParagraph"/>
        <w:keepNext/>
        <w:tabs>
          <w:tab w:val="left" w:pos="709"/>
          <w:tab w:val="left" w:pos="993"/>
        </w:tabs>
        <w:spacing w:after="0" w:line="240" w:lineRule="auto"/>
        <w:ind w:left="0"/>
        <w:jc w:val="both"/>
        <w:rPr>
          <w:rFonts w:ascii="Calibri" w:hAnsi="Calibri" w:cs="Calibri"/>
          <w:color w:val="EE0000"/>
          <w:sz w:val="24"/>
          <w:szCs w:val="24"/>
          <w:u w:val="single" w:color="FF0000"/>
        </w:rPr>
      </w:pPr>
    </w:p>
    <w:p w14:paraId="5B787C24" w14:textId="15249418" w:rsidR="008D006B" w:rsidRPr="00E42762" w:rsidRDefault="008D006B" w:rsidP="00E42762">
      <w:pPr>
        <w:pStyle w:val="ListParagraph"/>
        <w:numPr>
          <w:ilvl w:val="0"/>
          <w:numId w:val="30"/>
        </w:numPr>
        <w:spacing w:after="0" w:line="240" w:lineRule="auto"/>
        <w:ind w:left="0" w:firstLine="0"/>
        <w:jc w:val="both"/>
        <w:rPr>
          <w:rFonts w:ascii="Calibri" w:hAnsi="Calibri" w:cs="Calibri"/>
          <w:b/>
          <w:bCs/>
          <w:sz w:val="24"/>
          <w:szCs w:val="24"/>
          <w:highlight w:val="yellow"/>
        </w:rPr>
      </w:pPr>
      <w:r w:rsidRPr="00E42762">
        <w:rPr>
          <w:rFonts w:ascii="Calibri" w:hAnsi="Calibri" w:cs="Calibri"/>
          <w:b/>
          <w:bCs/>
          <w:sz w:val="24"/>
          <w:szCs w:val="24"/>
          <w:highlight w:val="yellow"/>
        </w:rPr>
        <w:t>Injection procedure</w:t>
      </w:r>
    </w:p>
    <w:p w14:paraId="63C2757A" w14:textId="77777777" w:rsidR="00C2370B" w:rsidRPr="00E42762" w:rsidRDefault="00C2370B" w:rsidP="00E42762">
      <w:pPr>
        <w:pStyle w:val="ListParagraph"/>
        <w:spacing w:after="0" w:line="240" w:lineRule="auto"/>
        <w:ind w:left="0"/>
        <w:jc w:val="both"/>
        <w:rPr>
          <w:rFonts w:ascii="Calibri" w:hAnsi="Calibri" w:cs="Calibri"/>
          <w:b/>
          <w:bCs/>
          <w:color w:val="EE0000"/>
          <w:sz w:val="24"/>
          <w:szCs w:val="24"/>
          <w:u w:val="single" w:color="FF0000"/>
        </w:rPr>
      </w:pPr>
    </w:p>
    <w:p w14:paraId="193A2457" w14:textId="3D6F1FB2" w:rsidR="00ED2E02" w:rsidRPr="00E42762" w:rsidRDefault="00493697" w:rsidP="00E42762">
      <w:pPr>
        <w:pStyle w:val="NormalWeb"/>
        <w:spacing w:before="0" w:beforeAutospacing="0" w:after="0" w:afterAutospacing="0"/>
        <w:jc w:val="both"/>
        <w:rPr>
          <w:rStyle w:val="Strong"/>
          <w:rFonts w:ascii="Calibri" w:hAnsi="Calibri" w:cs="Calibri"/>
          <w:b w:val="0"/>
          <w:bCs w:val="0"/>
        </w:rPr>
      </w:pPr>
      <w:r w:rsidRPr="00E42762">
        <w:rPr>
          <w:rStyle w:val="Strong"/>
          <w:rFonts w:ascii="Calibri" w:hAnsi="Calibri" w:cs="Calibri"/>
          <w:b w:val="0"/>
          <w:bCs w:val="0"/>
          <w:highlight w:val="yellow"/>
        </w:rPr>
        <w:t xml:space="preserve">2.1. </w:t>
      </w:r>
      <w:proofErr w:type="spellStart"/>
      <w:r w:rsidRPr="00E42762">
        <w:rPr>
          <w:rStyle w:val="Strong"/>
          <w:rFonts w:ascii="Calibri" w:hAnsi="Calibri" w:cs="Calibri"/>
          <w:b w:val="0"/>
          <w:bCs w:val="0"/>
          <w:highlight w:val="yellow"/>
        </w:rPr>
        <w:t>Intraperitoneal</w:t>
      </w:r>
      <w:proofErr w:type="spellEnd"/>
      <w:r w:rsidRPr="00E42762">
        <w:rPr>
          <w:rStyle w:val="Strong"/>
          <w:rFonts w:ascii="Calibri" w:hAnsi="Calibri" w:cs="Calibri"/>
          <w:b w:val="0"/>
          <w:bCs w:val="0"/>
          <w:highlight w:val="yellow"/>
        </w:rPr>
        <w:t xml:space="preserve"> </w:t>
      </w:r>
      <w:r w:rsidR="00ED2E02" w:rsidRPr="00E42762">
        <w:rPr>
          <w:rStyle w:val="Strong"/>
          <w:rFonts w:ascii="Calibri" w:hAnsi="Calibri" w:cs="Calibri"/>
          <w:b w:val="0"/>
          <w:bCs w:val="0"/>
          <w:highlight w:val="yellow"/>
        </w:rPr>
        <w:t>i</w:t>
      </w:r>
      <w:r w:rsidRPr="00E42762">
        <w:rPr>
          <w:rStyle w:val="Strong"/>
          <w:rFonts w:ascii="Calibri" w:hAnsi="Calibri" w:cs="Calibri"/>
          <w:b w:val="0"/>
          <w:bCs w:val="0"/>
          <w:highlight w:val="yellow"/>
        </w:rPr>
        <w:t>njection</w:t>
      </w:r>
    </w:p>
    <w:p w14:paraId="10B04F0D" w14:textId="77777777" w:rsidR="00ED2E02"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r>
      <w:r w:rsidRPr="00473A1F">
        <w:rPr>
          <w:rFonts w:ascii="Calibri" w:hAnsi="Calibri" w:cs="Calibri"/>
          <w:highlight w:val="yellow"/>
          <w:lang w:val="en-US"/>
        </w:rPr>
        <w:t>2.1.1. Position the mouse carefully and immobilize its head during the procedure.</w:t>
      </w:r>
    </w:p>
    <w:p w14:paraId="43A5F4FE" w14:textId="1EC53F41" w:rsidR="00ED2E02" w:rsidRPr="00473A1F" w:rsidRDefault="00ED2E02" w:rsidP="00E42762">
      <w:pPr>
        <w:pStyle w:val="NormalWeb"/>
        <w:spacing w:before="0" w:beforeAutospacing="0" w:after="0" w:afterAutospacing="0"/>
        <w:jc w:val="both"/>
        <w:rPr>
          <w:rFonts w:ascii="Calibri" w:hAnsi="Calibri" w:cs="Calibri"/>
          <w:lang w:val="en-US"/>
        </w:rPr>
      </w:pPr>
    </w:p>
    <w:p w14:paraId="2A0E6B12" w14:textId="77777777" w:rsidR="00ED2E02" w:rsidRPr="00473A1F" w:rsidRDefault="00493697" w:rsidP="00E42762">
      <w:pPr>
        <w:pStyle w:val="NormalWeb"/>
        <w:spacing w:before="0" w:beforeAutospacing="0" w:after="0" w:afterAutospacing="0"/>
        <w:jc w:val="both"/>
        <w:rPr>
          <w:rFonts w:ascii="Calibri" w:hAnsi="Calibri" w:cs="Calibri"/>
          <w:highlight w:val="yellow"/>
          <w:lang w:val="en-US"/>
        </w:rPr>
      </w:pPr>
      <w:r w:rsidRPr="00473A1F">
        <w:rPr>
          <w:rFonts w:ascii="Calibri" w:hAnsi="Calibri" w:cs="Calibri"/>
          <w:highlight w:val="yellow"/>
          <w:lang w:val="en-US"/>
        </w:rPr>
        <w:t>2.1.2. Orient the mouse head-down to allow the organs to shift naturally with gravity, minimizing any contact with the needle.</w:t>
      </w:r>
    </w:p>
    <w:p w14:paraId="2BDE48F8" w14:textId="77777777" w:rsidR="00ED2E02" w:rsidRPr="00473A1F" w:rsidRDefault="00493697" w:rsidP="00E42762">
      <w:pPr>
        <w:pStyle w:val="NormalWeb"/>
        <w:spacing w:before="0" w:beforeAutospacing="0" w:after="0" w:afterAutospacing="0"/>
        <w:jc w:val="both"/>
        <w:rPr>
          <w:rFonts w:ascii="Calibri" w:hAnsi="Calibri" w:cs="Calibri"/>
          <w:highlight w:val="yellow"/>
          <w:lang w:val="en-US"/>
        </w:rPr>
      </w:pPr>
      <w:r w:rsidRPr="00473A1F">
        <w:rPr>
          <w:rFonts w:ascii="Calibri" w:hAnsi="Calibri" w:cs="Calibri"/>
          <w:highlight w:val="yellow"/>
          <w:lang w:val="en-US"/>
        </w:rPr>
        <w:br/>
        <w:t>2.1.3. Insert the needle at a 45-degree angle into the lower abdomen.</w:t>
      </w:r>
    </w:p>
    <w:p w14:paraId="761140E7" w14:textId="3F67DE0A" w:rsidR="00ED2E02"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highlight w:val="yellow"/>
          <w:lang w:val="en-US"/>
        </w:rPr>
        <w:br/>
        <w:t xml:space="preserve">2.1.4. Administer three 100 </w:t>
      </w:r>
      <w:r w:rsidRPr="00E42762">
        <w:rPr>
          <w:rFonts w:ascii="Calibri" w:hAnsi="Calibri" w:cs="Calibri"/>
          <w:highlight w:val="yellow"/>
        </w:rPr>
        <w:t>μ</w:t>
      </w:r>
      <w:r w:rsidRPr="00473A1F">
        <w:rPr>
          <w:rFonts w:ascii="Calibri" w:hAnsi="Calibri" w:cs="Calibri"/>
          <w:highlight w:val="yellow"/>
          <w:lang w:val="en-US"/>
        </w:rPr>
        <w:t>L injections on the same side, with a 2-h interval between each injection, all performed on the same day.</w:t>
      </w:r>
    </w:p>
    <w:p w14:paraId="28867EC4" w14:textId="7A5A5239" w:rsidR="00493697"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r>
      <w:r w:rsidRPr="00473A1F">
        <w:rPr>
          <w:rFonts w:ascii="Calibri" w:hAnsi="Calibri" w:cs="Calibri"/>
          <w:highlight w:val="yellow"/>
          <w:lang w:val="en-US"/>
        </w:rPr>
        <w:t>2.1.5. Inject 0.9% saline for the sham and cyclo</w:t>
      </w:r>
      <w:r w:rsidRPr="00473A1F">
        <w:rPr>
          <w:rFonts w:ascii="Calibri" w:hAnsi="Calibri" w:cs="Calibri"/>
          <w:highlight w:val="yellow"/>
          <w:vertAlign w:val="subscript"/>
          <w:lang w:val="en-US"/>
        </w:rPr>
        <w:t>(1-8)</w:t>
      </w:r>
      <w:r w:rsidRPr="00473A1F">
        <w:rPr>
          <w:rFonts w:ascii="Calibri" w:hAnsi="Calibri" w:cs="Calibri"/>
          <w:highlight w:val="yellow"/>
          <w:lang w:val="en-US"/>
        </w:rPr>
        <w:t>OP groups, or MPTP solution (20 mg/kg b.w.) for the MPTP and MPTP + cyclo</w:t>
      </w:r>
      <w:r w:rsidRPr="00473A1F">
        <w:rPr>
          <w:rFonts w:ascii="Calibri" w:hAnsi="Calibri" w:cs="Calibri"/>
          <w:highlight w:val="yellow"/>
          <w:vertAlign w:val="subscript"/>
          <w:lang w:val="en-US"/>
        </w:rPr>
        <w:t>(1-8)</w:t>
      </w:r>
      <w:r w:rsidRPr="00473A1F">
        <w:rPr>
          <w:rFonts w:ascii="Calibri" w:hAnsi="Calibri" w:cs="Calibri"/>
          <w:highlight w:val="yellow"/>
          <w:lang w:val="en-US"/>
        </w:rPr>
        <w:t>OP groups.</w:t>
      </w:r>
    </w:p>
    <w:p w14:paraId="028D7763" w14:textId="77777777" w:rsidR="00ED2E02" w:rsidRPr="00473A1F" w:rsidRDefault="00ED2E02" w:rsidP="00E42762">
      <w:pPr>
        <w:pStyle w:val="NormalWeb"/>
        <w:spacing w:before="0" w:beforeAutospacing="0" w:after="0" w:afterAutospacing="0"/>
        <w:jc w:val="both"/>
        <w:rPr>
          <w:rFonts w:ascii="Calibri" w:hAnsi="Calibri" w:cs="Calibri"/>
          <w:lang w:val="en-US"/>
        </w:rPr>
      </w:pPr>
    </w:p>
    <w:p w14:paraId="0BD1151C" w14:textId="39074DEF" w:rsidR="00ED2E02" w:rsidRPr="00473A1F" w:rsidRDefault="00493697" w:rsidP="00E42762">
      <w:pPr>
        <w:pStyle w:val="NormalWeb"/>
        <w:spacing w:before="0" w:beforeAutospacing="0" w:after="0" w:afterAutospacing="0"/>
        <w:jc w:val="both"/>
        <w:rPr>
          <w:rStyle w:val="Strong"/>
          <w:rFonts w:ascii="Calibri" w:hAnsi="Calibri" w:cs="Calibri"/>
          <w:b w:val="0"/>
          <w:bCs w:val="0"/>
          <w:lang w:val="en-US"/>
        </w:rPr>
      </w:pPr>
      <w:r w:rsidRPr="00473A1F">
        <w:rPr>
          <w:rStyle w:val="Strong"/>
          <w:rFonts w:ascii="Calibri" w:hAnsi="Calibri" w:cs="Calibri"/>
          <w:b w:val="0"/>
          <w:bCs w:val="0"/>
          <w:highlight w:val="yellow"/>
          <w:lang w:val="en-US"/>
        </w:rPr>
        <w:t xml:space="preserve">2.2. Intranasal </w:t>
      </w:r>
      <w:r w:rsidR="00ED2E02" w:rsidRPr="00473A1F">
        <w:rPr>
          <w:rStyle w:val="Strong"/>
          <w:rFonts w:ascii="Calibri" w:hAnsi="Calibri" w:cs="Calibri"/>
          <w:b w:val="0"/>
          <w:bCs w:val="0"/>
          <w:highlight w:val="yellow"/>
          <w:lang w:val="en-US"/>
        </w:rPr>
        <w:t>a</w:t>
      </w:r>
      <w:r w:rsidRPr="00473A1F">
        <w:rPr>
          <w:rStyle w:val="Strong"/>
          <w:rFonts w:ascii="Calibri" w:hAnsi="Calibri" w:cs="Calibri"/>
          <w:b w:val="0"/>
          <w:bCs w:val="0"/>
          <w:highlight w:val="yellow"/>
          <w:lang w:val="en-US"/>
        </w:rPr>
        <w:t>dministration</w:t>
      </w:r>
    </w:p>
    <w:p w14:paraId="4AB9E196" w14:textId="3BDAD349" w:rsidR="00493697"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r>
      <w:r w:rsidRPr="00473A1F">
        <w:rPr>
          <w:rStyle w:val="Strong"/>
          <w:rFonts w:ascii="Calibri" w:hAnsi="Calibri" w:cs="Calibri"/>
          <w:b w:val="0"/>
          <w:bCs w:val="0"/>
          <w:lang w:val="en-US"/>
        </w:rPr>
        <w:t>NOTE:</w:t>
      </w:r>
      <w:r w:rsidRPr="00473A1F">
        <w:rPr>
          <w:rFonts w:ascii="Calibri" w:hAnsi="Calibri" w:cs="Calibri"/>
          <w:lang w:val="en-US"/>
        </w:rPr>
        <w:t xml:space="preserve"> </w:t>
      </w:r>
      <w:r w:rsidRPr="008A6414">
        <w:rPr>
          <w:rFonts w:ascii="Calibri" w:hAnsi="Calibri" w:cs="Calibri"/>
          <w:highlight w:val="yellow"/>
          <w:lang w:val="en-US"/>
        </w:rPr>
        <w:t>The selected dose (10 ng) was based on a previous study demonstrating the neuroprotective efficacy of ICV administration of ODN</w:t>
      </w:r>
      <w:r w:rsidRPr="008A6414">
        <w:rPr>
          <w:rFonts w:ascii="Calibri" w:hAnsi="Calibri" w:cs="Calibri"/>
          <w:highlight w:val="yellow"/>
          <w:vertAlign w:val="superscript"/>
          <w:lang w:val="en-US"/>
        </w:rPr>
        <w:t>8</w:t>
      </w:r>
      <w:r w:rsidRPr="008A6414">
        <w:rPr>
          <w:rFonts w:ascii="Calibri" w:hAnsi="Calibri" w:cs="Calibri"/>
          <w:highlight w:val="yellow"/>
          <w:lang w:val="en-US"/>
        </w:rPr>
        <w:t xml:space="preserve">. The total volume of 10 </w:t>
      </w:r>
      <w:r w:rsidRPr="008A6414">
        <w:rPr>
          <w:rFonts w:ascii="Calibri" w:hAnsi="Calibri" w:cs="Calibri"/>
          <w:highlight w:val="yellow"/>
        </w:rPr>
        <w:t>μ</w:t>
      </w:r>
      <w:r w:rsidRPr="008A6414">
        <w:rPr>
          <w:rFonts w:ascii="Calibri" w:hAnsi="Calibri" w:cs="Calibri"/>
          <w:highlight w:val="yellow"/>
          <w:lang w:val="en-US"/>
        </w:rPr>
        <w:t xml:space="preserve">L and droplet size (5 </w:t>
      </w:r>
      <w:r w:rsidRPr="008A6414">
        <w:rPr>
          <w:rFonts w:ascii="Calibri" w:hAnsi="Calibri" w:cs="Calibri"/>
          <w:highlight w:val="yellow"/>
        </w:rPr>
        <w:t>μ</w:t>
      </w:r>
      <w:r w:rsidRPr="008A6414">
        <w:rPr>
          <w:rFonts w:ascii="Calibri" w:hAnsi="Calibri" w:cs="Calibri"/>
          <w:highlight w:val="yellow"/>
          <w:lang w:val="en-US"/>
        </w:rPr>
        <w:t>L per nostril) were chosen according to established IN administration protocols</w:t>
      </w:r>
      <w:r w:rsidR="0016549A" w:rsidRPr="008A6414">
        <w:rPr>
          <w:rFonts w:ascii="Calibri" w:hAnsi="Calibri" w:cs="Calibri"/>
          <w:highlight w:val="yellow"/>
          <w:vertAlign w:val="superscript"/>
          <w:lang w:val="en-US"/>
        </w:rPr>
        <w:t>18,21</w:t>
      </w:r>
      <w:r w:rsidRPr="008A6414">
        <w:rPr>
          <w:rFonts w:ascii="Calibri" w:hAnsi="Calibri" w:cs="Calibri"/>
          <w:highlight w:val="yellow"/>
          <w:lang w:val="en-US"/>
        </w:rPr>
        <w:t>. This volume is well below the average capacity of the mouse nasal cavity (0.032 cm³), thereby minimizing the risk of nostril obstruction or asphyxiation and ensuring safe and efficient nasal absorption</w:t>
      </w:r>
      <w:r w:rsidR="0016549A" w:rsidRPr="008A6414">
        <w:rPr>
          <w:rFonts w:ascii="Calibri" w:hAnsi="Calibri" w:cs="Calibri"/>
          <w:highlight w:val="yellow"/>
          <w:vertAlign w:val="superscript"/>
          <w:lang w:val="en-US"/>
        </w:rPr>
        <w:t>22</w:t>
      </w:r>
      <w:r w:rsidRPr="008A6414">
        <w:rPr>
          <w:rFonts w:ascii="Calibri" w:hAnsi="Calibri" w:cs="Calibri"/>
          <w:highlight w:val="yellow"/>
          <w:lang w:val="en-US"/>
        </w:rPr>
        <w:t>.</w:t>
      </w:r>
    </w:p>
    <w:p w14:paraId="6B843593" w14:textId="77777777" w:rsidR="00ED2E02" w:rsidRPr="00473A1F" w:rsidRDefault="00ED2E02" w:rsidP="00E42762">
      <w:pPr>
        <w:pStyle w:val="NormalWeb"/>
        <w:spacing w:before="0" w:beforeAutospacing="0" w:after="0" w:afterAutospacing="0"/>
        <w:jc w:val="both"/>
        <w:rPr>
          <w:rFonts w:ascii="Calibri" w:hAnsi="Calibri" w:cs="Calibri"/>
          <w:lang w:val="en-US"/>
        </w:rPr>
      </w:pPr>
    </w:p>
    <w:p w14:paraId="29CC5310"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highlight w:val="yellow"/>
          <w:lang w:val="en-US"/>
        </w:rPr>
        <w:t>2.2.1. Firmly hold the mouse by the scruff of its neck</w:t>
      </w:r>
      <w:r w:rsidRPr="00473A1F">
        <w:rPr>
          <w:rFonts w:ascii="Calibri" w:hAnsi="Calibri" w:cs="Calibri"/>
          <w:lang w:val="en-US"/>
        </w:rPr>
        <w:t>, ensuring its nose is oriented upward to facilitate precise dosing while minimizing head movement.</w:t>
      </w:r>
    </w:p>
    <w:p w14:paraId="29D7EE13"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r>
      <w:r w:rsidRPr="00473A1F">
        <w:rPr>
          <w:rFonts w:ascii="Calibri" w:hAnsi="Calibri" w:cs="Calibri"/>
          <w:highlight w:val="yellow"/>
          <w:lang w:val="en-US"/>
        </w:rPr>
        <w:t>2.2.2. Invert the animal so that its ventral side faces the ceiling, with its neck parallel to the floor</w:t>
      </w:r>
      <w:r w:rsidRPr="00473A1F">
        <w:rPr>
          <w:rFonts w:ascii="Calibri" w:hAnsi="Calibri" w:cs="Calibri"/>
          <w:lang w:val="en-US"/>
        </w:rPr>
        <w:t>. Ensure the mouse's head remains securely immobilized, preventing vertical or horizontal movement.</w:t>
      </w:r>
    </w:p>
    <w:p w14:paraId="2EFF4124" w14:textId="77777777" w:rsidR="001672A3" w:rsidRPr="00473A1F" w:rsidRDefault="00493697" w:rsidP="00E42762">
      <w:pPr>
        <w:pStyle w:val="NormalWeb"/>
        <w:spacing w:before="0" w:beforeAutospacing="0" w:after="0" w:afterAutospacing="0"/>
        <w:jc w:val="both"/>
        <w:rPr>
          <w:rFonts w:ascii="Calibri" w:hAnsi="Calibri" w:cs="Calibri"/>
          <w:highlight w:val="yellow"/>
          <w:lang w:val="en-US"/>
        </w:rPr>
      </w:pPr>
      <w:r w:rsidRPr="00473A1F">
        <w:rPr>
          <w:rFonts w:ascii="Calibri" w:hAnsi="Calibri" w:cs="Calibri"/>
          <w:lang w:val="en-US"/>
        </w:rPr>
        <w:br/>
      </w:r>
      <w:r w:rsidRPr="00473A1F">
        <w:rPr>
          <w:rFonts w:ascii="Calibri" w:hAnsi="Calibri" w:cs="Calibri"/>
          <w:highlight w:val="yellow"/>
          <w:lang w:val="en-US"/>
        </w:rPr>
        <w:t>2.2.3. Align the pipette tip with the mouse’s nostril and slowly depress the plunger to form a small droplet.</w:t>
      </w:r>
    </w:p>
    <w:p w14:paraId="752183D5" w14:textId="77777777" w:rsidR="001672A3" w:rsidRPr="00473A1F" w:rsidRDefault="00493697" w:rsidP="00E42762">
      <w:pPr>
        <w:pStyle w:val="NormalWeb"/>
        <w:spacing w:before="0" w:beforeAutospacing="0" w:after="0" w:afterAutospacing="0"/>
        <w:jc w:val="both"/>
        <w:rPr>
          <w:rFonts w:ascii="Calibri" w:hAnsi="Calibri" w:cs="Calibri"/>
          <w:highlight w:val="yellow"/>
          <w:lang w:val="en-US"/>
        </w:rPr>
      </w:pPr>
      <w:r w:rsidRPr="00473A1F">
        <w:rPr>
          <w:rFonts w:ascii="Calibri" w:hAnsi="Calibri" w:cs="Calibri"/>
          <w:highlight w:val="yellow"/>
          <w:lang w:val="en-US"/>
        </w:rPr>
        <w:br/>
        <w:t xml:space="preserve">2.2.4. Place a 5 </w:t>
      </w:r>
      <w:r w:rsidRPr="00E42762">
        <w:rPr>
          <w:rFonts w:ascii="Calibri" w:hAnsi="Calibri" w:cs="Calibri"/>
          <w:highlight w:val="yellow"/>
        </w:rPr>
        <w:t>μ</w:t>
      </w:r>
      <w:r w:rsidRPr="00473A1F">
        <w:rPr>
          <w:rFonts w:ascii="Calibri" w:hAnsi="Calibri" w:cs="Calibri"/>
          <w:highlight w:val="yellow"/>
          <w:lang w:val="en-US"/>
        </w:rPr>
        <w:t>L (half of the volume) droplet near each of the mouse's nostrils.</w:t>
      </w:r>
    </w:p>
    <w:p w14:paraId="4B9A0BCF"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highlight w:val="yellow"/>
          <w:lang w:val="en-US"/>
        </w:rPr>
        <w:br/>
        <w:t>2.2.5. Allow the mouse to naturally inhale the solution.</w:t>
      </w:r>
    </w:p>
    <w:p w14:paraId="727D49B0"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lastRenderedPageBreak/>
        <w:br/>
      </w:r>
      <w:r w:rsidRPr="00473A1F">
        <w:rPr>
          <w:rFonts w:ascii="Calibri" w:hAnsi="Calibri" w:cs="Calibri"/>
          <w:highlight w:val="yellow"/>
          <w:lang w:val="en-US"/>
        </w:rPr>
        <w:t xml:space="preserve">2.2.6. Repeat these steps to ensure consistent dosing, with 10 </w:t>
      </w:r>
      <w:r w:rsidRPr="00E42762">
        <w:rPr>
          <w:rFonts w:ascii="Calibri" w:hAnsi="Calibri" w:cs="Calibri"/>
          <w:highlight w:val="yellow"/>
        </w:rPr>
        <w:t>μ</w:t>
      </w:r>
      <w:r w:rsidRPr="00473A1F">
        <w:rPr>
          <w:rFonts w:ascii="Calibri" w:hAnsi="Calibri" w:cs="Calibri"/>
          <w:highlight w:val="yellow"/>
          <w:lang w:val="en-US"/>
        </w:rPr>
        <w:t>L of cyclo</w:t>
      </w:r>
      <w:r w:rsidRPr="00473A1F">
        <w:rPr>
          <w:rFonts w:ascii="Calibri" w:hAnsi="Calibri" w:cs="Calibri"/>
          <w:highlight w:val="yellow"/>
          <w:vertAlign w:val="subscript"/>
          <w:lang w:val="en-US"/>
        </w:rPr>
        <w:t>(1-8)</w:t>
      </w:r>
      <w:r w:rsidRPr="00473A1F">
        <w:rPr>
          <w:rFonts w:ascii="Calibri" w:hAnsi="Calibri" w:cs="Calibri"/>
          <w:highlight w:val="yellow"/>
          <w:lang w:val="en-US"/>
        </w:rPr>
        <w:t>OP (10 ng) administered for the MPTP + cyclo</w:t>
      </w:r>
      <w:r w:rsidRPr="00473A1F">
        <w:rPr>
          <w:rFonts w:ascii="Calibri" w:hAnsi="Calibri" w:cs="Calibri"/>
          <w:highlight w:val="yellow"/>
          <w:vertAlign w:val="subscript"/>
          <w:lang w:val="en-US"/>
        </w:rPr>
        <w:t>(1-8)</w:t>
      </w:r>
      <w:r w:rsidRPr="00473A1F">
        <w:rPr>
          <w:rFonts w:ascii="Calibri" w:hAnsi="Calibri" w:cs="Calibri"/>
          <w:highlight w:val="yellow"/>
          <w:lang w:val="en-US"/>
        </w:rPr>
        <w:t>OP and cyclo</w:t>
      </w:r>
      <w:r w:rsidRPr="00473A1F">
        <w:rPr>
          <w:rFonts w:ascii="Calibri" w:hAnsi="Calibri" w:cs="Calibri"/>
          <w:highlight w:val="yellow"/>
          <w:vertAlign w:val="subscript"/>
          <w:lang w:val="en-US"/>
        </w:rPr>
        <w:t>(1-8)</w:t>
      </w:r>
      <w:r w:rsidRPr="00473A1F">
        <w:rPr>
          <w:rFonts w:ascii="Calibri" w:hAnsi="Calibri" w:cs="Calibri"/>
          <w:highlight w:val="yellow"/>
          <w:lang w:val="en-US"/>
        </w:rPr>
        <w:t>OP groups.</w:t>
      </w:r>
    </w:p>
    <w:p w14:paraId="2273C543"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 xml:space="preserve">2.2.7. </w:t>
      </w:r>
      <w:r w:rsidRPr="008A6414">
        <w:rPr>
          <w:rFonts w:ascii="Calibri" w:hAnsi="Calibri" w:cs="Calibri"/>
          <w:highlight w:val="yellow"/>
          <w:lang w:val="en-US"/>
        </w:rPr>
        <w:t>Carefully observe the mouse’s mouth throughout the procedure. The presence of liquid in the mouth may indicate incomplete nasal absorption. This could result from improper droplet size, rapid administration, or insufficient inhalation, allowing the solution to pool in the nasopharynx and subsequently exit through the mouth.</w:t>
      </w:r>
    </w:p>
    <w:p w14:paraId="6F3BA8C7"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2.2.8. Minimize this risk by reducing droplet size if necessary and ensuring adequate time for inhalation before administering additional volumes.</w:t>
      </w:r>
    </w:p>
    <w:p w14:paraId="7032FF02"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 xml:space="preserve">2.2.9. </w:t>
      </w:r>
      <w:r w:rsidRPr="008A6414">
        <w:rPr>
          <w:rFonts w:ascii="Calibri" w:hAnsi="Calibri" w:cs="Calibri"/>
          <w:highlight w:val="yellow"/>
          <w:lang w:val="en-US"/>
        </w:rPr>
        <w:t>Avoid immediately administering an additional dose to prevent excessive volume.</w:t>
      </w:r>
    </w:p>
    <w:p w14:paraId="293F80A7"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2.2.10. Document any misplaced doses and carefully note any expelled liquid.</w:t>
      </w:r>
    </w:p>
    <w:p w14:paraId="135E87D9"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r>
      <w:r w:rsidRPr="008A6414">
        <w:rPr>
          <w:rFonts w:ascii="Calibri" w:hAnsi="Calibri" w:cs="Calibri"/>
          <w:highlight w:val="yellow"/>
          <w:lang w:val="en-US"/>
        </w:rPr>
        <w:t>2.2.11. Ensure each mouse fully inhales both droplets (one per nostril) before proceeding with further administration.</w:t>
      </w:r>
    </w:p>
    <w:p w14:paraId="33389F56" w14:textId="77777777" w:rsidR="001672A3"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2.2.12. Confirm accurate targeting of the olfactory bulb by performing an IN injection of methylene blue solution.</w:t>
      </w:r>
    </w:p>
    <w:p w14:paraId="58101184" w14:textId="699278FE" w:rsidR="00493697" w:rsidRPr="00473A1F" w:rsidRDefault="00493697"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2.2.13. Evaluate the accuracy by visually inspecting the deposition and spread of the blue coloring.</w:t>
      </w:r>
    </w:p>
    <w:p w14:paraId="1CC18612" w14:textId="77777777" w:rsidR="00493697" w:rsidRPr="00E42762" w:rsidRDefault="00493697" w:rsidP="00E42762">
      <w:pPr>
        <w:rPr>
          <w:color w:val="EE0000"/>
          <w:u w:val="single" w:color="FF0000"/>
        </w:rPr>
      </w:pPr>
    </w:p>
    <w:p w14:paraId="63975372" w14:textId="1D7EB508" w:rsidR="00EF253A" w:rsidRPr="00E42762" w:rsidRDefault="00EF253A" w:rsidP="00E42762">
      <w:pPr>
        <w:pStyle w:val="ListParagraph"/>
        <w:numPr>
          <w:ilvl w:val="0"/>
          <w:numId w:val="30"/>
        </w:numPr>
        <w:spacing w:after="0" w:line="240" w:lineRule="auto"/>
        <w:ind w:left="0" w:firstLine="0"/>
        <w:jc w:val="both"/>
        <w:rPr>
          <w:rFonts w:ascii="Calibri" w:hAnsi="Calibri" w:cs="Calibri"/>
          <w:b/>
          <w:bCs/>
          <w:sz w:val="24"/>
          <w:szCs w:val="24"/>
        </w:rPr>
      </w:pPr>
      <w:r w:rsidRPr="00E42762">
        <w:rPr>
          <w:rFonts w:ascii="Calibri" w:hAnsi="Calibri" w:cs="Calibri"/>
          <w:b/>
          <w:bCs/>
          <w:sz w:val="24"/>
          <w:szCs w:val="24"/>
        </w:rPr>
        <w:t>Cylinder test</w:t>
      </w:r>
    </w:p>
    <w:p w14:paraId="3038981C" w14:textId="77777777" w:rsidR="003E611C" w:rsidRPr="00E42762" w:rsidRDefault="003E611C" w:rsidP="00E42762">
      <w:pPr>
        <w:pStyle w:val="ListParagraph"/>
        <w:spacing w:after="0" w:line="240" w:lineRule="auto"/>
        <w:ind w:left="0"/>
        <w:jc w:val="both"/>
        <w:rPr>
          <w:rFonts w:ascii="Calibri" w:hAnsi="Calibri" w:cs="Calibri"/>
          <w:color w:val="EE0000"/>
          <w:sz w:val="24"/>
          <w:szCs w:val="24"/>
          <w:u w:val="single" w:color="FF0000"/>
        </w:rPr>
      </w:pPr>
    </w:p>
    <w:p w14:paraId="48932E34" w14:textId="77777777" w:rsidR="003E611C" w:rsidRPr="00E42762" w:rsidRDefault="003E611C" w:rsidP="00E42762">
      <w:pPr>
        <w:pStyle w:val="ListParagraph"/>
        <w:spacing w:after="0" w:line="240" w:lineRule="auto"/>
        <w:ind w:left="0"/>
        <w:jc w:val="both"/>
        <w:rPr>
          <w:rFonts w:ascii="Calibri" w:hAnsi="Calibri" w:cs="Calibri"/>
          <w:sz w:val="24"/>
          <w:szCs w:val="24"/>
        </w:rPr>
      </w:pPr>
      <w:r w:rsidRPr="00E42762">
        <w:rPr>
          <w:rFonts w:ascii="Calibri" w:hAnsi="Calibri" w:cs="Calibri"/>
          <w:sz w:val="24"/>
          <w:szCs w:val="24"/>
        </w:rPr>
        <w:t>3.1. Use a transparent cylinder, 20 cm in height and 15 cm in diameter, placed at the center of the table.</w:t>
      </w:r>
    </w:p>
    <w:p w14:paraId="4F1F20FA" w14:textId="77777777" w:rsidR="003E611C" w:rsidRPr="00E42762" w:rsidRDefault="003E611C" w:rsidP="00E42762">
      <w:pPr>
        <w:pStyle w:val="ListParagraph"/>
        <w:spacing w:after="0" w:line="240" w:lineRule="auto"/>
        <w:ind w:left="0"/>
        <w:jc w:val="both"/>
        <w:rPr>
          <w:rFonts w:ascii="Calibri" w:hAnsi="Calibri" w:cs="Calibri"/>
          <w:sz w:val="24"/>
          <w:szCs w:val="24"/>
        </w:rPr>
      </w:pPr>
      <w:r w:rsidRPr="00E42762">
        <w:rPr>
          <w:rFonts w:ascii="Calibri" w:hAnsi="Calibri" w:cs="Calibri"/>
          <w:sz w:val="24"/>
          <w:szCs w:val="24"/>
        </w:rPr>
        <w:br/>
        <w:t>3.2. Position three black cardboard panels around the cylinder (4–8 cm away) to minimize environmental lighting effects. Leave one side of the cylinder open for video recording.</w:t>
      </w:r>
    </w:p>
    <w:p w14:paraId="69390BC2" w14:textId="77777777" w:rsidR="003E611C" w:rsidRPr="00E42762" w:rsidRDefault="003E611C" w:rsidP="00E42762">
      <w:pPr>
        <w:pStyle w:val="ListParagraph"/>
        <w:spacing w:after="0" w:line="240" w:lineRule="auto"/>
        <w:ind w:left="0"/>
        <w:jc w:val="both"/>
        <w:rPr>
          <w:rFonts w:ascii="Calibri" w:hAnsi="Calibri" w:cs="Calibri"/>
          <w:sz w:val="24"/>
          <w:szCs w:val="24"/>
        </w:rPr>
      </w:pPr>
      <w:r w:rsidRPr="00E42762">
        <w:rPr>
          <w:rFonts w:ascii="Calibri" w:hAnsi="Calibri" w:cs="Calibri"/>
          <w:sz w:val="24"/>
          <w:szCs w:val="24"/>
        </w:rPr>
        <w:br/>
        <w:t>3.3. Set the camera 40–60 cm from the cylinder to capture its full view.</w:t>
      </w:r>
    </w:p>
    <w:p w14:paraId="2F9585A9" w14:textId="7B722C2B" w:rsidR="003E611C" w:rsidRPr="00E42762" w:rsidRDefault="003E611C" w:rsidP="00E42762">
      <w:pPr>
        <w:pStyle w:val="ListParagraph"/>
        <w:spacing w:after="0" w:line="240" w:lineRule="auto"/>
        <w:ind w:left="0"/>
        <w:jc w:val="both"/>
        <w:rPr>
          <w:rFonts w:ascii="Calibri" w:hAnsi="Calibri" w:cs="Calibri"/>
          <w:sz w:val="24"/>
          <w:szCs w:val="24"/>
        </w:rPr>
      </w:pPr>
      <w:r w:rsidRPr="00E42762">
        <w:rPr>
          <w:rFonts w:ascii="Calibri" w:hAnsi="Calibri" w:cs="Calibri"/>
          <w:sz w:val="24"/>
          <w:szCs w:val="24"/>
        </w:rPr>
        <w:br/>
        <w:t>3.4. Place the mouse into the cylinder and begin recording immediately for 5 min.</w:t>
      </w:r>
    </w:p>
    <w:p w14:paraId="279AC481" w14:textId="77777777" w:rsidR="003E611C" w:rsidRPr="00E42762" w:rsidRDefault="003E611C" w:rsidP="00E42762">
      <w:pPr>
        <w:pStyle w:val="ListParagraph"/>
        <w:spacing w:after="0" w:line="240" w:lineRule="auto"/>
        <w:ind w:left="0"/>
        <w:jc w:val="both"/>
        <w:rPr>
          <w:rFonts w:ascii="Calibri" w:hAnsi="Calibri" w:cs="Calibri"/>
          <w:sz w:val="24"/>
          <w:szCs w:val="24"/>
        </w:rPr>
      </w:pPr>
      <w:r w:rsidRPr="00E42762">
        <w:rPr>
          <w:rFonts w:ascii="Calibri" w:hAnsi="Calibri" w:cs="Calibri"/>
          <w:sz w:val="24"/>
          <w:szCs w:val="24"/>
        </w:rPr>
        <w:br/>
        <w:t>3.5. After each mouse completes the test, clean the cylinder with water, spray 70% ethanol to remove scents, and wipe it dry before testing the next mouse.</w:t>
      </w:r>
    </w:p>
    <w:p w14:paraId="28E4F429" w14:textId="77777777" w:rsidR="003E611C" w:rsidRPr="00E42762" w:rsidRDefault="003E611C" w:rsidP="00E42762">
      <w:pPr>
        <w:pStyle w:val="ListParagraph"/>
        <w:spacing w:after="0" w:line="240" w:lineRule="auto"/>
        <w:ind w:left="0"/>
        <w:jc w:val="both"/>
        <w:rPr>
          <w:rFonts w:ascii="Calibri" w:hAnsi="Calibri" w:cs="Calibri"/>
          <w:sz w:val="24"/>
          <w:szCs w:val="24"/>
        </w:rPr>
      </w:pPr>
      <w:r w:rsidRPr="00E42762">
        <w:rPr>
          <w:rFonts w:ascii="Calibri" w:hAnsi="Calibri" w:cs="Calibri"/>
          <w:sz w:val="24"/>
          <w:szCs w:val="24"/>
        </w:rPr>
        <w:br/>
        <w:t>3.6. Playback the recording at half-speed to allow detailed observation.</w:t>
      </w:r>
    </w:p>
    <w:p w14:paraId="57420AE9" w14:textId="1D06CCA1" w:rsidR="003E611C" w:rsidRPr="00E42762" w:rsidRDefault="003E611C" w:rsidP="00E42762">
      <w:pPr>
        <w:pStyle w:val="ListParagraph"/>
        <w:spacing w:after="0" w:line="240" w:lineRule="auto"/>
        <w:ind w:left="0"/>
        <w:jc w:val="both"/>
        <w:rPr>
          <w:rFonts w:ascii="Calibri" w:hAnsi="Calibri" w:cs="Calibri"/>
          <w:color w:val="EE0000"/>
          <w:sz w:val="24"/>
          <w:szCs w:val="24"/>
          <w:u w:val="single" w:color="FF0000"/>
        </w:rPr>
      </w:pPr>
      <w:r w:rsidRPr="00E42762">
        <w:rPr>
          <w:rFonts w:ascii="Calibri" w:hAnsi="Calibri" w:cs="Calibri"/>
          <w:sz w:val="24"/>
          <w:szCs w:val="24"/>
        </w:rPr>
        <w:br/>
        <w:t>3.7. Count each instance where the mouse lifts its paws against the cylinder wall to assess exploratory behavior²³.</w:t>
      </w:r>
    </w:p>
    <w:p w14:paraId="124A7DC9" w14:textId="77777777" w:rsidR="003E611C" w:rsidRPr="00E42762" w:rsidRDefault="003E611C" w:rsidP="00E42762">
      <w:pPr>
        <w:pStyle w:val="ListParagraph"/>
        <w:spacing w:after="0" w:line="240" w:lineRule="auto"/>
        <w:ind w:left="0"/>
        <w:jc w:val="both"/>
        <w:rPr>
          <w:rFonts w:ascii="Calibri" w:hAnsi="Calibri" w:cs="Calibri"/>
          <w:color w:val="EE0000"/>
          <w:sz w:val="24"/>
          <w:szCs w:val="24"/>
          <w:u w:val="single" w:color="FF0000"/>
        </w:rPr>
      </w:pPr>
    </w:p>
    <w:p w14:paraId="6A5F6AAF" w14:textId="77777777" w:rsidR="00153EE0" w:rsidRPr="00E42762" w:rsidRDefault="00153EE0" w:rsidP="00E42762">
      <w:pPr>
        <w:pStyle w:val="ListParagraph"/>
        <w:numPr>
          <w:ilvl w:val="0"/>
          <w:numId w:val="30"/>
        </w:numPr>
        <w:spacing w:after="0" w:line="240" w:lineRule="auto"/>
        <w:ind w:left="0" w:firstLine="0"/>
        <w:jc w:val="both"/>
        <w:rPr>
          <w:rFonts w:ascii="Calibri" w:hAnsi="Calibri" w:cs="Calibri"/>
          <w:b/>
          <w:bCs/>
          <w:sz w:val="24"/>
          <w:szCs w:val="24"/>
        </w:rPr>
      </w:pPr>
      <w:r w:rsidRPr="00E42762">
        <w:rPr>
          <w:rFonts w:ascii="Calibri" w:hAnsi="Calibri" w:cs="Calibri"/>
          <w:b/>
          <w:bCs/>
          <w:sz w:val="24"/>
          <w:szCs w:val="24"/>
        </w:rPr>
        <w:t xml:space="preserve">Preparation of brain tissue extracts for biochemical experiments </w:t>
      </w:r>
    </w:p>
    <w:p w14:paraId="0584BD49" w14:textId="77777777" w:rsidR="0075062F" w:rsidRPr="00E42762" w:rsidRDefault="0075062F" w:rsidP="00E42762">
      <w:pPr>
        <w:pStyle w:val="ListParagraph"/>
        <w:spacing w:after="0" w:line="240" w:lineRule="auto"/>
        <w:ind w:left="0"/>
        <w:jc w:val="both"/>
        <w:rPr>
          <w:rFonts w:ascii="Calibri" w:hAnsi="Calibri" w:cs="Calibri"/>
          <w:color w:val="EE0000"/>
          <w:sz w:val="24"/>
          <w:szCs w:val="24"/>
          <w:u w:val="single" w:color="FF0000"/>
        </w:rPr>
      </w:pPr>
    </w:p>
    <w:p w14:paraId="65E63058" w14:textId="108FE4FB" w:rsidR="0075062F" w:rsidRPr="00E42762" w:rsidRDefault="0075062F" w:rsidP="00E42762">
      <w:pPr>
        <w:pStyle w:val="ListParagraph"/>
        <w:spacing w:after="0" w:line="240" w:lineRule="auto"/>
        <w:ind w:left="0"/>
        <w:jc w:val="both"/>
        <w:rPr>
          <w:rFonts w:ascii="Calibri" w:hAnsi="Calibri" w:cs="Calibri"/>
          <w:sz w:val="24"/>
          <w:szCs w:val="24"/>
        </w:rPr>
      </w:pPr>
      <w:r w:rsidRPr="00E42762">
        <w:rPr>
          <w:rFonts w:ascii="Calibri" w:hAnsi="Calibri" w:cs="Calibri"/>
          <w:sz w:val="24"/>
          <w:szCs w:val="24"/>
        </w:rPr>
        <w:t>4.1. Anesthetize animals with pentobarbital (40 mg/kg, IP) and then decapitate them (following institutionally approved protocols).</w:t>
      </w:r>
    </w:p>
    <w:p w14:paraId="73C59390" w14:textId="77777777" w:rsidR="0075062F" w:rsidRPr="00E42762" w:rsidRDefault="0075062F" w:rsidP="00E42762">
      <w:pPr>
        <w:pStyle w:val="ListParagraph"/>
        <w:spacing w:after="0" w:line="240" w:lineRule="auto"/>
        <w:ind w:left="0"/>
        <w:jc w:val="both"/>
        <w:rPr>
          <w:rFonts w:ascii="Calibri" w:hAnsi="Calibri" w:cs="Calibri"/>
          <w:sz w:val="24"/>
          <w:szCs w:val="24"/>
        </w:rPr>
      </w:pPr>
      <w:r w:rsidRPr="00E42762">
        <w:rPr>
          <w:rFonts w:ascii="Calibri" w:hAnsi="Calibri" w:cs="Calibri"/>
          <w:sz w:val="24"/>
          <w:szCs w:val="24"/>
        </w:rPr>
        <w:br/>
        <w:t>4.2. Dissect the striatum and homogenize in 2 mL of TBS per gram of tissue using lysis buffer (1% Triton X-100, 50 mM Tris-HCl, 10 mM EDTA).</w:t>
      </w:r>
    </w:p>
    <w:p w14:paraId="416239E5" w14:textId="77777777" w:rsidR="0075062F" w:rsidRPr="00E42762" w:rsidRDefault="0075062F" w:rsidP="00E42762">
      <w:pPr>
        <w:pStyle w:val="ListParagraph"/>
        <w:spacing w:after="0" w:line="240" w:lineRule="auto"/>
        <w:ind w:left="0"/>
        <w:jc w:val="both"/>
        <w:rPr>
          <w:rFonts w:ascii="Calibri" w:hAnsi="Calibri" w:cs="Calibri"/>
          <w:sz w:val="24"/>
          <w:szCs w:val="24"/>
        </w:rPr>
      </w:pPr>
      <w:r w:rsidRPr="00E42762">
        <w:rPr>
          <w:rFonts w:ascii="Calibri" w:hAnsi="Calibri" w:cs="Calibri"/>
          <w:sz w:val="24"/>
          <w:szCs w:val="24"/>
        </w:rPr>
        <w:br/>
        <w:t xml:space="preserve">4.3. Centrifuge homogenates at 14,000 × </w:t>
      </w:r>
      <w:r w:rsidRPr="00E42762">
        <w:rPr>
          <w:rFonts w:ascii="Calibri" w:hAnsi="Calibri" w:cs="Calibri"/>
          <w:i/>
          <w:iCs/>
          <w:sz w:val="24"/>
          <w:szCs w:val="24"/>
        </w:rPr>
        <w:t>g</w:t>
      </w:r>
      <w:r w:rsidRPr="00E42762">
        <w:rPr>
          <w:rFonts w:ascii="Calibri" w:hAnsi="Calibri" w:cs="Calibri"/>
          <w:sz w:val="24"/>
          <w:szCs w:val="24"/>
        </w:rPr>
        <w:t xml:space="preserve"> for 15 min at 4 °C.</w:t>
      </w:r>
    </w:p>
    <w:p w14:paraId="796BF33F" w14:textId="59A8F23F" w:rsidR="0075062F" w:rsidRPr="00E42762" w:rsidRDefault="0075062F" w:rsidP="00E42762">
      <w:pPr>
        <w:pStyle w:val="ListParagraph"/>
        <w:spacing w:after="0" w:line="240" w:lineRule="auto"/>
        <w:ind w:left="0"/>
        <w:jc w:val="both"/>
        <w:rPr>
          <w:rFonts w:ascii="Calibri" w:hAnsi="Calibri" w:cs="Calibri"/>
          <w:color w:val="EE0000"/>
          <w:sz w:val="24"/>
          <w:szCs w:val="24"/>
          <w:u w:val="single" w:color="FF0000"/>
        </w:rPr>
      </w:pPr>
      <w:r w:rsidRPr="00E42762">
        <w:rPr>
          <w:rFonts w:ascii="Calibri" w:hAnsi="Calibri" w:cs="Calibri"/>
          <w:sz w:val="24"/>
          <w:szCs w:val="24"/>
        </w:rPr>
        <w:br/>
        <w:t>4.4. Measure protein concentration using the Biuret colorimetric determination kit and store aliquots at −20 °C for later analysis.</w:t>
      </w:r>
    </w:p>
    <w:p w14:paraId="38FF5068" w14:textId="77777777" w:rsidR="0075062F" w:rsidRPr="00E42762" w:rsidRDefault="0075062F" w:rsidP="00E42762">
      <w:pPr>
        <w:pStyle w:val="ListParagraph"/>
        <w:spacing w:after="0" w:line="240" w:lineRule="auto"/>
        <w:ind w:left="0"/>
        <w:jc w:val="both"/>
        <w:rPr>
          <w:rFonts w:ascii="Calibri" w:hAnsi="Calibri" w:cs="Calibri"/>
          <w:sz w:val="24"/>
          <w:szCs w:val="24"/>
          <w:u w:val="single" w:color="FF0000"/>
        </w:rPr>
      </w:pPr>
    </w:p>
    <w:p w14:paraId="5F2A1214" w14:textId="77777777" w:rsidR="005B0DE3" w:rsidRPr="00E42762" w:rsidRDefault="005B0DE3" w:rsidP="00E42762">
      <w:pPr>
        <w:pStyle w:val="ListParagraph"/>
        <w:numPr>
          <w:ilvl w:val="0"/>
          <w:numId w:val="30"/>
        </w:numPr>
        <w:spacing w:after="0" w:line="240" w:lineRule="auto"/>
        <w:ind w:left="0" w:firstLine="0"/>
        <w:jc w:val="both"/>
        <w:rPr>
          <w:rFonts w:ascii="Calibri" w:hAnsi="Calibri" w:cs="Calibri"/>
          <w:b/>
          <w:bCs/>
          <w:sz w:val="24"/>
          <w:szCs w:val="24"/>
        </w:rPr>
      </w:pPr>
      <w:r w:rsidRPr="00E42762">
        <w:rPr>
          <w:rFonts w:ascii="Calibri" w:hAnsi="Calibri" w:cs="Calibri"/>
          <w:b/>
          <w:bCs/>
          <w:sz w:val="24"/>
          <w:szCs w:val="24"/>
        </w:rPr>
        <w:t>Measurement of intracellular ROS formation</w:t>
      </w:r>
    </w:p>
    <w:p w14:paraId="0AFA28E8" w14:textId="77777777" w:rsidR="000D1B36" w:rsidRPr="00E42762" w:rsidRDefault="000D1B36" w:rsidP="00E42762">
      <w:pPr>
        <w:pStyle w:val="ListParagraph"/>
        <w:spacing w:after="0" w:line="240" w:lineRule="auto"/>
        <w:ind w:left="0"/>
        <w:jc w:val="both"/>
        <w:rPr>
          <w:rFonts w:ascii="Calibri" w:hAnsi="Calibri" w:cs="Calibri"/>
          <w:color w:val="EE0000"/>
          <w:sz w:val="24"/>
          <w:szCs w:val="24"/>
          <w:u w:val="single" w:color="FF0000"/>
        </w:rPr>
      </w:pPr>
    </w:p>
    <w:p w14:paraId="30245FC7" w14:textId="56EAB3F8" w:rsidR="000D1B36" w:rsidRPr="00473A1F" w:rsidRDefault="000D1B36"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t>5.1. Incubate brain tissue extract with 10 µM of DCFH₂-DA at 37 °C for 30 min in the dark.</w:t>
      </w:r>
    </w:p>
    <w:p w14:paraId="3ECCE847" w14:textId="77777777" w:rsidR="000D1B36" w:rsidRPr="00473A1F" w:rsidRDefault="000D1B36"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5.2. Remove the supernatant and wash twice with PBS (0.1 M, pH 7.4, 37 °C).</w:t>
      </w:r>
    </w:p>
    <w:p w14:paraId="34106E17" w14:textId="062A9006" w:rsidR="000D1B36" w:rsidRPr="00473A1F" w:rsidRDefault="000D1B36"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5.3. Measure the fluorescence using a microplate reader at an excitation wavelength of 485 nm and an emission wavelength of 538 nm.</w:t>
      </w:r>
    </w:p>
    <w:p w14:paraId="789DF350" w14:textId="77777777" w:rsidR="000D1B36" w:rsidRPr="00473A1F" w:rsidRDefault="000D1B36" w:rsidP="00E42762">
      <w:pPr>
        <w:pStyle w:val="NormalWeb"/>
        <w:spacing w:before="0" w:beforeAutospacing="0" w:after="0" w:afterAutospacing="0"/>
        <w:jc w:val="both"/>
        <w:rPr>
          <w:rFonts w:ascii="Calibri" w:hAnsi="Calibri" w:cs="Calibri"/>
          <w:lang w:val="en-US"/>
        </w:rPr>
      </w:pPr>
    </w:p>
    <w:p w14:paraId="17982E06" w14:textId="5F0278F1" w:rsidR="00990EBA" w:rsidRPr="00E42762" w:rsidRDefault="00990EBA" w:rsidP="00E42762">
      <w:pPr>
        <w:pStyle w:val="ListParagraph"/>
        <w:numPr>
          <w:ilvl w:val="0"/>
          <w:numId w:val="30"/>
        </w:numPr>
        <w:spacing w:after="0" w:line="240" w:lineRule="auto"/>
        <w:ind w:left="0" w:firstLine="0"/>
        <w:jc w:val="both"/>
        <w:rPr>
          <w:rFonts w:ascii="Calibri" w:hAnsi="Calibri" w:cs="Calibri"/>
          <w:b/>
          <w:bCs/>
          <w:sz w:val="24"/>
          <w:szCs w:val="24"/>
        </w:rPr>
      </w:pPr>
      <w:r w:rsidRPr="00E42762">
        <w:rPr>
          <w:rFonts w:ascii="Calibri" w:hAnsi="Calibri" w:cs="Calibri"/>
          <w:b/>
          <w:bCs/>
          <w:sz w:val="24"/>
          <w:szCs w:val="24"/>
        </w:rPr>
        <w:t xml:space="preserve">Measurement of oxidative stress markers </w:t>
      </w:r>
    </w:p>
    <w:p w14:paraId="13131DFD" w14:textId="77777777" w:rsidR="00172667" w:rsidRPr="00E42762" w:rsidRDefault="00172667" w:rsidP="00E42762">
      <w:pPr>
        <w:autoSpaceDE w:val="0"/>
        <w:autoSpaceDN w:val="0"/>
        <w:adjustRightInd w:val="0"/>
        <w:rPr>
          <w:color w:val="EE0000"/>
          <w:u w:val="single" w:color="FF0000"/>
        </w:rPr>
      </w:pPr>
    </w:p>
    <w:p w14:paraId="671CD881" w14:textId="77777777" w:rsidR="00B160E3" w:rsidRPr="00E42762" w:rsidRDefault="00B160E3" w:rsidP="00E42762">
      <w:pPr>
        <w:pStyle w:val="NormalWeb"/>
        <w:spacing w:before="0" w:beforeAutospacing="0" w:after="0" w:afterAutospacing="0"/>
        <w:jc w:val="both"/>
        <w:rPr>
          <w:rStyle w:val="Strong"/>
          <w:rFonts w:ascii="Calibri" w:hAnsi="Calibri" w:cs="Calibri"/>
          <w:b w:val="0"/>
          <w:bCs w:val="0"/>
        </w:rPr>
      </w:pPr>
      <w:r w:rsidRPr="00E42762">
        <w:rPr>
          <w:rStyle w:val="Strong"/>
          <w:rFonts w:ascii="Calibri" w:hAnsi="Calibri" w:cs="Calibri"/>
          <w:b w:val="0"/>
          <w:bCs w:val="0"/>
        </w:rPr>
        <w:t xml:space="preserve">6.1. </w:t>
      </w:r>
      <w:proofErr w:type="spellStart"/>
      <w:r w:rsidRPr="00E42762">
        <w:rPr>
          <w:rStyle w:val="Strong"/>
          <w:rFonts w:ascii="Calibri" w:hAnsi="Calibri" w:cs="Calibri"/>
          <w:b w:val="0"/>
          <w:bCs w:val="0"/>
        </w:rPr>
        <w:t>Malondialdehyde</w:t>
      </w:r>
      <w:proofErr w:type="spellEnd"/>
    </w:p>
    <w:p w14:paraId="40DD59B2" w14:textId="77777777" w:rsidR="001E0779" w:rsidRPr="00473A1F" w:rsidRDefault="00B160E3"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 xml:space="preserve">6.1.1. Mix 20 µL of sample (~50 </w:t>
      </w:r>
      <w:proofErr w:type="gramStart"/>
      <w:r w:rsidRPr="00473A1F">
        <w:rPr>
          <w:rFonts w:ascii="Calibri" w:hAnsi="Calibri" w:cs="Calibri"/>
          <w:lang w:val="en-US"/>
        </w:rPr>
        <w:t>µg</w:t>
      </w:r>
      <w:proofErr w:type="gramEnd"/>
      <w:r w:rsidRPr="00473A1F">
        <w:rPr>
          <w:rFonts w:ascii="Calibri" w:hAnsi="Calibri" w:cs="Calibri"/>
          <w:lang w:val="en-US"/>
        </w:rPr>
        <w:t xml:space="preserve"> protein) with 125 µL of 20% TCA and 50 µL of 0.67% TBA.</w:t>
      </w:r>
    </w:p>
    <w:p w14:paraId="655D34C3" w14:textId="77777777" w:rsidR="001E0779" w:rsidRPr="00473A1F" w:rsidRDefault="00B160E3"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6.1.2. Incubate at 95 °C for 30 min, then cool rapidly at 4 °C.</w:t>
      </w:r>
    </w:p>
    <w:p w14:paraId="63389B15" w14:textId="77777777" w:rsidR="001E0779" w:rsidRPr="00473A1F" w:rsidRDefault="00B160E3"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 xml:space="preserve">6.1.3. Add 800 µL of butanol, vortex, and centrifuge at 3000 × </w:t>
      </w:r>
      <w:r w:rsidRPr="00473A1F">
        <w:rPr>
          <w:rFonts w:ascii="Calibri" w:hAnsi="Calibri" w:cs="Calibri"/>
          <w:i/>
          <w:iCs/>
          <w:lang w:val="en-US"/>
        </w:rPr>
        <w:t xml:space="preserve">g </w:t>
      </w:r>
      <w:r w:rsidRPr="00473A1F">
        <w:rPr>
          <w:rFonts w:ascii="Calibri" w:hAnsi="Calibri" w:cs="Calibri"/>
          <w:lang w:val="en-US"/>
        </w:rPr>
        <w:t>for 10 min at 4 °C.</w:t>
      </w:r>
    </w:p>
    <w:p w14:paraId="6881DEC0" w14:textId="4810A22B" w:rsidR="00B160E3" w:rsidRPr="00473A1F" w:rsidRDefault="00B160E3"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 xml:space="preserve">6.1.4. Measure </w:t>
      </w:r>
      <w:r w:rsidR="00681927" w:rsidRPr="00473A1F">
        <w:rPr>
          <w:rFonts w:ascii="Calibri" w:hAnsi="Calibri" w:cs="Calibri"/>
          <w:lang w:val="en-US"/>
        </w:rPr>
        <w:t xml:space="preserve">the </w:t>
      </w:r>
      <w:r w:rsidRPr="00473A1F">
        <w:rPr>
          <w:rFonts w:ascii="Calibri" w:hAnsi="Calibri" w:cs="Calibri"/>
          <w:lang w:val="en-US"/>
        </w:rPr>
        <w:t>absorbance at 532 nm and calculate MDA levels using the extinction coefficient (1.65 × 10⁵ M⁻¹cm⁻¹).</w:t>
      </w:r>
    </w:p>
    <w:p w14:paraId="2D6C30F3" w14:textId="77777777" w:rsidR="001E0779" w:rsidRPr="00473A1F" w:rsidRDefault="001E0779" w:rsidP="00E42762">
      <w:pPr>
        <w:pStyle w:val="NormalWeb"/>
        <w:spacing w:before="0" w:beforeAutospacing="0" w:after="0" w:afterAutospacing="0"/>
        <w:jc w:val="both"/>
        <w:rPr>
          <w:rFonts w:ascii="Calibri" w:hAnsi="Calibri" w:cs="Calibri"/>
          <w:lang w:val="en-US"/>
        </w:rPr>
      </w:pPr>
    </w:p>
    <w:p w14:paraId="64FD943D" w14:textId="6F473C74" w:rsidR="001E0779" w:rsidRPr="00473A1F" w:rsidRDefault="00B160E3" w:rsidP="00E42762">
      <w:pPr>
        <w:pStyle w:val="NormalWeb"/>
        <w:spacing w:before="0" w:beforeAutospacing="0" w:after="0" w:afterAutospacing="0"/>
        <w:jc w:val="both"/>
        <w:rPr>
          <w:rStyle w:val="Strong"/>
          <w:rFonts w:ascii="Calibri" w:hAnsi="Calibri" w:cs="Calibri"/>
          <w:b w:val="0"/>
          <w:bCs w:val="0"/>
          <w:lang w:val="en-US"/>
        </w:rPr>
      </w:pPr>
      <w:r w:rsidRPr="00473A1F">
        <w:rPr>
          <w:rStyle w:val="Strong"/>
          <w:rFonts w:ascii="Calibri" w:hAnsi="Calibri" w:cs="Calibri"/>
          <w:b w:val="0"/>
          <w:bCs w:val="0"/>
          <w:lang w:val="en-US"/>
        </w:rPr>
        <w:t xml:space="preserve">6.2. Protein </w:t>
      </w:r>
      <w:r w:rsidR="001E0779" w:rsidRPr="00473A1F">
        <w:rPr>
          <w:rStyle w:val="Strong"/>
          <w:rFonts w:ascii="Calibri" w:hAnsi="Calibri" w:cs="Calibri"/>
          <w:b w:val="0"/>
          <w:bCs w:val="0"/>
          <w:lang w:val="en-US"/>
        </w:rPr>
        <w:t>carbonyl measurement</w:t>
      </w:r>
    </w:p>
    <w:p w14:paraId="7A13D88B" w14:textId="1315D5A5" w:rsidR="001E0779" w:rsidRPr="00473A1F" w:rsidRDefault="00B160E3"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 xml:space="preserve">6.2.1. Mix 200 </w:t>
      </w:r>
      <w:r w:rsidRPr="00E42762">
        <w:rPr>
          <w:rFonts w:ascii="Calibri" w:hAnsi="Calibri" w:cs="Calibri"/>
        </w:rPr>
        <w:t>μ</w:t>
      </w:r>
      <w:r w:rsidRPr="00473A1F">
        <w:rPr>
          <w:rFonts w:ascii="Calibri" w:hAnsi="Calibri" w:cs="Calibri"/>
          <w:lang w:val="en-US"/>
        </w:rPr>
        <w:t xml:space="preserve">L of DNPH with 50 </w:t>
      </w:r>
      <w:r w:rsidRPr="00E42762">
        <w:rPr>
          <w:rFonts w:ascii="Calibri" w:hAnsi="Calibri" w:cs="Calibri"/>
        </w:rPr>
        <w:t>μ</w:t>
      </w:r>
      <w:r w:rsidRPr="00473A1F">
        <w:rPr>
          <w:rFonts w:ascii="Calibri" w:hAnsi="Calibri" w:cs="Calibri"/>
          <w:lang w:val="en-US"/>
        </w:rPr>
        <w:t>L of protein sample and incubate for 1 h.</w:t>
      </w:r>
    </w:p>
    <w:p w14:paraId="3115541D" w14:textId="77777777" w:rsidR="001E0779" w:rsidRPr="00473A1F" w:rsidRDefault="00B160E3"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 xml:space="preserve">6.2.2. Add 250 </w:t>
      </w:r>
      <w:r w:rsidRPr="00E42762">
        <w:rPr>
          <w:rFonts w:ascii="Calibri" w:hAnsi="Calibri" w:cs="Calibri"/>
        </w:rPr>
        <w:t>μ</w:t>
      </w:r>
      <w:r w:rsidRPr="00473A1F">
        <w:rPr>
          <w:rFonts w:ascii="Calibri" w:hAnsi="Calibri" w:cs="Calibri"/>
          <w:lang w:val="en-US"/>
        </w:rPr>
        <w:t>L of 20% TCA and cool for 10 min on ice.</w:t>
      </w:r>
    </w:p>
    <w:p w14:paraId="63738464" w14:textId="77777777" w:rsidR="001E0779" w:rsidRPr="00473A1F" w:rsidRDefault="00B160E3"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 xml:space="preserve">6.2.3. Centrifuge at 3000 × </w:t>
      </w:r>
      <w:r w:rsidRPr="00473A1F">
        <w:rPr>
          <w:rFonts w:ascii="Calibri" w:hAnsi="Calibri" w:cs="Calibri"/>
          <w:i/>
          <w:iCs/>
          <w:lang w:val="en-US"/>
        </w:rPr>
        <w:t>g</w:t>
      </w:r>
      <w:r w:rsidRPr="00473A1F">
        <w:rPr>
          <w:rFonts w:ascii="Calibri" w:hAnsi="Calibri" w:cs="Calibri"/>
          <w:lang w:val="en-US"/>
        </w:rPr>
        <w:t xml:space="preserve"> for 10 min at 4 °C and wash the pellet with 10% TCA, then with </w:t>
      </w:r>
      <w:proofErr w:type="spellStart"/>
      <w:r w:rsidRPr="00473A1F">
        <w:rPr>
          <w:rFonts w:ascii="Calibri" w:hAnsi="Calibri" w:cs="Calibri"/>
          <w:lang w:val="en-US"/>
        </w:rPr>
        <w:t>ethanol:ethyl</w:t>
      </w:r>
      <w:proofErr w:type="spellEnd"/>
      <w:r w:rsidRPr="00473A1F">
        <w:rPr>
          <w:rFonts w:ascii="Calibri" w:hAnsi="Calibri" w:cs="Calibri"/>
          <w:lang w:val="en-US"/>
        </w:rPr>
        <w:t xml:space="preserve"> acetate (v/v).</w:t>
      </w:r>
    </w:p>
    <w:p w14:paraId="4C520970" w14:textId="77777777" w:rsidR="001E0779" w:rsidRPr="00473A1F" w:rsidRDefault="00B160E3"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lastRenderedPageBreak/>
        <w:br/>
        <w:t>6.2.4. Resuspend the pellet in 250 µL of 6 M guanidine hydrochloride and measure absorbance at 370 nm.</w:t>
      </w:r>
    </w:p>
    <w:p w14:paraId="594B4D15" w14:textId="1D9DDDC8" w:rsidR="00B160E3" w:rsidRPr="00473A1F" w:rsidRDefault="00B160E3"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6.2.5. Calculate PCO levels using the extinction coefficient (22,000 M⁻¹cm⁻¹)²⁴.</w:t>
      </w:r>
    </w:p>
    <w:p w14:paraId="77DF607A" w14:textId="77777777" w:rsidR="00172667" w:rsidRPr="00E42762" w:rsidRDefault="00172667" w:rsidP="00E42762">
      <w:pPr>
        <w:autoSpaceDE w:val="0"/>
        <w:autoSpaceDN w:val="0"/>
        <w:adjustRightInd w:val="0"/>
        <w:rPr>
          <w:color w:val="EE0000"/>
          <w:u w:val="single" w:color="FF0000"/>
        </w:rPr>
      </w:pPr>
    </w:p>
    <w:p w14:paraId="686C5EB8" w14:textId="011EB30A" w:rsidR="00A3417D" w:rsidRPr="00E42762" w:rsidRDefault="00A3417D" w:rsidP="00E42762">
      <w:pPr>
        <w:pStyle w:val="ListParagraph"/>
        <w:numPr>
          <w:ilvl w:val="0"/>
          <w:numId w:val="30"/>
        </w:numPr>
        <w:spacing w:after="0" w:line="240" w:lineRule="auto"/>
        <w:ind w:left="0" w:firstLine="0"/>
        <w:jc w:val="both"/>
        <w:rPr>
          <w:rFonts w:ascii="Calibri" w:hAnsi="Calibri" w:cs="Calibri"/>
          <w:b/>
          <w:bCs/>
          <w:sz w:val="24"/>
          <w:szCs w:val="24"/>
        </w:rPr>
      </w:pPr>
      <w:r w:rsidRPr="00E42762">
        <w:rPr>
          <w:rFonts w:ascii="Calibri" w:hAnsi="Calibri" w:cs="Calibri"/>
          <w:b/>
          <w:bCs/>
          <w:sz w:val="24"/>
          <w:szCs w:val="24"/>
        </w:rPr>
        <w:t xml:space="preserve">Measurement of </w:t>
      </w:r>
      <w:r w:rsidR="003A463D" w:rsidRPr="00E42762">
        <w:rPr>
          <w:rFonts w:ascii="Calibri" w:hAnsi="Calibri" w:cs="Calibri"/>
          <w:b/>
          <w:bCs/>
          <w:sz w:val="24"/>
          <w:szCs w:val="24"/>
        </w:rPr>
        <w:t>antioxidant</w:t>
      </w:r>
      <w:r w:rsidRPr="00E42762">
        <w:rPr>
          <w:rFonts w:ascii="Calibri" w:hAnsi="Calibri" w:cs="Calibri"/>
          <w:b/>
          <w:bCs/>
          <w:sz w:val="24"/>
          <w:szCs w:val="24"/>
        </w:rPr>
        <w:t xml:space="preserve"> enzyme activities</w:t>
      </w:r>
    </w:p>
    <w:p w14:paraId="22154272" w14:textId="77777777" w:rsidR="00681927" w:rsidRPr="00E42762" w:rsidRDefault="00681927" w:rsidP="00E42762">
      <w:pPr>
        <w:pStyle w:val="ListParagraph"/>
        <w:spacing w:after="0" w:line="240" w:lineRule="auto"/>
        <w:ind w:left="0"/>
        <w:jc w:val="both"/>
        <w:rPr>
          <w:rFonts w:ascii="Calibri" w:hAnsi="Calibri" w:cs="Calibri"/>
          <w:b/>
          <w:bCs/>
          <w:color w:val="EE0000"/>
          <w:sz w:val="24"/>
          <w:szCs w:val="24"/>
          <w:u w:val="single" w:color="FF0000"/>
        </w:rPr>
      </w:pPr>
    </w:p>
    <w:p w14:paraId="33FCBB09" w14:textId="6FA87D77" w:rsidR="004B6DB6" w:rsidRPr="00E42762" w:rsidRDefault="004B6DB6" w:rsidP="00E42762">
      <w:pPr>
        <w:pStyle w:val="NormalWeb"/>
        <w:spacing w:before="0" w:beforeAutospacing="0" w:after="0" w:afterAutospacing="0"/>
        <w:jc w:val="both"/>
        <w:rPr>
          <w:rStyle w:val="Strong"/>
          <w:rFonts w:ascii="Calibri" w:hAnsi="Calibri" w:cs="Calibri"/>
          <w:b w:val="0"/>
          <w:bCs w:val="0"/>
        </w:rPr>
      </w:pPr>
      <w:r w:rsidRPr="00E42762">
        <w:rPr>
          <w:rStyle w:val="Strong"/>
          <w:rFonts w:ascii="Calibri" w:hAnsi="Calibri" w:cs="Calibri"/>
          <w:b w:val="0"/>
          <w:bCs w:val="0"/>
        </w:rPr>
        <w:t xml:space="preserve">7.1. </w:t>
      </w:r>
      <w:proofErr w:type="spellStart"/>
      <w:r w:rsidRPr="00E42762">
        <w:rPr>
          <w:rStyle w:val="Strong"/>
          <w:rFonts w:ascii="Calibri" w:hAnsi="Calibri" w:cs="Calibri"/>
          <w:b w:val="0"/>
          <w:bCs w:val="0"/>
        </w:rPr>
        <w:t>Superoxide</w:t>
      </w:r>
      <w:proofErr w:type="spellEnd"/>
      <w:r w:rsidRPr="00E42762">
        <w:rPr>
          <w:rStyle w:val="Strong"/>
          <w:rFonts w:ascii="Calibri" w:hAnsi="Calibri" w:cs="Calibri"/>
          <w:b w:val="0"/>
          <w:bCs w:val="0"/>
        </w:rPr>
        <w:t xml:space="preserve"> dismutase </w:t>
      </w:r>
      <w:proofErr w:type="spellStart"/>
      <w:r w:rsidRPr="00E42762">
        <w:rPr>
          <w:rStyle w:val="Strong"/>
          <w:rFonts w:ascii="Calibri" w:hAnsi="Calibri" w:cs="Calibri"/>
          <w:b w:val="0"/>
          <w:bCs w:val="0"/>
        </w:rPr>
        <w:t>assay</w:t>
      </w:r>
      <w:proofErr w:type="spellEnd"/>
    </w:p>
    <w:p w14:paraId="4FABDEE2" w14:textId="77777777" w:rsidR="004B6DB6" w:rsidRPr="00473A1F" w:rsidRDefault="004B6DB6"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 xml:space="preserve">7.1.1. Incubate the sample (~50 µg) with bovine catalase (0.4 U/L), DL-epinephrine (5 mg/mL), and </w:t>
      </w:r>
      <w:proofErr w:type="spellStart"/>
      <w:r w:rsidRPr="00473A1F">
        <w:rPr>
          <w:rFonts w:ascii="Calibri" w:hAnsi="Calibri" w:cs="Calibri"/>
          <w:lang w:val="en-US"/>
        </w:rPr>
        <w:t>Na₂CO</w:t>
      </w:r>
      <w:proofErr w:type="spellEnd"/>
      <w:r w:rsidRPr="00473A1F">
        <w:rPr>
          <w:rFonts w:ascii="Calibri" w:hAnsi="Calibri" w:cs="Calibri"/>
          <w:lang w:val="en-US"/>
        </w:rPr>
        <w:t>₃/</w:t>
      </w:r>
      <w:proofErr w:type="spellStart"/>
      <w:r w:rsidRPr="00473A1F">
        <w:rPr>
          <w:rFonts w:ascii="Calibri" w:hAnsi="Calibri" w:cs="Calibri"/>
          <w:lang w:val="en-US"/>
        </w:rPr>
        <w:t>NaHCO</w:t>
      </w:r>
      <w:proofErr w:type="spellEnd"/>
      <w:r w:rsidRPr="00473A1F">
        <w:rPr>
          <w:rFonts w:ascii="Calibri" w:hAnsi="Calibri" w:cs="Calibri"/>
          <w:lang w:val="en-US"/>
        </w:rPr>
        <w:t>₃ buffer (62.5 mM, pH 10.2).</w:t>
      </w:r>
    </w:p>
    <w:p w14:paraId="22D28A19" w14:textId="75D38BEC" w:rsidR="004B6DB6" w:rsidRPr="00473A1F" w:rsidRDefault="004B6DB6"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7.1.2. Measure epinephrine oxidation at 480 nm using a spectrophotometer for 300 s at 60 s intervals²⁵.</w:t>
      </w:r>
    </w:p>
    <w:p w14:paraId="4E3FCC4E" w14:textId="77777777" w:rsidR="004B6DB6" w:rsidRPr="00473A1F" w:rsidRDefault="004B6DB6" w:rsidP="00E42762">
      <w:pPr>
        <w:pStyle w:val="NormalWeb"/>
        <w:spacing w:before="0" w:beforeAutospacing="0" w:after="0" w:afterAutospacing="0"/>
        <w:jc w:val="both"/>
        <w:rPr>
          <w:rFonts w:ascii="Calibri" w:hAnsi="Calibri" w:cs="Calibri"/>
          <w:lang w:val="en-US"/>
        </w:rPr>
      </w:pPr>
    </w:p>
    <w:p w14:paraId="6356111C" w14:textId="00C86D77" w:rsidR="004B6DB6" w:rsidRPr="00473A1F" w:rsidRDefault="004B6DB6" w:rsidP="00E42762">
      <w:pPr>
        <w:pStyle w:val="NormalWeb"/>
        <w:spacing w:before="0" w:beforeAutospacing="0" w:after="0" w:afterAutospacing="0"/>
        <w:jc w:val="both"/>
        <w:rPr>
          <w:rStyle w:val="Strong"/>
          <w:rFonts w:ascii="Calibri" w:hAnsi="Calibri" w:cs="Calibri"/>
          <w:b w:val="0"/>
          <w:bCs w:val="0"/>
          <w:lang w:val="en-US"/>
        </w:rPr>
      </w:pPr>
      <w:r w:rsidRPr="00473A1F">
        <w:rPr>
          <w:rStyle w:val="Strong"/>
          <w:rFonts w:ascii="Calibri" w:hAnsi="Calibri" w:cs="Calibri"/>
          <w:b w:val="0"/>
          <w:bCs w:val="0"/>
          <w:lang w:val="en-US"/>
        </w:rPr>
        <w:t>7.2. Catalase assay</w:t>
      </w:r>
    </w:p>
    <w:p w14:paraId="0412A7BB" w14:textId="77777777" w:rsidR="004B6DB6" w:rsidRPr="00473A1F" w:rsidRDefault="004B6DB6"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7.2.1. Mix the sample with 90 mM H₂O₂ in PBS.</w:t>
      </w:r>
    </w:p>
    <w:p w14:paraId="244CC343" w14:textId="77777777" w:rsidR="004B6DB6" w:rsidRPr="00473A1F" w:rsidRDefault="004B6DB6"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7.2.2. Monitor the decrease in H₂O₂ absorbance at 240 nm for 3 min at 30 s intervals.</w:t>
      </w:r>
    </w:p>
    <w:p w14:paraId="0208B0BC" w14:textId="7D14DC1A" w:rsidR="004B6DB6" w:rsidRPr="00473A1F" w:rsidRDefault="004B6DB6" w:rsidP="00E42762">
      <w:pPr>
        <w:pStyle w:val="NormalWeb"/>
        <w:spacing w:before="0" w:beforeAutospacing="0" w:after="0" w:afterAutospacing="0"/>
        <w:jc w:val="both"/>
        <w:rPr>
          <w:rFonts w:ascii="Calibri" w:hAnsi="Calibri" w:cs="Calibri"/>
          <w:lang w:val="en-US"/>
        </w:rPr>
      </w:pPr>
      <w:r w:rsidRPr="00473A1F">
        <w:rPr>
          <w:rFonts w:ascii="Calibri" w:hAnsi="Calibri" w:cs="Calibri"/>
          <w:lang w:val="en-US"/>
        </w:rPr>
        <w:br/>
        <w:t>7.2.3. Calculate CAT activity using the extinction coefficient (40 M⁻¹cm⁻¹).</w:t>
      </w:r>
    </w:p>
    <w:p w14:paraId="1AA45362" w14:textId="77777777" w:rsidR="004B6DB6" w:rsidRPr="00E42762" w:rsidRDefault="004B6DB6" w:rsidP="00E42762">
      <w:pPr>
        <w:pStyle w:val="ListParagraph"/>
        <w:spacing w:after="0" w:line="240" w:lineRule="auto"/>
        <w:ind w:left="0"/>
        <w:jc w:val="both"/>
        <w:rPr>
          <w:rFonts w:ascii="Calibri" w:hAnsi="Calibri" w:cs="Calibri"/>
          <w:sz w:val="24"/>
          <w:szCs w:val="24"/>
          <w:u w:val="single" w:color="FF0000"/>
        </w:rPr>
      </w:pPr>
    </w:p>
    <w:p w14:paraId="471EA462" w14:textId="77777777" w:rsidR="00D9230C" w:rsidRPr="00E42762" w:rsidRDefault="00D9230C" w:rsidP="00E42762">
      <w:pPr>
        <w:pStyle w:val="ListParagraph"/>
        <w:numPr>
          <w:ilvl w:val="0"/>
          <w:numId w:val="30"/>
        </w:numPr>
        <w:spacing w:after="0" w:line="240" w:lineRule="auto"/>
        <w:ind w:left="0" w:firstLine="0"/>
        <w:jc w:val="both"/>
        <w:rPr>
          <w:rFonts w:ascii="Calibri" w:hAnsi="Calibri" w:cs="Calibri"/>
          <w:b/>
          <w:bCs/>
          <w:sz w:val="24"/>
          <w:szCs w:val="24"/>
        </w:rPr>
      </w:pPr>
      <w:r w:rsidRPr="00E42762">
        <w:rPr>
          <w:rFonts w:ascii="Calibri" w:hAnsi="Calibri" w:cs="Calibri"/>
          <w:b/>
          <w:bCs/>
          <w:sz w:val="24"/>
          <w:szCs w:val="24"/>
        </w:rPr>
        <w:t>Real</w:t>
      </w:r>
      <w:r w:rsidRPr="00E42762">
        <w:rPr>
          <w:rFonts w:ascii="Cambria Math" w:hAnsi="Cambria Math" w:cs="Cambria Math"/>
          <w:b/>
          <w:bCs/>
          <w:sz w:val="24"/>
          <w:szCs w:val="24"/>
        </w:rPr>
        <w:t>‑</w:t>
      </w:r>
      <w:r w:rsidRPr="00E42762">
        <w:rPr>
          <w:rFonts w:ascii="Calibri" w:hAnsi="Calibri" w:cs="Calibri"/>
          <w:b/>
          <w:bCs/>
          <w:sz w:val="24"/>
          <w:szCs w:val="24"/>
        </w:rPr>
        <w:t>time PCR analysis</w:t>
      </w:r>
    </w:p>
    <w:p w14:paraId="6D5FD073" w14:textId="77777777" w:rsidR="004B6DB6" w:rsidRPr="00E42762" w:rsidRDefault="004B6DB6" w:rsidP="00E42762">
      <w:pPr>
        <w:pStyle w:val="ListParagraph"/>
        <w:spacing w:after="0" w:line="240" w:lineRule="auto"/>
        <w:ind w:left="0"/>
        <w:jc w:val="both"/>
        <w:rPr>
          <w:rFonts w:ascii="Calibri" w:hAnsi="Calibri" w:cs="Calibri"/>
          <w:b/>
          <w:bCs/>
          <w:color w:val="EE0000"/>
          <w:sz w:val="24"/>
          <w:szCs w:val="24"/>
        </w:rPr>
      </w:pPr>
    </w:p>
    <w:p w14:paraId="7A6F0617" w14:textId="1A9DAF1E" w:rsidR="00E72068" w:rsidRPr="00E42762" w:rsidRDefault="00025090" w:rsidP="00E42762">
      <w:pPr>
        <w:pBdr>
          <w:top w:val="nil"/>
          <w:left w:val="nil"/>
          <w:bottom w:val="nil"/>
          <w:right w:val="nil"/>
          <w:between w:val="nil"/>
        </w:pBdr>
      </w:pPr>
      <w:r w:rsidRPr="00E42762">
        <w:t>8.1. Extract total RNA from the mouse striatum using the acid guanidinium thiocyanate</w:t>
      </w:r>
      <w:r w:rsidR="00E72068" w:rsidRPr="00E42762">
        <w:t>-</w:t>
      </w:r>
      <w:r w:rsidRPr="00E42762">
        <w:t>phenol</w:t>
      </w:r>
      <w:r w:rsidR="00E72068" w:rsidRPr="00E42762">
        <w:t>-</w:t>
      </w:r>
      <w:r w:rsidRPr="00E42762">
        <w:t>chloroform method.</w:t>
      </w:r>
    </w:p>
    <w:p w14:paraId="40DA2B1D" w14:textId="77777777" w:rsidR="00E72068" w:rsidRPr="00E42762" w:rsidRDefault="00025090" w:rsidP="00E42762">
      <w:pPr>
        <w:pBdr>
          <w:top w:val="nil"/>
          <w:left w:val="nil"/>
          <w:bottom w:val="nil"/>
          <w:right w:val="nil"/>
          <w:between w:val="nil"/>
        </w:pBdr>
      </w:pPr>
      <w:r w:rsidRPr="00E42762">
        <w:br/>
        <w:t>8.2. Treat RNA with DNase I to remove genomic DNA and measure RNA concentration at 260 nm.</w:t>
      </w:r>
    </w:p>
    <w:p w14:paraId="7DE81565" w14:textId="77777777" w:rsidR="00E72068" w:rsidRPr="00E42762" w:rsidRDefault="00025090" w:rsidP="00E42762">
      <w:pPr>
        <w:pBdr>
          <w:top w:val="nil"/>
          <w:left w:val="nil"/>
          <w:bottom w:val="nil"/>
          <w:right w:val="nil"/>
          <w:between w:val="nil"/>
        </w:pBdr>
      </w:pPr>
      <w:r w:rsidRPr="00E42762">
        <w:br/>
        <w:t xml:space="preserve">8.3. Perform quantitative RT-PCR using 1 </w:t>
      </w:r>
      <w:proofErr w:type="gramStart"/>
      <w:r w:rsidRPr="00E42762">
        <w:t>µg</w:t>
      </w:r>
      <w:proofErr w:type="gramEnd"/>
      <w:r w:rsidRPr="00E42762">
        <w:t xml:space="preserve"> of total RNA with a one-step Q-RT PCR kit.</w:t>
      </w:r>
    </w:p>
    <w:p w14:paraId="0B40321C" w14:textId="77777777" w:rsidR="00E72068" w:rsidRPr="00E42762" w:rsidRDefault="00025090" w:rsidP="00E42762">
      <w:pPr>
        <w:pBdr>
          <w:top w:val="nil"/>
          <w:left w:val="nil"/>
          <w:bottom w:val="nil"/>
          <w:right w:val="nil"/>
          <w:between w:val="nil"/>
        </w:pBdr>
      </w:pPr>
      <w:r w:rsidRPr="00E42762">
        <w:br/>
        <w:t>8.4. Amplify cDNA with SYBR Green PCR Master Mix and primers (</w:t>
      </w:r>
      <w:r w:rsidRPr="00E42762">
        <w:rPr>
          <w:b/>
          <w:bCs/>
        </w:rPr>
        <w:t>Table 1</w:t>
      </w:r>
      <w:r w:rsidRPr="00E42762">
        <w:t>).</w:t>
      </w:r>
    </w:p>
    <w:p w14:paraId="1A8BF4D5" w14:textId="4443FBAB" w:rsidR="00025090" w:rsidRPr="00E42762" w:rsidRDefault="00025090" w:rsidP="00E42762">
      <w:pPr>
        <w:pBdr>
          <w:top w:val="nil"/>
          <w:left w:val="nil"/>
          <w:bottom w:val="nil"/>
          <w:right w:val="nil"/>
          <w:between w:val="nil"/>
        </w:pBdr>
        <w:rPr>
          <w:b/>
          <w:color w:val="EE0000"/>
        </w:rPr>
      </w:pPr>
      <w:r w:rsidRPr="00E42762">
        <w:br/>
        <w:t>8.5. Calculate relative cDNA levels using the 2^−</w:t>
      </w:r>
      <w:proofErr w:type="spellStart"/>
      <w:r w:rsidRPr="00E42762">
        <w:t>ΔΔCt</w:t>
      </w:r>
      <w:proofErr w:type="spellEnd"/>
      <w:r w:rsidRPr="00E42762">
        <w:t xml:space="preserve"> method with GAPDH as the internal contro</w:t>
      </w:r>
      <w:r w:rsidR="00E72068" w:rsidRPr="00E42762">
        <w:t>l</w:t>
      </w:r>
      <w:r w:rsidR="00E72068" w:rsidRPr="00E42762">
        <w:rPr>
          <w:vertAlign w:val="superscript"/>
        </w:rPr>
        <w:t>26</w:t>
      </w:r>
      <w:r w:rsidR="00E72068" w:rsidRPr="00E42762">
        <w:t>.</w:t>
      </w:r>
    </w:p>
    <w:p w14:paraId="0BEEDD42" w14:textId="74AD7A30" w:rsidR="00387441" w:rsidRPr="00E42762" w:rsidRDefault="008E52D3" w:rsidP="00E42762">
      <w:pPr>
        <w:pBdr>
          <w:top w:val="nil"/>
          <w:left w:val="nil"/>
          <w:bottom w:val="nil"/>
          <w:right w:val="nil"/>
          <w:between w:val="nil"/>
        </w:pBdr>
        <w:rPr>
          <w:b/>
          <w:color w:val="EE0000"/>
        </w:rPr>
      </w:pPr>
      <w:r w:rsidRPr="00E42762">
        <w:rPr>
          <w:b/>
          <w:color w:val="EE0000"/>
        </w:rPr>
        <w:t xml:space="preserve"> </w:t>
      </w:r>
    </w:p>
    <w:p w14:paraId="44041B72" w14:textId="77777777" w:rsidR="00390576" w:rsidRPr="00E42762" w:rsidRDefault="00390576" w:rsidP="00E42762">
      <w:pPr>
        <w:pStyle w:val="ListParagraph"/>
        <w:numPr>
          <w:ilvl w:val="0"/>
          <w:numId w:val="30"/>
        </w:numPr>
        <w:spacing w:after="0" w:line="240" w:lineRule="auto"/>
        <w:ind w:left="0" w:firstLine="0"/>
        <w:jc w:val="both"/>
        <w:rPr>
          <w:rFonts w:ascii="Calibri" w:hAnsi="Calibri" w:cs="Calibri"/>
          <w:b/>
          <w:bCs/>
          <w:sz w:val="24"/>
          <w:szCs w:val="24"/>
        </w:rPr>
      </w:pPr>
      <w:r w:rsidRPr="00E42762">
        <w:rPr>
          <w:rFonts w:ascii="Calibri" w:hAnsi="Calibri" w:cs="Calibri"/>
          <w:b/>
          <w:bCs/>
          <w:sz w:val="24"/>
          <w:szCs w:val="24"/>
        </w:rPr>
        <w:t>Statistical analysis</w:t>
      </w:r>
    </w:p>
    <w:p w14:paraId="7DCF5A06" w14:textId="77777777" w:rsidR="00BD0A98" w:rsidRPr="00E42762" w:rsidRDefault="00BD0A98" w:rsidP="00E42762"/>
    <w:p w14:paraId="00751915" w14:textId="77777777" w:rsidR="00CD24D0" w:rsidRPr="00E42762" w:rsidRDefault="00CD24D0" w:rsidP="00E42762">
      <w:r w:rsidRPr="00E42762">
        <w:t xml:space="preserve">9.1. Perform statistical analyses using GraphPad software. </w:t>
      </w:r>
    </w:p>
    <w:p w14:paraId="76E60E0A" w14:textId="77777777" w:rsidR="00CD24D0" w:rsidRPr="00E42762" w:rsidRDefault="00CD24D0" w:rsidP="00E42762"/>
    <w:p w14:paraId="54D8186C" w14:textId="4748BE4D" w:rsidR="00CD24D0" w:rsidRPr="00E42762" w:rsidRDefault="00CD24D0" w:rsidP="00E42762">
      <w:r w:rsidRPr="00E42762">
        <w:t xml:space="preserve">9.2. Use </w:t>
      </w:r>
      <w:proofErr w:type="gramStart"/>
      <w:r w:rsidRPr="00E42762">
        <w:t xml:space="preserve">Student’s </w:t>
      </w:r>
      <w:r w:rsidRPr="00E42762">
        <w:rPr>
          <w:rStyle w:val="Emphasis"/>
        </w:rPr>
        <w:t>t</w:t>
      </w:r>
      <w:proofErr w:type="gramEnd"/>
      <w:r w:rsidRPr="00E42762">
        <w:t xml:space="preserve">-test for single comparisons. For multiple comparisons, use one-way or two-way ANOVA followed by Bonferroni’s post hoc test, as appropriate. In all cases, consider a </w:t>
      </w:r>
      <w:r w:rsidRPr="00E42762">
        <w:rPr>
          <w:rStyle w:val="Emphasis"/>
        </w:rPr>
        <w:t>P</w:t>
      </w:r>
      <w:r w:rsidRPr="00E42762">
        <w:t>-</w:t>
      </w:r>
      <w:r w:rsidRPr="00E42762">
        <w:lastRenderedPageBreak/>
        <w:t>value of 0.05 or less as statistically significant.</w:t>
      </w:r>
    </w:p>
    <w:p w14:paraId="3532C173" w14:textId="77777777" w:rsidR="00CD24D0" w:rsidRPr="00E42762" w:rsidRDefault="00CD24D0" w:rsidP="00E42762"/>
    <w:p w14:paraId="21CAADCD" w14:textId="5C8B7DA4" w:rsidR="00052FE0" w:rsidRPr="00E42762" w:rsidRDefault="00551D82" w:rsidP="00E42762">
      <w:pPr>
        <w:rPr>
          <w:b/>
          <w:color w:val="000000"/>
        </w:rPr>
      </w:pPr>
      <w:r w:rsidRPr="00E42762">
        <w:rPr>
          <w:b/>
          <w:color w:val="000000"/>
        </w:rPr>
        <w:t xml:space="preserve">REPRESENTATIVE RESULTS </w:t>
      </w:r>
      <w:r w:rsidR="00BD0A98" w:rsidRPr="00E42762">
        <w:rPr>
          <w:b/>
          <w:color w:val="000000"/>
        </w:rPr>
        <w:t>:</w:t>
      </w:r>
    </w:p>
    <w:p w14:paraId="28E94AC3" w14:textId="01F986D9" w:rsidR="00387441" w:rsidRPr="00E42762" w:rsidRDefault="00BA1B7D" w:rsidP="00E42762">
      <w:pPr>
        <w:pBdr>
          <w:top w:val="nil"/>
          <w:left w:val="nil"/>
          <w:bottom w:val="nil"/>
          <w:right w:val="nil"/>
          <w:between w:val="nil"/>
        </w:pBdr>
        <w:rPr>
          <w:lang w:bidi="ar-TN"/>
        </w:rPr>
      </w:pPr>
      <w:r w:rsidRPr="00E42762">
        <w:t>After MPTP administration, mice displayed characteristic Parkinsonian symptoms, including an elevated and rigid Straub tail, piloerection, immobility, and postural abnormalities such as spinal curvature, confirming</w:t>
      </w:r>
      <w:r w:rsidR="008C0956" w:rsidRPr="00E42762">
        <w:t xml:space="preserve"> the</w:t>
      </w:r>
      <w:r w:rsidRPr="00E42762">
        <w:t xml:space="preserve"> successful establishment of the MPTP model (</w:t>
      </w:r>
      <w:r w:rsidRPr="00E42762">
        <w:rPr>
          <w:b/>
          <w:bCs/>
        </w:rPr>
        <w:t xml:space="preserve">Figure </w:t>
      </w:r>
      <w:r w:rsidR="00884A63" w:rsidRPr="00E42762">
        <w:rPr>
          <w:b/>
          <w:bCs/>
        </w:rPr>
        <w:t>3</w:t>
      </w:r>
      <w:r w:rsidR="00500BE9" w:rsidRPr="00E42762">
        <w:t xml:space="preserve">). </w:t>
      </w:r>
      <w:r w:rsidR="008C0956" w:rsidRPr="00E42762">
        <w:t>Verification of IN delivery using methylene blue, with mice sacrificed 10 min post-injection</w:t>
      </w:r>
      <w:r w:rsidR="008C0956" w:rsidRPr="00E42762">
        <w:rPr>
          <w:b/>
          <w:bCs/>
        </w:rPr>
        <w:t>,</w:t>
      </w:r>
      <w:r w:rsidR="008C0956" w:rsidRPr="00E42762">
        <w:t xml:space="preserve"> showed effective dye distribution within the targeted olfactory bulb and brain regions, supporting the precision of this method </w:t>
      </w:r>
      <w:r w:rsidR="00387441" w:rsidRPr="00E42762">
        <w:t>(</w:t>
      </w:r>
      <w:r w:rsidR="00387441" w:rsidRPr="00E42762">
        <w:rPr>
          <w:b/>
          <w:bCs/>
        </w:rPr>
        <w:t xml:space="preserve">Figure </w:t>
      </w:r>
      <w:r w:rsidR="00884A63" w:rsidRPr="00E42762">
        <w:rPr>
          <w:b/>
          <w:bCs/>
        </w:rPr>
        <w:t>4</w:t>
      </w:r>
      <w:r w:rsidR="00387441" w:rsidRPr="00E42762">
        <w:t>).</w:t>
      </w:r>
    </w:p>
    <w:p w14:paraId="63F96385" w14:textId="77777777" w:rsidR="005C399B" w:rsidRPr="00E42762" w:rsidRDefault="005C399B" w:rsidP="00E42762">
      <w:pPr>
        <w:pBdr>
          <w:top w:val="nil"/>
          <w:left w:val="nil"/>
          <w:bottom w:val="nil"/>
          <w:right w:val="nil"/>
          <w:between w:val="nil"/>
        </w:pBdr>
      </w:pPr>
    </w:p>
    <w:p w14:paraId="244219E6" w14:textId="58577AD7" w:rsidR="00494AED" w:rsidRPr="00E42762" w:rsidRDefault="00E16321" w:rsidP="00E42762">
      <w:pPr>
        <w:autoSpaceDE w:val="0"/>
        <w:rPr>
          <w:color w:val="0000FF"/>
          <w:shd w:val="clear" w:color="auto" w:fill="FFFFFF"/>
        </w:rPr>
      </w:pPr>
      <w:r w:rsidRPr="00E42762">
        <w:t xml:space="preserve">Behavioral assessments revealed that MPTP-treated mice exhibited a pronounced reduction in forepaw lifting compared to controls, reflecting motor deficits characteristic of MPTP-induced Parkinsonism. In contrast, </w:t>
      </w:r>
      <w:r w:rsidR="00884A63" w:rsidRPr="00E42762">
        <w:t xml:space="preserve">IN </w:t>
      </w:r>
      <w:r w:rsidRPr="00E42762">
        <w:t xml:space="preserve">administration of </w:t>
      </w:r>
      <w:r w:rsidR="00884A63" w:rsidRPr="00E42762">
        <w:t>c</w:t>
      </w:r>
      <w:r w:rsidRPr="00E42762">
        <w:t>yclo</w:t>
      </w:r>
      <w:r w:rsidR="00884A63" w:rsidRPr="00E42762">
        <w:rPr>
          <w:vertAlign w:val="subscript"/>
        </w:rPr>
        <w:t>(1-8)</w:t>
      </w:r>
      <w:r w:rsidRPr="00E42762">
        <w:t xml:space="preserve">OP (10 ng/10 </w:t>
      </w:r>
      <w:r w:rsidR="00884A63" w:rsidRPr="00E42762">
        <w:t>µL</w:t>
      </w:r>
      <w:r w:rsidRPr="00E42762">
        <w:t xml:space="preserve">) restored motor function, with forepaw lifting nearly reaching control levels, suggesting that </w:t>
      </w:r>
      <w:r w:rsidR="00884A63" w:rsidRPr="00E42762">
        <w:t>cyclo</w:t>
      </w:r>
      <w:r w:rsidR="00884A63" w:rsidRPr="00E42762">
        <w:rPr>
          <w:vertAlign w:val="subscript"/>
        </w:rPr>
        <w:t>(1-8)</w:t>
      </w:r>
      <w:r w:rsidR="00884A63" w:rsidRPr="00E42762">
        <w:t xml:space="preserve">OP </w:t>
      </w:r>
      <w:r w:rsidRPr="00E42762">
        <w:t>may ameliorate these motor impairments (</w:t>
      </w:r>
      <w:r w:rsidRPr="00E42762">
        <w:rPr>
          <w:b/>
          <w:bCs/>
        </w:rPr>
        <w:t xml:space="preserve">Figure </w:t>
      </w:r>
      <w:r w:rsidR="00884A63" w:rsidRPr="00E42762">
        <w:rPr>
          <w:b/>
          <w:bCs/>
        </w:rPr>
        <w:t>5</w:t>
      </w:r>
      <w:r w:rsidRPr="00E42762">
        <w:t>)</w:t>
      </w:r>
      <w:r w:rsidR="00AC1E73" w:rsidRPr="00E42762">
        <w:t>.</w:t>
      </w:r>
      <w:r w:rsidR="0031100B" w:rsidRPr="00E42762">
        <w:t xml:space="preserve"> </w:t>
      </w:r>
      <w:r w:rsidR="0089019C" w:rsidRPr="00E42762">
        <w:t>The number of moles of cyclo</w:t>
      </w:r>
      <w:r w:rsidR="0089019C" w:rsidRPr="00E42762">
        <w:rPr>
          <w:vertAlign w:val="subscript"/>
        </w:rPr>
        <w:t>(1-8)</w:t>
      </w:r>
      <w:r w:rsidR="0089019C" w:rsidRPr="00E42762">
        <w:t>OP</w:t>
      </w:r>
      <w:r w:rsidR="0089019C" w:rsidRPr="00E42762">
        <w:rPr>
          <w:shd w:val="clear" w:color="auto" w:fill="FFFFFF"/>
        </w:rPr>
        <w:t xml:space="preserve"> </w:t>
      </w:r>
      <w:r w:rsidR="0089019C" w:rsidRPr="00E42762">
        <w:t xml:space="preserve">corresponding to the administered dose </w:t>
      </w:r>
      <w:r w:rsidR="0089019C" w:rsidRPr="00E42762">
        <w:rPr>
          <w:shd w:val="clear" w:color="auto" w:fill="FFFFFF"/>
        </w:rPr>
        <w:t>(10 ng into 10 µ</w:t>
      </w:r>
      <w:r w:rsidR="00662CC9" w:rsidRPr="00E42762">
        <w:rPr>
          <w:shd w:val="clear" w:color="auto" w:fill="FFFFFF"/>
        </w:rPr>
        <w:t>L</w:t>
      </w:r>
      <w:r w:rsidR="0089019C" w:rsidRPr="00E42762">
        <w:rPr>
          <w:shd w:val="clear" w:color="auto" w:fill="FFFFFF"/>
        </w:rPr>
        <w:t xml:space="preserve"> of </w:t>
      </w:r>
      <w:r w:rsidR="00500BE9" w:rsidRPr="00E42762">
        <w:rPr>
          <w:shd w:val="clear" w:color="auto" w:fill="FFFFFF"/>
        </w:rPr>
        <w:t xml:space="preserve">the </w:t>
      </w:r>
      <w:r w:rsidR="0089019C" w:rsidRPr="00E42762">
        <w:rPr>
          <w:shd w:val="clear" w:color="auto" w:fill="FFFFFF"/>
        </w:rPr>
        <w:t>vehicle)</w:t>
      </w:r>
      <w:r w:rsidR="0089019C" w:rsidRPr="00E42762">
        <w:t xml:space="preserve"> is 11.2 </w:t>
      </w:r>
      <w:proofErr w:type="spellStart"/>
      <w:r w:rsidR="0089019C" w:rsidRPr="00E42762">
        <w:t>pmol</w:t>
      </w:r>
      <w:proofErr w:type="spellEnd"/>
      <w:r w:rsidR="00655FD1" w:rsidRPr="00E42762">
        <w:t>.</w:t>
      </w:r>
      <w:r w:rsidR="0089019C" w:rsidRPr="00E42762">
        <w:t xml:space="preserve">  </w:t>
      </w:r>
    </w:p>
    <w:p w14:paraId="12CFD262" w14:textId="77777777" w:rsidR="005C399B" w:rsidRPr="00E42762" w:rsidRDefault="005C399B" w:rsidP="00E42762">
      <w:pPr>
        <w:autoSpaceDE w:val="0"/>
        <w:rPr>
          <w:b/>
          <w:bCs/>
          <w:noProof/>
          <w:lang w:eastAsia="fr-FR"/>
        </w:rPr>
      </w:pPr>
    </w:p>
    <w:p w14:paraId="7B5E24C5" w14:textId="6B7F58EB" w:rsidR="00601DDF" w:rsidRPr="00E42762" w:rsidRDefault="00F03476" w:rsidP="00E42762">
      <w:pPr>
        <w:widowControl/>
        <w:autoSpaceDE w:val="0"/>
        <w:autoSpaceDN w:val="0"/>
        <w:adjustRightInd w:val="0"/>
      </w:pPr>
      <w:r w:rsidRPr="00E42762">
        <w:rPr>
          <w:color w:val="131413"/>
        </w:rPr>
        <w:t>It is known that the toxic</w:t>
      </w:r>
      <w:r w:rsidR="007E457D" w:rsidRPr="00E42762">
        <w:rPr>
          <w:color w:val="131413"/>
        </w:rPr>
        <w:t>ity</w:t>
      </w:r>
      <w:r w:rsidRPr="00E42762">
        <w:rPr>
          <w:color w:val="131413"/>
        </w:rPr>
        <w:t xml:space="preserve"> of </w:t>
      </w:r>
      <w:r w:rsidR="00DB4140" w:rsidRPr="00E42762">
        <w:rPr>
          <w:color w:val="131413"/>
        </w:rPr>
        <w:t>MPTP is</w:t>
      </w:r>
      <w:r w:rsidRPr="00E42762">
        <w:rPr>
          <w:color w:val="131413"/>
        </w:rPr>
        <w:t xml:space="preserve"> linked to an over</w:t>
      </w:r>
      <w:r w:rsidR="00F246FF" w:rsidRPr="00E42762">
        <w:rPr>
          <w:color w:val="131413"/>
        </w:rPr>
        <w:t>production</w:t>
      </w:r>
      <w:r w:rsidRPr="00E42762">
        <w:rPr>
          <w:color w:val="131413"/>
        </w:rPr>
        <w:t xml:space="preserve"> of ROS</w:t>
      </w:r>
      <w:r w:rsidR="00F717CB" w:rsidRPr="00E42762">
        <w:rPr>
          <w:color w:val="131413"/>
        </w:rPr>
        <w:t xml:space="preserve">. </w:t>
      </w:r>
      <w:r w:rsidR="00F246FF" w:rsidRPr="00E42762">
        <w:t>Using</w:t>
      </w:r>
      <w:r w:rsidR="00565FF9" w:rsidRPr="00E42762">
        <w:t xml:space="preserve"> the CMH2DCFDA probe</w:t>
      </w:r>
      <w:r w:rsidR="00F246FF" w:rsidRPr="00E42762">
        <w:t xml:space="preserve"> (</w:t>
      </w:r>
      <w:r w:rsidR="00565FF9" w:rsidRPr="00E42762">
        <w:t>which forms the fluorescent</w:t>
      </w:r>
      <w:r w:rsidR="00AB10C5" w:rsidRPr="00E42762">
        <w:t xml:space="preserve"> </w:t>
      </w:r>
      <w:r w:rsidR="00565FF9" w:rsidRPr="00E42762">
        <w:t>DCF compound upon oxidation by ROS</w:t>
      </w:r>
      <w:r w:rsidR="00F246FF" w:rsidRPr="00E42762">
        <w:t>)</w:t>
      </w:r>
      <w:r w:rsidR="00F717CB" w:rsidRPr="00E42762">
        <w:t>,</w:t>
      </w:r>
      <w:r w:rsidR="00F37161" w:rsidRPr="00E42762">
        <w:t xml:space="preserve"> </w:t>
      </w:r>
      <w:r w:rsidR="00384754" w:rsidRPr="00E42762">
        <w:rPr>
          <w:color w:val="131413"/>
        </w:rPr>
        <w:t>it was observed</w:t>
      </w:r>
      <w:r w:rsidR="00F246FF" w:rsidRPr="00E42762">
        <w:t xml:space="preserve"> that</w:t>
      </w:r>
      <w:r w:rsidR="00565FF9" w:rsidRPr="00E42762">
        <w:t xml:space="preserve"> </w:t>
      </w:r>
      <w:r w:rsidR="00D639A4" w:rsidRPr="00E42762">
        <w:rPr>
          <w:color w:val="000000"/>
        </w:rPr>
        <w:t>ROS levels were significantly increased seven days after MPTP treatment</w:t>
      </w:r>
      <w:r w:rsidR="00F05822" w:rsidRPr="00E42762">
        <w:rPr>
          <w:color w:val="000000"/>
        </w:rPr>
        <w:t xml:space="preserve"> </w:t>
      </w:r>
      <w:r w:rsidR="00C42D67" w:rsidRPr="00E42762">
        <w:rPr>
          <w:color w:val="000000"/>
        </w:rPr>
        <w:t>compared</w:t>
      </w:r>
      <w:r w:rsidR="00F05822" w:rsidRPr="00E42762">
        <w:rPr>
          <w:color w:val="000000"/>
        </w:rPr>
        <w:t xml:space="preserve"> to saline-treated animals in the striatum</w:t>
      </w:r>
      <w:r w:rsidR="00E67A5E" w:rsidRPr="00E42762">
        <w:rPr>
          <w:color w:val="000000"/>
        </w:rPr>
        <w:t>.</w:t>
      </w:r>
      <w:r w:rsidR="00D639A4" w:rsidRPr="00E42762">
        <w:rPr>
          <w:color w:val="000000"/>
        </w:rPr>
        <w:t xml:space="preserve"> </w:t>
      </w:r>
      <w:r w:rsidR="00F717CB" w:rsidRPr="00E42762">
        <w:rPr>
          <w:color w:val="000000"/>
        </w:rPr>
        <w:t xml:space="preserve">IN </w:t>
      </w:r>
      <w:r w:rsidR="00E67A5E" w:rsidRPr="00E42762">
        <w:rPr>
          <w:color w:val="000000"/>
        </w:rPr>
        <w:t>administration of</w:t>
      </w:r>
      <w:r w:rsidR="00D639A4" w:rsidRPr="00E42762">
        <w:rPr>
          <w:color w:val="000000"/>
        </w:rPr>
        <w:t xml:space="preserve"> </w:t>
      </w:r>
      <w:r w:rsidR="00F717CB" w:rsidRPr="00E42762">
        <w:t>cyclo</w:t>
      </w:r>
      <w:r w:rsidR="00F717CB" w:rsidRPr="00E42762">
        <w:rPr>
          <w:vertAlign w:val="subscript"/>
        </w:rPr>
        <w:t>(1-8)</w:t>
      </w:r>
      <w:r w:rsidR="00F717CB" w:rsidRPr="00E42762">
        <w:t xml:space="preserve">OP </w:t>
      </w:r>
      <w:r w:rsidR="00C42D67" w:rsidRPr="00E42762">
        <w:rPr>
          <w:color w:val="000000"/>
        </w:rPr>
        <w:t>completely</w:t>
      </w:r>
      <w:r w:rsidR="00F05822" w:rsidRPr="00E42762">
        <w:rPr>
          <w:color w:val="000000"/>
        </w:rPr>
        <w:t xml:space="preserve"> prevented the increase </w:t>
      </w:r>
      <w:r w:rsidR="00F717CB" w:rsidRPr="00E42762">
        <w:rPr>
          <w:color w:val="000000"/>
        </w:rPr>
        <w:t xml:space="preserve">in </w:t>
      </w:r>
      <w:r w:rsidR="00F05822" w:rsidRPr="00E42762">
        <w:rPr>
          <w:color w:val="000000"/>
        </w:rPr>
        <w:t>ROS levels (</w:t>
      </w:r>
      <w:r w:rsidR="00F05822" w:rsidRPr="00E42762">
        <w:rPr>
          <w:b/>
          <w:bCs/>
          <w:color w:val="000000"/>
        </w:rPr>
        <w:t xml:space="preserve">Figure </w:t>
      </w:r>
      <w:r w:rsidR="00F717CB" w:rsidRPr="00E42762">
        <w:rPr>
          <w:b/>
          <w:bCs/>
          <w:color w:val="000000"/>
        </w:rPr>
        <w:t>6A</w:t>
      </w:r>
      <w:r w:rsidR="00F05822" w:rsidRPr="00E42762">
        <w:rPr>
          <w:color w:val="000000"/>
        </w:rPr>
        <w:t>)</w:t>
      </w:r>
      <w:r w:rsidR="001E6CB0" w:rsidRPr="00E42762">
        <w:rPr>
          <w:color w:val="000000"/>
        </w:rPr>
        <w:t xml:space="preserve">. </w:t>
      </w:r>
      <w:r w:rsidR="00601DDF" w:rsidRPr="00E42762">
        <w:t xml:space="preserve">Considering the major effect of ROS in the oxidative-generated damage of biomolecules, the ability of </w:t>
      </w:r>
      <w:r w:rsidR="00F82C82" w:rsidRPr="00E42762">
        <w:t>cyclo</w:t>
      </w:r>
      <w:r w:rsidR="00F82C82" w:rsidRPr="00E42762">
        <w:rPr>
          <w:vertAlign w:val="subscript"/>
        </w:rPr>
        <w:t>(1-8)</w:t>
      </w:r>
      <w:r w:rsidR="00F82C82" w:rsidRPr="00E42762">
        <w:t xml:space="preserve">OP </w:t>
      </w:r>
      <w:r w:rsidR="00601DDF" w:rsidRPr="00E42762">
        <w:t xml:space="preserve">to prevent lipid and protein oxidation induced by MPTP was examined in </w:t>
      </w:r>
      <w:r w:rsidR="00E24A8B" w:rsidRPr="00E42762">
        <w:t>striatum</w:t>
      </w:r>
      <w:r w:rsidR="00F05822" w:rsidRPr="00E42762">
        <w:t xml:space="preserve"> </w:t>
      </w:r>
      <w:r w:rsidR="00F05822" w:rsidRPr="00E42762">
        <w:rPr>
          <w:color w:val="000000"/>
        </w:rPr>
        <w:t>homogenates</w:t>
      </w:r>
      <w:r w:rsidR="00601DDF" w:rsidRPr="00E42762">
        <w:t>. MPTP-</w:t>
      </w:r>
      <w:r w:rsidR="00F82C82" w:rsidRPr="00E42762">
        <w:t>t</w:t>
      </w:r>
      <w:r w:rsidR="00601DDF" w:rsidRPr="00E42762">
        <w:t xml:space="preserve">reated mice </w:t>
      </w:r>
      <w:r w:rsidR="00C42D67" w:rsidRPr="00E42762">
        <w:t>exhibited</w:t>
      </w:r>
      <w:r w:rsidR="00F05822" w:rsidRPr="00E42762">
        <w:t xml:space="preserve"> a</w:t>
      </w:r>
      <w:r w:rsidR="00601DDF" w:rsidRPr="00E42762">
        <w:t xml:space="preserve"> significant </w:t>
      </w:r>
      <w:r w:rsidR="00E24A8B" w:rsidRPr="00E42762">
        <w:t xml:space="preserve">increase </w:t>
      </w:r>
      <w:r w:rsidR="00F82C82" w:rsidRPr="00E42762">
        <w:t xml:space="preserve">in </w:t>
      </w:r>
      <w:r w:rsidR="00601DDF" w:rsidRPr="00E42762">
        <w:t>MDA levels, products of the oxidative decomposition of highly unsaturated fatty acids</w:t>
      </w:r>
      <w:r w:rsidR="00E24A8B" w:rsidRPr="00E42762">
        <w:t xml:space="preserve"> (</w:t>
      </w:r>
      <w:r w:rsidR="00E24A8B" w:rsidRPr="00E42762">
        <w:rPr>
          <w:b/>
          <w:bCs/>
        </w:rPr>
        <w:t xml:space="preserve">Figure </w:t>
      </w:r>
      <w:r w:rsidR="00F82C82" w:rsidRPr="00E42762">
        <w:rPr>
          <w:b/>
          <w:bCs/>
        </w:rPr>
        <w:t>6B</w:t>
      </w:r>
      <w:r w:rsidR="00E24A8B" w:rsidRPr="00E42762">
        <w:t>)</w:t>
      </w:r>
      <w:r w:rsidR="00601DDF" w:rsidRPr="00E42762">
        <w:t xml:space="preserve">. In the same conditions, MPTP treatment </w:t>
      </w:r>
      <w:r w:rsidR="00C42D67" w:rsidRPr="00E42762">
        <w:t>markedly</w:t>
      </w:r>
      <w:r w:rsidR="00601DDF" w:rsidRPr="00E42762">
        <w:t xml:space="preserve"> enhanced protein carbonyl formation, indicating </w:t>
      </w:r>
      <w:r w:rsidR="00C42D67" w:rsidRPr="00E42762">
        <w:t>substantial</w:t>
      </w:r>
      <w:r w:rsidR="00601DDF" w:rsidRPr="00E42762">
        <w:t xml:space="preserve"> protein oxidation (</w:t>
      </w:r>
      <w:r w:rsidR="00601DDF" w:rsidRPr="00E42762">
        <w:rPr>
          <w:b/>
          <w:bCs/>
        </w:rPr>
        <w:t>Fig</w:t>
      </w:r>
      <w:r w:rsidR="00706906" w:rsidRPr="00E42762">
        <w:rPr>
          <w:b/>
          <w:bCs/>
        </w:rPr>
        <w:t>ure</w:t>
      </w:r>
      <w:r w:rsidR="00601DDF" w:rsidRPr="00E42762">
        <w:rPr>
          <w:b/>
          <w:bCs/>
        </w:rPr>
        <w:t xml:space="preserve"> </w:t>
      </w:r>
      <w:r w:rsidR="00F82C82" w:rsidRPr="00E42762">
        <w:rPr>
          <w:b/>
          <w:bCs/>
        </w:rPr>
        <w:t>6C</w:t>
      </w:r>
      <w:r w:rsidR="00601DDF" w:rsidRPr="00E42762">
        <w:t>).</w:t>
      </w:r>
      <w:r w:rsidR="00E24A8B" w:rsidRPr="00E42762">
        <w:t xml:space="preserve"> </w:t>
      </w:r>
      <w:r w:rsidR="00601DDF" w:rsidRPr="00E42762">
        <w:t xml:space="preserve">As illustrated in </w:t>
      </w:r>
      <w:r w:rsidR="00601DDF" w:rsidRPr="00E42762">
        <w:rPr>
          <w:b/>
          <w:bCs/>
        </w:rPr>
        <w:t>Fig</w:t>
      </w:r>
      <w:r w:rsidR="001E6CB0" w:rsidRPr="00E42762">
        <w:rPr>
          <w:b/>
          <w:bCs/>
        </w:rPr>
        <w:t>ure</w:t>
      </w:r>
      <w:r w:rsidR="00601DDF" w:rsidRPr="00E42762">
        <w:rPr>
          <w:b/>
          <w:bCs/>
        </w:rPr>
        <w:t xml:space="preserve"> </w:t>
      </w:r>
      <w:r w:rsidR="00F82C82" w:rsidRPr="00E42762">
        <w:rPr>
          <w:b/>
          <w:bCs/>
        </w:rPr>
        <w:t>6</w:t>
      </w:r>
      <w:r w:rsidR="00601DDF" w:rsidRPr="00E42762">
        <w:t xml:space="preserve">, </w:t>
      </w:r>
      <w:r w:rsidR="00F82C82" w:rsidRPr="00E42762">
        <w:t xml:space="preserve">IN </w:t>
      </w:r>
      <w:r w:rsidR="00E24A8B" w:rsidRPr="00E42762">
        <w:t xml:space="preserve">administration of </w:t>
      </w:r>
      <w:r w:rsidR="00F82C82" w:rsidRPr="00E42762">
        <w:t>cyclo</w:t>
      </w:r>
      <w:r w:rsidR="00F82C82" w:rsidRPr="00E42762">
        <w:rPr>
          <w:vertAlign w:val="subscript"/>
        </w:rPr>
        <w:t>(1-8)</w:t>
      </w:r>
      <w:r w:rsidR="00F82C82" w:rsidRPr="00E42762">
        <w:t xml:space="preserve">OP </w:t>
      </w:r>
      <w:r w:rsidR="00601DDF" w:rsidRPr="00E42762">
        <w:t>had</w:t>
      </w:r>
      <w:r w:rsidR="00E24A8B" w:rsidRPr="00E42762">
        <w:t xml:space="preserve"> </w:t>
      </w:r>
      <w:r w:rsidR="00601DDF" w:rsidRPr="00E42762">
        <w:t>no pro- or antioxida</w:t>
      </w:r>
      <w:r w:rsidR="00C42D67" w:rsidRPr="00E42762">
        <w:t>nt</w:t>
      </w:r>
      <w:r w:rsidR="00601DDF" w:rsidRPr="00E42762">
        <w:t xml:space="preserve"> activity </w:t>
      </w:r>
      <w:r w:rsidR="00601DDF" w:rsidRPr="00E42762">
        <w:rPr>
          <w:i/>
          <w:iCs/>
        </w:rPr>
        <w:t>per se</w:t>
      </w:r>
      <w:r w:rsidR="00601DDF" w:rsidRPr="00E42762">
        <w:t xml:space="preserve"> on </w:t>
      </w:r>
      <w:r w:rsidR="00C42D67" w:rsidRPr="00E42762">
        <w:t>biomolecules but</w:t>
      </w:r>
      <w:r w:rsidR="00E24A8B" w:rsidRPr="00E42762">
        <w:t xml:space="preserve"> </w:t>
      </w:r>
      <w:r w:rsidR="00601DDF" w:rsidRPr="00E42762">
        <w:t>restored</w:t>
      </w:r>
      <w:r w:rsidR="00C42D67" w:rsidRPr="00E42762">
        <w:t xml:space="preserve"> the</w:t>
      </w:r>
      <w:r w:rsidR="00601DDF" w:rsidRPr="00E42762">
        <w:t xml:space="preserve"> </w:t>
      </w:r>
      <w:r w:rsidR="00E24A8B" w:rsidRPr="00E42762">
        <w:t>MPTP-induced</w:t>
      </w:r>
      <w:r w:rsidR="00C42D67" w:rsidRPr="00E42762">
        <w:t xml:space="preserve"> increase in</w:t>
      </w:r>
      <w:r w:rsidR="00E24A8B" w:rsidRPr="00E42762">
        <w:t xml:space="preserve"> MDA </w:t>
      </w:r>
      <w:r w:rsidR="00150DF5" w:rsidRPr="00E42762">
        <w:t xml:space="preserve">and </w:t>
      </w:r>
      <w:r w:rsidR="00C42D67" w:rsidRPr="00E42762">
        <w:t xml:space="preserve">protein </w:t>
      </w:r>
      <w:r w:rsidR="00150DF5" w:rsidRPr="00E42762">
        <w:t>carbonyl</w:t>
      </w:r>
      <w:r w:rsidR="00C42D67" w:rsidRPr="00E42762">
        <w:t>s to control</w:t>
      </w:r>
      <w:r w:rsidR="00601DDF" w:rsidRPr="00E42762">
        <w:t xml:space="preserve"> levels, indicating that </w:t>
      </w:r>
      <w:r w:rsidR="00F82C82" w:rsidRPr="00E42762">
        <w:t>cyclo</w:t>
      </w:r>
      <w:r w:rsidR="00F82C82" w:rsidRPr="00E42762">
        <w:rPr>
          <w:vertAlign w:val="subscript"/>
        </w:rPr>
        <w:t>(1-8)</w:t>
      </w:r>
      <w:r w:rsidR="00F82C82" w:rsidRPr="00E42762">
        <w:t xml:space="preserve">OP </w:t>
      </w:r>
      <w:proofErr w:type="gramStart"/>
      <w:r w:rsidR="00E24A8B" w:rsidRPr="00E42762">
        <w:t xml:space="preserve">is able </w:t>
      </w:r>
      <w:r w:rsidR="00150DF5" w:rsidRPr="00E42762">
        <w:t>to</w:t>
      </w:r>
      <w:proofErr w:type="gramEnd"/>
      <w:r w:rsidR="00150DF5" w:rsidRPr="00E42762">
        <w:t xml:space="preserve"> prevent</w:t>
      </w:r>
      <w:r w:rsidR="00E24A8B" w:rsidRPr="00E42762">
        <w:t xml:space="preserve"> MPTP</w:t>
      </w:r>
      <w:r w:rsidR="00601DDF" w:rsidRPr="00E42762">
        <w:t>-induced oxidative da</w:t>
      </w:r>
      <w:r w:rsidR="00E24A8B" w:rsidRPr="00E42762">
        <w:t xml:space="preserve">mage </w:t>
      </w:r>
      <w:r w:rsidR="00C42D67" w:rsidRPr="00E42762">
        <w:t>to</w:t>
      </w:r>
      <w:r w:rsidR="00E24A8B" w:rsidRPr="00E42762">
        <w:t xml:space="preserve"> lipids and proteins</w:t>
      </w:r>
      <w:r w:rsidR="00601DDF" w:rsidRPr="00E42762">
        <w:t>.</w:t>
      </w:r>
      <w:r w:rsidR="00B547B2" w:rsidRPr="00E42762">
        <w:t xml:space="preserve"> </w:t>
      </w:r>
    </w:p>
    <w:p w14:paraId="03BD2E92" w14:textId="77777777" w:rsidR="005C399B" w:rsidRPr="00E42762" w:rsidRDefault="005C399B" w:rsidP="00E42762">
      <w:pPr>
        <w:widowControl/>
        <w:autoSpaceDE w:val="0"/>
        <w:autoSpaceDN w:val="0"/>
        <w:adjustRightInd w:val="0"/>
      </w:pPr>
    </w:p>
    <w:p w14:paraId="3FAF2B6E" w14:textId="128ACCBA" w:rsidR="00753766" w:rsidRPr="00E42762" w:rsidRDefault="000642D7" w:rsidP="00E42762">
      <w:pPr>
        <w:widowControl/>
        <w:autoSpaceDE w:val="0"/>
        <w:autoSpaceDN w:val="0"/>
        <w:adjustRightInd w:val="0"/>
        <w:rPr>
          <w:color w:val="000000"/>
        </w:rPr>
      </w:pPr>
      <w:r w:rsidRPr="00E42762">
        <w:rPr>
          <w:color w:val="131413"/>
        </w:rPr>
        <w:t>To further explore the mechanism underlying the protective action of cyclo</w:t>
      </w:r>
      <w:r w:rsidRPr="00E42762">
        <w:rPr>
          <w:color w:val="131413"/>
          <w:vertAlign w:val="subscript"/>
        </w:rPr>
        <w:t>(1-8)</w:t>
      </w:r>
      <w:r w:rsidRPr="00E42762">
        <w:rPr>
          <w:color w:val="131413"/>
        </w:rPr>
        <w:t>OP against the oxidative stress induced by MPTP treatment, the activities of the two antioxidant enzymes, SOD and CAT, were monitored</w:t>
      </w:r>
      <w:r w:rsidR="00753766" w:rsidRPr="00E42762">
        <w:rPr>
          <w:color w:val="131413"/>
        </w:rPr>
        <w:t xml:space="preserve">. </w:t>
      </w:r>
      <w:r w:rsidR="00E30DA5" w:rsidRPr="00E42762">
        <w:rPr>
          <w:color w:val="131413"/>
        </w:rPr>
        <w:t>S</w:t>
      </w:r>
      <w:r w:rsidR="00C42D67" w:rsidRPr="00E42762">
        <w:rPr>
          <w:color w:val="131413"/>
        </w:rPr>
        <w:t>even</w:t>
      </w:r>
      <w:r w:rsidR="00065CD7" w:rsidRPr="00E42762">
        <w:rPr>
          <w:color w:val="131413"/>
        </w:rPr>
        <w:t xml:space="preserve"> </w:t>
      </w:r>
      <w:r w:rsidR="00753766" w:rsidRPr="00E42762">
        <w:t xml:space="preserve">days after injection, MPTP treatment induced a significant increase </w:t>
      </w:r>
      <w:r w:rsidR="00F82C82" w:rsidRPr="00E42762">
        <w:t xml:space="preserve">in </w:t>
      </w:r>
      <w:r w:rsidR="00065CD7" w:rsidRPr="00E42762">
        <w:t>SOD and CAT</w:t>
      </w:r>
      <w:r w:rsidR="00F37161" w:rsidRPr="00E42762">
        <w:t xml:space="preserve"> </w:t>
      </w:r>
      <w:r w:rsidR="00065CD7" w:rsidRPr="00E42762">
        <w:t>activities</w:t>
      </w:r>
      <w:r w:rsidR="00C42D67" w:rsidRPr="00E42762">
        <w:t>,</w:t>
      </w:r>
      <w:r w:rsidR="00065CD7" w:rsidRPr="00E42762">
        <w:t xml:space="preserve"> and </w:t>
      </w:r>
      <w:r w:rsidR="00F82C82" w:rsidRPr="00E42762">
        <w:t xml:space="preserve">IN </w:t>
      </w:r>
      <w:r w:rsidR="00065CD7" w:rsidRPr="00E42762">
        <w:rPr>
          <w:color w:val="000000"/>
        </w:rPr>
        <w:t xml:space="preserve">administration of </w:t>
      </w:r>
      <w:r w:rsidR="00F82C82" w:rsidRPr="00E42762">
        <w:t>cyclo</w:t>
      </w:r>
      <w:r w:rsidR="00F82C82" w:rsidRPr="00E42762">
        <w:rPr>
          <w:vertAlign w:val="subscript"/>
        </w:rPr>
        <w:t>(1-8)</w:t>
      </w:r>
      <w:r w:rsidR="00F82C82" w:rsidRPr="00E42762">
        <w:t>OP</w:t>
      </w:r>
      <w:r w:rsidR="00F82C82" w:rsidRPr="00E42762" w:rsidDel="00F82C82">
        <w:rPr>
          <w:color w:val="000000"/>
        </w:rPr>
        <w:t xml:space="preserve"> </w:t>
      </w:r>
      <w:r w:rsidR="00065CD7" w:rsidRPr="00E42762">
        <w:rPr>
          <w:color w:val="000000"/>
        </w:rPr>
        <w:t xml:space="preserve">(10 ng) prevented MPTP-evoked SOD and </w:t>
      </w:r>
      <w:r w:rsidR="00F37161" w:rsidRPr="00E42762">
        <w:rPr>
          <w:color w:val="000000"/>
        </w:rPr>
        <w:t xml:space="preserve">CAT </w:t>
      </w:r>
      <w:r w:rsidR="00AB300E" w:rsidRPr="00E42762">
        <w:rPr>
          <w:color w:val="000000"/>
        </w:rPr>
        <w:t>activation in</w:t>
      </w:r>
      <w:r w:rsidR="00065CD7" w:rsidRPr="00E42762">
        <w:rPr>
          <w:color w:val="000000"/>
        </w:rPr>
        <w:t xml:space="preserve"> the striatum of mice (</w:t>
      </w:r>
      <w:r w:rsidR="00065CD7" w:rsidRPr="00E42762">
        <w:rPr>
          <w:b/>
          <w:bCs/>
          <w:color w:val="000000"/>
        </w:rPr>
        <w:t xml:space="preserve">Figure </w:t>
      </w:r>
      <w:r w:rsidR="00F82C82" w:rsidRPr="00E42762">
        <w:rPr>
          <w:b/>
          <w:bCs/>
          <w:color w:val="000000"/>
        </w:rPr>
        <w:t>6D</w:t>
      </w:r>
      <w:r w:rsidR="00065CD7" w:rsidRPr="00E42762">
        <w:rPr>
          <w:b/>
          <w:bCs/>
          <w:color w:val="000000"/>
        </w:rPr>
        <w:t>,E</w:t>
      </w:r>
      <w:r w:rsidR="00065CD7" w:rsidRPr="00E42762">
        <w:rPr>
          <w:color w:val="000000"/>
        </w:rPr>
        <w:t>)</w:t>
      </w:r>
      <w:r w:rsidR="005C399B" w:rsidRPr="00E42762">
        <w:rPr>
          <w:color w:val="000000"/>
        </w:rPr>
        <w:t>.</w:t>
      </w:r>
    </w:p>
    <w:p w14:paraId="11D408FD" w14:textId="77777777" w:rsidR="005C399B" w:rsidRPr="00E42762" w:rsidRDefault="005C399B" w:rsidP="00E42762">
      <w:pPr>
        <w:widowControl/>
        <w:autoSpaceDE w:val="0"/>
        <w:autoSpaceDN w:val="0"/>
        <w:adjustRightInd w:val="0"/>
        <w:rPr>
          <w:color w:val="131413"/>
        </w:rPr>
      </w:pPr>
    </w:p>
    <w:p w14:paraId="46829FA0" w14:textId="668527B0" w:rsidR="00970DAA" w:rsidRPr="00E42762" w:rsidRDefault="000642D7" w:rsidP="00970DAA">
      <w:pPr>
        <w:widowControl/>
        <w:autoSpaceDE w:val="0"/>
        <w:autoSpaceDN w:val="0"/>
        <w:adjustRightInd w:val="0"/>
      </w:pPr>
      <w:r w:rsidRPr="00E42762">
        <w:t>Since MPTP induces oxidative damage that facilitates neurodegeneration, the effect of cyclo</w:t>
      </w:r>
      <w:r w:rsidRPr="00E42762">
        <w:rPr>
          <w:vertAlign w:val="subscript"/>
        </w:rPr>
        <w:t>(1-8)</w:t>
      </w:r>
      <w:r w:rsidRPr="00E42762">
        <w:t>OP on the expression of pro-apoptotic genes in the striatum of MPTP-treated mice was examined using real-time PCR. The results showed that the mRNA levels of caspase-3 (Casp-3; +</w:t>
      </w:r>
      <w:r w:rsidR="00D52B77" w:rsidRPr="00E42762">
        <w:t>117</w:t>
      </w:r>
      <w:r w:rsidRPr="00E42762">
        <w:t xml:space="preserve">% </w:t>
      </w:r>
      <w:r w:rsidRPr="00E42762">
        <w:rPr>
          <w:i/>
          <w:iCs/>
        </w:rPr>
        <w:t>vs</w:t>
      </w:r>
      <w:r w:rsidR="00A55BAE" w:rsidRPr="00E42762">
        <w:t>.</w:t>
      </w:r>
      <w:r w:rsidRPr="00E42762">
        <w:t xml:space="preserve"> sham group) were markedly increased in the striatum of MPTP-treated mice 7 days after the beginning of the treatment, and that cyclo</w:t>
      </w:r>
      <w:r w:rsidRPr="00E42762">
        <w:rPr>
          <w:vertAlign w:val="subscript"/>
        </w:rPr>
        <w:t>(1-8)</w:t>
      </w:r>
      <w:r w:rsidRPr="00E42762">
        <w:t>OP attenuated the MPTP-induced increase of caspase-3 expression (–</w:t>
      </w:r>
      <w:r w:rsidR="00D52B77" w:rsidRPr="00E42762">
        <w:t>30.3</w:t>
      </w:r>
      <w:r w:rsidRPr="00E42762">
        <w:t xml:space="preserve">% </w:t>
      </w:r>
      <w:r w:rsidRPr="00E42762">
        <w:rPr>
          <w:i/>
          <w:iCs/>
        </w:rPr>
        <w:t>vs</w:t>
      </w:r>
      <w:r w:rsidR="00A55BAE" w:rsidRPr="00E42762">
        <w:rPr>
          <w:i/>
          <w:iCs/>
        </w:rPr>
        <w:t>.</w:t>
      </w:r>
      <w:r w:rsidRPr="00E42762">
        <w:rPr>
          <w:i/>
          <w:iCs/>
        </w:rPr>
        <w:t xml:space="preserve"> </w:t>
      </w:r>
      <w:r w:rsidRPr="00E42762">
        <w:t>MPTP group</w:t>
      </w:r>
      <w:r w:rsidR="00BB007E" w:rsidRPr="00E42762">
        <w:t>)</w:t>
      </w:r>
      <w:r w:rsidRPr="00E42762">
        <w:t xml:space="preserve"> (</w:t>
      </w:r>
      <w:r w:rsidRPr="00E42762">
        <w:rPr>
          <w:b/>
          <w:bCs/>
        </w:rPr>
        <w:t>Figure 7</w:t>
      </w:r>
      <w:r w:rsidRPr="00E42762">
        <w:t>).</w:t>
      </w:r>
      <w:r w:rsidR="00970DAA">
        <w:t xml:space="preserve"> </w:t>
      </w:r>
      <w:r w:rsidR="00970DAA" w:rsidRPr="00E42762">
        <w:rPr>
          <w:rStyle w:val="Strong"/>
        </w:rPr>
        <w:t>Supplementary Figure 1</w:t>
      </w:r>
      <w:r w:rsidR="00424EDE">
        <w:rPr>
          <w:rStyle w:val="Strong"/>
        </w:rPr>
        <w:t xml:space="preserve"> </w:t>
      </w:r>
      <w:r w:rsidR="00AF3299">
        <w:rPr>
          <w:rStyle w:val="Strong"/>
          <w:b w:val="0"/>
          <w:bCs w:val="0"/>
        </w:rPr>
        <w:t>show</w:t>
      </w:r>
      <w:r w:rsidR="00424EDE">
        <w:rPr>
          <w:rStyle w:val="Strong"/>
          <w:b w:val="0"/>
          <w:bCs w:val="0"/>
        </w:rPr>
        <w:t>s</w:t>
      </w:r>
      <w:r w:rsidR="00A33973">
        <w:rPr>
          <w:rStyle w:val="Strong"/>
          <w:b w:val="0"/>
          <w:bCs w:val="0"/>
        </w:rPr>
        <w:t xml:space="preserve"> the </w:t>
      </w:r>
      <w:r w:rsidR="00970DAA" w:rsidRPr="00424EDE">
        <w:rPr>
          <w:rStyle w:val="Strong"/>
          <w:b w:val="0"/>
          <w:bCs w:val="0"/>
        </w:rPr>
        <w:t>motor coordination using the pole test.</w:t>
      </w:r>
      <w:r w:rsidR="00970DAA" w:rsidRPr="00E42762">
        <w:t xml:space="preserve"> T</w:t>
      </w:r>
      <w:r w:rsidR="00A33973">
        <w:t>he t</w:t>
      </w:r>
      <w:r w:rsidR="00970DAA" w:rsidRPr="00E42762">
        <w:t xml:space="preserve">ime taken to descend from the top to the bottom </w:t>
      </w:r>
      <w:r w:rsidR="00970DAA" w:rsidRPr="00E42762">
        <w:lastRenderedPageBreak/>
        <w:t xml:space="preserve">of the pole was measured. Results are shown as mean ± SEM (n = 6). One-way ANOVA with Bonferroni’s post hoc test was used; ns: not significant </w:t>
      </w:r>
      <w:r w:rsidR="00970DAA" w:rsidRPr="00E42762">
        <w:rPr>
          <w:i/>
          <w:iCs/>
        </w:rPr>
        <w:t>vs</w:t>
      </w:r>
      <w:r w:rsidR="00970DAA" w:rsidRPr="00E42762">
        <w:t>. saline group.</w:t>
      </w:r>
    </w:p>
    <w:p w14:paraId="31227F81" w14:textId="1C328AAE" w:rsidR="00B75009" w:rsidRPr="00E42762" w:rsidRDefault="00B75009" w:rsidP="00E42762">
      <w:pPr>
        <w:widowControl/>
        <w:autoSpaceDE w:val="0"/>
        <w:autoSpaceDN w:val="0"/>
        <w:adjustRightInd w:val="0"/>
      </w:pPr>
    </w:p>
    <w:p w14:paraId="02B4E4B4" w14:textId="18DA1098" w:rsidR="0069087C" w:rsidRPr="00E42762" w:rsidRDefault="0069087C" w:rsidP="00E42762">
      <w:pPr>
        <w:widowControl/>
        <w:autoSpaceDE w:val="0"/>
        <w:autoSpaceDN w:val="0"/>
        <w:adjustRightInd w:val="0"/>
        <w:rPr>
          <w:b/>
        </w:rPr>
      </w:pPr>
      <w:r w:rsidRPr="00E42762">
        <w:rPr>
          <w:b/>
        </w:rPr>
        <w:t>FIGURE AND TABLE LEGENDS</w:t>
      </w:r>
      <w:r w:rsidR="005C399B" w:rsidRPr="00E42762">
        <w:rPr>
          <w:b/>
        </w:rPr>
        <w:t>:</w:t>
      </w:r>
    </w:p>
    <w:p w14:paraId="028F8E22" w14:textId="77777777" w:rsidR="005C399B" w:rsidRPr="00E42762" w:rsidRDefault="005C399B" w:rsidP="00E42762">
      <w:pPr>
        <w:widowControl/>
        <w:autoSpaceDE w:val="0"/>
        <w:autoSpaceDN w:val="0"/>
        <w:adjustRightInd w:val="0"/>
        <w:rPr>
          <w:b/>
        </w:rPr>
      </w:pPr>
    </w:p>
    <w:p w14:paraId="2DE65A18" w14:textId="6493E073" w:rsidR="00A773E3" w:rsidRPr="00E42762" w:rsidRDefault="00953CED" w:rsidP="00E42762">
      <w:pPr>
        <w:widowControl/>
        <w:autoSpaceDE w:val="0"/>
        <w:autoSpaceDN w:val="0"/>
        <w:adjustRightInd w:val="0"/>
      </w:pPr>
      <w:r w:rsidRPr="00E42762">
        <w:rPr>
          <w:b/>
          <w:bCs/>
        </w:rPr>
        <w:t xml:space="preserve">Figure 1: Experimental </w:t>
      </w:r>
      <w:r w:rsidR="00AE3F44" w:rsidRPr="00E42762">
        <w:rPr>
          <w:b/>
          <w:bCs/>
        </w:rPr>
        <w:t>protocol</w:t>
      </w:r>
      <w:r w:rsidRPr="00E42762">
        <w:rPr>
          <w:b/>
          <w:bCs/>
        </w:rPr>
        <w:t xml:space="preserve"> for MPTP and cyclo</w:t>
      </w:r>
      <w:r w:rsidRPr="00E42762">
        <w:rPr>
          <w:b/>
          <w:bCs/>
          <w:vertAlign w:val="subscript"/>
        </w:rPr>
        <w:t>(1–8)</w:t>
      </w:r>
      <w:r w:rsidRPr="00E42762">
        <w:rPr>
          <w:b/>
          <w:bCs/>
        </w:rPr>
        <w:t xml:space="preserve">OP administration, behavioral testing, and tissue </w:t>
      </w:r>
      <w:r w:rsidR="00BE0BE1" w:rsidRPr="00E42762">
        <w:rPr>
          <w:b/>
          <w:bCs/>
        </w:rPr>
        <w:t>analyses</w:t>
      </w:r>
      <w:r w:rsidRPr="00E42762">
        <w:t>.</w:t>
      </w:r>
    </w:p>
    <w:p w14:paraId="2539F035" w14:textId="77777777" w:rsidR="00BE0BE1" w:rsidRPr="00E42762" w:rsidRDefault="00BE0BE1" w:rsidP="00E42762">
      <w:pPr>
        <w:widowControl/>
        <w:autoSpaceDE w:val="0"/>
        <w:autoSpaceDN w:val="0"/>
        <w:adjustRightInd w:val="0"/>
        <w:rPr>
          <w:bCs/>
          <w:color w:val="C0504D" w:themeColor="accent2"/>
        </w:rPr>
      </w:pPr>
    </w:p>
    <w:p w14:paraId="26F8B99D" w14:textId="77777777" w:rsidR="0069087C" w:rsidRPr="00E42762" w:rsidRDefault="0069087C" w:rsidP="00E42762">
      <w:pPr>
        <w:widowControl/>
        <w:autoSpaceDE w:val="0"/>
        <w:autoSpaceDN w:val="0"/>
        <w:adjustRightInd w:val="0"/>
        <w:rPr>
          <w:bCs/>
        </w:rPr>
      </w:pPr>
      <w:r w:rsidRPr="00E42762">
        <w:rPr>
          <w:b/>
        </w:rPr>
        <w:t>Figure 2: Experimental protocol of RT-PCR and biochemistry assays</w:t>
      </w:r>
      <w:r w:rsidRPr="00E42762">
        <w:rPr>
          <w:bCs/>
        </w:rPr>
        <w:t>.</w:t>
      </w:r>
    </w:p>
    <w:p w14:paraId="5117E6FA" w14:textId="77777777" w:rsidR="00A773E3" w:rsidRPr="00E42762" w:rsidRDefault="00A773E3" w:rsidP="00E42762">
      <w:pPr>
        <w:widowControl/>
        <w:autoSpaceDE w:val="0"/>
        <w:autoSpaceDN w:val="0"/>
        <w:adjustRightInd w:val="0"/>
        <w:rPr>
          <w:bCs/>
          <w:color w:val="C0504D" w:themeColor="accent2"/>
        </w:rPr>
      </w:pPr>
    </w:p>
    <w:p w14:paraId="5777679B" w14:textId="264FB91B" w:rsidR="0079580C" w:rsidRPr="00E42762" w:rsidRDefault="003E48B9" w:rsidP="00E42762">
      <w:pPr>
        <w:widowControl/>
        <w:autoSpaceDE w:val="0"/>
        <w:autoSpaceDN w:val="0"/>
        <w:adjustRightInd w:val="0"/>
      </w:pPr>
      <w:r w:rsidRPr="00E42762">
        <w:rPr>
          <w:rStyle w:val="Strong"/>
        </w:rPr>
        <w:t>Figure 3: Representative acute behavioral responses following peripheral MPTP injection.</w:t>
      </w:r>
      <w:r w:rsidRPr="00E42762">
        <w:t xml:space="preserve"> (</w:t>
      </w:r>
      <w:r w:rsidRPr="00E42762">
        <w:rPr>
          <w:b/>
          <w:bCs/>
        </w:rPr>
        <w:t>A</w:t>
      </w:r>
      <w:r w:rsidRPr="00E42762">
        <w:t>) Immobility; (B) Piloerection with curved spine; (</w:t>
      </w:r>
      <w:r w:rsidRPr="00E42762">
        <w:rPr>
          <w:b/>
          <w:bCs/>
        </w:rPr>
        <w:t>C</w:t>
      </w:r>
      <w:r w:rsidRPr="00E42762">
        <w:t>) Straub tail response.</w:t>
      </w:r>
    </w:p>
    <w:p w14:paraId="0091EC57" w14:textId="77777777" w:rsidR="003E48B9" w:rsidRPr="00E42762" w:rsidRDefault="003E48B9" w:rsidP="00E42762">
      <w:pPr>
        <w:widowControl/>
        <w:autoSpaceDE w:val="0"/>
        <w:autoSpaceDN w:val="0"/>
        <w:adjustRightInd w:val="0"/>
        <w:rPr>
          <w:bCs/>
          <w:color w:val="C0504D" w:themeColor="accent2"/>
        </w:rPr>
      </w:pPr>
    </w:p>
    <w:p w14:paraId="750ACEA4" w14:textId="2294DD33" w:rsidR="00A773E3" w:rsidRPr="00E42762" w:rsidRDefault="00161513" w:rsidP="00E42762">
      <w:pPr>
        <w:widowControl/>
        <w:autoSpaceDE w:val="0"/>
        <w:autoSpaceDN w:val="0"/>
        <w:adjustRightInd w:val="0"/>
        <w:rPr>
          <w:bCs/>
          <w:color w:val="C0504D" w:themeColor="accent2"/>
        </w:rPr>
      </w:pPr>
      <w:r w:rsidRPr="00E42762">
        <w:rPr>
          <w:rStyle w:val="Strong"/>
        </w:rPr>
        <w:t>Figure 4: Validation of intranasal (IN) administration technique in awake mice using methylene blue tracer.</w:t>
      </w:r>
      <w:r w:rsidRPr="00E42762">
        <w:t xml:space="preserve"> (</w:t>
      </w:r>
      <w:r w:rsidRPr="00E42762">
        <w:rPr>
          <w:b/>
          <w:bCs/>
        </w:rPr>
        <w:t>A</w:t>
      </w:r>
      <w:r w:rsidRPr="00E42762">
        <w:t>) Illustration of IN delivery using a micropipette; (</w:t>
      </w:r>
      <w:r w:rsidRPr="00E42762">
        <w:rPr>
          <w:b/>
          <w:bCs/>
        </w:rPr>
        <w:t>B</w:t>
      </w:r>
      <w:r w:rsidRPr="00E42762">
        <w:t>) Representative image showing tracer distribution in the brain post-IN administration.</w:t>
      </w:r>
    </w:p>
    <w:p w14:paraId="194D512C" w14:textId="77777777" w:rsidR="008A52E9" w:rsidRPr="00E42762" w:rsidRDefault="008A52E9" w:rsidP="00E42762">
      <w:pPr>
        <w:widowControl/>
        <w:autoSpaceDE w:val="0"/>
        <w:autoSpaceDN w:val="0"/>
        <w:adjustRightInd w:val="0"/>
        <w:rPr>
          <w:rStyle w:val="Strong"/>
        </w:rPr>
      </w:pPr>
    </w:p>
    <w:p w14:paraId="0ECFA2D0" w14:textId="33492CED" w:rsidR="00A773E3" w:rsidRPr="00E42762" w:rsidRDefault="007441AC" w:rsidP="00E42762">
      <w:pPr>
        <w:widowControl/>
        <w:autoSpaceDE w:val="0"/>
        <w:autoSpaceDN w:val="0"/>
        <w:adjustRightInd w:val="0"/>
        <w:rPr>
          <w:bCs/>
          <w:color w:val="C0504D" w:themeColor="accent2"/>
        </w:rPr>
      </w:pPr>
      <w:r w:rsidRPr="00E42762">
        <w:rPr>
          <w:rStyle w:val="Strong"/>
        </w:rPr>
        <w:t xml:space="preserve">Figure 5: Motor performance in the cylinder test </w:t>
      </w:r>
      <w:proofErr w:type="gramStart"/>
      <w:r w:rsidRPr="00E42762">
        <w:rPr>
          <w:rStyle w:val="Strong"/>
        </w:rPr>
        <w:t>at</w:t>
      </w:r>
      <w:proofErr w:type="gramEnd"/>
      <w:r w:rsidRPr="00E42762">
        <w:rPr>
          <w:rStyle w:val="Strong"/>
        </w:rPr>
        <w:t xml:space="preserve"> day 7 post-treatment.</w:t>
      </w:r>
      <w:r w:rsidRPr="00E42762">
        <w:t xml:space="preserve"> Quantification of rearing events. Data are presented as mean ± SEM (n = 6). Statistical analysis was performed using one-way ANOVA followed by Bonferroni’s test. ***</w:t>
      </w:r>
      <w:r w:rsidRPr="00E42762">
        <w:rPr>
          <w:i/>
          <w:iCs/>
        </w:rPr>
        <w:t>P</w:t>
      </w:r>
      <w:r w:rsidRPr="00E42762">
        <w:t xml:space="preserve"> &lt; 0.001 </w:t>
      </w:r>
      <w:r w:rsidRPr="00E42762">
        <w:rPr>
          <w:i/>
          <w:iCs/>
        </w:rPr>
        <w:t>vs</w:t>
      </w:r>
      <w:r w:rsidRPr="00E42762">
        <w:t xml:space="preserve">. saline-treated </w:t>
      </w:r>
      <w:proofErr w:type="gramStart"/>
      <w:r w:rsidRPr="00E42762">
        <w:t>mice; ###</w:t>
      </w:r>
      <w:proofErr w:type="gramEnd"/>
      <w:r w:rsidRPr="00E42762">
        <w:rPr>
          <w:i/>
          <w:iCs/>
        </w:rPr>
        <w:t>P</w:t>
      </w:r>
      <w:r w:rsidRPr="00E42762">
        <w:t xml:space="preserve"> &lt; 0.001 </w:t>
      </w:r>
      <w:r w:rsidRPr="00E42762">
        <w:rPr>
          <w:i/>
          <w:iCs/>
        </w:rPr>
        <w:t>vs</w:t>
      </w:r>
      <w:r w:rsidRPr="00E42762">
        <w:t xml:space="preserve">. MPTP-treated mice; ns: not significant </w:t>
      </w:r>
      <w:r w:rsidRPr="00E42762">
        <w:rPr>
          <w:i/>
          <w:iCs/>
        </w:rPr>
        <w:t>vs</w:t>
      </w:r>
      <w:r w:rsidRPr="00E42762">
        <w:t>. saline group.</w:t>
      </w:r>
    </w:p>
    <w:p w14:paraId="2FE029A1" w14:textId="77777777" w:rsidR="00F02167" w:rsidRPr="00E42762" w:rsidRDefault="00F02167" w:rsidP="00E42762">
      <w:pPr>
        <w:widowControl/>
        <w:autoSpaceDE w:val="0"/>
        <w:autoSpaceDN w:val="0"/>
        <w:adjustRightInd w:val="0"/>
        <w:rPr>
          <w:rStyle w:val="Strong"/>
        </w:rPr>
      </w:pPr>
      <w:bookmarkStart w:id="0" w:name="_Hlk198466469"/>
    </w:p>
    <w:p w14:paraId="4BD623F5" w14:textId="1397568D" w:rsidR="00A773E3" w:rsidRPr="00E42762" w:rsidRDefault="00FB5B20" w:rsidP="00E42762">
      <w:pPr>
        <w:widowControl/>
        <w:autoSpaceDE w:val="0"/>
        <w:autoSpaceDN w:val="0"/>
        <w:adjustRightInd w:val="0"/>
        <w:rPr>
          <w:bCs/>
          <w:color w:val="C0504D" w:themeColor="accent2"/>
        </w:rPr>
      </w:pPr>
      <w:r w:rsidRPr="00E42762">
        <w:rPr>
          <w:rStyle w:val="Strong"/>
        </w:rPr>
        <w:t xml:space="preserve">Figure 6: Quantification of oxidative stress markers in the striatum </w:t>
      </w:r>
      <w:proofErr w:type="gramStart"/>
      <w:r w:rsidRPr="00E42762">
        <w:rPr>
          <w:rStyle w:val="Strong"/>
        </w:rPr>
        <w:t>at</w:t>
      </w:r>
      <w:proofErr w:type="gramEnd"/>
      <w:r w:rsidRPr="00E42762">
        <w:rPr>
          <w:rStyle w:val="Strong"/>
        </w:rPr>
        <w:t xml:space="preserve"> day 7.</w:t>
      </w:r>
      <w:r w:rsidRPr="00E42762">
        <w:t xml:space="preserve"> (</w:t>
      </w:r>
      <w:r w:rsidRPr="00E42762">
        <w:rPr>
          <w:b/>
          <w:bCs/>
        </w:rPr>
        <w:t>A</w:t>
      </w:r>
      <w:r w:rsidRPr="00E42762">
        <w:t>) Reactive oxygen species (ROS); (</w:t>
      </w:r>
      <w:r w:rsidRPr="00E42762">
        <w:rPr>
          <w:b/>
          <w:bCs/>
        </w:rPr>
        <w:t>B</w:t>
      </w:r>
      <w:r w:rsidRPr="00E42762">
        <w:t>) Malondialdehyde (MDA); (</w:t>
      </w:r>
      <w:r w:rsidRPr="00E42762">
        <w:rPr>
          <w:b/>
          <w:bCs/>
        </w:rPr>
        <w:t>C</w:t>
      </w:r>
      <w:r w:rsidRPr="00E42762">
        <w:t>) Protein carbonylation (PCO); (</w:t>
      </w:r>
      <w:r w:rsidRPr="00E42762">
        <w:rPr>
          <w:b/>
          <w:bCs/>
        </w:rPr>
        <w:t>D</w:t>
      </w:r>
      <w:r w:rsidRPr="00E42762">
        <w:t>) Superoxide dismutase (SOD); (</w:t>
      </w:r>
      <w:r w:rsidRPr="00E42762">
        <w:rPr>
          <w:b/>
          <w:bCs/>
        </w:rPr>
        <w:t>E</w:t>
      </w:r>
      <w:r w:rsidRPr="00E42762">
        <w:t>) Catalase (CAT). Mice received NaCl (Sham), MPTP (3 × 20 mg/kg), cyclo</w:t>
      </w:r>
      <w:r w:rsidRPr="00E42762">
        <w:rPr>
          <w:vertAlign w:val="subscript"/>
        </w:rPr>
        <w:t>(1–8)</w:t>
      </w:r>
      <w:r w:rsidRPr="00E42762">
        <w:t>OP (10 ng/10 μL), or MPTP + cyclo</w:t>
      </w:r>
      <w:r w:rsidRPr="00E42762">
        <w:rPr>
          <w:vertAlign w:val="subscript"/>
        </w:rPr>
        <w:t>(1–8)</w:t>
      </w:r>
      <w:r w:rsidRPr="00E42762">
        <w:t>OP. Results are shown as % of control, mean ± SEM (n = 6). ANOVA with Bonferroni’s post hoc test: **</w:t>
      </w:r>
      <w:r w:rsidRPr="00E42762">
        <w:rPr>
          <w:i/>
          <w:iCs/>
        </w:rPr>
        <w:t>P</w:t>
      </w:r>
      <w:r w:rsidRPr="00E42762">
        <w:t xml:space="preserve"> &lt; 0.01, ***</w:t>
      </w:r>
      <w:r w:rsidRPr="00E42762">
        <w:rPr>
          <w:i/>
          <w:iCs/>
        </w:rPr>
        <w:t>P</w:t>
      </w:r>
      <w:r w:rsidRPr="00E42762">
        <w:t xml:space="preserve"> &lt; 0.001 </w:t>
      </w:r>
      <w:r w:rsidRPr="00E42762">
        <w:rPr>
          <w:i/>
          <w:iCs/>
        </w:rPr>
        <w:t>vs</w:t>
      </w:r>
      <w:r w:rsidRPr="00E42762">
        <w:t xml:space="preserve">. </w:t>
      </w:r>
      <w:proofErr w:type="gramStart"/>
      <w:r w:rsidRPr="00E42762">
        <w:t>saline; #</w:t>
      </w:r>
      <w:proofErr w:type="gramEnd"/>
      <w:r w:rsidRPr="00E42762">
        <w:rPr>
          <w:i/>
          <w:iCs/>
        </w:rPr>
        <w:t>P</w:t>
      </w:r>
      <w:r w:rsidRPr="00E42762">
        <w:t xml:space="preserve"> &lt; </w:t>
      </w:r>
      <w:proofErr w:type="gramStart"/>
      <w:r w:rsidRPr="00E42762">
        <w:t>0.05, ##</w:t>
      </w:r>
      <w:proofErr w:type="gramEnd"/>
      <w:r w:rsidRPr="00E42762">
        <w:t xml:space="preserve">P &lt; </w:t>
      </w:r>
      <w:proofErr w:type="gramStart"/>
      <w:r w:rsidRPr="00E42762">
        <w:t>0.01, ###</w:t>
      </w:r>
      <w:proofErr w:type="gramEnd"/>
      <w:r w:rsidRPr="00E42762">
        <w:rPr>
          <w:i/>
          <w:iCs/>
        </w:rPr>
        <w:t>P</w:t>
      </w:r>
      <w:r w:rsidRPr="00E42762">
        <w:t xml:space="preserve"> &lt; 0.001 </w:t>
      </w:r>
      <w:r w:rsidRPr="00E42762">
        <w:rPr>
          <w:i/>
          <w:iCs/>
        </w:rPr>
        <w:t>vs</w:t>
      </w:r>
      <w:r w:rsidRPr="00E42762">
        <w:t>. MPTP; ns: not significant</w:t>
      </w:r>
      <w:r w:rsidRPr="00E42762">
        <w:rPr>
          <w:i/>
          <w:iCs/>
        </w:rPr>
        <w:t xml:space="preserve"> vs</w:t>
      </w:r>
      <w:r w:rsidRPr="00E42762">
        <w:t>. saline.</w:t>
      </w:r>
    </w:p>
    <w:bookmarkEnd w:id="0"/>
    <w:p w14:paraId="681DABF8" w14:textId="07EA3A66" w:rsidR="0079580C" w:rsidRPr="00E42762" w:rsidRDefault="0079580C" w:rsidP="00E42762">
      <w:pPr>
        <w:widowControl/>
        <w:autoSpaceDE w:val="0"/>
        <w:autoSpaceDN w:val="0"/>
        <w:adjustRightInd w:val="0"/>
        <w:rPr>
          <w:bCs/>
          <w:color w:val="C0504D" w:themeColor="accent2"/>
          <w:u w:val="single" w:color="FF0000"/>
        </w:rPr>
      </w:pPr>
    </w:p>
    <w:p w14:paraId="7A4AAC32" w14:textId="27D22835" w:rsidR="00590415" w:rsidRPr="00E42762" w:rsidRDefault="00590415" w:rsidP="00E42762">
      <w:pPr>
        <w:widowControl/>
        <w:autoSpaceDE w:val="0"/>
        <w:autoSpaceDN w:val="0"/>
        <w:adjustRightInd w:val="0"/>
      </w:pPr>
      <w:r w:rsidRPr="00E42762">
        <w:rPr>
          <w:rStyle w:val="Strong"/>
        </w:rPr>
        <w:t>Figure 7: Caspase-3 mRNA expression in the striatum as an apoptosis marker.</w:t>
      </w:r>
      <w:r w:rsidRPr="00E42762">
        <w:t xml:space="preserve"> Seven days after treatment, caspase-3 expression was measured and normalized to GAPDH. Data are shown as % of control, mean ± SEM (n = 6). Statistical analysis was conducted using ANOVA followed by Bonferroni’s test. ***</w:t>
      </w:r>
      <w:r w:rsidRPr="00E42762">
        <w:rPr>
          <w:i/>
          <w:iCs/>
        </w:rPr>
        <w:t>P</w:t>
      </w:r>
      <w:r w:rsidRPr="00E42762">
        <w:t xml:space="preserve"> &lt; 0.001 </w:t>
      </w:r>
      <w:r w:rsidRPr="00E42762">
        <w:rPr>
          <w:i/>
          <w:iCs/>
        </w:rPr>
        <w:t>vs</w:t>
      </w:r>
      <w:r w:rsidRPr="00E42762">
        <w:t xml:space="preserve">. saline-treated </w:t>
      </w:r>
      <w:proofErr w:type="gramStart"/>
      <w:r w:rsidRPr="00E42762">
        <w:t>mice; #</w:t>
      </w:r>
      <w:proofErr w:type="gramEnd"/>
      <w:r w:rsidRPr="00E42762">
        <w:rPr>
          <w:i/>
          <w:iCs/>
        </w:rPr>
        <w:t xml:space="preserve">P </w:t>
      </w:r>
      <w:r w:rsidRPr="00E42762">
        <w:t xml:space="preserve">&lt; 0.01 </w:t>
      </w:r>
      <w:r w:rsidRPr="00E42762">
        <w:rPr>
          <w:i/>
          <w:iCs/>
        </w:rPr>
        <w:t>vs</w:t>
      </w:r>
      <w:r w:rsidRPr="00E42762">
        <w:t xml:space="preserve">. MPTP-treated mice; ns: not significant </w:t>
      </w:r>
      <w:r w:rsidRPr="00E42762">
        <w:rPr>
          <w:i/>
          <w:iCs/>
        </w:rPr>
        <w:t>vs</w:t>
      </w:r>
      <w:r w:rsidRPr="00E42762">
        <w:t>. saline.</w:t>
      </w:r>
    </w:p>
    <w:p w14:paraId="7D519999" w14:textId="77777777" w:rsidR="00A1422F" w:rsidRPr="00E42762" w:rsidRDefault="00A1422F" w:rsidP="00E42762">
      <w:pPr>
        <w:widowControl/>
        <w:autoSpaceDE w:val="0"/>
        <w:autoSpaceDN w:val="0"/>
        <w:adjustRightInd w:val="0"/>
        <w:rPr>
          <w:bCs/>
          <w:color w:val="C0504D" w:themeColor="accent2"/>
        </w:rPr>
      </w:pPr>
    </w:p>
    <w:p w14:paraId="36A978CD" w14:textId="7AFB43A8" w:rsidR="00A1422F" w:rsidRPr="00E42762" w:rsidRDefault="00A1422F" w:rsidP="00E42762">
      <w:pPr>
        <w:widowControl/>
        <w:autoSpaceDE w:val="0"/>
        <w:autoSpaceDN w:val="0"/>
        <w:adjustRightInd w:val="0"/>
      </w:pPr>
      <w:r w:rsidRPr="00E42762">
        <w:rPr>
          <w:b/>
          <w:bCs/>
        </w:rPr>
        <w:t>Table 1: Primer sequences used for real-time PCR analysis</w:t>
      </w:r>
      <w:r w:rsidRPr="00E42762">
        <w:t>.</w:t>
      </w:r>
    </w:p>
    <w:p w14:paraId="6980F0AF" w14:textId="77777777" w:rsidR="00534AB9" w:rsidRPr="00E42762" w:rsidRDefault="00534AB9" w:rsidP="00E42762">
      <w:pPr>
        <w:widowControl/>
        <w:autoSpaceDE w:val="0"/>
        <w:autoSpaceDN w:val="0"/>
        <w:adjustRightInd w:val="0"/>
        <w:rPr>
          <w:bCs/>
          <w:u w:val="single" w:color="FF0000"/>
        </w:rPr>
      </w:pPr>
    </w:p>
    <w:p w14:paraId="7977D1A3" w14:textId="55899ED3" w:rsidR="00B56AEA" w:rsidRPr="00E42762" w:rsidRDefault="00B56AEA" w:rsidP="00E42762">
      <w:pPr>
        <w:widowControl/>
        <w:autoSpaceDE w:val="0"/>
        <w:autoSpaceDN w:val="0"/>
        <w:adjustRightInd w:val="0"/>
      </w:pPr>
      <w:r w:rsidRPr="00E42762">
        <w:rPr>
          <w:rStyle w:val="Strong"/>
        </w:rPr>
        <w:t>Supplementary Figure 1: Evaluation of motor coordination using the pole test.</w:t>
      </w:r>
      <w:r w:rsidRPr="00E42762">
        <w:t xml:space="preserve"> Time taken to descend from the top to the bottom of the pole was measured. Results are shown as mean ± SEM (n = 6). One-way ANOVA with Bonferroni’s post hoc test was used; ns: not significant </w:t>
      </w:r>
      <w:r w:rsidRPr="00E42762">
        <w:rPr>
          <w:i/>
          <w:iCs/>
        </w:rPr>
        <w:t>vs</w:t>
      </w:r>
      <w:r w:rsidRPr="00E42762">
        <w:t>. saline group.</w:t>
      </w:r>
    </w:p>
    <w:p w14:paraId="135DA439" w14:textId="77777777" w:rsidR="002F65EC" w:rsidRPr="00E42762" w:rsidRDefault="002F65EC" w:rsidP="00E42762">
      <w:pPr>
        <w:widowControl/>
        <w:autoSpaceDE w:val="0"/>
        <w:autoSpaceDN w:val="0"/>
        <w:adjustRightInd w:val="0"/>
        <w:rPr>
          <w:bCs/>
          <w:u w:val="single" w:color="FF0000"/>
        </w:rPr>
      </w:pPr>
    </w:p>
    <w:p w14:paraId="13CBFFB3" w14:textId="6C2C523A" w:rsidR="004C0E0A" w:rsidRPr="00E42762" w:rsidRDefault="00551D82" w:rsidP="00E42762">
      <w:pPr>
        <w:rPr>
          <w:b/>
        </w:rPr>
      </w:pPr>
      <w:r w:rsidRPr="00E42762">
        <w:rPr>
          <w:b/>
        </w:rPr>
        <w:t>DISCUSSION</w:t>
      </w:r>
      <w:r w:rsidR="005C399B" w:rsidRPr="00E42762">
        <w:rPr>
          <w:b/>
        </w:rPr>
        <w:t>:</w:t>
      </w:r>
    </w:p>
    <w:p w14:paraId="4CC3AC80" w14:textId="07F4BFA9" w:rsidR="00F773CF" w:rsidRPr="00E42762" w:rsidRDefault="000642D7" w:rsidP="00E42762">
      <w:pPr>
        <w:widowControl/>
        <w:autoSpaceDE w:val="0"/>
        <w:autoSpaceDN w:val="0"/>
        <w:adjustRightInd w:val="0"/>
      </w:pPr>
      <w:r w:rsidRPr="00E42762">
        <w:lastRenderedPageBreak/>
        <w:t>Previous studies demonstrated that ICV administration of ODN counteracted MPTP-induced degeneration of nigrostriatal dopaminergic neurons, oxidative damage, and neuroinflammation</w:t>
      </w:r>
      <w:r w:rsidR="00706D3C" w:rsidRPr="00E42762">
        <w:fldChar w:fldCharType="begin"/>
      </w:r>
      <w:r w:rsidR="00655BCC" w:rsidRPr="00E42762">
        <w:instrText xml:space="preserve"> ADDIN ZOTERO_ITEM CSL_CITATION {"citationID":"Vmu22Rdt","properties":{"formattedCitation":"(8)","plainCitation":"(8)","noteIndex":0},"citationItems":[{"id":"dKMGonER/xkNm4sD3","uris":["http://zotero.org/users/local/gyNd5DuB/items/KQ478BEV"],"itemData":{"id":85,"type":"article-journal","abstract":"Parkinson's disease (PD) is a neurodegenerative disorder characterized by a progressive loss of dopamine (DA) neurons through apoptotic, inflammatory and oxidative stress mechanisms. The octadecaneuropeptide (ODN) is a diazepam-binding inhibitor (DBI)-derived peptide, expressed by astrocytes, which protects neurons against oxidative cell damages and apoptosis in an in vitro model of PD. The present study reveals that a single intracerebroventricular injection of 10 ng ODN 1 h after the last administration of 1-methyl-4-phenyl-1,2,3,6-tetrahydropyridine (MPTP) prevented the degeneration of DA neurons induced by the toxin in the substantia nigra pars compacta of mice, 7 days after treatment. ODN-mediated neuroprotection was associated with a reduction of the number of glial fibrillary acidic protein-positive reactive astrocytes and a strong inhibition of the expression of pro-inflammatory genes such as interleukins 1β and 6, and tumor necrosis factor-α. Moreover, ODN blocked the inhibition of the anti-apoptotic gene Bcl-2, and the stimulation of the pro-apoptotic genes Bax and caspase-3, induced by MPTP in the substantia nigra pars compacta. ODN also decreased or even in some cases abolished MPTP-induced oxidative damages, overproduction of reactive oxygen species and accumulation of lipid oxidation products in DA neurons. Furthermore, DBI knockout mice appeared to be more vulnerable than wild-type animals to MPTP neurotoxicity. Taken together, these results show that the gliopeptide ODN exerts a potent neuroprotective effect against MPTP-induced degeneration of nigrostriatal DA neurons in mice, through mechanisms involving downregulation of neuroinflammatory, oxidative and apoptotic processes. ODN may, thus, reduce neuronal damages in PD and other cerebral injuries involving oxidative neurodegeneration.","container-title":"Cellular and molecular life sciences: CMLS","DOI":"10.1007/s00018-017-2727-2","ISSN":"1420-9071","issue":"11","journalAbbreviation":"Cell Mol Life Sci","language":"eng","note":"PMID: 29264673\nPMCID: PMC11105203","page":"2075-2091","source":"PubMed","title":"Neuroprotective effects of the gliopeptide ODN in an in vivo model of Parkinson's disease","volume":"75","author":[{"family":"Bahdoudi","given":"Seyma"},{"family":"Ghouili","given":"Ikram"},{"family":"Hmiden","given":"Mansour"},{"family":"Rego","given":"Jean-Luc","non-dropping-particle":"do"},{"family":"Lefranc","given":"Benjamin"},{"family":"Leprince","given":"Jérôme"},{"family":"Chuquet","given":"Julien"},{"family":"Rego","given":"Jean-Claude","non-dropping-particle":"do"},{"family":"Marcher","given":"Ann-Britt"},{"family":"Mandrup","given":"Susanne"},{"family":"Vaudry","given":"Hubert"},{"family":"Tonon","given":"Marie-Christine"},{"family":"Amri","given":"Mohamed"},{"family":"Masmoudi-Kouki","given":"Olfa"},{"family":"Vaudry","given":"David"}],"issued":{"date-parts":[["2018",6]]}}}],"schema":"https://github.com/citation-style-language/schema/raw/master/csl-citation.json"} </w:instrText>
      </w:r>
      <w:r w:rsidR="00706D3C" w:rsidRPr="00E42762">
        <w:fldChar w:fldCharType="separate"/>
      </w:r>
      <w:r w:rsidR="00655BCC" w:rsidRPr="00E42762">
        <w:rPr>
          <w:vertAlign w:val="superscript"/>
        </w:rPr>
        <w:t>8</w:t>
      </w:r>
      <w:r w:rsidR="00706D3C" w:rsidRPr="00E42762">
        <w:fldChar w:fldCharType="end"/>
      </w:r>
      <w:r w:rsidR="00F773CF" w:rsidRPr="00E42762">
        <w:t xml:space="preserve">. </w:t>
      </w:r>
      <w:r w:rsidRPr="00E42762">
        <w:t>The current investigation assessed the efficacy of IN delivery of the ODN analog, cyclo</w:t>
      </w:r>
      <w:r w:rsidRPr="00E42762">
        <w:rPr>
          <w:vertAlign w:val="subscript"/>
        </w:rPr>
        <w:t>(1-8)</w:t>
      </w:r>
      <w:r w:rsidRPr="00E42762">
        <w:t xml:space="preserve">OP, for preventing MPTP-induced motor impairments, oxidative damage, and neurotoxicity in an </w:t>
      </w:r>
      <w:r w:rsidRPr="00E42762">
        <w:rPr>
          <w:i/>
          <w:iCs/>
        </w:rPr>
        <w:t>in vivo</w:t>
      </w:r>
      <w:r w:rsidRPr="00E42762">
        <w:t xml:space="preserve"> PD model using C57BL/6J mice</w:t>
      </w:r>
      <w:r w:rsidR="00F773CF" w:rsidRPr="00E42762">
        <w:t>.</w:t>
      </w:r>
    </w:p>
    <w:p w14:paraId="6B4F42DE" w14:textId="77777777" w:rsidR="00E61A25" w:rsidRPr="00E42762" w:rsidRDefault="00E61A25" w:rsidP="00E42762">
      <w:pPr>
        <w:widowControl/>
        <w:autoSpaceDE w:val="0"/>
        <w:autoSpaceDN w:val="0"/>
        <w:adjustRightInd w:val="0"/>
      </w:pPr>
    </w:p>
    <w:p w14:paraId="000CDEA4" w14:textId="75A3FA77" w:rsidR="0031307F" w:rsidRPr="00E42762" w:rsidRDefault="00CC5131" w:rsidP="00E42762">
      <w:pPr>
        <w:widowControl/>
        <w:autoSpaceDE w:val="0"/>
        <w:autoSpaceDN w:val="0"/>
        <w:adjustRightInd w:val="0"/>
      </w:pPr>
      <w:r w:rsidRPr="00E42762">
        <w:t xml:space="preserve">The </w:t>
      </w:r>
      <w:r w:rsidR="00065BC5" w:rsidRPr="00E42762">
        <w:t>results demonstrated that MPTP-treated mice exhibited characteristic Parkinsonian symptoms</w:t>
      </w:r>
      <w:r w:rsidR="00846688" w:rsidRPr="00E42762">
        <w:rPr>
          <w:vertAlign w:val="superscript"/>
        </w:rPr>
        <w:fldChar w:fldCharType="begin"/>
      </w:r>
      <w:r w:rsidR="00655BCC" w:rsidRPr="00E42762">
        <w:rPr>
          <w:vertAlign w:val="superscript"/>
        </w:rPr>
        <w:instrText xml:space="preserve"> ADDIN ZOTERO_ITEM CSL_CITATION {"citationID":"snLjJfC4","properties":{"formattedCitation":"(27)","plainCitation":"(27)","noteIndex":0},"citationItems":[{"id":"dKMGonER/gKjVW3yf","uris":["http://zotero.org/users/local/gyNd5DuB/items/PFWKAY3Y"],"itemData":{"id":114,"type":"article-journal","abstract":"This protocol describes our method of producing a reliable mouse model of Parkinson's disease (PD) using the neurotoxin 1-methyl-4-phenyl-1,2,3,6-tetrahydropyridine (MPTP). We discuss the particulars of the model, provide key references and outline what investigators need to know to develop the MPTP mouse model of PD safely and successfully. Completion of this protocol depends on the regimen of MPTP used and on the actual planned studies, which often range from 7 to 30 d. This protocol calls for implementation of safety measures and for the acquisition of several pieces of equipment, which are a one-time investment worth making if one elects to use this model on a regular basis.","container-title":"Nature Protocols","DOI":"10.1038/nprot.2006.342","ISSN":"1750-2799","issue":"1","journalAbbreviation":"Nat Protoc","language":"eng","note":"PMID: 17401348","page":"141-151","source":"PubMed","title":"Protocol for the MPTP mouse model of Parkinson's disease","volume":"2","author":[{"family":"Jackson-Lewis","given":"Vernice"},{"family":"Przedborski","given":"Serge"}],"issued":{"date-parts":[["2007"]]}}}],"schema":"https://github.com/citation-style-language/schema/raw/master/csl-citation.json"} </w:instrText>
      </w:r>
      <w:r w:rsidR="00846688" w:rsidRPr="00E42762">
        <w:rPr>
          <w:vertAlign w:val="superscript"/>
        </w:rPr>
        <w:fldChar w:fldCharType="separate"/>
      </w:r>
      <w:r w:rsidR="00655BCC" w:rsidRPr="00E42762">
        <w:rPr>
          <w:vertAlign w:val="superscript"/>
        </w:rPr>
        <w:t>27</w:t>
      </w:r>
      <w:r w:rsidR="00846688" w:rsidRPr="00E42762">
        <w:rPr>
          <w:vertAlign w:val="superscript"/>
        </w:rPr>
        <w:fldChar w:fldCharType="end"/>
      </w:r>
      <w:r w:rsidR="009F29B2" w:rsidRPr="00E42762">
        <w:t xml:space="preserve">, </w:t>
      </w:r>
      <w:r w:rsidR="00065BC5" w:rsidRPr="00E42762">
        <w:t xml:space="preserve">including an elevated and rigid Straub tail, piloerection, immobility, and postural abnormalities such as curved spines, thereby confirming the successful induction of Parkinsonian motor symptoms in the MPTP mouse model. </w:t>
      </w:r>
      <w:r w:rsidR="000642D7" w:rsidRPr="00E42762">
        <w:t xml:space="preserve">To verify the efficacy of the </w:t>
      </w:r>
      <w:proofErr w:type="gramStart"/>
      <w:r w:rsidR="000642D7" w:rsidRPr="00E42762">
        <w:t>IN delivery</w:t>
      </w:r>
      <w:proofErr w:type="gramEnd"/>
      <w:r w:rsidR="000642D7" w:rsidRPr="00E42762">
        <w:t xml:space="preserve"> route, methylene blue administration was used, demonstrating effective dye distribution within the targeted olfactory bulb and brain, which supports the accuracy of this approach and its potential suitability for delivering therapeutic agents to the CNS. </w:t>
      </w:r>
      <w:r w:rsidR="002E7ACB" w:rsidRPr="00E42762">
        <w:t xml:space="preserve">IN </w:t>
      </w:r>
      <w:r w:rsidR="00C80281" w:rsidRPr="00E42762">
        <w:t xml:space="preserve">administration has emerged as a promising and efficient route for delivering therapeutic agents to the brain, particularly in cases where a rapid onset or bypassing </w:t>
      </w:r>
      <w:r w:rsidR="00D47B0F">
        <w:t xml:space="preserve">of </w:t>
      </w:r>
      <w:r w:rsidR="00C80281" w:rsidRPr="00E42762">
        <w:t>the BBB is essential</w:t>
      </w:r>
      <w:r w:rsidR="00DF7846" w:rsidRPr="00E42762">
        <w:rPr>
          <w:vertAlign w:val="superscript"/>
        </w:rPr>
        <w:fldChar w:fldCharType="begin"/>
      </w:r>
      <w:r w:rsidR="00655BCC" w:rsidRPr="00E42762">
        <w:rPr>
          <w:vertAlign w:val="superscript"/>
        </w:rPr>
        <w:instrText xml:space="preserve"> ADDIN ZOTERO_ITEM CSL_CITATION {"citationID":"xDH8eVyw","properties":{"formattedCitation":"(28,29)","plainCitation":"(28,29)","noteIndex":0},"citationItems":[{"id":"dKMGonER/HdbMVDPB","uris":["http://zotero.org/users/local/gyNd5DuB/items/DVT9YSTI"],"itemData":{"id":163,"type":"article-journal","abstract":"The aim of this work was to study in rats the nasal route for the brain delivery of the vasoactive intestinal peptide (VIP) neuropeptide. After evaluating VIP stability in solutions obtained from nasal washes, the effect of formulation parameters (pH 4-9, 0-1% (w/v) lauroylcarnitine (LC), hypo- or isoosmolality) on the brain uptake of intranasally administered VIP (10(-8)M)/125I-VIP (300,000 cpm/ml) was studied, using an in situ perfusion technique. Brain radioactivity distribution was assessed by quantitative autoradiographic analysis. Results were compared to intravenously administered VIP. With a hypotonic formulation at pH 4 containing 0.1% LC and 1% bovine serum albumin, VIP stability was satisfactory and loss by adsorption was minimal. Using this formulation, around 0.11% of initial radioactivity was found in the brain after 30 min perfusion and was located in the olfactory bulbs, the midbrain and the cerebellum. HPLC analysis of brain and blood extracts demonstrated the presence of intact VIP in brain and its complete degradation in the blood compartment. By intravenous administration, no intact VIP was found either in brain or in blood. In conclusion, intact VIP could be delivered successfully to the brain using the intranasal route for administration.","container-title":"International Journal of Pharmaceutics","DOI":"10.1016/s0378-5173(03)00039-5","ISSN":"0378-5173","issue":"1-2","journalAbbreviation":"Int J Pharm","language":"eng","note":"PMID: 12672605","page":"87-97","source":"PubMed","title":"Brain delivery of vasoactive intestinal peptide (VIP) following nasal administration to rats","volume":"255","author":[{"family":"Dufes","given":"Christine"},{"family":"Olivier","given":"Jean-Christophe"},{"family":"Gaillard","given":"Frédéric"},{"family":"Gaillard","given":"Afsaneh"},{"family":"Couet","given":"William"},{"family":"Muller","given":"Jean-Marc"}],"issued":{"date-parts":[["2003",4,14]]}}},{"id":"dKMGonER/AnkVjQyx","uris":["http://zotero.org/users/local/gyNd5DuB/items/NN2F94XH"],"itemData":{"id":169,"type":"article-journal","abstract":"Depression is a common mental disorder. Its treatment with selective serotonin reuptake inhibitors (SSRIs) is effective only in a fraction of patients, and pharmacoresistance is increasing steadily. Intranasal (IN) drug delivery to the brain stands out as a promising strategy to improve current therapeutic approaches by operating as a shuttle to overcome the blood-brain barrier. This work aimed to simultaneously administer escitalopram and paroxetine by IN route to mice. For this purpose, three nanostructured lipid carriers (NLC1, NLC2, and BorNLC) and one nanoemulsion (NE) were tested for drug loading. After their characterization, investigation of their impact on nasal cell viability and SSRI permeability assays were performed, using a human nasal RPMI 2650 cell line in air-liquid interface. In vitro assays demonstrated that NLCs, including borneol (BorNLC), significantly increased escitalopram permeability (p &lt; 0.01) and paroxetine recovery values (p &lt; 0.05) in relation to the other formulations and non-encapsulated drugs. IN and intravenous (IV) pharmacokinetic studies performed in vivo with a single dose of 2.38 mg/kg demonstrated similar results for escitalopram brain-to-plasma ratios. IN administrations delayed escitalopram peak concentrations in the brain for 15-60 min and no direct nose-to-brain delivery was detected. However, encapsulation with BorNLC considerably decreased escitalopram exposure in the lungs (124 μg min/g) compared with free escitalopram by IN (168 μg min/g) and IV (321 μg min/g) routes. Surprisingly, BorNLC IN instillation increased concentration levels of paroxetine in the brain by five times and accelerated brain drug delivery. Once again, lung exposure was considerably lower with BorNLC (AUCt = 0.433 μg min/g) than that with IV administration (AUCt = 1.01 μg min/g) and non-encapsulated IN formulation (AUCt = 2.82 μg min/g). Direct nose-to-brain delivery was observed for paroxetine IN administration with a direct transport percentage (DTP) of 56.9%. If encapsulated, it increases to 74.2%. These results clearly emphasize that nose-to-brain delivery and lung exposure depend on the formulation and on the characteristics of the drug under investigation. NLCs seem to be an advantageous strategy for nose-to-brain delivery of lipophilic molecules, since they reduce systemic and lung exposure, thereby decreasing adverse effects. For hydrophilic compounds, NLCs are particularly important to decrease lung exposure after IN administration.","container-title":"Frontiers in Pharmacology","DOI":"10.3389/fphar.2021.751321","ISSN":"1663-9812","journalAbbreviation":"Front Pharmacol","language":"eng","note":"PMID: 34925013\nPMCID: PMC8675330","page":"751321","source":"PubMed","title":"Encapsulated Escitalopram and Paroxetine Intranasal Co-Administration: In Vitro/In Vivo Evaluation","title-short":"Encapsulated Escitalopram and Paroxetine Intranasal Co-Administration","volume":"12","author":[{"family":"Silva","given":"Soraia"},{"family":"Bicker","given":"Joana"},{"family":"Fonseca","given":"Carla"},{"family":"Ferreira","given":"Nuno R."},{"family":"Vitorino","given":"Carla"},{"family":"Alves","given":"Gilberto"},{"family":"Falcão","given":"Amílcar"},{"family":"Fortuna","given":"Ana"}],"issued":{"date-parts":[["2021"]]}}}],"schema":"https://github.com/citation-style-language/schema/raw/master/csl-citation.json"} </w:instrText>
      </w:r>
      <w:r w:rsidR="00DF7846" w:rsidRPr="00E42762">
        <w:rPr>
          <w:vertAlign w:val="superscript"/>
        </w:rPr>
        <w:fldChar w:fldCharType="separate"/>
      </w:r>
      <w:r w:rsidR="00655BCC" w:rsidRPr="00E42762">
        <w:rPr>
          <w:vertAlign w:val="superscript"/>
        </w:rPr>
        <w:t>28,29</w:t>
      </w:r>
      <w:r w:rsidR="00DF7846" w:rsidRPr="00E42762">
        <w:rPr>
          <w:vertAlign w:val="superscript"/>
        </w:rPr>
        <w:fldChar w:fldCharType="end"/>
      </w:r>
      <w:r w:rsidR="00C80281" w:rsidRPr="00E42762">
        <w:t>. This approach leverages direct access to the brain via the olfactory and trigeminal nerve pathways, circumventing the BBB, enabling rapid absorption, and allowing for faster onset of action with low doses, thereby reducing potential side effects often associated with systemic administration</w:t>
      </w:r>
      <w:r w:rsidR="008C434C" w:rsidRPr="00E42762">
        <w:rPr>
          <w:vertAlign w:val="superscript"/>
        </w:rPr>
        <w:fldChar w:fldCharType="begin"/>
      </w:r>
      <w:r w:rsidR="00655BCC" w:rsidRPr="00E42762">
        <w:rPr>
          <w:vertAlign w:val="superscript"/>
        </w:rPr>
        <w:instrText xml:space="preserve"> ADDIN ZOTERO_ITEM CSL_CITATION {"citationID":"x77XeC13","properties":{"formattedCitation":"(30,31)","plainCitation":"(30,31)","noteIndex":0},"citationItems":[{"id":"dKMGonER/q29Q2Zwo","uris":["http://zotero.org/users/local/gyNd5DuB/items/BWPDCDEL"],"itemData":{"id":173,"type":"article-journal","container-title":"Artificial Cells, Nanomedicine, and Biotechnology","DOI":"10.1080/21691401.2017.1420073","ISSN":"2169-1401, 2169-141X","journalAbbreviation":"Artificial Cells, Nanomedicine, and Biotechnology","language":"en","page":"1-8","source":"DOI.org (Crossref)","title":"Nose to brain transport pathways an overview: potential of nanostructured lipid carriers in nose to brain targeting","title-short":"Nose to brain transport pathways an overview","author":[{"family":"Selvaraj","given":"Kousalya"},{"family":"Gowthamarajan","given":"Kuppusamy"},{"family":"Karri","given":"Veera Venkata Satyanarayana Reddy"}],"issued":{"date-parts":[["2017",12,28]]}}},{"id":"dKMGonER/Oa8VqhkW","uris":["http://zotero.org/users/local/gyNd5DuB/items/TGQ97ZL3"],"itemData":{"id":175,"type":"article-journal","abstract":"BACKGROUND: Cranial nerve-related diseases such as brain tumors, Alzheimer's disease, and epilepsy are serious diseases that continue to threaten human. Brain-related diseases are increasing worldwide, including in the United States and Korea, and these increases are closely related to the exposure to harmful substances and excessive stress caused by rapid industrialization and environmental pollution. Drug delivery to the brain is very important for the effective prevention and treatment of brain-related diseases. However, due to the presence of the blood-brain barrier and the extensive first-pass metabolism effect, the general routes of administration such as oral and intravenous routes have limitations in drug delivery to the brain. Therefore, as an alternative, the nasal-brain drug delivery route is attracting attention as a route for effective drug delivery to the brain.\nAREAS COVERED: This review includes physiological factors, advantages, limitations, current application status, especially in clinical applications, and the necessary factors for consideration in formulation development related to nasal-brain drug delivery.\nEXPERT OPINION: The nasal-brain drug delivery route has the advantage of enhancing drug delivery to the brain locally, mainly through the olfactory route rather than the systemic circulation. The nasal-brain lymphatic system has recently attracted attention, and it has been implied that the delivery of anticancer drugs to the brain nervous system is possible effectively. However, there are limitations such as low drug permeability, as well as nasal mucosa and the mucociliary system, as obstacles in nasal-brain drug delivery. Therefore, to overcome the limitations of nasal-brain drug delivery, the use of nanocarriers and mucoadhesive agents is being attempted. However, very few drugs have been officially approved for clinical application via the nasal-brain drug delivery route. This is probably because the understanding of and related studies on nasal-brain drug delivery are limited. In this review, we tried to explore the major considerations and target factors in drug delivery through the nasal-brain route based on physiological knowledge and formulation research information. This will help to provide a mechanistic understanding of drug delivery through the nasal-brain route and bring us one step closer to developing effective formulations and drugs in consideration of the key factors for nasal-brain drug delivery.","container-title":"Journal of Pharmaceutical Investigation","DOI":"10.1007/s40005-022-00589-5","ISSN":"2093-5552","issue":"1","journalAbbreviation":"J Pharm Investig","language":"eng","note":"PMID: 35910081\nPMCID: PMC9308891","page":"119-152","source":"PubMed","title":"Drug delivery to the brain via the nasal route of administration: exploration of key targets and major consideration factors","title-short":"Drug delivery to the brain via the nasal route of administration","volume":"53","author":[{"family":"Jeong","given":"Seung-Hyun"},{"family":"Jang","given":"Ji-Hun"},{"family":"Lee","given":"Yong-Bok"}],"issued":{"date-parts":[["2023"]]}}}],"schema":"https://github.com/citation-style-language/schema/raw/master/csl-citation.json"} </w:instrText>
      </w:r>
      <w:r w:rsidR="008C434C" w:rsidRPr="00E42762">
        <w:rPr>
          <w:vertAlign w:val="superscript"/>
        </w:rPr>
        <w:fldChar w:fldCharType="separate"/>
      </w:r>
      <w:r w:rsidR="00655BCC" w:rsidRPr="00E42762">
        <w:rPr>
          <w:vertAlign w:val="superscript"/>
        </w:rPr>
        <w:t>30,31</w:t>
      </w:r>
      <w:r w:rsidR="008C434C" w:rsidRPr="00E42762">
        <w:rPr>
          <w:vertAlign w:val="superscript"/>
        </w:rPr>
        <w:fldChar w:fldCharType="end"/>
      </w:r>
      <w:r w:rsidR="000B5F06" w:rsidRPr="00E42762">
        <w:t>.</w:t>
      </w:r>
      <w:r w:rsidR="00547ED5" w:rsidRPr="00E42762">
        <w:t xml:space="preserve"> </w:t>
      </w:r>
      <w:r w:rsidR="000B5F06" w:rsidRPr="00E42762">
        <w:t xml:space="preserve">It has </w:t>
      </w:r>
      <w:r w:rsidR="00925B07" w:rsidRPr="00E42762">
        <w:t xml:space="preserve">previously </w:t>
      </w:r>
      <w:r w:rsidR="000B5F06" w:rsidRPr="00E42762">
        <w:t>been shown that ODN</w:t>
      </w:r>
      <w:r w:rsidR="00AD4720" w:rsidRPr="00E42762">
        <w:t xml:space="preserve">, even at </w:t>
      </w:r>
      <w:proofErr w:type="spellStart"/>
      <w:r w:rsidR="00AD4720" w:rsidRPr="00E42762">
        <w:t>subpicomolar</w:t>
      </w:r>
      <w:proofErr w:type="spellEnd"/>
      <w:r w:rsidR="00AD4720" w:rsidRPr="00E42762">
        <w:t xml:space="preserve"> concentrations,</w:t>
      </w:r>
      <w:r w:rsidR="00046003" w:rsidRPr="00E42762">
        <w:t xml:space="preserve"> can protect</w:t>
      </w:r>
      <w:r w:rsidR="007E457D" w:rsidRPr="00E42762">
        <w:t xml:space="preserve"> </w:t>
      </w:r>
      <w:r w:rsidR="000B5F06" w:rsidRPr="00E42762">
        <w:t xml:space="preserve">neurons and glial cells </w:t>
      </w:r>
      <w:r w:rsidR="00C80281" w:rsidRPr="00E42762">
        <w:t xml:space="preserve">from neurotoxin-induced damage in both </w:t>
      </w:r>
      <w:r w:rsidR="00C80281" w:rsidRPr="00E42762">
        <w:rPr>
          <w:i/>
          <w:iCs/>
        </w:rPr>
        <w:t xml:space="preserve">in vitro </w:t>
      </w:r>
      <w:r w:rsidR="00C80281" w:rsidRPr="00E42762">
        <w:t xml:space="preserve">and </w:t>
      </w:r>
      <w:r w:rsidR="00C80281" w:rsidRPr="00E42762">
        <w:rPr>
          <w:i/>
          <w:iCs/>
        </w:rPr>
        <w:t>in vivo</w:t>
      </w:r>
      <w:r w:rsidR="00C80281" w:rsidRPr="00E42762">
        <w:t xml:space="preserve"> models</w:t>
      </w:r>
      <w:r w:rsidR="009D6D12" w:rsidRPr="00E42762">
        <w:t xml:space="preserve">, though its use has so far been limited to </w:t>
      </w:r>
      <w:r w:rsidR="00A55C0A" w:rsidRPr="00E42762">
        <w:t xml:space="preserve">ICV </w:t>
      </w:r>
      <w:r w:rsidR="009D6D12" w:rsidRPr="00E42762">
        <w:t>injection</w:t>
      </w:r>
      <w:r w:rsidR="00AB756F" w:rsidRPr="00E42762">
        <w:rPr>
          <w:vertAlign w:val="superscript"/>
        </w:rPr>
        <w:fldChar w:fldCharType="begin"/>
      </w:r>
      <w:r w:rsidR="00655BCC" w:rsidRPr="00E42762">
        <w:rPr>
          <w:vertAlign w:val="superscript"/>
        </w:rPr>
        <w:instrText xml:space="preserve"> ADDIN ZOTERO_ITEM CSL_CITATION {"citationID":"Ysz0xmqx","properties":{"formattedCitation":"(7)","plainCitation":"(7)","noteIndex":0},"citationItems":[{"id":"dKMGonER/kYrTZfPM","uris":["http://zotero.org/users/local/gyNd5DuB/items/4LUU7VM4"],"itemData":{"id":96,"type":"article-journal","abstract":"The existence of specific binding sites for benzodiazepines (BZs) in the brain has prompted the search for endogenous BZ receptor ligands designated by the generic term « endozepines ». This has led to the identification of an 86-amino acid polypeptide capable of displacing [3H]diazepam binding to brain membranes, thus called diazepam-binding inhibitor (DBI). It was subsequently found that the sequence of DBI is identical to that of a lipid carrier protein termed acyl-CoA-binding protein (ACBP). The primary structure of DBI/ACBP has been well preserved, suggesting that endozepines exert vital functions. The DBI/ACBP gene is expressed by astroglial cells in the central nervous system, and by various cell types in peripheral organs. Endoproteolytic cleavage of DBI/ACBP generates several bioactive peptides including a triakontatetraneuropeptide that acts as a selective ligand of peripheral BZ receptors/translocator protein, and an octadecaneuropeptide that activates a G protein-coupled receptor and behaves as an allosteric modulator of the GABAAR. Although DBI/ACBP is devoid of a signal peptide, endozepines are released by astrocytes in a regulated manner. Consistent with the diversity and wide distribution of BZ-binding sites, endozepines appear to exert a large array of biological functions and pharmacological effects. Thus, intracerebroventricular administration of DBI or derived peptides induces proconflict and anxiety-like behaviors, and reduces food intake. Reciprocally, the expression of DBI/ACBP mRNA is regulated by stress and metabolic signals. In vitro, endozepines stimulate astrocyte proliferation and protect neurons and astrocytes from apoptotic cell death. Endozepines also regulate neurosteroid biosynthesis and neuropeptide expression, and promote neurogenesis. In peripheral organs, endozepines activate steroid hormone production, stimulate acyl chain ceramide synthesis and trigger pro-inflammatory cytokine secretion. The expression of the DBI/ACBP gene is enhanced in addiction/withdrawal animal models, in patients with neurodegenerative disorders and in various types of tumors. We review herein the current knowledge concerning the various actions of endozepines and discuss the physiopathological implications of these regulatory gliopeptides.","container-title":"Pharmacology &amp; Therapeutics","DOI":"10.1016/j.pharmthera.2019.06.008","ISSN":"1879-016X","journalAbbreviation":"Pharmacol Ther","language":"eng","note":"PMID: 31283949","page":"107386","source":"PubMed","title":"Endozepines and their receptors: Structure, functions and pathophysiological significance","title-short":"Endozepines and their receptors","volume":"208","author":[{"family":"Tonon","given":"Marie-Christine"},{"family":"Vaudry","given":"Hubert"},{"family":"Chuquet","given":"Julien"},{"family":"Guillebaud","given":"Florent"},{"family":"Fan","given":"Jinjiang"},{"family":"Masmoudi-Kouki","given":"Olfa"},{"family":"Vaudry","given":"David"},{"family":"Lanfray","given":"Damien"},{"family":"Morin","given":"Fabrice"},{"family":"Prevot","given":"Vincent"},{"family":"Papadopoulos","given":"Vassilios"},{"family":"Troadec","given":"Jean-Denis"},{"family":"Leprince","given":"Jérôme"}],"issued":{"date-parts":[["2020",4]]}}}],"schema":"https://github.com/citation-style-language/schema/raw/master/csl-citation.json"} </w:instrText>
      </w:r>
      <w:r w:rsidR="00AB756F" w:rsidRPr="00E42762">
        <w:rPr>
          <w:vertAlign w:val="superscript"/>
        </w:rPr>
        <w:fldChar w:fldCharType="separate"/>
      </w:r>
      <w:r w:rsidR="00655BCC" w:rsidRPr="00E42762">
        <w:rPr>
          <w:vertAlign w:val="superscript"/>
        </w:rPr>
        <w:t>7</w:t>
      </w:r>
      <w:r w:rsidR="00AB756F" w:rsidRPr="00E42762">
        <w:rPr>
          <w:vertAlign w:val="superscript"/>
        </w:rPr>
        <w:fldChar w:fldCharType="end"/>
      </w:r>
      <w:r w:rsidR="006B6929" w:rsidRPr="00E42762">
        <w:t xml:space="preserve">. </w:t>
      </w:r>
      <w:r w:rsidR="000642D7" w:rsidRPr="00E42762">
        <w:t>This study presents the first evidence that IN administration of the ODN analog, cyclo</w:t>
      </w:r>
      <w:r w:rsidR="000642D7" w:rsidRPr="00E42762">
        <w:rPr>
          <w:vertAlign w:val="subscript"/>
        </w:rPr>
        <w:t>(1-8)</w:t>
      </w:r>
      <w:r w:rsidR="000642D7" w:rsidRPr="00E42762">
        <w:t>OP, provides neuroprotection against MPTP-induced toxicity in the striatum of Parkinsonian mice</w:t>
      </w:r>
      <w:r w:rsidR="006B6929" w:rsidRPr="00E42762">
        <w:t xml:space="preserve">. </w:t>
      </w:r>
      <w:r w:rsidR="002E7ACB" w:rsidRPr="00E42762">
        <w:t xml:space="preserve">IN </w:t>
      </w:r>
      <w:r w:rsidR="006B6929" w:rsidRPr="00E42762">
        <w:t xml:space="preserve">delivery likely enables </w:t>
      </w:r>
      <w:r w:rsidR="002E7ACB" w:rsidRPr="00E42762">
        <w:t>cyclo</w:t>
      </w:r>
      <w:r w:rsidR="002E7ACB" w:rsidRPr="00E42762">
        <w:rPr>
          <w:vertAlign w:val="subscript"/>
        </w:rPr>
        <w:t>(1-8)</w:t>
      </w:r>
      <w:r w:rsidR="002E7ACB" w:rsidRPr="00E42762">
        <w:t xml:space="preserve">OP </w:t>
      </w:r>
      <w:r w:rsidR="006B6929" w:rsidRPr="00E42762">
        <w:t xml:space="preserve">to reach the brain rapidly </w:t>
      </w:r>
      <w:r w:rsidR="006B6929" w:rsidRPr="00E42762">
        <w:rPr>
          <w:i/>
          <w:iCs/>
        </w:rPr>
        <w:t>via</w:t>
      </w:r>
      <w:r w:rsidR="006B6929" w:rsidRPr="00E42762">
        <w:t xml:space="preserve"> the nasal mucosa, with maximal uptake</w:t>
      </w:r>
      <w:r w:rsidR="0012066A" w:rsidRPr="00E42762">
        <w:t xml:space="preserve"> potentially</w:t>
      </w:r>
      <w:r w:rsidR="006B6929" w:rsidRPr="00E42762">
        <w:t xml:space="preserve"> observed in the occipital cortex and striatum</w:t>
      </w:r>
      <w:r w:rsidR="007E457D" w:rsidRPr="00E42762">
        <w:t>.</w:t>
      </w:r>
      <w:r w:rsidR="006B6929" w:rsidRPr="00E42762">
        <w:t xml:space="preserve"> Similar to </w:t>
      </w:r>
      <w:r w:rsidR="002E7ACB" w:rsidRPr="00E42762">
        <w:t>cyclo</w:t>
      </w:r>
      <w:r w:rsidR="002E7ACB" w:rsidRPr="00E42762">
        <w:rPr>
          <w:vertAlign w:val="subscript"/>
        </w:rPr>
        <w:t>(1-8)</w:t>
      </w:r>
      <w:r w:rsidR="002E7ACB" w:rsidRPr="00E42762">
        <w:t>OP</w:t>
      </w:r>
      <w:r w:rsidR="006B6929" w:rsidRPr="00E42762">
        <w:t xml:space="preserve">, other neuropeptides such as PACAP and VIP have demonstrated significant neuroprotective effects in brain pathologies following </w:t>
      </w:r>
      <w:r w:rsidR="002E7ACB" w:rsidRPr="00E42762">
        <w:t xml:space="preserve">IN </w:t>
      </w:r>
      <w:r w:rsidR="006B6929" w:rsidRPr="00E42762">
        <w:t>administration</w:t>
      </w:r>
      <w:r w:rsidR="008C434C" w:rsidRPr="00E42762">
        <w:rPr>
          <w:vertAlign w:val="superscript"/>
        </w:rPr>
        <w:fldChar w:fldCharType="begin"/>
      </w:r>
      <w:r w:rsidR="00655BCC" w:rsidRPr="00E42762">
        <w:rPr>
          <w:vertAlign w:val="superscript"/>
        </w:rPr>
        <w:instrText xml:space="preserve"> ADDIN ZOTERO_ITEM CSL_CITATION {"citationID":"5aqEcrxF","properties":{"formattedCitation":"(9,32)","plainCitation":"(9,32)","noteIndex":0},"citationItems":[{"id":"dKMGonER/zshFWCCq","uris":["http://zotero.org/users/local/gyNd5DuB/items/HKAX4856"],"itemData":{"id":132,"type":"article-journal","abstract":"Intranasal (IN) administration appears to be a suitable route for clinical use as it allows direct delivery of bioactive molecules to the central nervous system, reducing systemic exposure and sides effects. Nevertheless, only some molecules can be transported to the brain from the nasal cavity. This led us to compare the efficiency of an IN, intravenous (IV), and intraperitoneal (IP) administration of pituitary adenylate cyclase-activating polypeptide (PACAP) after transient or permanent middle cerebral artery occlusion (MCAO) in C57BL/6 mice. The results show that the neuroprotective effect of PACAP is much more efficient after IN administration than IV injection while IP injection had no effect. IN administration of PACAP reduced the infarct volume when injected within 6 h after the reperfusion and improved functional recovery up to at least 1 week after the ischemia.","container-title":"Frontiers in Endocrinology","DOI":"10.3389/fendo.2020.585082","ISSN":"1664-2392","journalAbbreviation":"Front. Endocrinol.","language":"en","page":"585082","source":"DOI.org (Crossref)","title":"Intranasal Administration of PACAP Is an Efficient Delivery Route to Reduce Infarct Volume and Promote Functional Recovery After Transient and Permanent Middle Cerebral Artery Occlusion","volume":"11","author":[{"family":"Cherait","given":"Asma"},{"family":"Maucotel","given":"Julie"},{"family":"Lefranc","given":"Benjamin"},{"family":"Leprince","given":"Jérôme"},{"family":"Vaudry","given":"David"}],"issued":{"date-parts":[["2021",1,20]]}}},{"id":"dKMGonER/p5n9UZcp","uris":["http://zotero.org/users/local/gyNd5DuB/items/WL9WT9NZ"],"itemData":{"id":130,"type":"article-journal","abstract":"Research on the neuroprotective effect of pituitary adenylate cyclase-activating polypeptide (PACAP) and its use as a therapeutic agent has grown over the past 30 years. Both in vitro and in vivo experiments have shown that PACAP exerts a strong neuroprotective effect in many central and peripheral neuronal diseases. Various delivery routes have been employed from intravenous (IV) injections to intracerebroventricular (ICV) administration, leading either to systemic or topical delivery of the peptide. Over the last decade, a growing interest in the use of intranasal (IN) administration of PACAP and other therapeutic agents has emerged as an alternative delivery route to target the brain. The aim of this review is to summarize the ﬁndings on the neuroprotective effect of PACAP and to discuss how the IN administration of PACAP could contribute to target the effects of this pleiotropic peptide.","container-title":"Pharmaceutics","DOI":"10.3390/pharmaceutics15082032","ISSN":"1999-4923","issue":"8","journalAbbreviation":"Pharmaceutics","language":"en","license":"https://creativecommons.org/licenses/by/4.0/","page":"2032","source":"DOI.org (Crossref)","title":"The Potential of the Nose-to-Brain Delivery of PACAP for the Treatment of Neuronal Disease","volume":"15","author":[{"family":"Cherait","given":"Asma"},{"family":"Banks","given":"William A."},{"family":"Vaudry","given":"David"}],"issued":{"date-parts":[["2023",7,28]]}}}],"schema":"https://github.com/citation-style-language/schema/raw/master/csl-citation.json"} </w:instrText>
      </w:r>
      <w:r w:rsidR="008C434C" w:rsidRPr="00E42762">
        <w:rPr>
          <w:vertAlign w:val="superscript"/>
        </w:rPr>
        <w:fldChar w:fldCharType="separate"/>
      </w:r>
      <w:r w:rsidR="00655BCC" w:rsidRPr="00E42762">
        <w:rPr>
          <w:vertAlign w:val="superscript"/>
        </w:rPr>
        <w:t>9,32</w:t>
      </w:r>
      <w:r w:rsidR="008C434C" w:rsidRPr="00E42762">
        <w:rPr>
          <w:vertAlign w:val="superscript"/>
        </w:rPr>
        <w:fldChar w:fldCharType="end"/>
      </w:r>
      <w:r w:rsidR="00C1738F" w:rsidRPr="00E42762">
        <w:t>.</w:t>
      </w:r>
      <w:r w:rsidR="00C72D0C" w:rsidRPr="00E42762">
        <w:t xml:space="preserve"> </w:t>
      </w:r>
      <w:r w:rsidR="0031307F" w:rsidRPr="00E42762">
        <w:t xml:space="preserve">To determine whether </w:t>
      </w:r>
      <w:proofErr w:type="gramStart"/>
      <w:r w:rsidR="0031307F" w:rsidRPr="00E42762">
        <w:t>a sufficient amount of</w:t>
      </w:r>
      <w:proofErr w:type="gramEnd"/>
      <w:r w:rsidR="0031307F" w:rsidRPr="00E42762">
        <w:t xml:space="preserve"> cyclo</w:t>
      </w:r>
      <w:r w:rsidR="0031307F" w:rsidRPr="00E42762">
        <w:rPr>
          <w:vertAlign w:val="subscript"/>
        </w:rPr>
        <w:t>(1-8)</w:t>
      </w:r>
      <w:r w:rsidR="0031307F" w:rsidRPr="00E42762">
        <w:t xml:space="preserve">OP can enter the brain after </w:t>
      </w:r>
      <w:r w:rsidR="00F67E78" w:rsidRPr="00E42762">
        <w:t xml:space="preserve">IN </w:t>
      </w:r>
      <w:r w:rsidR="0031307F" w:rsidRPr="00E42762">
        <w:t>administration to exert neuroprotective effects, we will investigate its distribution using radioactively or fluorescently labeled cyclo</w:t>
      </w:r>
      <w:r w:rsidR="0031307F" w:rsidRPr="00E42762">
        <w:rPr>
          <w:vertAlign w:val="subscript"/>
        </w:rPr>
        <w:t>(1-8)</w:t>
      </w:r>
      <w:r w:rsidR="0031307F" w:rsidRPr="00E42762">
        <w:t>OP.</w:t>
      </w:r>
    </w:p>
    <w:p w14:paraId="0BEC4391" w14:textId="2D52EBF0" w:rsidR="00F00E8F" w:rsidRPr="00E42762" w:rsidRDefault="00F00E8F" w:rsidP="00E42762">
      <w:pPr>
        <w:widowControl/>
        <w:autoSpaceDE w:val="0"/>
        <w:autoSpaceDN w:val="0"/>
        <w:adjustRightInd w:val="0"/>
      </w:pPr>
    </w:p>
    <w:p w14:paraId="449D9385" w14:textId="6F6C2803" w:rsidR="00E83866" w:rsidRPr="00E42762" w:rsidRDefault="00E83866" w:rsidP="00E42762">
      <w:pPr>
        <w:widowControl/>
        <w:autoSpaceDE w:val="0"/>
        <w:autoSpaceDN w:val="0"/>
        <w:adjustRightInd w:val="0"/>
      </w:pPr>
      <w:r w:rsidRPr="00E42762">
        <w:t xml:space="preserve">The success of </w:t>
      </w:r>
      <w:r w:rsidR="00041678" w:rsidRPr="00E42762">
        <w:t>IN</w:t>
      </w:r>
      <w:r w:rsidRPr="00E42762">
        <w:t xml:space="preserve"> delivery depends on critical procedural steps such as </w:t>
      </w:r>
      <w:r w:rsidR="008F7DED" w:rsidRPr="00E42762">
        <w:t>(</w:t>
      </w:r>
      <w:r w:rsidRPr="00E42762">
        <w:t>1) accurate dose volume (5</w:t>
      </w:r>
      <w:r w:rsidR="008F7DED" w:rsidRPr="00E42762">
        <w:t>–</w:t>
      </w:r>
      <w:r w:rsidRPr="00E42762">
        <w:t xml:space="preserve">25 µL/nostril in rodents) is essential to prevent overflow into the gastrointestinal tract or aspiration into the lungs; </w:t>
      </w:r>
      <w:r w:rsidR="008F7DED" w:rsidRPr="00E42762">
        <w:t>(</w:t>
      </w:r>
      <w:r w:rsidRPr="00E42762">
        <w:t xml:space="preserve">2) appropriate head positioning by maintaining the animal in a supine position with the head tilted slightly back facilitates optimal nasal uptake and minimizes drainage and </w:t>
      </w:r>
      <w:r w:rsidR="00D76E43" w:rsidRPr="00E42762">
        <w:t>(</w:t>
      </w:r>
      <w:r w:rsidRPr="00E42762">
        <w:t>3) gentle administration to avoid mucosal damage or aspiration by using a calibrated micropipette without applying pressure that could damage the mucosa</w:t>
      </w:r>
      <w:r w:rsidR="00650F81" w:rsidRPr="00E42762">
        <w:fldChar w:fldCharType="begin"/>
      </w:r>
      <w:r w:rsidR="00655BCC" w:rsidRPr="00E42762">
        <w:instrText xml:space="preserve"> ADDIN ZOTERO_ITEM CSL_CITATION {"citationID":"NsTeykja","properties":{"formattedCitation":"(19,33)","plainCitation":"(19,33)","noteIndex":0},"citationItems":[{"id":199,"uris":["http://zotero.org/users/15991884/items/7RIR6HH9"],"itemData":{"id":199,"type":"article-journal","abstract":"Treatment of central nervous system (CNS) diseases is very difficult due to the blood–brain barrier's (BBB) ability to severely restrict entry of all but small, non-polar compounds. Intranasal administration is a non-invasive method of drug delivery which may bypass the BBB to allow therapeutic substances direct access to the CNS. Intranasal delivery of large molecular weight biologics such as proteins, gene vectors, and stem cells is a potentially useful strategy to treat a variety of diseases/disorders of the CNS including stroke, Parkinson's disease, multiple sclerosis, Alzheimer's disease, epilepsy, and psychiatric disorders. Here we give an overview of relevant nasal anatomy and physiology and discuss the pathways and mechanisms likely involved in drug transport from the nasal epithelium to the CNS. Finally we review both pre-clinical and clinical studies involving intranasal delivery of biologics to the CNS.","collection-title":"Delivery of Therapeutics to the Central Nervous System","container-title":"Advanced Drug Delivery Reviews","DOI":"10.1016/j.addr.2011.11.002","ISSN":"0169-409X","issue":"7","journalAbbreviation":"Advanced Drug Delivery Reviews","page":"614-628","source":"ScienceDirect","title":"Intranasal delivery of biologics to the central nervous system","volume":"64","author":[{"family":"Lochhead","given":"Jeffrey J."},{"family":"Thorne","given":"Robert G."}],"issued":{"date-parts":[["2012",5,15]]}}},{"id":219,"uris":["http://zotero.org/users/15991884/items/QBIJVL4Y"],"itemData":{"id":219,"type":"article-journal","abstract":"Neurological diseases continue to increase in prevalence worldwide. Combined with the lack of modifiable risk factors or strongly efficacious therapies, these disorders pose a significant and growing burden on healthcare systems and societies. The development of neuroprotective or curative therapies is limited by a variety of factors, but none more than the highly selective blood-brain barrier. Intranasal administration can bypass this barrier completely and allow direct access to brain tissues, enabling a large number of potential new therapies ranging from bioactive peptides to stem cells. Current research indicates that merely administering simple solutions is inefficient and may limit therapeutic success. While many therapies can be delivered to some degree without carrier molecules or significant modification, a growing body of research has indicated several methods of improving the safety and efficacy of this administration route, such as nasal permeability enhancers, gelling agents, or nanocarrier formulations. This review shall discuss promising delivery systems and their role in expanding the clinical efficacy of this novel administration route. Optimization of intranasal administration will be crucial as novel therapies continue to be studied in clinical trials and approved to meet the growing demand for the treatment of patients with neurological diseases.","container-title":"Pharmaceutics","DOI":"10.3390/pharmaceutics14030629","ISSN":"1999-4923","issue":"3","journalAbbreviation":"Pharmaceutics","language":"eng","note":"PMID: 35336004\nPMCID: PMC8950509","page":"629","source":"PubMed","title":"Evaluation of Recent Intranasal Drug Delivery Systems to the Central Nervous System","volume":"14","author":[{"family":"Crowe","given":"Tyler P."},{"family":"Hsu","given":"Walter H."}],"issued":{"date-parts":[["2022",3,12]]}}}],"schema":"https://github.com/citation-style-language/schema/raw/master/csl-citation.json"} </w:instrText>
      </w:r>
      <w:r w:rsidR="00650F81" w:rsidRPr="00E42762">
        <w:fldChar w:fldCharType="separate"/>
      </w:r>
      <w:r w:rsidR="00655BCC" w:rsidRPr="00E42762">
        <w:rPr>
          <w:vertAlign w:val="superscript"/>
        </w:rPr>
        <w:t>19,33</w:t>
      </w:r>
      <w:r w:rsidR="00650F81" w:rsidRPr="00E42762">
        <w:fldChar w:fldCharType="end"/>
      </w:r>
      <w:r w:rsidRPr="00E42762">
        <w:t>. Furthermore, compound-specific properties such as molecular weight, lipophilicity, and stability influence absorption and brain transport</w:t>
      </w:r>
      <w:r w:rsidR="00650F81" w:rsidRPr="00E42762">
        <w:rPr>
          <w:vertAlign w:val="superscript"/>
        </w:rPr>
        <w:fldChar w:fldCharType="begin"/>
      </w:r>
      <w:r w:rsidR="00655BCC" w:rsidRPr="00E42762">
        <w:rPr>
          <w:vertAlign w:val="superscript"/>
        </w:rPr>
        <w:instrText xml:space="preserve"> ADDIN ZOTERO_ITEM CSL_CITATION {"citationID":"YgFqaRqD","properties":{"formattedCitation":"(34)","plainCitation":"(34)","noteIndex":0},"citationItems":[{"id":221,"uris":["http://zotero.org/users/15991884/items/VPG5CC7N"],"itemData":{"id":221,"type":"article-journal","abstract":"Intranasal delivery provides a practical, non-invasive method of bypassing the blood-brain barrier (BBB) to deliver therapeutic agents to the brain and spinal cord. This technology allows drugs that do not cross the BBB to be delivered to the central nervous system within minutes. It also directly delivers drugs that do cross the BBB to the brain, eliminating the need for systemic administration and its potential side effects. This is possible because of the unique connections that the olfactory and trigeminal nerves provide between the brain and external environment. Intranasal delivery does not necessarily require any modification to therapeutic agents. A wide variety of therapeutics, including both small molecules and macromolecules, can be targeted to the olfactory system and connected memory areas affected by Alzheimer's disease. Using the intranasal delivery system, researchers have reversed neurodegeneration and rescued memory in a transgenic mouse model of Alzheimer's disease. Intranasal insulin-like growth factor-I, deferoxamine, and erythropoietin have been shown to protect the brain against stroke in animal models. Intranasal delivery has been used to target the neuroprotective peptide NAP to the brain to treat neurodegeneration. Intranasal fibroblast growth factor-2 and epidermal growth factor have been shown to stimulate neurogenesis in adult animals. Intranasal insulin improves memory, attention, and functioning in patients with Alzheimer's disease or mild cognitive impairment, and even improves memory and mood in normal adult humans. This new method of delivery can revolutionize the treatment of Alzheimer's disease, stroke, and other brain disorders.","container-title":"BMC neuroscience","DOI":"10.1186/1471-2202-9-S3-S5","ISSN":"1471-2202","issue":"Suppl 3","journalAbbreviation":"BMC Neurosci","language":"eng","note":"PMID: 19091002\nPMCID: PMC2604883","page":"S5","source":"PubMed","title":"Intranasal delivery bypasses the blood-brain barrier to target therapeutic agents to the central nervous system and treat neurodegenerative disease","volume":"9 Suppl 3","author":[{"family":"Hanson","given":"Leah R."},{"family":"Frey","given":"William H."}],"issued":{"date-parts":[["2008",12,10]]}}}],"schema":"https://github.com/citation-style-language/schema/raw/master/csl-citation.json"} </w:instrText>
      </w:r>
      <w:r w:rsidR="00650F81" w:rsidRPr="00E42762">
        <w:rPr>
          <w:vertAlign w:val="superscript"/>
        </w:rPr>
        <w:fldChar w:fldCharType="separate"/>
      </w:r>
      <w:r w:rsidR="00655BCC" w:rsidRPr="00E42762">
        <w:rPr>
          <w:vertAlign w:val="superscript"/>
        </w:rPr>
        <w:t>34</w:t>
      </w:r>
      <w:r w:rsidR="00650F81" w:rsidRPr="00E42762">
        <w:rPr>
          <w:vertAlign w:val="superscript"/>
        </w:rPr>
        <w:fldChar w:fldCharType="end"/>
      </w:r>
      <w:r w:rsidRPr="00E42762">
        <w:t>.</w:t>
      </w:r>
      <w:r w:rsidR="00B4582F" w:rsidRPr="00E42762">
        <w:t xml:space="preserve"> Finally, </w:t>
      </w:r>
      <w:r w:rsidR="00D76E43" w:rsidRPr="00E42762">
        <w:t xml:space="preserve">the </w:t>
      </w:r>
      <w:r w:rsidR="00B4582F" w:rsidRPr="00E42762">
        <w:t>timing and frequency of administration should be standardized to reduce variability in pharmacokinetics and biological effects</w:t>
      </w:r>
      <w:r w:rsidR="00D45E9B" w:rsidRPr="00E42762">
        <w:t>.</w:t>
      </w:r>
    </w:p>
    <w:p w14:paraId="1B885C39" w14:textId="77777777" w:rsidR="00E61A25" w:rsidRPr="00E42762" w:rsidRDefault="00E61A25" w:rsidP="00E42762">
      <w:pPr>
        <w:widowControl/>
        <w:autoSpaceDE w:val="0"/>
        <w:autoSpaceDN w:val="0"/>
        <w:adjustRightInd w:val="0"/>
      </w:pPr>
    </w:p>
    <w:p w14:paraId="25AB2DE4" w14:textId="0DFEFC37" w:rsidR="009A703B" w:rsidRPr="00E42762" w:rsidRDefault="00470779" w:rsidP="00E42762">
      <w:pPr>
        <w:pStyle w:val="NormalWeb"/>
        <w:spacing w:before="0" w:beforeAutospacing="0" w:after="0" w:afterAutospacing="0"/>
        <w:jc w:val="both"/>
        <w:rPr>
          <w:rFonts w:ascii="Calibri" w:hAnsi="Calibri" w:cs="Calibri"/>
          <w:lang w:val="en-US"/>
        </w:rPr>
      </w:pPr>
      <w:r w:rsidRPr="00E42762">
        <w:rPr>
          <w:rFonts w:ascii="Calibri" w:hAnsi="Calibri" w:cs="Calibri"/>
          <w:lang w:val="en-US"/>
        </w:rPr>
        <w:t>PD is characterized by motor impairments, including postural instability, rigidity, and bradykinesia</w:t>
      </w:r>
      <w:r w:rsidR="008C434C" w:rsidRPr="00E42762">
        <w:rPr>
          <w:rFonts w:ascii="Calibri" w:hAnsi="Calibri" w:cs="Calibri"/>
        </w:rPr>
        <w:fldChar w:fldCharType="begin"/>
      </w:r>
      <w:r w:rsidR="00655BCC" w:rsidRPr="00E42762">
        <w:rPr>
          <w:rFonts w:ascii="Calibri" w:hAnsi="Calibri" w:cs="Calibri"/>
          <w:lang w:val="en-US"/>
        </w:rPr>
        <w:instrText xml:space="preserve"> ADDIN ZOTERO_ITEM CSL_CITATION {"citationID":"ZjVuUQ1B","properties":{"formattedCitation":"(1)","plainCitation":"(1)","noteIndex":0},"citationItems":[{"id":"dKMGonER/fIhSKyTt","uris":["http://zotero.org/users/local/gyNd5DuB/items/VX2PJCTD"],"itemData":{"id":146,"type":"article-journal","abstract":"Amongst the popular animal models of Parkinson’s disease (PD) commonly used in researches are those that employ neurotoxins, especially the 1-methyl- 4-phenyl-1, 2, 3, 6-tetrahydropyridine (MPTP). MPTP neurotoxin exerts its neurotoxicity by causing a barrage of insults such as oxidative stress, mitochondrial apoptosis, inflammation, excitotoxicity, and formation of inclusion bodies acting singly and in concert. All of this ultimately leads to dopaminergic neuron damage in substantia nigra pars compacta and striatum. The selective neurotoxicity induced by MPTP in the nigrostriatal dopaminergic neuron of the mouse brain brought a new dawn in our perspectives about PD. For decades now MPTP-induced mouse model of PD has become the gold standard in PD research despite its shortcoming in fully recapitulating PD symptomatology. It has the advantage of easy practicability, affordability, less ethical consideration, and more clinical correlation over the other toxin models of PD. The model has rejuvenated researches in PD and has also opened new frontiers in the quest for more novel therapeutic and adjuvant agents for PD. Hence, this review summarizes the MPTP’s role in producing Parkinson-like symptoms in mice, the MPTP-induced mouse model’s experimental role, and the recent development in PD therapeutics using this model to enrich our existing knowledge on this neurotoxin. Furthermore, our review promotes the use of this model by researchers for developing more promising therapeutic strategies.","container-title":"Bosnian Journal of Basic Medical Sciences","DOI":"10.17305/bjbms.2020.5181","ISSN":"1840-4812, 1512-8601","journalAbbreviation":"Bosn J of Basic Med Sci","license":"https://creativecommons.org/licenses/by/4.0","source":"Semantic Scholar","title":"MPTP-induced mouse model of Parkinson’s disease: A promising direction of therapeutic strategies","title-short":"MPTP-induced mouse model of Parkinson’s disease","URL":"http://www.bjbms.org/ojs/index.php/bjbms/article/view/5181","author":[{"family":"Mat Taib","given":"Che Norma"},{"family":"Mustapha","given":"Musa"}],"accessed":{"date-parts":[["2024",10,20]]},"issued":{"date-parts":[["2020",12,14]]}}}],"schema":"https://github.com/citation-style-language/schema/raw/master/csl-citation.json"} </w:instrText>
      </w:r>
      <w:r w:rsidR="008C434C" w:rsidRPr="00E42762">
        <w:rPr>
          <w:rFonts w:ascii="Calibri" w:hAnsi="Calibri" w:cs="Calibri"/>
        </w:rPr>
        <w:fldChar w:fldCharType="separate"/>
      </w:r>
      <w:r w:rsidR="00655BCC" w:rsidRPr="00E42762">
        <w:rPr>
          <w:rFonts w:ascii="Calibri" w:hAnsi="Calibri" w:cs="Calibri"/>
          <w:vertAlign w:val="superscript"/>
          <w:lang w:val="en-US"/>
        </w:rPr>
        <w:t>1</w:t>
      </w:r>
      <w:r w:rsidR="008C434C" w:rsidRPr="00E42762">
        <w:rPr>
          <w:rFonts w:ascii="Calibri" w:hAnsi="Calibri" w:cs="Calibri"/>
        </w:rPr>
        <w:fldChar w:fldCharType="end"/>
      </w:r>
      <w:r w:rsidRPr="00E42762">
        <w:rPr>
          <w:rFonts w:ascii="Calibri" w:hAnsi="Calibri" w:cs="Calibri"/>
          <w:lang w:val="en-US"/>
        </w:rPr>
        <w:t xml:space="preserve">. In mice, forepaw activity is crucial for numerous daily functions, with basal ganglia </w:t>
      </w:r>
      <w:r w:rsidR="00376669" w:rsidRPr="00E42762">
        <w:rPr>
          <w:rFonts w:ascii="Calibri" w:hAnsi="Calibri" w:cs="Calibri"/>
          <w:lang w:val="en-US"/>
        </w:rPr>
        <w:t>circuits</w:t>
      </w:r>
      <w:r w:rsidRPr="00E42762">
        <w:rPr>
          <w:rFonts w:ascii="Calibri" w:hAnsi="Calibri" w:cs="Calibri"/>
          <w:lang w:val="en-US"/>
        </w:rPr>
        <w:t xml:space="preserve"> specifically governing forepaw movement while exerting minimal influence on hindlimb movement. As a result, forepaw-focused assessments, such as the cylinder test, are particularly </w:t>
      </w:r>
      <w:r w:rsidR="009A703B" w:rsidRPr="00E42762">
        <w:rPr>
          <w:rFonts w:ascii="Calibri" w:hAnsi="Calibri" w:cs="Calibri"/>
          <w:lang w:val="en-US"/>
        </w:rPr>
        <w:lastRenderedPageBreak/>
        <w:t>effective at</w:t>
      </w:r>
      <w:r w:rsidRPr="00E42762">
        <w:rPr>
          <w:rFonts w:ascii="Calibri" w:hAnsi="Calibri" w:cs="Calibri"/>
          <w:lang w:val="en-US"/>
        </w:rPr>
        <w:t xml:space="preserve"> detecting basal ganglia dysfunction compared to more generalized movement evaluations</w:t>
      </w:r>
      <w:r w:rsidR="008C434C" w:rsidRPr="00E42762">
        <w:rPr>
          <w:rFonts w:ascii="Calibri" w:hAnsi="Calibri" w:cs="Calibri"/>
        </w:rPr>
        <w:fldChar w:fldCharType="begin"/>
      </w:r>
      <w:r w:rsidR="00655BCC" w:rsidRPr="00E42762">
        <w:rPr>
          <w:rFonts w:ascii="Calibri" w:hAnsi="Calibri" w:cs="Calibri"/>
          <w:lang w:val="en-US"/>
        </w:rPr>
        <w:instrText xml:space="preserve"> ADDIN ZOTERO_ITEM CSL_CITATION {"citationID":"PLI6g9pv","properties":{"formattedCitation":"(35)","plainCitation":"(35)","noteIndex":0},"citationItems":[{"id":"dKMGonER/Scccwlqw","uris":["http://zotero.org/users/local/gyNd5DuB/items/ZATRCB9N"],"itemData":{"id":95,"type":"article-journal","abstract":"Among the most widely used models of Parkinson’s disease (PD) are those that employ toxins, especially 1-methyl-4-phenyl-1,2,3,6-tetrahydropyridine (MPTP). Depending on the protocol used, MPTP yields large variations in nigral cell loss, striatal dopamine loss and behavioral deficits. Motor deficits do not fully replicate those seen in PD. Nonetheless, MPTP mouse models mimic many aspects of the disease and are therefore important tools for understanding PD. In this review, we will discuss the ability of MPTP mouse models to replicate the pathophysiology of PD, the mechanisms of MPTP-induced neurotoxicity, strain differences in susceptibility to MPTP, and the models’ roles in testing therapeutic approaches.","container-title":"Journal of Parkinson's Disease","DOI":"10.3233/JPD-2011-11023","ISSN":"1877718X, 18777171","issue":"1","language":"en","license":"http://creativecommons.org/licenses/by-nc/4.0/","page":"19-33","source":"DOI.org (Crossref)","title":"MPTP Mouse Models of Parkinson's Disease: An Update","title-short":"MPTP Mouse Models of Parkinson's Disease","volume":"1","author":[{"family":"Meredith","given":"Gloria E."},{"family":"Rademacher","given":"David J."}],"issued":{"date-parts":[["2011"]]}}}],"schema":"https://github.com/citation-style-language/schema/raw/master/csl-citation.json"} </w:instrText>
      </w:r>
      <w:r w:rsidR="008C434C" w:rsidRPr="00E42762">
        <w:rPr>
          <w:rFonts w:ascii="Calibri" w:hAnsi="Calibri" w:cs="Calibri"/>
        </w:rPr>
        <w:fldChar w:fldCharType="separate"/>
      </w:r>
      <w:r w:rsidR="00655BCC" w:rsidRPr="00E42762">
        <w:rPr>
          <w:rFonts w:ascii="Calibri" w:hAnsi="Calibri" w:cs="Calibri"/>
          <w:vertAlign w:val="superscript"/>
          <w:lang w:val="en-US"/>
        </w:rPr>
        <w:t>35</w:t>
      </w:r>
      <w:r w:rsidR="008C434C" w:rsidRPr="00E42762">
        <w:rPr>
          <w:rFonts w:ascii="Calibri" w:hAnsi="Calibri" w:cs="Calibri"/>
        </w:rPr>
        <w:fldChar w:fldCharType="end"/>
      </w:r>
      <w:r w:rsidRPr="00E42762">
        <w:rPr>
          <w:rFonts w:ascii="Calibri" w:hAnsi="Calibri" w:cs="Calibri"/>
          <w:lang w:val="en-US"/>
        </w:rPr>
        <w:t>.</w:t>
      </w:r>
      <w:r w:rsidR="00740773" w:rsidRPr="00E42762">
        <w:rPr>
          <w:rFonts w:ascii="Calibri" w:hAnsi="Calibri" w:cs="Calibri"/>
          <w:lang w:val="en-US"/>
        </w:rPr>
        <w:t xml:space="preserve"> </w:t>
      </w:r>
      <w:r w:rsidR="009A703B" w:rsidRPr="00E42762">
        <w:rPr>
          <w:rFonts w:ascii="Calibri" w:hAnsi="Calibri" w:cs="Calibri"/>
          <w:lang w:val="en-US"/>
        </w:rPr>
        <w:t xml:space="preserve">In </w:t>
      </w:r>
      <w:r w:rsidR="00CC5131" w:rsidRPr="00E42762">
        <w:rPr>
          <w:rFonts w:ascii="Calibri" w:hAnsi="Calibri" w:cs="Calibri"/>
          <w:lang w:val="en-US"/>
        </w:rPr>
        <w:t xml:space="preserve">this </w:t>
      </w:r>
      <w:r w:rsidR="009A703B" w:rsidRPr="00E42762">
        <w:rPr>
          <w:rFonts w:ascii="Calibri" w:hAnsi="Calibri" w:cs="Calibri"/>
          <w:lang w:val="en-US"/>
        </w:rPr>
        <w:t xml:space="preserve">study, MPTP-treated mice exhibited deficits in behavioral tasks and showed motor dysfunction in the cylinder test. Treatment with </w:t>
      </w:r>
      <w:r w:rsidR="004D47A6" w:rsidRPr="00E42762">
        <w:rPr>
          <w:rFonts w:ascii="Calibri" w:hAnsi="Calibri" w:cs="Calibri"/>
          <w:lang w:val="en-US"/>
        </w:rPr>
        <w:t>c</w:t>
      </w:r>
      <w:r w:rsidR="009A703B" w:rsidRPr="00E42762">
        <w:rPr>
          <w:rFonts w:ascii="Calibri" w:hAnsi="Calibri" w:cs="Calibri"/>
          <w:lang w:val="en-US"/>
        </w:rPr>
        <w:t>yclo</w:t>
      </w:r>
      <w:r w:rsidR="00AA70C3" w:rsidRPr="00E42762">
        <w:rPr>
          <w:rFonts w:ascii="Calibri" w:hAnsi="Calibri" w:cs="Calibri"/>
          <w:vertAlign w:val="subscript"/>
          <w:lang w:val="en-US"/>
        </w:rPr>
        <w:t>(1-8)</w:t>
      </w:r>
      <w:r w:rsidR="009A703B" w:rsidRPr="00E42762">
        <w:rPr>
          <w:rFonts w:ascii="Calibri" w:hAnsi="Calibri" w:cs="Calibri"/>
          <w:lang w:val="en-US"/>
        </w:rPr>
        <w:t>OP led to a statistically significant increase in rearing activity in the cylinder test, underscoring the compound's potential to alleviate motor deficits.</w:t>
      </w:r>
    </w:p>
    <w:p w14:paraId="425186F9" w14:textId="77777777" w:rsidR="00E61A25" w:rsidRPr="00E42762" w:rsidRDefault="00E61A25" w:rsidP="00E42762">
      <w:pPr>
        <w:pStyle w:val="NormalWeb"/>
        <w:spacing w:before="0" w:beforeAutospacing="0" w:after="0" w:afterAutospacing="0"/>
        <w:jc w:val="both"/>
        <w:rPr>
          <w:rFonts w:ascii="Calibri" w:hAnsi="Calibri" w:cs="Calibri"/>
          <w:lang w:val="en-US"/>
        </w:rPr>
      </w:pPr>
    </w:p>
    <w:p w14:paraId="7860A2D6" w14:textId="51173C68" w:rsidR="002E234D" w:rsidRPr="00E42762" w:rsidRDefault="00601689" w:rsidP="00E42762">
      <w:pPr>
        <w:pStyle w:val="NormalWeb"/>
        <w:spacing w:before="0" w:beforeAutospacing="0" w:after="0" w:afterAutospacing="0"/>
        <w:jc w:val="both"/>
        <w:rPr>
          <w:rFonts w:ascii="Calibri" w:hAnsi="Calibri" w:cs="Calibri"/>
          <w:lang w:val="en-US"/>
        </w:rPr>
      </w:pPr>
      <w:r w:rsidRPr="00E42762">
        <w:rPr>
          <w:rFonts w:ascii="Calibri" w:hAnsi="Calibri" w:cs="Calibri"/>
          <w:lang w:val="en-US"/>
        </w:rPr>
        <w:t xml:space="preserve">It has been established that neuronal cell death associated with </w:t>
      </w:r>
      <w:r w:rsidR="00A47302" w:rsidRPr="00E42762">
        <w:rPr>
          <w:rFonts w:ascii="Calibri" w:hAnsi="Calibri" w:cs="Calibri"/>
          <w:lang w:val="en-US"/>
        </w:rPr>
        <w:t>PD</w:t>
      </w:r>
      <w:r w:rsidRPr="00E42762">
        <w:rPr>
          <w:rFonts w:ascii="Calibri" w:hAnsi="Calibri" w:cs="Calibri"/>
          <w:lang w:val="en-US"/>
        </w:rPr>
        <w:t xml:space="preserve"> involves oxidative stress and inflammation</w:t>
      </w:r>
      <w:r w:rsidR="008646AD" w:rsidRPr="00E42762">
        <w:rPr>
          <w:rFonts w:ascii="Calibri" w:hAnsi="Calibri" w:cs="Calibri"/>
          <w:vertAlign w:val="superscript"/>
        </w:rPr>
        <w:fldChar w:fldCharType="begin"/>
      </w:r>
      <w:r w:rsidR="00655BCC" w:rsidRPr="00E42762">
        <w:rPr>
          <w:rFonts w:ascii="Calibri" w:hAnsi="Calibri" w:cs="Calibri"/>
          <w:vertAlign w:val="superscript"/>
          <w:lang w:val="en-US"/>
        </w:rPr>
        <w:instrText xml:space="preserve"> ADDIN ZOTERO_ITEM CSL_CITATION {"citationID":"LootUjXX","properties":{"formattedCitation":"(36)","plainCitation":"(36)","noteIndex":0},"citationItems":[{"id":"dKMGonER/ZHN6cDRy","uris":["http://zotero.org/users/local/gyNd5DuB/items/H6EJWBG6"],"itemData":{"id":184,"type":"article-journal","abstract":"Parkinson's disease (PD) is a neurodegenerative disorder due to dopamine deficit in substatia nigra. PD is mainly a sporadic disease with unestablished etiology. However, exposure to environmental toxins, head trauma, inflammation, and free radicals are potential reasons. Recently, the role of oxidative stress in neurological abnormalities, including PD, has been particularly addressed. Antioxidant remedies, particularly herbal antioxidants, have revealed new perspectives of research and therapy as possible preventive and therapeutic approaches for PD. In this paper, we reviewed the recently published papers on the effects of herbal medicines on PD alongside the pathogenesis of PD with regard to oxidative stress.","container-title":"Current Pharmaceutical Design","DOI":"10.2174/1381612822666151112151653","ISSN":"1873-4286","issue":"2","journalAbbreviation":"Curr Pharm Des","language":"eng","note":"PMID: 26561062","page":"238-246","source":"PubMed","title":"Oxidative stress and Parkinson's disease: New hopes in treatment with herbal antioxidants","title-short":"Oxidative stress and Parkinson's disease","volume":"22","author":[{"family":"Sarrafchi","given":"Amir"},{"family":"Bahmani","given":"Mahmoud"},{"family":"Shirzad","given":"Hedayatollah"},{"family":"Rafieian-Kopaei","given":"Mahmoud"}],"issued":{"date-parts":[["2016"]]}}}],"schema":"https://github.com/citation-style-language/schema/raw/master/csl-citation.json"} </w:instrText>
      </w:r>
      <w:r w:rsidR="008646AD" w:rsidRPr="00E42762">
        <w:rPr>
          <w:rFonts w:ascii="Calibri" w:hAnsi="Calibri" w:cs="Calibri"/>
          <w:vertAlign w:val="superscript"/>
        </w:rPr>
        <w:fldChar w:fldCharType="separate"/>
      </w:r>
      <w:r w:rsidR="00655BCC" w:rsidRPr="00E42762">
        <w:rPr>
          <w:rFonts w:ascii="Calibri" w:hAnsi="Calibri" w:cs="Calibri"/>
          <w:vertAlign w:val="superscript"/>
          <w:lang w:val="en-US"/>
        </w:rPr>
        <w:t>36</w:t>
      </w:r>
      <w:r w:rsidR="008646AD" w:rsidRPr="00E42762">
        <w:rPr>
          <w:rFonts w:ascii="Calibri" w:hAnsi="Calibri" w:cs="Calibri"/>
          <w:vertAlign w:val="superscript"/>
        </w:rPr>
        <w:fldChar w:fldCharType="end"/>
      </w:r>
      <w:r w:rsidRPr="00E42762">
        <w:rPr>
          <w:rFonts w:ascii="Calibri" w:hAnsi="Calibri" w:cs="Calibri"/>
          <w:lang w:val="en-US"/>
        </w:rPr>
        <w:t>. Excessive production of ROS and accumulation of lipids, proteins</w:t>
      </w:r>
      <w:r w:rsidR="0012066A" w:rsidRPr="00E42762">
        <w:rPr>
          <w:rFonts w:ascii="Calibri" w:hAnsi="Calibri" w:cs="Calibri"/>
          <w:lang w:val="en-US"/>
        </w:rPr>
        <w:t>,</w:t>
      </w:r>
      <w:r w:rsidRPr="00E42762">
        <w:rPr>
          <w:rFonts w:ascii="Calibri" w:hAnsi="Calibri" w:cs="Calibri"/>
          <w:lang w:val="en-US"/>
        </w:rPr>
        <w:t xml:space="preserve"> and DNA oxidation products are observed </w:t>
      </w:r>
      <w:r w:rsidR="006B6929" w:rsidRPr="00E42762">
        <w:rPr>
          <w:rFonts w:ascii="Calibri" w:hAnsi="Calibri" w:cs="Calibri"/>
          <w:lang w:val="en-US"/>
        </w:rPr>
        <w:t>in the affected brain regions typical of Parkinson’s pathology</w:t>
      </w:r>
      <w:r w:rsidR="00524EF4" w:rsidRPr="00E42762">
        <w:rPr>
          <w:rFonts w:ascii="Calibri" w:hAnsi="Calibri" w:cs="Calibri"/>
          <w:vertAlign w:val="superscript"/>
        </w:rPr>
        <w:fldChar w:fldCharType="begin"/>
      </w:r>
      <w:r w:rsidR="00655BCC" w:rsidRPr="00E42762">
        <w:rPr>
          <w:rFonts w:ascii="Calibri" w:hAnsi="Calibri" w:cs="Calibri"/>
          <w:vertAlign w:val="superscript"/>
          <w:lang w:val="en-US"/>
        </w:rPr>
        <w:instrText xml:space="preserve"> ADDIN ZOTERO_ITEM CSL_CITATION {"citationID":"NcyeXa5j","properties":{"formattedCitation":"(37)","plainCitation":"(37)","noteIndex":0},"citationItems":[{"id":"dKMGonER/p4hXalSc","uris":["http://zotero.org/users/local/gyNd5DuB/items/6ELQXTNZ"],"itemData":{"id":194,"type":"article-journal","abstract":"Parkinson's disease is characterised by a slow and progressive degeneration of dopaminergic neurons in the substantia nigra. Despite intensive research, the cause of the neuronal loss in Parkinson's disease is poorly understood. Neuroinflammatory mechanisms might contribute to the cascade of events leading to neuronal degeneration. In this Review, we describe the evidence for neuroinflammatory processes from post-mortem and in vivo studies in Parkinson's disease. We further identify the cellular and molecular events associated with neuroinflammation that are involved in the degeneration of dopaminergic neurons in animal models of the disease. Overall, available data support the importance of non-cell-autonomous pathological mechanisms in Parkinson's disease, which are mostly mediated by activated glial and peripheral immune cells. This cellular response to neurodegeneration triggers deleterious events (eg, oxidative stress and cytokine-receptor-mediated apoptosis), which might eventually lead to dopaminergic cell death and hence disease progression. Finally, we highlight possible therapeutic strategies (including immunomodulatory drugs and therapeutic immunisation) aimed at downregulating these inflammatory processes that might be important to slow the progression of Parkinson's disease.","container-title":"The Lancet. Neurology","DOI":"10.1016/S1474-4422(09)70062-6","ISSN":"1474-4422","issue":"4","journalAbbreviation":"Lancet Neurol","language":"eng","note":"PMID: 19296921","page":"382-397","source":"PubMed","title":"Neuroinflammation in Parkinson's disease: a target for neuroprotection?","title-short":"Neuroinflammation in Parkinson's disease","volume":"8","author":[{"family":"Hirsch","given":"Etienne C."},{"family":"Hunot","given":"Stéphane"}],"issued":{"date-parts":[["2009",4]]}}}],"schema":"https://github.com/citation-style-language/schema/raw/master/csl-citation.json"} </w:instrText>
      </w:r>
      <w:r w:rsidR="00524EF4" w:rsidRPr="00E42762">
        <w:rPr>
          <w:rFonts w:ascii="Calibri" w:hAnsi="Calibri" w:cs="Calibri"/>
          <w:vertAlign w:val="superscript"/>
        </w:rPr>
        <w:fldChar w:fldCharType="separate"/>
      </w:r>
      <w:r w:rsidR="00655BCC" w:rsidRPr="00E42762">
        <w:rPr>
          <w:rFonts w:ascii="Calibri" w:hAnsi="Calibri" w:cs="Calibri"/>
          <w:vertAlign w:val="superscript"/>
          <w:lang w:val="en-US"/>
        </w:rPr>
        <w:t>37</w:t>
      </w:r>
      <w:r w:rsidR="00524EF4" w:rsidRPr="00E42762">
        <w:rPr>
          <w:rFonts w:ascii="Calibri" w:hAnsi="Calibri" w:cs="Calibri"/>
          <w:vertAlign w:val="superscript"/>
        </w:rPr>
        <w:fldChar w:fldCharType="end"/>
      </w:r>
      <w:r w:rsidR="00524EF4" w:rsidRPr="00E42762">
        <w:rPr>
          <w:rFonts w:ascii="Calibri" w:hAnsi="Calibri" w:cs="Calibri"/>
          <w:lang w:val="en-US"/>
        </w:rPr>
        <w:t xml:space="preserve">. </w:t>
      </w:r>
      <w:r w:rsidRPr="00E42762">
        <w:rPr>
          <w:rFonts w:ascii="Calibri" w:hAnsi="Calibri" w:cs="Calibri"/>
          <w:lang w:val="en-US"/>
        </w:rPr>
        <w:t xml:space="preserve">These alterations are associated </w:t>
      </w:r>
      <w:r w:rsidR="006B6929" w:rsidRPr="00E42762">
        <w:rPr>
          <w:rFonts w:ascii="Calibri" w:hAnsi="Calibri" w:cs="Calibri"/>
          <w:lang w:val="en-US"/>
        </w:rPr>
        <w:t>with reduced activity</w:t>
      </w:r>
      <w:r w:rsidRPr="00E42762">
        <w:rPr>
          <w:rFonts w:ascii="Calibri" w:hAnsi="Calibri" w:cs="Calibri"/>
          <w:lang w:val="en-US"/>
        </w:rPr>
        <w:t xml:space="preserve"> of the antioxidant enzymes SOD, </w:t>
      </w:r>
      <w:r w:rsidR="00BC0B26" w:rsidRPr="00E42762">
        <w:rPr>
          <w:rFonts w:ascii="Calibri" w:hAnsi="Calibri" w:cs="Calibri"/>
          <w:lang w:val="en-US"/>
        </w:rPr>
        <w:t>CAT</w:t>
      </w:r>
      <w:r w:rsidR="000D2601" w:rsidRPr="00E42762">
        <w:rPr>
          <w:rFonts w:ascii="Calibri" w:hAnsi="Calibri" w:cs="Calibri"/>
          <w:lang w:val="en-US"/>
        </w:rPr>
        <w:t>,</w:t>
      </w:r>
      <w:r w:rsidRPr="00E42762">
        <w:rPr>
          <w:rFonts w:ascii="Calibri" w:hAnsi="Calibri" w:cs="Calibri"/>
          <w:lang w:val="en-US"/>
        </w:rPr>
        <w:t xml:space="preserve"> and peroxidases</w:t>
      </w:r>
      <w:r w:rsidR="008646AD" w:rsidRPr="00E42762">
        <w:rPr>
          <w:rFonts w:ascii="Calibri" w:hAnsi="Calibri" w:cs="Calibri"/>
        </w:rPr>
        <w:fldChar w:fldCharType="begin"/>
      </w:r>
      <w:r w:rsidR="00655BCC" w:rsidRPr="00E42762">
        <w:rPr>
          <w:rFonts w:ascii="Calibri" w:hAnsi="Calibri" w:cs="Calibri"/>
          <w:lang w:val="en-US"/>
        </w:rPr>
        <w:instrText xml:space="preserve"> ADDIN ZOTERO_ITEM CSL_CITATION {"citationID":"gIhJTInr","properties":{"formattedCitation":"(38\\uc0\\u8211{}40)","plainCitation":"(38–40)","noteIndex":0},"citationItems":[{"id":"dKMGonER/Y89w6vEg","uris":["http://zotero.org/users/local/gyNd5DuB/items/HM2WDM9H"],"itemData":{"id":186,"type":"article-journal","abstract":"We examined oxidative stress markers of 31 patients suffering from ALS, 24 patients suffering from PD and 30 healthy subjects were included. We determined the plasma levels of lipid peroxidation (malondialdehyde, MDA), of protein oxidative lesions (plasma glutathione, carbonyls and thiols) and the activity of antioxidant enzymes i.e. erythrocyte Cu,Zn-Superoxide dismutase (SOD), Glutathione peroxidase (GSH-Px) and catalase. MDA and thiols were significantly different in both neurodegenerative diseases versus control population. A trend for an enhancement of oxidized glutathione was noted in ALS patients. Univariate analysis showed that SOD activity was significantly decreased in ALS and GSH-Px activity was decreased in PD. After adjusting for demographic parameters and enzyme cofactors, we could emphasize a compensatory increase of SOD activity in PD. Different antioxidant systems were not involved in the same way in ALS and PD, suggesting that oxidative stress may be a cause rather than a consequence of the neuronal death.","container-title":"Neurochemical Research","DOI":"10.1007/s11064-010-0212-5","ISSN":"1573-6903","issue":"10","journalAbbreviation":"Neurochem Res","language":"eng","note":"PMID: 20535556","page":"1530-1537","source":"PubMed","title":"The role of oxidative stress in amyotrophic lateral sclerosis and Parkinson's disease","volume":"35","author":[{"family":"Baillet","given":"Athan"},{"family":"Chanteperdrix","given":"Vanessa"},{"family":"Trocmé","given":"Candice"},{"family":"Casez","given":"Pierre"},{"family":"Garrel","given":"Catherine"},{"family":"Besson","given":"Gérard"}],"issued":{"date-parts":[["2010",10]]}}},{"id":"dKMGonER/MdKkjHvZ","uris":["http://zotero.org/users/local/gyNd5DuB/items/3NTVAQDB"],"itemData":{"id":188,"type":"article-journal","abstract":"Dopaminergic neurons die in Parkinson's disease (PD) due to oxidative stress and mitochondrial dysfunction in the substantia nigra (SN). We evaluated if oxidative stress occurs in other brain regions like the caudate nucleus (CD), putamen (Put) and frontal cortex (FC) in human postmortem PD brains (n = 6). While protein oxidation was elevated only in CD (P &lt; 0.05), lipid peroxidation was increased only in FC (P &lt; 0.05) and protein nitration was unchanged in PD compared to controls. Interestingly, mitochondrial complex I (CI) activity was unaffected in PD compared to controls. There was a 3-5 fold increase in the total glutathione (GSH) levels in the three regions (P &lt; 0.01 in FC and CD; P &lt; 0.05 in Put) but activities of antioxidant enzymes catalase, superoxide dismutase, glutathione reductase and glutathione-s-tranferase were not increased. Total GSH levels were elevated in these areas because of decreased activity of gamma glutamyl transpeptidase (γ-GT) (P &lt; 0.05) activity suggesting a decreased breakdown of GSH. There was an increase in expression of glial fibrillary acidic protein (GFAP) (P &lt; 0.001 in FC; P &lt; 0.05 in CD) and glutathione peroxidase (P &lt; 0.05 in CD and Put) activity due to proliferation of astrocytes. We suggest that increased GSH and astrocytic proliferation protects non-SN brain regions from oxidative and mitochondrial damage in PD.","container-title":"Neurochemical Research","DOI":"10.1007/s11064-011-0471-9","ISSN":"1573-6903","issue":"8","journalAbbreviation":"Neurochem Res","language":"eng","note":"PMID: 21484266","page":"1452-1463","source":"PubMed","title":"Evaluation of markers of oxidative stress, antioxidant function and astrocytic proliferation in the striatum and frontal cortex of Parkinson's disease brains","volume":"36","author":[{"family":"Mythri","given":"Rajeswara Babu"},{"family":"Venkateshappa","given":"C."},{"family":"Harish","given":"G."},{"family":"Mahadevan","given":"Anita"},{"family":"Muthane","given":"Uday B."},{"family":"Yasha","given":"T. C."},{"family":"Srinivas Bharath","given":"M. M."},{"family":"Shankar","given":"S. K."}],"issued":{"date-parts":[["2011",8]]}}},{"id":"dKMGonER/ZmTOJIFR","uris":["http://zotero.org/users/local/gyNd5DuB/items/FMCQWWMY"],"itemData":{"id":190,"type":"article-journal","abstract":"Parkinson's disease (PD) is characterized by selective degeneration and loss of dopaminergic neurons in the substantia nigra (SN) of the ventral mid brain leading to dopamine depletion in the striatum. Oxidative stress and mitochondrial damage have been implicated in the death of SN neurons during the evolution of PD. In our previous study on human PD brains, we observed that compared to SN, striatum was significantly protected against oxidative damage and mitochondrial dysfunction. To understand whether brain aging contributes to the vulnerability of midbrain to neurodegeneration in PD compared to striatum, we assessed the status of oxidant and antioxidant markers, glutathione metabolic enzymes, glial fibrillary acidic protein (GFAP) expression and mitochondrial complex I(CI) activity in SN (n = 23) and caudate nucleus (n = 24) during physiological aging in human brains. We observed a significant increase in protein oxidation (P &lt; 0.001), loss of CI activity (P = 0.04) and increased astrocytic proliferation indicated by GFAP expression (P &lt; 0.001) in SN compared to CD with increasing age. These changes were attributed to significant decrease in antioxidant function represented by superoxide dismutase (SOD) (P = 0.03), glutathione (GSH) peroxidase (GPx) (P = 0.02) and GSH reductase (GR) (P = 0.03) and a decreasing trend in total GSH and catalase with increasing age. However, these parameters were relatively unaltered in CD. We propose that SN undergoes extensive oxidative damage, loss of antioxidant and mitochondrial function and increased GFAP expression during physiological aging which might make it more vulnerable to neurotoxic insults thus contributing to selective degeneration during evolution of PD.","container-title":"Neurochemical Research","DOI":"10.1007/s11064-011-0619-7","ISSN":"1573-6903","issue":"2","journalAbbreviation":"Neurochem Res","language":"eng","note":"PMID: 21971758","page":"358-369","source":"PubMed","title":"Increased oxidative damage and decreased antioxidant function in aging human substantia nigra compared to striatum: implications for Parkinson's disease","title-short":"Increased oxidative damage and decreased antioxidant function in aging human substantia nigra compared to striatum","volume":"37","author":[{"family":"Venkateshappa","given":"C."},{"family":"Harish","given":"G."},{"family":"Mythri","given":"Rajeswara Babu"},{"family":"Mahadevan","given":"Anita"},{"family":"Bharath","given":"M. M. Srinivas"},{"family":"Shankar","given":"S. K."}],"issued":{"date-parts":[["2012",2]]}}}],"schema":"https://github.com/citation-style-language/schema/raw/master/csl-citation.json"} </w:instrText>
      </w:r>
      <w:r w:rsidR="008646AD" w:rsidRPr="00E42762">
        <w:rPr>
          <w:rFonts w:ascii="Calibri" w:hAnsi="Calibri" w:cs="Calibri"/>
        </w:rPr>
        <w:fldChar w:fldCharType="separate"/>
      </w:r>
      <w:r w:rsidR="00655BCC" w:rsidRPr="00E42762">
        <w:rPr>
          <w:rFonts w:ascii="Calibri" w:hAnsi="Calibri" w:cs="Calibri"/>
          <w:vertAlign w:val="superscript"/>
          <w:lang w:val="en-US"/>
        </w:rPr>
        <w:t>38–40</w:t>
      </w:r>
      <w:r w:rsidR="008646AD" w:rsidRPr="00E42762">
        <w:rPr>
          <w:rFonts w:ascii="Calibri" w:hAnsi="Calibri" w:cs="Calibri"/>
        </w:rPr>
        <w:fldChar w:fldCharType="end"/>
      </w:r>
      <w:r w:rsidRPr="00E42762">
        <w:rPr>
          <w:rFonts w:ascii="Calibri" w:hAnsi="Calibri" w:cs="Calibri"/>
          <w:lang w:val="en-US"/>
        </w:rPr>
        <w:t xml:space="preserve">, </w:t>
      </w:r>
      <w:r w:rsidR="006B6929" w:rsidRPr="00E42762">
        <w:rPr>
          <w:rFonts w:ascii="Calibri" w:hAnsi="Calibri" w:cs="Calibri"/>
          <w:lang w:val="en-US"/>
        </w:rPr>
        <w:t xml:space="preserve">as well as impaired glutathione </w:t>
      </w:r>
      <w:r w:rsidR="00A47302" w:rsidRPr="00E42762">
        <w:rPr>
          <w:rFonts w:ascii="Calibri" w:hAnsi="Calibri" w:cs="Calibri"/>
          <w:lang w:val="en-US"/>
        </w:rPr>
        <w:t xml:space="preserve">(GSH) </w:t>
      </w:r>
      <w:r w:rsidRPr="00E42762">
        <w:rPr>
          <w:rFonts w:ascii="Calibri" w:hAnsi="Calibri" w:cs="Calibri"/>
          <w:lang w:val="en-US"/>
        </w:rPr>
        <w:t>biosynthesis.</w:t>
      </w:r>
      <w:r w:rsidR="00CD772C" w:rsidRPr="00E42762">
        <w:rPr>
          <w:rFonts w:ascii="Calibri" w:hAnsi="Calibri" w:cs="Calibri"/>
          <w:lang w:val="en-US"/>
        </w:rPr>
        <w:t xml:space="preserve"> </w:t>
      </w:r>
      <w:r w:rsidR="008646AD" w:rsidRPr="00E42762">
        <w:rPr>
          <w:rFonts w:ascii="Calibri" w:hAnsi="Calibri" w:cs="Calibri"/>
          <w:lang w:val="en-US"/>
        </w:rPr>
        <w:t>Accordingly,</w:t>
      </w:r>
      <w:r w:rsidR="006B6929" w:rsidRPr="00E42762">
        <w:rPr>
          <w:rFonts w:ascii="Calibri" w:hAnsi="Calibri" w:cs="Calibri"/>
          <w:lang w:val="en-US"/>
        </w:rPr>
        <w:t xml:space="preserve"> </w:t>
      </w:r>
      <w:r w:rsidR="000D2601" w:rsidRPr="00E42762">
        <w:rPr>
          <w:rFonts w:ascii="Calibri" w:hAnsi="Calibri" w:cs="Calibri"/>
          <w:lang w:val="en-US"/>
        </w:rPr>
        <w:t>based on</w:t>
      </w:r>
      <w:r w:rsidR="006B6929" w:rsidRPr="00E42762">
        <w:rPr>
          <w:rFonts w:ascii="Calibri" w:hAnsi="Calibri" w:cs="Calibri"/>
          <w:lang w:val="en-US"/>
        </w:rPr>
        <w:t xml:space="preserve"> these observations</w:t>
      </w:r>
      <w:r w:rsidR="00CD772C" w:rsidRPr="00E42762">
        <w:rPr>
          <w:rFonts w:ascii="Calibri" w:hAnsi="Calibri" w:cs="Calibri"/>
          <w:lang w:val="en-US"/>
        </w:rPr>
        <w:t xml:space="preserve">, </w:t>
      </w:r>
      <w:r w:rsidR="00D70E63" w:rsidRPr="00E42762">
        <w:rPr>
          <w:rFonts w:ascii="Calibri" w:hAnsi="Calibri" w:cs="Calibri"/>
          <w:lang w:val="en-US"/>
        </w:rPr>
        <w:t>this</w:t>
      </w:r>
      <w:r w:rsidR="006B6929" w:rsidRPr="00E42762">
        <w:rPr>
          <w:rFonts w:ascii="Calibri" w:hAnsi="Calibri" w:cs="Calibri"/>
          <w:lang w:val="en-US"/>
        </w:rPr>
        <w:t xml:space="preserve"> study demonstrates that MPTP-treated mice exhibited </w:t>
      </w:r>
      <w:r w:rsidR="00387441" w:rsidRPr="00E42762">
        <w:rPr>
          <w:rFonts w:ascii="Calibri" w:hAnsi="Calibri" w:cs="Calibri"/>
          <w:lang w:val="en-US"/>
        </w:rPr>
        <w:t>high</w:t>
      </w:r>
      <w:r w:rsidR="00CD772C" w:rsidRPr="00E42762">
        <w:rPr>
          <w:rFonts w:ascii="Calibri" w:hAnsi="Calibri" w:cs="Calibri"/>
          <w:lang w:val="en-US"/>
        </w:rPr>
        <w:t xml:space="preserve"> level</w:t>
      </w:r>
      <w:r w:rsidR="000D2601" w:rsidRPr="00E42762">
        <w:rPr>
          <w:rFonts w:ascii="Calibri" w:hAnsi="Calibri" w:cs="Calibri"/>
          <w:lang w:val="en-US"/>
        </w:rPr>
        <w:t>s</w:t>
      </w:r>
      <w:r w:rsidR="00CD772C" w:rsidRPr="00E42762">
        <w:rPr>
          <w:rFonts w:ascii="Calibri" w:hAnsi="Calibri" w:cs="Calibri"/>
          <w:lang w:val="en-US"/>
        </w:rPr>
        <w:t xml:space="preserve"> of ROS in the striatum</w:t>
      </w:r>
      <w:r w:rsidR="000D2601" w:rsidRPr="00E42762">
        <w:rPr>
          <w:rFonts w:ascii="Calibri" w:hAnsi="Calibri" w:cs="Calibri"/>
          <w:lang w:val="en-US"/>
        </w:rPr>
        <w:t>,</w:t>
      </w:r>
      <w:r w:rsidR="00CD772C" w:rsidRPr="00E42762">
        <w:rPr>
          <w:rFonts w:ascii="Calibri" w:hAnsi="Calibri" w:cs="Calibri"/>
          <w:lang w:val="en-US"/>
        </w:rPr>
        <w:t xml:space="preserve"> </w:t>
      </w:r>
      <w:r w:rsidR="006B6929" w:rsidRPr="00E42762">
        <w:rPr>
          <w:rFonts w:ascii="Calibri" w:hAnsi="Calibri" w:cs="Calibri"/>
          <w:lang w:val="en-US"/>
        </w:rPr>
        <w:t xml:space="preserve">resulting in the accumulation of lipid peroxidation products such as MDA and </w:t>
      </w:r>
      <w:r w:rsidR="00BC0B26" w:rsidRPr="00E42762">
        <w:rPr>
          <w:rFonts w:ascii="Calibri" w:hAnsi="Calibri" w:cs="Calibri"/>
          <w:lang w:val="en-US"/>
        </w:rPr>
        <w:t>PCO</w:t>
      </w:r>
      <w:r w:rsidR="00CD772C" w:rsidRPr="00E42762">
        <w:rPr>
          <w:rFonts w:ascii="Calibri" w:hAnsi="Calibri" w:cs="Calibri"/>
          <w:lang w:val="en-US"/>
        </w:rPr>
        <w:t xml:space="preserve">. Interestingly, </w:t>
      </w:r>
      <w:r w:rsidR="00A47302" w:rsidRPr="00E42762">
        <w:rPr>
          <w:rFonts w:ascii="Calibri" w:hAnsi="Calibri" w:cs="Calibri"/>
          <w:lang w:val="en-US"/>
        </w:rPr>
        <w:t>cyclo</w:t>
      </w:r>
      <w:r w:rsidR="00A47302" w:rsidRPr="00E42762">
        <w:rPr>
          <w:rFonts w:ascii="Calibri" w:hAnsi="Calibri" w:cs="Calibri"/>
          <w:vertAlign w:val="subscript"/>
          <w:lang w:val="en-US"/>
        </w:rPr>
        <w:t>(1-8)</w:t>
      </w:r>
      <w:r w:rsidR="00A47302" w:rsidRPr="00E42762">
        <w:rPr>
          <w:rFonts w:ascii="Calibri" w:hAnsi="Calibri" w:cs="Calibri"/>
          <w:lang w:val="en-US"/>
        </w:rPr>
        <w:t>OP</w:t>
      </w:r>
      <w:r w:rsidR="00BC0B26" w:rsidRPr="00E42762">
        <w:rPr>
          <w:rFonts w:ascii="Calibri" w:hAnsi="Calibri" w:cs="Calibri"/>
          <w:lang w:val="en-US"/>
        </w:rPr>
        <w:t>,</w:t>
      </w:r>
      <w:r w:rsidR="00CD772C" w:rsidRPr="00E42762">
        <w:rPr>
          <w:rFonts w:ascii="Calibri" w:hAnsi="Calibri" w:cs="Calibri"/>
          <w:lang w:val="en-US"/>
        </w:rPr>
        <w:t xml:space="preserve"> which had no signi</w:t>
      </w:r>
      <w:r w:rsidR="006B6929" w:rsidRPr="00E42762">
        <w:rPr>
          <w:rFonts w:ascii="Calibri" w:hAnsi="Calibri" w:cs="Calibri"/>
          <w:lang w:val="en-US"/>
        </w:rPr>
        <w:t xml:space="preserve">ficant effect by itself on MDA </w:t>
      </w:r>
      <w:r w:rsidR="00CD772C" w:rsidRPr="00E42762">
        <w:rPr>
          <w:rFonts w:ascii="Calibri" w:hAnsi="Calibri" w:cs="Calibri"/>
          <w:lang w:val="en-US"/>
        </w:rPr>
        <w:t xml:space="preserve">and </w:t>
      </w:r>
      <w:r w:rsidR="00BC0B26" w:rsidRPr="00E42762">
        <w:rPr>
          <w:rFonts w:ascii="Calibri" w:hAnsi="Calibri" w:cs="Calibri"/>
          <w:lang w:val="en-US"/>
        </w:rPr>
        <w:t xml:space="preserve">PCO </w:t>
      </w:r>
      <w:r w:rsidR="00CD772C" w:rsidRPr="00E42762">
        <w:rPr>
          <w:rFonts w:ascii="Calibri" w:hAnsi="Calibri" w:cs="Calibri"/>
          <w:lang w:val="en-US"/>
        </w:rPr>
        <w:t xml:space="preserve">generation, completely suppressed the deleterious effects </w:t>
      </w:r>
      <w:r w:rsidR="000D2601" w:rsidRPr="00E42762">
        <w:rPr>
          <w:rFonts w:ascii="Calibri" w:hAnsi="Calibri" w:cs="Calibri"/>
          <w:lang w:val="en-US"/>
        </w:rPr>
        <w:t xml:space="preserve">of </w:t>
      </w:r>
      <w:r w:rsidR="0099776D" w:rsidRPr="00E42762">
        <w:rPr>
          <w:rFonts w:ascii="Calibri" w:hAnsi="Calibri" w:cs="Calibri"/>
          <w:lang w:val="en-US"/>
        </w:rPr>
        <w:t>MPTP-induced ROS overproduction and associated oxidative damage to cellular biomolecules</w:t>
      </w:r>
      <w:r w:rsidR="00CD772C" w:rsidRPr="00E42762">
        <w:rPr>
          <w:rFonts w:ascii="Calibri" w:hAnsi="Calibri" w:cs="Calibri"/>
          <w:lang w:val="en-US"/>
        </w:rPr>
        <w:t xml:space="preserve">. </w:t>
      </w:r>
      <w:r w:rsidR="00133361" w:rsidRPr="00E42762">
        <w:rPr>
          <w:rFonts w:ascii="Calibri" w:hAnsi="Calibri" w:cs="Calibri"/>
          <w:lang w:val="en-US"/>
        </w:rPr>
        <w:t xml:space="preserve">The antioxidant activity of </w:t>
      </w:r>
      <w:r w:rsidR="00176208" w:rsidRPr="00E42762">
        <w:rPr>
          <w:rFonts w:ascii="Calibri" w:hAnsi="Calibri" w:cs="Calibri"/>
          <w:lang w:val="en-US"/>
        </w:rPr>
        <w:br/>
      </w:r>
      <w:r w:rsidR="00A47302" w:rsidRPr="00E42762">
        <w:rPr>
          <w:rFonts w:ascii="Calibri" w:hAnsi="Calibri" w:cs="Calibri"/>
          <w:lang w:val="en-US"/>
        </w:rPr>
        <w:t>cyclo</w:t>
      </w:r>
      <w:r w:rsidR="00A47302" w:rsidRPr="00E42762">
        <w:rPr>
          <w:rFonts w:ascii="Calibri" w:hAnsi="Calibri" w:cs="Calibri"/>
          <w:vertAlign w:val="subscript"/>
          <w:lang w:val="en-US"/>
        </w:rPr>
        <w:t>(1-8)</w:t>
      </w:r>
      <w:r w:rsidR="00A47302" w:rsidRPr="00E42762">
        <w:rPr>
          <w:rFonts w:ascii="Calibri" w:hAnsi="Calibri" w:cs="Calibri"/>
          <w:lang w:val="en-US"/>
        </w:rPr>
        <w:t xml:space="preserve">OP </w:t>
      </w:r>
      <w:r w:rsidR="00133361" w:rsidRPr="00E42762">
        <w:rPr>
          <w:rFonts w:ascii="Calibri" w:hAnsi="Calibri" w:cs="Calibri"/>
          <w:lang w:val="en-US"/>
        </w:rPr>
        <w:t>aligns with findings that the neuropeptide ODN exerts neuroprotective effects by increasing</w:t>
      </w:r>
      <w:r w:rsidR="002C0916" w:rsidRPr="00E42762">
        <w:rPr>
          <w:rFonts w:ascii="Calibri" w:hAnsi="Calibri" w:cs="Calibri"/>
          <w:lang w:val="en-US"/>
        </w:rPr>
        <w:t xml:space="preserve"> the level of GSH, the major free radical scavenger in the brain, and </w:t>
      </w:r>
      <w:r w:rsidR="00133361" w:rsidRPr="00E42762">
        <w:rPr>
          <w:rFonts w:ascii="Calibri" w:hAnsi="Calibri" w:cs="Calibri"/>
          <w:lang w:val="en-US"/>
        </w:rPr>
        <w:t>upregulating</w:t>
      </w:r>
      <w:r w:rsidR="002C0916" w:rsidRPr="00E42762">
        <w:rPr>
          <w:rFonts w:ascii="Calibri" w:hAnsi="Calibri" w:cs="Calibri"/>
          <w:lang w:val="en-US"/>
        </w:rPr>
        <w:t xml:space="preserve"> the expression and the activity of the antioxidant enzymes SOD</w:t>
      </w:r>
      <w:r w:rsidR="00BC0B26" w:rsidRPr="00E42762">
        <w:rPr>
          <w:rFonts w:ascii="Calibri" w:hAnsi="Calibri" w:cs="Calibri"/>
          <w:lang w:val="en-US"/>
        </w:rPr>
        <w:t xml:space="preserve"> </w:t>
      </w:r>
      <w:r w:rsidR="002C0916" w:rsidRPr="00E42762">
        <w:rPr>
          <w:rFonts w:ascii="Calibri" w:hAnsi="Calibri" w:cs="Calibri"/>
          <w:lang w:val="en-US"/>
        </w:rPr>
        <w:t xml:space="preserve">and </w:t>
      </w:r>
      <w:r w:rsidR="00BC0B26" w:rsidRPr="00E42762">
        <w:rPr>
          <w:rFonts w:ascii="Calibri" w:hAnsi="Calibri" w:cs="Calibri"/>
          <w:lang w:val="en-US"/>
        </w:rPr>
        <w:t>CAT</w:t>
      </w:r>
      <w:r w:rsidR="002C0916" w:rsidRPr="00E42762">
        <w:rPr>
          <w:rFonts w:ascii="Calibri" w:hAnsi="Calibri" w:cs="Calibri"/>
          <w:lang w:val="en-US"/>
        </w:rPr>
        <w:t xml:space="preserve"> to blunt the overproduction of ROS</w:t>
      </w:r>
      <w:r w:rsidR="008646AD" w:rsidRPr="00E42762">
        <w:rPr>
          <w:rFonts w:ascii="Calibri" w:hAnsi="Calibri" w:cs="Calibri"/>
        </w:rPr>
        <w:fldChar w:fldCharType="begin"/>
      </w:r>
      <w:r w:rsidR="00655BCC" w:rsidRPr="00E42762">
        <w:rPr>
          <w:rFonts w:ascii="Calibri" w:hAnsi="Calibri" w:cs="Calibri"/>
          <w:lang w:val="en-US"/>
        </w:rPr>
        <w:instrText xml:space="preserve"> ADDIN ZOTERO_ITEM CSL_CITATION {"citationID":"pWOO7nJb","properties":{"formattedCitation":"(12,41,42)","plainCitation":"(12,41,42)","noteIndex":0},"citationItems":[{"id":"dKMGonER/zZAniRBu","uris":["http://zotero.org/users/local/gyNd5DuB/items/EDHFDCBI"],"itemData":{"id":135,"type":"article-journal","abstract":"Octadecaneuropeptide (ODN) and its precursor diazepam-binding inhibitor (DBI) are peptides belonging to the family of endozepines. Endozepines are exclusively produced by astroglial cells in the central nervous system of mammals, and their release is regulated by stress signals and neuroactive compounds. There is now compelling evidence that the gliopeptide ODN protects cultured neurons and astrocytes from apoptotic cell death induced by various neurotoxic agents. In vivo, ODN causes a very strong neuroprotective action against neuronal degeneration in a mouse model of Parkinson's disease. The neuroprotective activity of ODN is based on its capacity to reduce inflammation, apoptosis, and oxidative stress. The protective effects of ODN are mediated through its metabotropic receptor. This receptor activates a transduction cascade of second messengers to stimulate protein kinase A (PKA), protein kinase C (PKC), and mitogen-activated protein kinase (MAPK)-extracellular signal-regulated kinase (ERK) signaling pathways, which in turn inhibits the expression of proapoptotic factor Bax and the mitochondrial apoptotic pathway. In N2a cells, ODN also promotes survival and stimulates neurite outgrowth. During the ODN-induced neuronal differentiation process, numerous mitochondria and peroxisomes are identified in the neurites and an increase in the amount of cholesterol and fatty acids is observed. The antiapoptotic and neurotrophic properties of ODN, including its antioxidant, antiapoptotic, and pro-differentiating effects, suggest that this gliopeptide and some of its selective and stable derivatives may have therapeutic value for the treatment of some neurodegenerative diseases.","container-title":"Frontiers in Endocrinology","DOI":"10.3389/fendo.2020.566026","ISSN":"1664-2392","journalAbbreviation":"Front Endocrinol (Lausanne)","language":"eng","note":"PMID: 33250858\nPMCID: PMC7672186","page":"566026","source":"PubMed","title":"Cytoprotective and Neurotrophic Effects of Octadecaneuropeptide (ODN) in in vitro and in vivo Models of Neurodegenerative Diseases","volume":"11","author":[{"family":"Masmoudi-Kouki","given":"Olfa"},{"family":"Namsi","given":"Amira"},{"family":"Hamdi","given":"Yosra"},{"family":"Bahdoudi","given":"Seyma"},{"family":"Ghouili","given":"Ikram"},{"family":"Chuquet","given":"Julien"},{"family":"Leprince","given":"Jérôme"},{"family":"Lefranc","given":"Benjamin"},{"family":"Ghrairi","given":"Taoufik"},{"family":"Tonon","given":"Marie-Christine"},{"family":"Lizard","given":"Gérard"},{"family":"Vaudry","given":"David"}],"issued":{"date-parts":[["2020"]]}}},{"id":"dKMGonER/eWOgbXbe","uris":["http://zotero.org/users/local/gyNd5DuB/items/J4LHITBI"],"itemData":{"id":168,"type":"article-journal","abstract":"Astroglial cells are important actors in the defense of brain against oxidative stress injuries. Glial cells synthesize and release the octadecaneuropeptide ODN, a diazepam-binding inhibitor (DBI)-related peptide, which acts through its metabotropic receptor to protect neurons and astrocytes from oxidative stress-induced apoptosis. The purpose of the present study is to examine the contribution of the endogenous ODN in the protection of astrocytes and neurons from moderate oxidative stress. The administration of H2O2 (50 μM, 6 h) induced a moderate oxidative stress in cultured astrocytes, i.e., an increase in reactive oxygen species, malondialdehyde, and carbonyl group levels, but it had no effect on astrocyte death. Mass spectrometry and QPCR analysis revealed that 50 μM H2O2 increased ODN release and DBI mRNA levels. The inhibition of ODN release or pharmacological blockage of the effects of ODN revealed that in these conditions, 50 μM H2O2 induced the death of astrocytes. The transfection of astrocytes with DBI siRNA increased the vulnerability of cells to moderate stress. Finally, the addition of 1 nM ODN to culture media reversed cell death observed in DBI-deficient astrocytes. The treatment of neurons with media from 50 μM H2O2-stressed astrocytes significantly reduced the neuronal death induced by H2O2; this effect is greatly attenuated by the administration of an ODN metabotropic receptor antagonist. Overall, these results indicate that astrocytes produce authentic ODN, notably in a moderate oxidative stress situation, and this glio- and neuro-protective agent may form part of the brain defense mechanisms against oxidative stress injury.","container-title":"Molecular Neurobiology","DOI":"10.1007/s12035-017-0630-3","ISSN":"1559-1182","issue":"6","journalAbbreviation":"Mol Neurobiol","language":"en","page":"4596-4611","source":"Springer Link","title":"Endogenous Expression of ODN-Related Peptides in Astrocytes Contributes to Cell Protection Against Oxidative Stress: Astrocyte-Neuron Crosstalk Relevance for Neuronal Survival","title-short":"Endogenous Expression of ODN-Related Peptides in Astrocytes Contributes to Cell Protection Against Oxidative Stress","volume":"55","author":[{"family":"Ghouili","given":"Ikram"},{"family":"Bahdoudi","given":"Seyma"},{"family":"Morin","given":"Fabrice"},{"family":"Amri","given":"Fatma"},{"family":"Hamdi","given":"Yosra"},{"family":"Coly","given":"Pierre Michael"},{"family":"Walet-Balieu","given":"Marie-Laure"},{"family":"Leprince","given":"Jérôme"},{"family":"Zekri","given":"Sami"},{"family":"Vaudry","given":"Hubert"},{"family":"Vaudry","given":"David"},{"family":"Castel","given":"Hélène"},{"family":"Amri","given":"Mohamed"},{"family":"Tonon","given":"Marie-Christine"},{"family":"Masmoudi-Kouki","given":"Olfa"}],"issued":{"date-parts":[["2018",6,1]]}}},{"id":"dKMGonER/FDDi6hCR","uris":["http://zotero.org/users/local/gyNd5DuB/items/UTTUKKT8"],"itemData":{"id":192,"type":"article-journal","abstract":"Oxidative stress, associated with various neurodegenerative diseases, promotes ROS generation, impairs cellular antioxidant defenses, and finally, triggers both neurons and astroglial cell death by apoptosis. Astrocytes specifically synthesize and release endozepines, a family of regulatory peptides, including the octadecaneuropeptide (ODN). We have previously reported that ODN acts as a potent neuroprotective agent that prevents 6-OHDA-induced apoptotic neuronal death. The purpose of the present study was to investigate the potential glioprotective effect of ODN on 6-OHDA-induced oxidative stress and cell death in cultured rat astrocytes. Incubation of astrocytes with graded concentrations of ODN (10-14 to 10-8 M) inhibited 6-OHDA-evoked cell death in a concentration- and time-dependent manner. In addition, ODN prevented the decrease of mitochondrial activity and caspase-3 activation induced by 6-OHDA. 6-OHDA-treated cells also exhibited enhanced levels of ROS associated with a generation of H2O2 and O2°-, and a reduction of both superoxide dismutase (SOD) and catalase (CAT) activities. Co-treatment of astrocytes with low concentrations of ODN dose-dependently blocked 6-OHDA-evoked production of ROS and inhibition of antioxidant enzyme activities. Concomitantly, ODN stimulated Mn-SOD, CAT, glutathione peroxidase-1, and sulfiredoxin-1 gene transcription and rescued 6-OHDA-associated reduced expression of endogenous antioxidant enzymes. Taken together, these data indicate that, in rat astrocytes, ODN exerts anti-apoptotic and anti-oxidative activities, and hence prevents 6-OHDA-induced oxidative assault and cell death. ODN is thus a potential candidate to delay neuronal damages in various pathological conditions involving oxidative neurodegeneration.","container-title":"Journal of molecular neuroscience: MN","DOI":"10.1007/s12031-018-1181-4","ISSN":"1559-1166","issue":"1","journalAbbreviation":"J Mol Neurosci","language":"eng","note":"PMID: 30343367","page":"1-16","source":"PubMed","title":"Antioxidant and Anti-Apoptotic Activity of Octadecaneuropeptide Against 6-OHDA Toxicity in Cultured Rat Astrocytes","volume":"69","author":[{"family":"Kaddour","given":"Hadhemi"},{"family":"Hamdi","given":"Yosra"},{"family":"Amri","given":"Fatma"},{"family":"Bahdoudi","given":"Seyma"},{"family":"Bouannee","given":"Ibtissem"},{"family":"Leprince","given":"Jérôme"},{"family":"Zekri","given":"Sami"},{"family":"Vaudry","given":"Hubert"},{"family":"Tonon","given":"Marie-Christine"},{"family":"Vaudry","given":"David"},{"family":"Amri","given":"Mohamed"},{"family":"Mezghani","given":"Sana"},{"family":"Masmoudi-Kouki","given":"Olfa"}],"issued":{"date-parts":[["2019",9]]}}}],"schema":"https://github.com/citation-style-language/schema/raw/master/csl-citation.json"} </w:instrText>
      </w:r>
      <w:r w:rsidR="008646AD" w:rsidRPr="00E42762">
        <w:rPr>
          <w:rFonts w:ascii="Calibri" w:hAnsi="Calibri" w:cs="Calibri"/>
        </w:rPr>
        <w:fldChar w:fldCharType="separate"/>
      </w:r>
      <w:r w:rsidR="00655BCC" w:rsidRPr="00E42762">
        <w:rPr>
          <w:rFonts w:ascii="Calibri" w:hAnsi="Calibri" w:cs="Calibri"/>
          <w:vertAlign w:val="superscript"/>
          <w:lang w:val="en-US"/>
        </w:rPr>
        <w:t>12,41,42</w:t>
      </w:r>
      <w:r w:rsidR="008646AD" w:rsidRPr="00E42762">
        <w:rPr>
          <w:rFonts w:ascii="Calibri" w:hAnsi="Calibri" w:cs="Calibri"/>
        </w:rPr>
        <w:fldChar w:fldCharType="end"/>
      </w:r>
      <w:r w:rsidR="002C0916" w:rsidRPr="00E42762">
        <w:rPr>
          <w:rFonts w:ascii="Calibri" w:hAnsi="Calibri" w:cs="Calibri"/>
          <w:lang w:val="en-US"/>
        </w:rPr>
        <w:t xml:space="preserve">. </w:t>
      </w:r>
      <w:r w:rsidR="00133361" w:rsidRPr="00E42762">
        <w:rPr>
          <w:rFonts w:ascii="Calibri" w:hAnsi="Calibri" w:cs="Calibri"/>
          <w:lang w:val="en-US"/>
        </w:rPr>
        <w:t xml:space="preserve">Consistently, the </w:t>
      </w:r>
      <w:r w:rsidR="00230C99" w:rsidRPr="00E42762">
        <w:rPr>
          <w:rFonts w:ascii="Calibri" w:hAnsi="Calibri" w:cs="Calibri"/>
          <w:lang w:val="en-US"/>
        </w:rPr>
        <w:t>cyclo</w:t>
      </w:r>
      <w:r w:rsidR="00230C99" w:rsidRPr="00E42762">
        <w:rPr>
          <w:rFonts w:ascii="Calibri" w:hAnsi="Calibri" w:cs="Calibri"/>
          <w:vertAlign w:val="subscript"/>
          <w:lang w:val="en-US"/>
        </w:rPr>
        <w:t>(1-8)</w:t>
      </w:r>
      <w:r w:rsidR="00230C99" w:rsidRPr="00E42762">
        <w:rPr>
          <w:rFonts w:ascii="Calibri" w:hAnsi="Calibri" w:cs="Calibri"/>
          <w:lang w:val="en-US"/>
        </w:rPr>
        <w:t xml:space="preserve">OP </w:t>
      </w:r>
      <w:r w:rsidR="00133361" w:rsidRPr="00E42762">
        <w:rPr>
          <w:rFonts w:ascii="Calibri" w:hAnsi="Calibri" w:cs="Calibri"/>
          <w:lang w:val="en-US"/>
        </w:rPr>
        <w:t xml:space="preserve">antioxidant potential is indicated by its ability to attenuate MPTP-induced oxidative stress through the induction of SOD and </w:t>
      </w:r>
      <w:r w:rsidR="00BC0B26" w:rsidRPr="00E42762">
        <w:rPr>
          <w:rFonts w:ascii="Calibri" w:hAnsi="Calibri" w:cs="Calibri"/>
          <w:lang w:val="en-US"/>
        </w:rPr>
        <w:t>CAT</w:t>
      </w:r>
      <w:r w:rsidR="00133361" w:rsidRPr="00E42762">
        <w:rPr>
          <w:rFonts w:ascii="Calibri" w:hAnsi="Calibri" w:cs="Calibri"/>
          <w:lang w:val="en-US"/>
        </w:rPr>
        <w:t xml:space="preserve"> activities</w:t>
      </w:r>
      <w:r w:rsidR="002E234D" w:rsidRPr="00E42762">
        <w:rPr>
          <w:rFonts w:ascii="Calibri" w:hAnsi="Calibri" w:cs="Calibri"/>
          <w:lang w:val="en-US"/>
        </w:rPr>
        <w:t xml:space="preserve">. </w:t>
      </w:r>
      <w:r w:rsidR="006B6929" w:rsidRPr="00E42762">
        <w:rPr>
          <w:rFonts w:ascii="Calibri" w:hAnsi="Calibri" w:cs="Calibri"/>
          <w:lang w:val="en-US"/>
        </w:rPr>
        <w:t xml:space="preserve">Furthermore, similar to the effects observed with </w:t>
      </w:r>
      <w:r w:rsidR="0012066A" w:rsidRPr="00E42762">
        <w:rPr>
          <w:rFonts w:ascii="Calibri" w:hAnsi="Calibri" w:cs="Calibri"/>
          <w:lang w:val="en-US"/>
        </w:rPr>
        <w:t>ICV</w:t>
      </w:r>
      <w:r w:rsidR="00230C99" w:rsidRPr="00E42762">
        <w:rPr>
          <w:rFonts w:ascii="Calibri" w:hAnsi="Calibri" w:cs="Calibri"/>
          <w:lang w:val="en-US"/>
        </w:rPr>
        <w:t xml:space="preserve"> </w:t>
      </w:r>
      <w:r w:rsidR="006B6929" w:rsidRPr="00E42762">
        <w:rPr>
          <w:rFonts w:ascii="Calibri" w:hAnsi="Calibri" w:cs="Calibri"/>
          <w:lang w:val="en-US"/>
        </w:rPr>
        <w:t>injected ODN</w:t>
      </w:r>
      <w:r w:rsidR="00AB756F" w:rsidRPr="00E42762">
        <w:rPr>
          <w:rFonts w:ascii="Calibri" w:hAnsi="Calibri" w:cs="Calibri"/>
          <w:vertAlign w:val="superscript"/>
        </w:rPr>
        <w:fldChar w:fldCharType="begin"/>
      </w:r>
      <w:r w:rsidR="00655BCC" w:rsidRPr="00E42762">
        <w:rPr>
          <w:rFonts w:ascii="Calibri" w:hAnsi="Calibri" w:cs="Calibri"/>
          <w:vertAlign w:val="superscript"/>
          <w:lang w:val="en-US"/>
        </w:rPr>
        <w:instrText xml:space="preserve"> ADDIN ZOTERO_ITEM CSL_CITATION {"citationID":"qH63r0sb","properties":{"formattedCitation":"(8)","plainCitation":"(8)","noteIndex":0},"citationItems":[{"id":"dKMGonER/xkNm4sD3","uris":["http://zotero.org/users/local/gyNd5DuB/items/KQ478BEV"],"itemData":{"id":85,"type":"article-journal","abstract":"Parkinson's disease (PD) is a neurodegenerative disorder characterized by a progressive loss of dopamine (DA) neurons through apoptotic, inflammatory and oxidative stress mechanisms. The octadecaneuropeptide (ODN) is a diazepam-binding inhibitor (DBI)-derived peptide, expressed by astrocytes, which protects neurons against oxidative cell damages and apoptosis in an in vitro model of PD. The present study reveals that a single intracerebroventricular injection of 10 ng ODN 1 h after the last administration of 1-methyl-4-phenyl-1,2,3,6-tetrahydropyridine (MPTP) prevented the degeneration of DA neurons induced by the toxin in the substantia nigra pars compacta of mice, 7 days after treatment. ODN-mediated neuroprotection was associated with a reduction of the number of glial fibrillary acidic protein-positive reactive astrocytes and a strong inhibition of the expression of pro-inflammatory genes such as interleukins 1β and 6, and tumor necrosis factor-α. Moreover, ODN blocked the inhibition of the anti-apoptotic gene Bcl-2, and the stimulation of the pro-apoptotic genes Bax and caspase-3, induced by MPTP in the substantia nigra pars compacta. ODN also decreased or even in some cases abolished MPTP-induced oxidative damages, overproduction of reactive oxygen species and accumulation of lipid oxidation products in DA neurons. Furthermore, DBI knockout mice appeared to be more vulnerable than wild-type animals to MPTP neurotoxicity. Taken together, these results show that the gliopeptide ODN exerts a potent neuroprotective effect against MPTP-induced degeneration of nigrostriatal DA neurons in mice, through mechanisms involving downregulation of neuroinflammatory, oxidative and apoptotic processes. ODN may, thus, reduce neuronal damages in PD and other cerebral injuries involving oxidative neurodegeneration.","container-title":"Cellular and molecular life sciences: CMLS","DOI":"10.1007/s00018-017-2727-2","ISSN":"1420-9071","issue":"11","journalAbbreviation":"Cell Mol Life Sci","language":"eng","note":"PMID: 29264673\nPMCID: PMC11105203","page":"2075-2091","source":"PubMed","title":"Neuroprotective effects of the gliopeptide ODN in an in vivo model of Parkinson's disease","volume":"75","author":[{"family":"Bahdoudi","given":"Seyma"},{"family":"Ghouili","given":"Ikram"},{"family":"Hmiden","given":"Mansour"},{"family":"Rego","given":"Jean-Luc","non-dropping-particle":"do"},{"family":"Lefranc","given":"Benjamin"},{"family":"Leprince","given":"Jérôme"},{"family":"Chuquet","given":"Julien"},{"family":"Rego","given":"Jean-Claude","non-dropping-particle":"do"},{"family":"Marcher","given":"Ann-Britt"},{"family":"Mandrup","given":"Susanne"},{"family":"Vaudry","given":"Hubert"},{"family":"Tonon","given":"Marie-Christine"},{"family":"Amri","given":"Mohamed"},{"family":"Masmoudi-Kouki","given":"Olfa"},{"family":"Vaudry","given":"David"}],"issued":{"date-parts":[["2018",6]]}}}],"schema":"https://github.com/citation-style-language/schema/raw/master/csl-citation.json"} </w:instrText>
      </w:r>
      <w:r w:rsidR="00AB756F" w:rsidRPr="00E42762">
        <w:rPr>
          <w:rFonts w:ascii="Calibri" w:hAnsi="Calibri" w:cs="Calibri"/>
          <w:vertAlign w:val="superscript"/>
        </w:rPr>
        <w:fldChar w:fldCharType="separate"/>
      </w:r>
      <w:r w:rsidR="00655BCC" w:rsidRPr="00E42762">
        <w:rPr>
          <w:rFonts w:ascii="Calibri" w:hAnsi="Calibri" w:cs="Calibri"/>
          <w:vertAlign w:val="superscript"/>
          <w:lang w:val="en-US"/>
        </w:rPr>
        <w:t>8</w:t>
      </w:r>
      <w:r w:rsidR="00AB756F" w:rsidRPr="00E42762">
        <w:rPr>
          <w:rFonts w:ascii="Calibri" w:hAnsi="Calibri" w:cs="Calibri"/>
          <w:vertAlign w:val="superscript"/>
        </w:rPr>
        <w:fldChar w:fldCharType="end"/>
      </w:r>
      <w:r w:rsidR="006B6929" w:rsidRPr="00E42762">
        <w:rPr>
          <w:rFonts w:ascii="Calibri" w:hAnsi="Calibri" w:cs="Calibri"/>
          <w:lang w:val="en-US"/>
        </w:rPr>
        <w:t xml:space="preserve"> </w:t>
      </w:r>
      <w:r w:rsidR="00230C99" w:rsidRPr="00E42762">
        <w:rPr>
          <w:rFonts w:ascii="Calibri" w:hAnsi="Calibri" w:cs="Calibri"/>
          <w:lang w:val="en-US"/>
        </w:rPr>
        <w:t>IN instillation of cyclo</w:t>
      </w:r>
      <w:r w:rsidR="00230C99" w:rsidRPr="00E42762">
        <w:rPr>
          <w:rFonts w:ascii="Calibri" w:hAnsi="Calibri" w:cs="Calibri"/>
          <w:vertAlign w:val="subscript"/>
          <w:lang w:val="en-US"/>
        </w:rPr>
        <w:t>(1-8)</w:t>
      </w:r>
      <w:r w:rsidR="00230C99" w:rsidRPr="00E42762">
        <w:rPr>
          <w:rFonts w:ascii="Calibri" w:hAnsi="Calibri" w:cs="Calibri"/>
          <w:lang w:val="en-US"/>
        </w:rPr>
        <w:t xml:space="preserve">OP </w:t>
      </w:r>
      <w:r w:rsidR="00CD2167" w:rsidRPr="00E42762">
        <w:rPr>
          <w:rFonts w:ascii="Calibri" w:hAnsi="Calibri" w:cs="Calibri"/>
          <w:lang w:val="en-US"/>
        </w:rPr>
        <w:t>reduces</w:t>
      </w:r>
      <w:r w:rsidR="006B6929" w:rsidRPr="00E42762">
        <w:rPr>
          <w:rFonts w:ascii="Calibri" w:hAnsi="Calibri" w:cs="Calibri"/>
          <w:lang w:val="en-US"/>
        </w:rPr>
        <w:t xml:space="preserve"> the activation of pro</w:t>
      </w:r>
      <w:r w:rsidR="00A55BAE" w:rsidRPr="00E42762">
        <w:rPr>
          <w:rFonts w:ascii="Calibri" w:hAnsi="Calibri" w:cs="Calibri"/>
          <w:lang w:val="en-US"/>
        </w:rPr>
        <w:t>-</w:t>
      </w:r>
      <w:r w:rsidR="006B6929" w:rsidRPr="00E42762">
        <w:rPr>
          <w:rFonts w:ascii="Calibri" w:hAnsi="Calibri" w:cs="Calibri"/>
          <w:lang w:val="en-US"/>
        </w:rPr>
        <w:t>apoptotic gene</w:t>
      </w:r>
      <w:r w:rsidR="0064145E" w:rsidRPr="00E42762">
        <w:rPr>
          <w:rFonts w:ascii="Calibri" w:hAnsi="Calibri" w:cs="Calibri"/>
          <w:lang w:val="en-US"/>
        </w:rPr>
        <w:t xml:space="preserve"> </w:t>
      </w:r>
      <w:r w:rsidR="006B6929" w:rsidRPr="00E42762">
        <w:rPr>
          <w:rFonts w:ascii="Calibri" w:hAnsi="Calibri" w:cs="Calibri"/>
          <w:i/>
          <w:iCs/>
          <w:lang w:val="en-US"/>
        </w:rPr>
        <w:t>caspase-3</w:t>
      </w:r>
      <w:r w:rsidR="00CD2167" w:rsidRPr="00E42762">
        <w:rPr>
          <w:rFonts w:ascii="Calibri" w:hAnsi="Calibri" w:cs="Calibri"/>
          <w:lang w:val="en-US"/>
        </w:rPr>
        <w:t xml:space="preserve"> in</w:t>
      </w:r>
      <w:r w:rsidR="0012066A" w:rsidRPr="00E42762">
        <w:rPr>
          <w:rFonts w:ascii="Calibri" w:hAnsi="Calibri" w:cs="Calibri"/>
          <w:lang w:val="en-US"/>
        </w:rPr>
        <w:t xml:space="preserve"> the</w:t>
      </w:r>
      <w:r w:rsidR="00CD2167" w:rsidRPr="00E42762">
        <w:rPr>
          <w:rFonts w:ascii="Calibri" w:hAnsi="Calibri" w:cs="Calibri"/>
          <w:lang w:val="en-US"/>
        </w:rPr>
        <w:t xml:space="preserve"> striatum of MPTP-treated mice</w:t>
      </w:r>
      <w:r w:rsidR="006B6929" w:rsidRPr="00E42762">
        <w:rPr>
          <w:rFonts w:ascii="Calibri" w:hAnsi="Calibri" w:cs="Calibri"/>
          <w:lang w:val="en-US"/>
        </w:rPr>
        <w:t>.</w:t>
      </w:r>
    </w:p>
    <w:p w14:paraId="6A9E086E" w14:textId="77777777" w:rsidR="00E61A25" w:rsidRPr="00E42762" w:rsidRDefault="00E61A25" w:rsidP="00E42762">
      <w:pPr>
        <w:pStyle w:val="NormalWeb"/>
        <w:spacing w:before="0" w:beforeAutospacing="0" w:after="0" w:afterAutospacing="0"/>
        <w:jc w:val="both"/>
        <w:rPr>
          <w:rFonts w:ascii="Calibri" w:hAnsi="Calibri" w:cs="Calibri"/>
          <w:lang w:val="en-US"/>
        </w:rPr>
      </w:pPr>
    </w:p>
    <w:p w14:paraId="5482D2DE" w14:textId="4E8F79A6" w:rsidR="000A1878" w:rsidRPr="00E42762" w:rsidRDefault="006B6929" w:rsidP="00E42762">
      <w:pPr>
        <w:widowControl/>
        <w:autoSpaceDE w:val="0"/>
        <w:autoSpaceDN w:val="0"/>
        <w:adjustRightInd w:val="0"/>
      </w:pPr>
      <w:r w:rsidRPr="00E42762">
        <w:t>These findings collectively</w:t>
      </w:r>
      <w:r w:rsidR="00BB007E" w:rsidRPr="00E42762">
        <w:t xml:space="preserve"> indicate that the ODN analog </w:t>
      </w:r>
      <w:r w:rsidR="00B118B5" w:rsidRPr="00E42762">
        <w:t>cyclo</w:t>
      </w:r>
      <w:r w:rsidR="00B118B5" w:rsidRPr="00E42762">
        <w:rPr>
          <w:vertAlign w:val="subscript"/>
        </w:rPr>
        <w:t>(1-8)</w:t>
      </w:r>
      <w:r w:rsidR="00B118B5" w:rsidRPr="00E42762">
        <w:t xml:space="preserve">OP </w:t>
      </w:r>
      <w:r w:rsidRPr="00E42762">
        <w:t xml:space="preserve">can be effectively delivered to the brain via the </w:t>
      </w:r>
      <w:r w:rsidR="00B118B5" w:rsidRPr="00E42762">
        <w:t xml:space="preserve">IN </w:t>
      </w:r>
      <w:r w:rsidRPr="00E42762">
        <w:t>route. Given its anti</w:t>
      </w:r>
      <w:r w:rsidR="00B118B5" w:rsidRPr="00E42762">
        <w:t>-</w:t>
      </w:r>
      <w:r w:rsidRPr="00E42762">
        <w:t xml:space="preserve">oxidative and </w:t>
      </w:r>
      <w:r w:rsidR="008646AD" w:rsidRPr="00E42762">
        <w:t>anti-apoptotic</w:t>
      </w:r>
      <w:r w:rsidRPr="00E42762">
        <w:t xml:space="preserve"> properties, ODN analogs hold </w:t>
      </w:r>
      <w:r w:rsidR="00327C00" w:rsidRPr="00E42762">
        <w:t>promise</w:t>
      </w:r>
      <w:r w:rsidRPr="00E42762">
        <w:t xml:space="preserve"> as therapeutic agents for the treatment of cerebral injuries associated with neurodegeneration</w:t>
      </w:r>
      <w:r w:rsidR="0012066A" w:rsidRPr="00E42762">
        <w:t xml:space="preserve"> linked to oxidative cell damage</w:t>
      </w:r>
      <w:r w:rsidRPr="00E42762">
        <w:t>.</w:t>
      </w:r>
    </w:p>
    <w:p w14:paraId="13BDF3B1" w14:textId="77777777" w:rsidR="006B6929" w:rsidRPr="00E42762" w:rsidRDefault="006B6929" w:rsidP="00E42762">
      <w:pPr>
        <w:widowControl/>
        <w:autoSpaceDE w:val="0"/>
        <w:autoSpaceDN w:val="0"/>
        <w:adjustRightInd w:val="0"/>
      </w:pPr>
    </w:p>
    <w:p w14:paraId="59F37CC4" w14:textId="3C54CDE2" w:rsidR="006E4797" w:rsidRPr="00E42762" w:rsidRDefault="00551D82" w:rsidP="00E42762">
      <w:pPr>
        <w:pBdr>
          <w:top w:val="nil"/>
          <w:left w:val="nil"/>
          <w:bottom w:val="nil"/>
          <w:right w:val="nil"/>
          <w:between w:val="nil"/>
        </w:pBdr>
        <w:rPr>
          <w:b/>
          <w:color w:val="000000"/>
        </w:rPr>
      </w:pPr>
      <w:r w:rsidRPr="00E42762">
        <w:rPr>
          <w:b/>
          <w:color w:val="000000"/>
        </w:rPr>
        <w:t>ACKNOWLEDGMENTS:</w:t>
      </w:r>
    </w:p>
    <w:p w14:paraId="6D064C88" w14:textId="06CC1D4B" w:rsidR="006E4797" w:rsidRPr="00E42762" w:rsidRDefault="00BB7802" w:rsidP="00E42762">
      <w:pPr>
        <w:widowControl/>
        <w:autoSpaceDE w:val="0"/>
        <w:autoSpaceDN w:val="0"/>
        <w:adjustRightInd w:val="0"/>
      </w:pPr>
      <w:r w:rsidRPr="00E42762">
        <w:t xml:space="preserve">This work was supported by </w:t>
      </w:r>
      <w:r w:rsidR="00387441" w:rsidRPr="00E42762">
        <w:t xml:space="preserve">the Laboratory of Neurophysiology, Cellular Physiopathology and Biomolecules </w:t>
      </w:r>
      <w:proofErr w:type="spellStart"/>
      <w:r w:rsidR="00387441" w:rsidRPr="00E42762">
        <w:t>Valorisation</w:t>
      </w:r>
      <w:proofErr w:type="spellEnd"/>
      <w:r w:rsidR="00B118B5" w:rsidRPr="00E42762">
        <w:t>,</w:t>
      </w:r>
      <w:r w:rsidR="00387441" w:rsidRPr="00E42762">
        <w:t xml:space="preserve"> LR18ES03, </w:t>
      </w:r>
      <w:proofErr w:type="spellStart"/>
      <w:r w:rsidR="00A239D1" w:rsidRPr="00E42762">
        <w:t>NorDiC</w:t>
      </w:r>
      <w:proofErr w:type="spellEnd"/>
      <w:r w:rsidR="00A239D1" w:rsidRPr="00E42762">
        <w:t xml:space="preserve"> Inserm U1239, </w:t>
      </w:r>
      <w:r w:rsidRPr="00E42762">
        <w:t xml:space="preserve">the France-Tunisia CMCU-Campus France/PHC </w:t>
      </w:r>
      <w:proofErr w:type="spellStart"/>
      <w:r w:rsidRPr="00E42762">
        <w:t>Utique</w:t>
      </w:r>
      <w:proofErr w:type="spellEnd"/>
      <w:r w:rsidRPr="00E42762">
        <w:t xml:space="preserve"> 24G0807/50283RD exchange program (to </w:t>
      </w:r>
      <w:proofErr w:type="spellStart"/>
      <w:r w:rsidRPr="00E42762">
        <w:t>Olfa</w:t>
      </w:r>
      <w:proofErr w:type="spellEnd"/>
      <w:r w:rsidRPr="00E42762">
        <w:t xml:space="preserve"> Masmoudi-Kouki a</w:t>
      </w:r>
      <w:r w:rsidR="000A1878" w:rsidRPr="00E42762">
        <w:t>n</w:t>
      </w:r>
      <w:r w:rsidRPr="00E42762">
        <w:t xml:space="preserve">d Jérôme Leprince), </w:t>
      </w:r>
      <w:proofErr w:type="spellStart"/>
      <w:r w:rsidR="00387441" w:rsidRPr="00E42762">
        <w:t>Programme</w:t>
      </w:r>
      <w:proofErr w:type="spellEnd"/>
      <w:r w:rsidR="00387441" w:rsidRPr="00E42762">
        <w:t xml:space="preserve"> </w:t>
      </w:r>
      <w:r w:rsidR="00A239D1" w:rsidRPr="00E42762">
        <w:t>Horizon</w:t>
      </w:r>
      <w:r w:rsidR="00387441" w:rsidRPr="00E42762">
        <w:t xml:space="preserve">-Marie </w:t>
      </w:r>
      <w:proofErr w:type="spellStart"/>
      <w:r w:rsidR="00387441" w:rsidRPr="00E42762">
        <w:t>Skłodowska</w:t>
      </w:r>
      <w:proofErr w:type="spellEnd"/>
      <w:r w:rsidR="00387441" w:rsidRPr="00E42762">
        <w:t xml:space="preserve">-Curie Actions (MSCA) </w:t>
      </w:r>
      <w:proofErr w:type="spellStart"/>
      <w:r w:rsidR="00387441" w:rsidRPr="00E42762">
        <w:t>PsyCoMed</w:t>
      </w:r>
      <w:proofErr w:type="spellEnd"/>
      <w:r w:rsidR="00387441" w:rsidRPr="00E42762">
        <w:t xml:space="preserve"> Grant agreement ID: 101086247</w:t>
      </w:r>
      <w:r w:rsidR="00A239D1" w:rsidRPr="00E42762">
        <w:t xml:space="preserve">, and the European Union's Horizon 2020 research and innovation program under the Marie </w:t>
      </w:r>
      <w:proofErr w:type="spellStart"/>
      <w:r w:rsidR="00A239D1" w:rsidRPr="00E42762">
        <w:t>Skłodowska</w:t>
      </w:r>
      <w:proofErr w:type="spellEnd"/>
      <w:r w:rsidR="00A239D1" w:rsidRPr="00E42762">
        <w:t xml:space="preserve"> Curie grant agreement No 101034329</w:t>
      </w:r>
      <w:r w:rsidR="00B118B5" w:rsidRPr="00E42762">
        <w:t>.</w:t>
      </w:r>
    </w:p>
    <w:p w14:paraId="3F668045" w14:textId="77777777" w:rsidR="009F29B2" w:rsidRPr="00E42762" w:rsidRDefault="009F29B2" w:rsidP="00E42762">
      <w:pPr>
        <w:pBdr>
          <w:top w:val="nil"/>
          <w:left w:val="nil"/>
          <w:bottom w:val="nil"/>
          <w:right w:val="nil"/>
          <w:between w:val="nil"/>
        </w:pBdr>
        <w:rPr>
          <w:b/>
          <w:color w:val="000000"/>
        </w:rPr>
      </w:pPr>
    </w:p>
    <w:p w14:paraId="3828676A" w14:textId="77777777" w:rsidR="00582C78" w:rsidRPr="00E42762" w:rsidRDefault="00551D82" w:rsidP="00E42762">
      <w:pPr>
        <w:pBdr>
          <w:top w:val="nil"/>
          <w:left w:val="nil"/>
          <w:bottom w:val="nil"/>
          <w:right w:val="nil"/>
          <w:between w:val="nil"/>
        </w:pBdr>
        <w:rPr>
          <w:b/>
          <w:color w:val="000000"/>
        </w:rPr>
      </w:pPr>
      <w:r w:rsidRPr="00E42762">
        <w:rPr>
          <w:b/>
          <w:color w:val="000000"/>
        </w:rPr>
        <w:t>DISCLOSURES:</w:t>
      </w:r>
      <w:r w:rsidR="005B26B7" w:rsidRPr="00E42762">
        <w:rPr>
          <w:b/>
          <w:color w:val="000000"/>
        </w:rPr>
        <w:t xml:space="preserve"> </w:t>
      </w:r>
    </w:p>
    <w:p w14:paraId="132340D6" w14:textId="597A4023" w:rsidR="006E4797" w:rsidRPr="00E42762" w:rsidRDefault="00A043DC" w:rsidP="00E42762">
      <w:pPr>
        <w:rPr>
          <w:color w:val="1F1F1F"/>
        </w:rPr>
      </w:pPr>
      <w:r w:rsidRPr="00E42762">
        <w:rPr>
          <w:color w:val="1F1F1F"/>
        </w:rPr>
        <w:t xml:space="preserve">The authors declare that they have no known competing financial interests or personal relationships that could have appeared to influence the work reported in this </w:t>
      </w:r>
      <w:r w:rsidR="006C5004" w:rsidRPr="00E42762">
        <w:rPr>
          <w:color w:val="1F1F1F"/>
        </w:rPr>
        <w:t>article</w:t>
      </w:r>
      <w:r w:rsidRPr="00E42762">
        <w:rPr>
          <w:color w:val="1F1F1F"/>
        </w:rPr>
        <w:t>.</w:t>
      </w:r>
    </w:p>
    <w:p w14:paraId="4A7B0E5C" w14:textId="77777777" w:rsidR="006E4797" w:rsidRPr="00E42762" w:rsidRDefault="006E4797" w:rsidP="00E42762">
      <w:pPr>
        <w:rPr>
          <w:color w:val="000000"/>
        </w:rPr>
      </w:pPr>
    </w:p>
    <w:p w14:paraId="6DE2B73C" w14:textId="350E4DDB" w:rsidR="006E4797" w:rsidRPr="00E42762" w:rsidRDefault="00551D82" w:rsidP="00E42762">
      <w:pPr>
        <w:rPr>
          <w:b/>
        </w:rPr>
      </w:pPr>
      <w:proofErr w:type="gramStart"/>
      <w:r w:rsidRPr="00E42762">
        <w:rPr>
          <w:b/>
        </w:rPr>
        <w:t>REFERENCES</w:t>
      </w:r>
      <w:proofErr w:type="gramEnd"/>
      <w:r w:rsidRPr="00E42762">
        <w:rPr>
          <w:b/>
        </w:rPr>
        <w:t>:</w:t>
      </w:r>
    </w:p>
    <w:p w14:paraId="5882CC00"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Mat Taib, C. N., Mustapha, M. M. MPTP-induced mouse model of Parkinson’s disease: A promising direction of therapeutic strategies. </w:t>
      </w:r>
      <w:proofErr w:type="spellStart"/>
      <w:r w:rsidRPr="00E42762">
        <w:rPr>
          <w:rStyle w:val="Emphasis"/>
          <w:rFonts w:ascii="Calibri" w:hAnsi="Calibri" w:cs="Calibri"/>
        </w:rPr>
        <w:t>Bosn</w:t>
      </w:r>
      <w:proofErr w:type="spellEnd"/>
      <w:r w:rsidRPr="00E42762">
        <w:rPr>
          <w:rStyle w:val="Emphasis"/>
          <w:rFonts w:ascii="Calibri" w:hAnsi="Calibri" w:cs="Calibri"/>
        </w:rPr>
        <w:t xml:space="preserve"> J Basic Med </w:t>
      </w:r>
      <w:proofErr w:type="spellStart"/>
      <w:r w:rsidRPr="00E42762">
        <w:rPr>
          <w:rStyle w:val="Emphasis"/>
          <w:rFonts w:ascii="Calibri" w:hAnsi="Calibri" w:cs="Calibri"/>
        </w:rPr>
        <w:t>Sci</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21</w:t>
      </w:r>
      <w:r w:rsidRPr="00E42762">
        <w:rPr>
          <w:rFonts w:ascii="Calibri" w:hAnsi="Calibri" w:cs="Calibri"/>
        </w:rPr>
        <w:t xml:space="preserve"> (4), 422–433 (2021).</w:t>
      </w:r>
    </w:p>
    <w:p w14:paraId="2CD8F145"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lastRenderedPageBreak/>
        <w:t xml:space="preserve">Dionísio, P. A., Amaral, J. D., Rodrigues, C. M. P. Oxidative stress and regulated cell death in Parkinson’s disease. </w:t>
      </w:r>
      <w:proofErr w:type="spellStart"/>
      <w:r w:rsidRPr="00E42762">
        <w:rPr>
          <w:rStyle w:val="Emphasis"/>
          <w:rFonts w:ascii="Calibri" w:hAnsi="Calibri" w:cs="Calibri"/>
        </w:rPr>
        <w:t>Ageing</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Res</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Rev</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67</w:t>
      </w:r>
      <w:r w:rsidRPr="00E42762">
        <w:rPr>
          <w:rFonts w:ascii="Calibri" w:hAnsi="Calibri" w:cs="Calibri"/>
        </w:rPr>
        <w:t>, 101263 (2021).</w:t>
      </w:r>
    </w:p>
    <w:p w14:paraId="19ACB2AB"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Charvin</w:t>
      </w:r>
      <w:proofErr w:type="spellEnd"/>
      <w:r w:rsidRPr="00473A1F">
        <w:rPr>
          <w:rFonts w:ascii="Calibri" w:hAnsi="Calibri" w:cs="Calibri"/>
          <w:lang w:val="en-US"/>
        </w:rPr>
        <w:t xml:space="preserve">, D., </w:t>
      </w:r>
      <w:proofErr w:type="spellStart"/>
      <w:r w:rsidRPr="00473A1F">
        <w:rPr>
          <w:rFonts w:ascii="Calibri" w:hAnsi="Calibri" w:cs="Calibri"/>
          <w:lang w:val="en-US"/>
        </w:rPr>
        <w:t>Medori</w:t>
      </w:r>
      <w:proofErr w:type="spellEnd"/>
      <w:r w:rsidRPr="00473A1F">
        <w:rPr>
          <w:rFonts w:ascii="Calibri" w:hAnsi="Calibri" w:cs="Calibri"/>
          <w:lang w:val="en-US"/>
        </w:rPr>
        <w:t xml:space="preserve">, R., Hauser, R. A., Rascol, O. Therapeutic strategies for Parkinson disease: Beyond dopaminergic drugs. </w:t>
      </w:r>
      <w:r w:rsidRPr="00E42762">
        <w:rPr>
          <w:rStyle w:val="Emphasis"/>
          <w:rFonts w:ascii="Calibri" w:hAnsi="Calibri" w:cs="Calibri"/>
        </w:rPr>
        <w:t xml:space="preserve">Nat </w:t>
      </w:r>
      <w:proofErr w:type="spellStart"/>
      <w:r w:rsidRPr="00E42762">
        <w:rPr>
          <w:rStyle w:val="Emphasis"/>
          <w:rFonts w:ascii="Calibri" w:hAnsi="Calibri" w:cs="Calibri"/>
        </w:rPr>
        <w:t>Rev</w:t>
      </w:r>
      <w:proofErr w:type="spellEnd"/>
      <w:r w:rsidRPr="00E42762">
        <w:rPr>
          <w:rStyle w:val="Emphasis"/>
          <w:rFonts w:ascii="Calibri" w:hAnsi="Calibri" w:cs="Calibri"/>
        </w:rPr>
        <w:t xml:space="preserve"> Drug </w:t>
      </w:r>
      <w:proofErr w:type="spellStart"/>
      <w:r w:rsidRPr="00E42762">
        <w:rPr>
          <w:rStyle w:val="Emphasis"/>
          <w:rFonts w:ascii="Calibri" w:hAnsi="Calibri" w:cs="Calibri"/>
        </w:rPr>
        <w:t>Discov</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17</w:t>
      </w:r>
      <w:r w:rsidRPr="00E42762">
        <w:rPr>
          <w:rFonts w:ascii="Calibri" w:hAnsi="Calibri" w:cs="Calibri"/>
        </w:rPr>
        <w:t xml:space="preserve"> (11), 804–822 (2018).</w:t>
      </w:r>
    </w:p>
    <w:p w14:paraId="114F125B" w14:textId="31777A88"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Stoker, T. B., Barker, R. A. Recent developments in the treatment of Parkinson’s disease. </w:t>
      </w:r>
      <w:r w:rsidRPr="00E42762">
        <w:rPr>
          <w:rStyle w:val="Emphasis"/>
          <w:rFonts w:ascii="Calibri" w:hAnsi="Calibri" w:cs="Calibri"/>
        </w:rPr>
        <w:t>F1000Res.</w:t>
      </w:r>
      <w:r w:rsidRPr="00E42762">
        <w:rPr>
          <w:rFonts w:ascii="Calibri" w:hAnsi="Calibri" w:cs="Calibri"/>
        </w:rPr>
        <w:t xml:space="preserve"> </w:t>
      </w:r>
      <w:r w:rsidRPr="00E42762">
        <w:rPr>
          <w:rStyle w:val="Strong"/>
          <w:rFonts w:ascii="Calibri" w:hAnsi="Calibri" w:cs="Calibri"/>
        </w:rPr>
        <w:t>9</w:t>
      </w:r>
      <w:r w:rsidRPr="00E42762">
        <w:rPr>
          <w:rFonts w:ascii="Calibri" w:hAnsi="Calibri" w:cs="Calibri"/>
        </w:rPr>
        <w:t xml:space="preserve">, F1000 </w:t>
      </w:r>
      <w:proofErr w:type="spellStart"/>
      <w:r w:rsidRPr="00E42762">
        <w:rPr>
          <w:rFonts w:ascii="Calibri" w:hAnsi="Calibri" w:cs="Calibri"/>
        </w:rPr>
        <w:t>Faculty</w:t>
      </w:r>
      <w:proofErr w:type="spellEnd"/>
      <w:r w:rsidRPr="00E42762">
        <w:rPr>
          <w:rFonts w:ascii="Calibri" w:hAnsi="Calibri" w:cs="Calibri"/>
        </w:rPr>
        <w:t xml:space="preserve"> Rev-862 (2020).</w:t>
      </w:r>
    </w:p>
    <w:p w14:paraId="217FE46F" w14:textId="77777777" w:rsidR="005A0DD9" w:rsidRPr="00473A1F" w:rsidRDefault="005A0DD9" w:rsidP="00E42762">
      <w:pPr>
        <w:pStyle w:val="NormalWeb"/>
        <w:numPr>
          <w:ilvl w:val="0"/>
          <w:numId w:val="48"/>
        </w:numPr>
        <w:spacing w:before="0" w:beforeAutospacing="0" w:after="0" w:afterAutospacing="0"/>
        <w:ind w:left="0" w:firstLine="0"/>
        <w:jc w:val="both"/>
        <w:rPr>
          <w:rFonts w:ascii="Calibri" w:hAnsi="Calibri" w:cs="Calibri"/>
          <w:lang w:val="en-US"/>
        </w:rPr>
      </w:pPr>
      <w:proofErr w:type="spellStart"/>
      <w:r w:rsidRPr="00473A1F">
        <w:rPr>
          <w:rFonts w:ascii="Calibri" w:hAnsi="Calibri" w:cs="Calibri"/>
          <w:lang w:val="en-US"/>
        </w:rPr>
        <w:t>Airavaara</w:t>
      </w:r>
      <w:proofErr w:type="spellEnd"/>
      <w:r w:rsidRPr="00473A1F">
        <w:rPr>
          <w:rFonts w:ascii="Calibri" w:hAnsi="Calibri" w:cs="Calibri"/>
          <w:lang w:val="en-US"/>
        </w:rPr>
        <w:t xml:space="preserve">, M., Voutilainen, M. H., Wang, Y., Hoffer, B. J. Neurorestoration. </w:t>
      </w:r>
      <w:r w:rsidRPr="00473A1F">
        <w:rPr>
          <w:rStyle w:val="Emphasis"/>
          <w:rFonts w:ascii="Calibri" w:hAnsi="Calibri" w:cs="Calibri"/>
          <w:lang w:val="en-US"/>
        </w:rPr>
        <w:t xml:space="preserve">Parkinsonism </w:t>
      </w:r>
      <w:proofErr w:type="spellStart"/>
      <w:r w:rsidRPr="00473A1F">
        <w:rPr>
          <w:rStyle w:val="Emphasis"/>
          <w:rFonts w:ascii="Calibri" w:hAnsi="Calibri" w:cs="Calibri"/>
          <w:lang w:val="en-US"/>
        </w:rPr>
        <w:t>Relat</w:t>
      </w:r>
      <w:proofErr w:type="spellEnd"/>
      <w:r w:rsidRPr="00473A1F">
        <w:rPr>
          <w:rStyle w:val="Emphasis"/>
          <w:rFonts w:ascii="Calibri" w:hAnsi="Calibri" w:cs="Calibri"/>
          <w:lang w:val="en-US"/>
        </w:rPr>
        <w:t xml:space="preserve"> </w:t>
      </w:r>
      <w:proofErr w:type="spellStart"/>
      <w:r w:rsidRPr="00473A1F">
        <w:rPr>
          <w:rStyle w:val="Emphasis"/>
          <w:rFonts w:ascii="Calibri" w:hAnsi="Calibri" w:cs="Calibri"/>
          <w:lang w:val="en-US"/>
        </w:rPr>
        <w:t>Disord</w:t>
      </w:r>
      <w:proofErr w:type="spellEnd"/>
      <w:r w:rsidRPr="00473A1F">
        <w:rPr>
          <w:rStyle w:val="Emphasis"/>
          <w:rFonts w:ascii="Calibri" w:hAnsi="Calibri" w:cs="Calibri"/>
          <w:lang w:val="en-US"/>
        </w:rPr>
        <w:t>.</w:t>
      </w:r>
      <w:r w:rsidRPr="00473A1F">
        <w:rPr>
          <w:rFonts w:ascii="Calibri" w:hAnsi="Calibri" w:cs="Calibri"/>
          <w:lang w:val="en-US"/>
        </w:rPr>
        <w:t xml:space="preserve"> </w:t>
      </w:r>
      <w:r w:rsidRPr="00473A1F">
        <w:rPr>
          <w:rStyle w:val="Strong"/>
          <w:rFonts w:ascii="Calibri" w:hAnsi="Calibri" w:cs="Calibri"/>
          <w:lang w:val="en-US"/>
        </w:rPr>
        <w:t>18</w:t>
      </w:r>
      <w:r w:rsidRPr="00473A1F">
        <w:rPr>
          <w:rFonts w:ascii="Calibri" w:hAnsi="Calibri" w:cs="Calibri"/>
          <w:lang w:val="en-US"/>
        </w:rPr>
        <w:t xml:space="preserve"> Suppl 1(01), S143–S146 (2012).</w:t>
      </w:r>
    </w:p>
    <w:p w14:paraId="426B32B7"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Guidotti, A. et al. Isolation, characterization, and purification to homogeneity of an endogenous polypeptide with agonistic action on benzodiazepine receptors. </w:t>
      </w:r>
      <w:r w:rsidRPr="00E42762">
        <w:rPr>
          <w:rStyle w:val="Emphasis"/>
          <w:rFonts w:ascii="Calibri" w:hAnsi="Calibri" w:cs="Calibri"/>
        </w:rPr>
        <w:t xml:space="preserve">Proc </w:t>
      </w:r>
      <w:proofErr w:type="spellStart"/>
      <w:r w:rsidRPr="00E42762">
        <w:rPr>
          <w:rStyle w:val="Emphasis"/>
          <w:rFonts w:ascii="Calibri" w:hAnsi="Calibri" w:cs="Calibri"/>
        </w:rPr>
        <w:t>Natl</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Acad</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Sci</w:t>
      </w:r>
      <w:proofErr w:type="spellEnd"/>
      <w:r w:rsidRPr="00E42762">
        <w:rPr>
          <w:rStyle w:val="Emphasis"/>
          <w:rFonts w:ascii="Calibri" w:hAnsi="Calibri" w:cs="Calibri"/>
        </w:rPr>
        <w:t xml:space="preserve"> U S A.</w:t>
      </w:r>
      <w:r w:rsidRPr="00E42762">
        <w:rPr>
          <w:rFonts w:ascii="Calibri" w:hAnsi="Calibri" w:cs="Calibri"/>
        </w:rPr>
        <w:t xml:space="preserve"> </w:t>
      </w:r>
      <w:r w:rsidRPr="00E42762">
        <w:rPr>
          <w:rStyle w:val="Strong"/>
          <w:rFonts w:ascii="Calibri" w:hAnsi="Calibri" w:cs="Calibri"/>
        </w:rPr>
        <w:t>80</w:t>
      </w:r>
      <w:r w:rsidRPr="00E42762">
        <w:rPr>
          <w:rFonts w:ascii="Calibri" w:hAnsi="Calibri" w:cs="Calibri"/>
        </w:rPr>
        <w:t xml:space="preserve"> (11), 3531–3535 (1983).</w:t>
      </w:r>
    </w:p>
    <w:p w14:paraId="25857FC2"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E42762">
        <w:rPr>
          <w:rFonts w:ascii="Calibri" w:hAnsi="Calibri" w:cs="Calibri"/>
        </w:rPr>
        <w:t>Tonon</w:t>
      </w:r>
      <w:proofErr w:type="spellEnd"/>
      <w:r w:rsidRPr="00E42762">
        <w:rPr>
          <w:rFonts w:ascii="Calibri" w:hAnsi="Calibri" w:cs="Calibri"/>
        </w:rPr>
        <w:t xml:space="preserve">, M. C. et al. </w:t>
      </w:r>
      <w:r w:rsidRPr="00473A1F">
        <w:rPr>
          <w:rFonts w:ascii="Calibri" w:hAnsi="Calibri" w:cs="Calibri"/>
          <w:lang w:val="en-US"/>
        </w:rPr>
        <w:t xml:space="preserve">Endozepines and their receptors: Structure, functions and pathophysiological significance. </w:t>
      </w:r>
      <w:proofErr w:type="spellStart"/>
      <w:r w:rsidRPr="00E42762">
        <w:rPr>
          <w:rStyle w:val="Emphasis"/>
          <w:rFonts w:ascii="Calibri" w:hAnsi="Calibri" w:cs="Calibri"/>
        </w:rPr>
        <w:t>Pharmacol</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Ther</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208</w:t>
      </w:r>
      <w:r w:rsidRPr="00E42762">
        <w:rPr>
          <w:rFonts w:ascii="Calibri" w:hAnsi="Calibri" w:cs="Calibri"/>
        </w:rPr>
        <w:t>, 107386 (2020).</w:t>
      </w:r>
    </w:p>
    <w:p w14:paraId="0D82F0D3"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Bahdoudi, S. et al. Neuroprotective effects of the </w:t>
      </w:r>
      <w:proofErr w:type="spellStart"/>
      <w:r w:rsidRPr="00473A1F">
        <w:rPr>
          <w:rFonts w:ascii="Calibri" w:hAnsi="Calibri" w:cs="Calibri"/>
          <w:lang w:val="en-US"/>
        </w:rPr>
        <w:t>gliopeptide</w:t>
      </w:r>
      <w:proofErr w:type="spellEnd"/>
      <w:r w:rsidRPr="00473A1F">
        <w:rPr>
          <w:rFonts w:ascii="Calibri" w:hAnsi="Calibri" w:cs="Calibri"/>
          <w:lang w:val="en-US"/>
        </w:rPr>
        <w:t xml:space="preserve"> ODN in an </w:t>
      </w:r>
      <w:r w:rsidRPr="00473A1F">
        <w:rPr>
          <w:rFonts w:ascii="Calibri" w:hAnsi="Calibri" w:cs="Calibri"/>
          <w:i/>
          <w:iCs/>
          <w:lang w:val="en-US"/>
        </w:rPr>
        <w:t xml:space="preserve">in vivo </w:t>
      </w:r>
      <w:r w:rsidRPr="00473A1F">
        <w:rPr>
          <w:rFonts w:ascii="Calibri" w:hAnsi="Calibri" w:cs="Calibri"/>
          <w:lang w:val="en-US"/>
        </w:rPr>
        <w:t xml:space="preserve">model of Parkinson’s disease. </w:t>
      </w:r>
      <w:proofErr w:type="spellStart"/>
      <w:r w:rsidRPr="00E42762">
        <w:rPr>
          <w:rStyle w:val="Emphasis"/>
          <w:rFonts w:ascii="Calibri" w:hAnsi="Calibri" w:cs="Calibri"/>
        </w:rPr>
        <w:t>Cell</w:t>
      </w:r>
      <w:proofErr w:type="spellEnd"/>
      <w:r w:rsidRPr="00E42762">
        <w:rPr>
          <w:rStyle w:val="Emphasis"/>
          <w:rFonts w:ascii="Calibri" w:hAnsi="Calibri" w:cs="Calibri"/>
        </w:rPr>
        <w:t xml:space="preserve"> Mol Life </w:t>
      </w:r>
      <w:proofErr w:type="spellStart"/>
      <w:r w:rsidRPr="00E42762">
        <w:rPr>
          <w:rStyle w:val="Emphasis"/>
          <w:rFonts w:ascii="Calibri" w:hAnsi="Calibri" w:cs="Calibri"/>
        </w:rPr>
        <w:t>Sci</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75</w:t>
      </w:r>
      <w:r w:rsidRPr="00E42762">
        <w:rPr>
          <w:rFonts w:ascii="Calibri" w:hAnsi="Calibri" w:cs="Calibri"/>
        </w:rPr>
        <w:t xml:space="preserve"> (11), 2075–2091 (2018).</w:t>
      </w:r>
    </w:p>
    <w:p w14:paraId="735D7CBB"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Cherait</w:t>
      </w:r>
      <w:proofErr w:type="spellEnd"/>
      <w:r w:rsidRPr="00473A1F">
        <w:rPr>
          <w:rFonts w:ascii="Calibri" w:hAnsi="Calibri" w:cs="Calibri"/>
          <w:lang w:val="en-US"/>
        </w:rPr>
        <w:t xml:space="preserve">, A., </w:t>
      </w:r>
      <w:proofErr w:type="spellStart"/>
      <w:r w:rsidRPr="00473A1F">
        <w:rPr>
          <w:rFonts w:ascii="Calibri" w:hAnsi="Calibri" w:cs="Calibri"/>
          <w:lang w:val="en-US"/>
        </w:rPr>
        <w:t>Maucotel</w:t>
      </w:r>
      <w:proofErr w:type="spellEnd"/>
      <w:r w:rsidRPr="00473A1F">
        <w:rPr>
          <w:rFonts w:ascii="Calibri" w:hAnsi="Calibri" w:cs="Calibri"/>
          <w:lang w:val="en-US"/>
        </w:rPr>
        <w:t xml:space="preserve">, J., </w:t>
      </w:r>
      <w:proofErr w:type="spellStart"/>
      <w:r w:rsidRPr="00473A1F">
        <w:rPr>
          <w:rFonts w:ascii="Calibri" w:hAnsi="Calibri" w:cs="Calibri"/>
          <w:lang w:val="en-US"/>
        </w:rPr>
        <w:t>Lefranc</w:t>
      </w:r>
      <w:proofErr w:type="spellEnd"/>
      <w:r w:rsidRPr="00473A1F">
        <w:rPr>
          <w:rFonts w:ascii="Calibri" w:hAnsi="Calibri" w:cs="Calibri"/>
          <w:lang w:val="en-US"/>
        </w:rPr>
        <w:t xml:space="preserve">, B., Leprince, J., </w:t>
      </w:r>
      <w:proofErr w:type="spellStart"/>
      <w:r w:rsidRPr="00473A1F">
        <w:rPr>
          <w:rFonts w:ascii="Calibri" w:hAnsi="Calibri" w:cs="Calibri"/>
          <w:lang w:val="en-US"/>
        </w:rPr>
        <w:t>Vaudry</w:t>
      </w:r>
      <w:proofErr w:type="spellEnd"/>
      <w:r w:rsidRPr="00473A1F">
        <w:rPr>
          <w:rFonts w:ascii="Calibri" w:hAnsi="Calibri" w:cs="Calibri"/>
          <w:lang w:val="en-US"/>
        </w:rPr>
        <w:t xml:space="preserve">, D. Intranasal administration of PACAP is an efficient delivery route to reduce infarct volume and promote functional recovery after transient and permanent middle cerebral artery occlusion. </w:t>
      </w:r>
      <w:r w:rsidRPr="00E42762">
        <w:rPr>
          <w:rStyle w:val="Emphasis"/>
          <w:rFonts w:ascii="Calibri" w:hAnsi="Calibri" w:cs="Calibri"/>
        </w:rPr>
        <w:t xml:space="preserve">Front </w:t>
      </w:r>
      <w:proofErr w:type="spellStart"/>
      <w:r w:rsidRPr="00E42762">
        <w:rPr>
          <w:rStyle w:val="Emphasis"/>
          <w:rFonts w:ascii="Calibri" w:hAnsi="Calibri" w:cs="Calibri"/>
        </w:rPr>
        <w:t>Endocrinol</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11</w:t>
      </w:r>
      <w:r w:rsidRPr="00E42762">
        <w:rPr>
          <w:rFonts w:ascii="Calibri" w:hAnsi="Calibri" w:cs="Calibri"/>
        </w:rPr>
        <w:t>, 585082 (2021).</w:t>
      </w:r>
    </w:p>
    <w:p w14:paraId="648706F8"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Bourzam</w:t>
      </w:r>
      <w:proofErr w:type="spellEnd"/>
      <w:r w:rsidRPr="00473A1F">
        <w:rPr>
          <w:rFonts w:ascii="Calibri" w:hAnsi="Calibri" w:cs="Calibri"/>
          <w:lang w:val="en-US"/>
        </w:rPr>
        <w:t xml:space="preserve">, A. et al. Octadecaneuropeptide, ODN, promotes cell survival against 6-OHDA-induced oxidative stress and apoptosis by modulating the expression of miR-34b, miR-29a, and miR-21 in cultured astrocytes. </w:t>
      </w:r>
      <w:proofErr w:type="spellStart"/>
      <w:r w:rsidRPr="00E42762">
        <w:rPr>
          <w:rStyle w:val="Emphasis"/>
          <w:rFonts w:ascii="Calibri" w:hAnsi="Calibri" w:cs="Calibri"/>
        </w:rPr>
        <w:t>Cells</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13</w:t>
      </w:r>
      <w:r w:rsidRPr="00E42762">
        <w:rPr>
          <w:rFonts w:ascii="Calibri" w:hAnsi="Calibri" w:cs="Calibri"/>
        </w:rPr>
        <w:t xml:space="preserve"> (14), 1188 (2024).</w:t>
      </w:r>
    </w:p>
    <w:p w14:paraId="2B234DCF"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Namsi</w:t>
      </w:r>
      <w:proofErr w:type="spellEnd"/>
      <w:r w:rsidRPr="00473A1F">
        <w:rPr>
          <w:rFonts w:ascii="Calibri" w:hAnsi="Calibri" w:cs="Calibri"/>
          <w:lang w:val="en-US"/>
        </w:rPr>
        <w:t xml:space="preserve">, A. et al. Octadecaneuropeptide (ODN) induces N2a cells differentiation through a PKA/PLC/PKC/MEK/ERK-dependent pathway: Incidence on peroxisome, mitochondria, and lipid profiles. </w:t>
      </w:r>
      <w:proofErr w:type="spellStart"/>
      <w:r w:rsidRPr="00E42762">
        <w:rPr>
          <w:rStyle w:val="Emphasis"/>
          <w:rFonts w:ascii="Calibri" w:hAnsi="Calibri" w:cs="Calibri"/>
        </w:rPr>
        <w:t>Molecules</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24</w:t>
      </w:r>
      <w:r w:rsidRPr="00E42762">
        <w:rPr>
          <w:rFonts w:ascii="Calibri" w:hAnsi="Calibri" w:cs="Calibri"/>
        </w:rPr>
        <w:t xml:space="preserve"> (18), 3310 (2019).</w:t>
      </w:r>
    </w:p>
    <w:p w14:paraId="046CBF64"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E42762">
        <w:rPr>
          <w:rFonts w:ascii="Calibri" w:hAnsi="Calibri" w:cs="Calibri"/>
        </w:rPr>
        <w:t>Masmoudi-Kouki</w:t>
      </w:r>
      <w:proofErr w:type="spellEnd"/>
      <w:r w:rsidRPr="00E42762">
        <w:rPr>
          <w:rFonts w:ascii="Calibri" w:hAnsi="Calibri" w:cs="Calibri"/>
        </w:rPr>
        <w:t xml:space="preserve">, O. et al. </w:t>
      </w:r>
      <w:r w:rsidRPr="00473A1F">
        <w:rPr>
          <w:rFonts w:ascii="Calibri" w:hAnsi="Calibri" w:cs="Calibri"/>
          <w:lang w:val="en-US"/>
        </w:rPr>
        <w:t>Cytoprotective and neurotrophic effects of octadecaneuropeptide (ODN</w:t>
      </w:r>
      <w:proofErr w:type="gramStart"/>
      <w:r w:rsidRPr="00473A1F">
        <w:rPr>
          <w:rFonts w:ascii="Calibri" w:hAnsi="Calibri" w:cs="Calibri"/>
          <w:lang w:val="en-US"/>
        </w:rPr>
        <w:t>) in</w:t>
      </w:r>
      <w:proofErr w:type="gramEnd"/>
      <w:r w:rsidRPr="00473A1F">
        <w:rPr>
          <w:rFonts w:ascii="Calibri" w:hAnsi="Calibri" w:cs="Calibri"/>
          <w:lang w:val="en-US"/>
        </w:rPr>
        <w:t xml:space="preserve"> </w:t>
      </w:r>
      <w:r w:rsidRPr="00473A1F">
        <w:rPr>
          <w:rFonts w:ascii="Calibri" w:hAnsi="Calibri" w:cs="Calibri"/>
          <w:i/>
          <w:iCs/>
          <w:lang w:val="en-US"/>
        </w:rPr>
        <w:t>in vitro</w:t>
      </w:r>
      <w:r w:rsidRPr="00473A1F">
        <w:rPr>
          <w:rFonts w:ascii="Calibri" w:hAnsi="Calibri" w:cs="Calibri"/>
          <w:lang w:val="en-US"/>
        </w:rPr>
        <w:t xml:space="preserve"> and </w:t>
      </w:r>
      <w:r w:rsidRPr="00473A1F">
        <w:rPr>
          <w:rFonts w:ascii="Calibri" w:hAnsi="Calibri" w:cs="Calibri"/>
          <w:i/>
          <w:iCs/>
          <w:lang w:val="en-US"/>
        </w:rPr>
        <w:t>in vivo</w:t>
      </w:r>
      <w:r w:rsidRPr="00473A1F">
        <w:rPr>
          <w:rFonts w:ascii="Calibri" w:hAnsi="Calibri" w:cs="Calibri"/>
          <w:lang w:val="en-US"/>
        </w:rPr>
        <w:t xml:space="preserve"> models of neurodegenerative diseases. </w:t>
      </w:r>
      <w:r w:rsidRPr="00E42762">
        <w:rPr>
          <w:rStyle w:val="Emphasis"/>
          <w:rFonts w:ascii="Calibri" w:hAnsi="Calibri" w:cs="Calibri"/>
        </w:rPr>
        <w:t xml:space="preserve">Front </w:t>
      </w:r>
      <w:proofErr w:type="spellStart"/>
      <w:r w:rsidRPr="00E42762">
        <w:rPr>
          <w:rStyle w:val="Emphasis"/>
          <w:rFonts w:ascii="Calibri" w:hAnsi="Calibri" w:cs="Calibri"/>
        </w:rPr>
        <w:t>Endocrinol</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11</w:t>
      </w:r>
      <w:r w:rsidRPr="00E42762">
        <w:rPr>
          <w:rFonts w:ascii="Calibri" w:hAnsi="Calibri" w:cs="Calibri"/>
        </w:rPr>
        <w:t>, 566026 (2020).</w:t>
      </w:r>
    </w:p>
    <w:p w14:paraId="5AF713DA"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Scafidi, J. et al. Intranasal epidermal growth factor treatment rescues neonatal brain injury. </w:t>
      </w:r>
      <w:r w:rsidRPr="00E42762">
        <w:rPr>
          <w:rStyle w:val="Emphasis"/>
          <w:rFonts w:ascii="Calibri" w:hAnsi="Calibri" w:cs="Calibri"/>
        </w:rPr>
        <w:t>Nature.</w:t>
      </w:r>
      <w:r w:rsidRPr="00E42762">
        <w:rPr>
          <w:rFonts w:ascii="Calibri" w:hAnsi="Calibri" w:cs="Calibri"/>
        </w:rPr>
        <w:t xml:space="preserve"> </w:t>
      </w:r>
      <w:r w:rsidRPr="00E42762">
        <w:rPr>
          <w:rStyle w:val="Strong"/>
          <w:rFonts w:ascii="Calibri" w:hAnsi="Calibri" w:cs="Calibri"/>
        </w:rPr>
        <w:t>506</w:t>
      </w:r>
      <w:r w:rsidRPr="00E42762">
        <w:rPr>
          <w:rFonts w:ascii="Calibri" w:hAnsi="Calibri" w:cs="Calibri"/>
        </w:rPr>
        <w:t xml:space="preserve"> (7487), 230–234 (2014).</w:t>
      </w:r>
    </w:p>
    <w:p w14:paraId="53C178B2"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Lopes, C. et al. IGF-1 intranasal administration rescues Huntington’s disease phenotypes in YAC128 mice. </w:t>
      </w:r>
      <w:r w:rsidRPr="00E42762">
        <w:rPr>
          <w:rStyle w:val="Emphasis"/>
          <w:rFonts w:ascii="Calibri" w:hAnsi="Calibri" w:cs="Calibri"/>
        </w:rPr>
        <w:t xml:space="preserve">Mol </w:t>
      </w:r>
      <w:proofErr w:type="spellStart"/>
      <w:r w:rsidRPr="00E42762">
        <w:rPr>
          <w:rStyle w:val="Emphasis"/>
          <w:rFonts w:ascii="Calibri" w:hAnsi="Calibri" w:cs="Calibri"/>
        </w:rPr>
        <w:t>Neurobiol</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49</w:t>
      </w:r>
      <w:r w:rsidRPr="00E42762">
        <w:rPr>
          <w:rFonts w:ascii="Calibri" w:hAnsi="Calibri" w:cs="Calibri"/>
        </w:rPr>
        <w:t xml:space="preserve"> (3), 1126–1142 (2014).</w:t>
      </w:r>
    </w:p>
    <w:p w14:paraId="40403116"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Nonaka, N. et al. Intranasal administration of PACAP: Uptake by brain and brain region </w:t>
      </w:r>
      <w:proofErr w:type="gramStart"/>
      <w:r w:rsidRPr="00473A1F">
        <w:rPr>
          <w:rFonts w:ascii="Calibri" w:hAnsi="Calibri" w:cs="Calibri"/>
          <w:lang w:val="en-US"/>
        </w:rPr>
        <w:t>targeting with</w:t>
      </w:r>
      <w:proofErr w:type="gramEnd"/>
      <w:r w:rsidRPr="00473A1F">
        <w:rPr>
          <w:rFonts w:ascii="Calibri" w:hAnsi="Calibri" w:cs="Calibri"/>
          <w:lang w:val="en-US"/>
        </w:rPr>
        <w:t xml:space="preserve"> cyclodextrins. </w:t>
      </w:r>
      <w:r w:rsidRPr="00E42762">
        <w:rPr>
          <w:rStyle w:val="Emphasis"/>
          <w:rFonts w:ascii="Calibri" w:hAnsi="Calibri" w:cs="Calibri"/>
        </w:rPr>
        <w:t>Peptides.</w:t>
      </w:r>
      <w:r w:rsidRPr="00E42762">
        <w:rPr>
          <w:rFonts w:ascii="Calibri" w:hAnsi="Calibri" w:cs="Calibri"/>
        </w:rPr>
        <w:t xml:space="preserve"> </w:t>
      </w:r>
      <w:r w:rsidRPr="00E42762">
        <w:rPr>
          <w:rStyle w:val="Strong"/>
          <w:rFonts w:ascii="Calibri" w:hAnsi="Calibri" w:cs="Calibri"/>
        </w:rPr>
        <w:t>36</w:t>
      </w:r>
      <w:r w:rsidRPr="00E42762">
        <w:rPr>
          <w:rFonts w:ascii="Calibri" w:hAnsi="Calibri" w:cs="Calibri"/>
        </w:rPr>
        <w:t xml:space="preserve"> (2), 168–175 (2012).</w:t>
      </w:r>
    </w:p>
    <w:p w14:paraId="79A7EC76"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Illum, L. Transport of drugs from the nasal cavity to the central nervous system. </w:t>
      </w:r>
      <w:proofErr w:type="spellStart"/>
      <w:r w:rsidRPr="00E42762">
        <w:rPr>
          <w:rStyle w:val="Emphasis"/>
          <w:rFonts w:ascii="Calibri" w:hAnsi="Calibri" w:cs="Calibri"/>
        </w:rPr>
        <w:t>Eur</w:t>
      </w:r>
      <w:proofErr w:type="spellEnd"/>
      <w:r w:rsidRPr="00E42762">
        <w:rPr>
          <w:rStyle w:val="Emphasis"/>
          <w:rFonts w:ascii="Calibri" w:hAnsi="Calibri" w:cs="Calibri"/>
        </w:rPr>
        <w:t xml:space="preserve"> J </w:t>
      </w:r>
      <w:proofErr w:type="spellStart"/>
      <w:r w:rsidRPr="00E42762">
        <w:rPr>
          <w:rStyle w:val="Emphasis"/>
          <w:rFonts w:ascii="Calibri" w:hAnsi="Calibri" w:cs="Calibri"/>
        </w:rPr>
        <w:t>Pharm</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Sci</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11</w:t>
      </w:r>
      <w:r w:rsidRPr="00E42762">
        <w:rPr>
          <w:rFonts w:ascii="Calibri" w:hAnsi="Calibri" w:cs="Calibri"/>
        </w:rPr>
        <w:t xml:space="preserve"> (1), 1–18 (2000).</w:t>
      </w:r>
    </w:p>
    <w:p w14:paraId="3A27520B"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Hanson, L. R., Frey, W. H. Intranasal delivery bypasses the blood-brain barrier to target therapeutic agents to the central nervous system and treat neurodegenerative disease. </w:t>
      </w:r>
      <w:r w:rsidRPr="00E42762">
        <w:rPr>
          <w:rStyle w:val="Emphasis"/>
          <w:rFonts w:ascii="Calibri" w:hAnsi="Calibri" w:cs="Calibri"/>
        </w:rPr>
        <w:t xml:space="preserve">BMC </w:t>
      </w:r>
      <w:proofErr w:type="spellStart"/>
      <w:r w:rsidRPr="00E42762">
        <w:rPr>
          <w:rStyle w:val="Emphasis"/>
          <w:rFonts w:ascii="Calibri" w:hAnsi="Calibri" w:cs="Calibri"/>
        </w:rPr>
        <w:t>Neurosci</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9</w:t>
      </w:r>
      <w:r w:rsidRPr="00E42762">
        <w:rPr>
          <w:rFonts w:ascii="Calibri" w:hAnsi="Calibri" w:cs="Calibri"/>
        </w:rPr>
        <w:t xml:space="preserve"> </w:t>
      </w:r>
      <w:proofErr w:type="spellStart"/>
      <w:r w:rsidRPr="00E42762">
        <w:rPr>
          <w:rFonts w:ascii="Calibri" w:hAnsi="Calibri" w:cs="Calibri"/>
        </w:rPr>
        <w:t>Suppl</w:t>
      </w:r>
      <w:proofErr w:type="spellEnd"/>
      <w:r w:rsidRPr="00E42762">
        <w:rPr>
          <w:rFonts w:ascii="Calibri" w:hAnsi="Calibri" w:cs="Calibri"/>
        </w:rPr>
        <w:t xml:space="preserve"> 3, S5 (2008).</w:t>
      </w:r>
    </w:p>
    <w:p w14:paraId="11834E7C"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Dhuria, S. V., Hanson, L. R., Frey, W. H. Intranasal delivery to the central nervous system: Mechanisms and experimental considerations. </w:t>
      </w:r>
      <w:r w:rsidRPr="00E42762">
        <w:rPr>
          <w:rStyle w:val="Emphasis"/>
          <w:rFonts w:ascii="Calibri" w:hAnsi="Calibri" w:cs="Calibri"/>
        </w:rPr>
        <w:t xml:space="preserve">J </w:t>
      </w:r>
      <w:proofErr w:type="spellStart"/>
      <w:r w:rsidRPr="00E42762">
        <w:rPr>
          <w:rStyle w:val="Emphasis"/>
          <w:rFonts w:ascii="Calibri" w:hAnsi="Calibri" w:cs="Calibri"/>
        </w:rPr>
        <w:t>Pharm</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Sci</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99</w:t>
      </w:r>
      <w:r w:rsidRPr="00E42762">
        <w:rPr>
          <w:rFonts w:ascii="Calibri" w:hAnsi="Calibri" w:cs="Calibri"/>
        </w:rPr>
        <w:t xml:space="preserve"> (4), 1654–1673 (2010).</w:t>
      </w:r>
    </w:p>
    <w:p w14:paraId="7566A065"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Lochhead, J. J., Thorne, R. G. Intranasal delivery of biologics to the central nervous system. </w:t>
      </w:r>
      <w:r w:rsidRPr="00E42762">
        <w:rPr>
          <w:rStyle w:val="Emphasis"/>
          <w:rFonts w:ascii="Calibri" w:hAnsi="Calibri" w:cs="Calibri"/>
        </w:rPr>
        <w:t xml:space="preserve">Adv Drug </w:t>
      </w:r>
      <w:proofErr w:type="spellStart"/>
      <w:r w:rsidRPr="00E42762">
        <w:rPr>
          <w:rStyle w:val="Emphasis"/>
          <w:rFonts w:ascii="Calibri" w:hAnsi="Calibri" w:cs="Calibri"/>
        </w:rPr>
        <w:t>Deliv</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Rev</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64</w:t>
      </w:r>
      <w:r w:rsidRPr="00E42762">
        <w:rPr>
          <w:rFonts w:ascii="Calibri" w:hAnsi="Calibri" w:cs="Calibri"/>
        </w:rPr>
        <w:t xml:space="preserve"> (7), 614–628 (2012).</w:t>
      </w:r>
    </w:p>
    <w:p w14:paraId="7D24291D" w14:textId="08FC8C5E"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lastRenderedPageBreak/>
        <w:t xml:space="preserve">Spijker, S., </w:t>
      </w:r>
      <w:proofErr w:type="spellStart"/>
      <w:r w:rsidRPr="00473A1F">
        <w:rPr>
          <w:rFonts w:ascii="Calibri" w:hAnsi="Calibri" w:cs="Calibri"/>
          <w:lang w:val="en-US"/>
        </w:rPr>
        <w:t>Faliagkas</w:t>
      </w:r>
      <w:proofErr w:type="spellEnd"/>
      <w:r w:rsidRPr="00473A1F">
        <w:rPr>
          <w:rFonts w:ascii="Calibri" w:hAnsi="Calibri" w:cs="Calibri"/>
          <w:lang w:val="en-US"/>
        </w:rPr>
        <w:t xml:space="preserve">, L., Rao-Ruiz, P. Dissection of rodent brain regions: Guided free-hand slicing and dissection of frozen tissue. </w:t>
      </w:r>
      <w:proofErr w:type="spellStart"/>
      <w:r w:rsidRPr="00E42762">
        <w:rPr>
          <w:rStyle w:val="Emphasis"/>
          <w:rFonts w:ascii="Calibri" w:hAnsi="Calibri" w:cs="Calibri"/>
        </w:rPr>
        <w:t>Neuroproteomics</w:t>
      </w:r>
      <w:proofErr w:type="spellEnd"/>
      <w:r w:rsidRPr="00E42762">
        <w:rPr>
          <w:rStyle w:val="Emphasis"/>
          <w:rFonts w:ascii="Calibri" w:hAnsi="Calibri" w:cs="Calibri"/>
        </w:rPr>
        <w:t>.</w:t>
      </w:r>
      <w:r w:rsidRPr="00E42762">
        <w:rPr>
          <w:rFonts w:ascii="Calibri" w:hAnsi="Calibri" w:cs="Calibri"/>
        </w:rPr>
        <w:t xml:space="preserve"> </w:t>
      </w:r>
      <w:r w:rsidR="007775F9" w:rsidRPr="00E42762">
        <w:rPr>
          <w:rFonts w:ascii="Calibri" w:hAnsi="Calibri" w:cs="Calibri"/>
          <w:b/>
          <w:bCs/>
        </w:rPr>
        <w:t>146</w:t>
      </w:r>
      <w:r w:rsidR="007775F9" w:rsidRPr="00E42762">
        <w:rPr>
          <w:rFonts w:ascii="Calibri" w:hAnsi="Calibri" w:cs="Calibri"/>
        </w:rPr>
        <w:t xml:space="preserve">, </w:t>
      </w:r>
      <w:r w:rsidRPr="00E42762">
        <w:rPr>
          <w:rStyle w:val="Strong"/>
          <w:rFonts w:ascii="Calibri" w:hAnsi="Calibri" w:cs="Calibri"/>
          <w:b w:val="0"/>
          <w:bCs w:val="0"/>
        </w:rPr>
        <w:t>7–19</w:t>
      </w:r>
      <w:r w:rsidRPr="00E42762">
        <w:rPr>
          <w:rFonts w:ascii="Calibri" w:hAnsi="Calibri" w:cs="Calibri"/>
        </w:rPr>
        <w:t xml:space="preserve"> (2019).</w:t>
      </w:r>
    </w:p>
    <w:p w14:paraId="6F4A496C"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Eyme</w:t>
      </w:r>
      <w:proofErr w:type="spellEnd"/>
      <w:r w:rsidRPr="00473A1F">
        <w:rPr>
          <w:rFonts w:ascii="Calibri" w:hAnsi="Calibri" w:cs="Calibri"/>
          <w:lang w:val="en-US"/>
        </w:rPr>
        <w:t xml:space="preserve">, K. M., Carvalho, L., Badr, C. E. Intranasal delivery of experimental compounds in orthotopic brain tumor mouse models. </w:t>
      </w:r>
      <w:r w:rsidRPr="00E42762">
        <w:rPr>
          <w:rStyle w:val="Emphasis"/>
          <w:rFonts w:ascii="Calibri" w:hAnsi="Calibri" w:cs="Calibri"/>
        </w:rPr>
        <w:t>STAR Protoc.</w:t>
      </w:r>
      <w:r w:rsidRPr="00E42762">
        <w:rPr>
          <w:rFonts w:ascii="Calibri" w:hAnsi="Calibri" w:cs="Calibri"/>
        </w:rPr>
        <w:t xml:space="preserve"> </w:t>
      </w:r>
      <w:r w:rsidRPr="00E42762">
        <w:rPr>
          <w:rStyle w:val="Strong"/>
          <w:rFonts w:ascii="Calibri" w:hAnsi="Calibri" w:cs="Calibri"/>
        </w:rPr>
        <w:t>2</w:t>
      </w:r>
      <w:r w:rsidRPr="00E42762">
        <w:rPr>
          <w:rFonts w:ascii="Calibri" w:hAnsi="Calibri" w:cs="Calibri"/>
        </w:rPr>
        <w:t xml:space="preserve"> (1), 100290 (2021).</w:t>
      </w:r>
    </w:p>
    <w:p w14:paraId="0FEFB93C"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Khan, A. R., Liu, M., Khan, M. W., Zhai, G. Progress in brain targeting drug delivery system by nasal route. </w:t>
      </w:r>
      <w:r w:rsidRPr="00E42762">
        <w:rPr>
          <w:rStyle w:val="Emphasis"/>
          <w:rFonts w:ascii="Calibri" w:hAnsi="Calibri" w:cs="Calibri"/>
        </w:rPr>
        <w:t xml:space="preserve">J </w:t>
      </w:r>
      <w:proofErr w:type="spellStart"/>
      <w:r w:rsidRPr="00E42762">
        <w:rPr>
          <w:rStyle w:val="Emphasis"/>
          <w:rFonts w:ascii="Calibri" w:hAnsi="Calibri" w:cs="Calibri"/>
        </w:rPr>
        <w:t>Controlled</w:t>
      </w:r>
      <w:proofErr w:type="spellEnd"/>
      <w:r w:rsidRPr="00E42762">
        <w:rPr>
          <w:rStyle w:val="Emphasis"/>
          <w:rFonts w:ascii="Calibri" w:hAnsi="Calibri" w:cs="Calibri"/>
        </w:rPr>
        <w:t xml:space="preserve"> Release.</w:t>
      </w:r>
      <w:r w:rsidRPr="00E42762">
        <w:rPr>
          <w:rFonts w:ascii="Calibri" w:hAnsi="Calibri" w:cs="Calibri"/>
        </w:rPr>
        <w:t xml:space="preserve"> </w:t>
      </w:r>
      <w:r w:rsidRPr="00E42762">
        <w:rPr>
          <w:rStyle w:val="Strong"/>
          <w:rFonts w:ascii="Calibri" w:hAnsi="Calibri" w:cs="Calibri"/>
        </w:rPr>
        <w:t>268</w:t>
      </w:r>
      <w:r w:rsidRPr="00E42762">
        <w:rPr>
          <w:rFonts w:ascii="Calibri" w:hAnsi="Calibri" w:cs="Calibri"/>
        </w:rPr>
        <w:t>, 364–389 (2017).</w:t>
      </w:r>
    </w:p>
    <w:p w14:paraId="7AA1F627" w14:textId="45D98BD3"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E42762">
        <w:rPr>
          <w:rFonts w:ascii="Calibri" w:hAnsi="Calibri" w:cs="Calibri"/>
        </w:rPr>
        <w:t xml:space="preserve">Jiang, P. E. et al. </w:t>
      </w:r>
      <w:r w:rsidRPr="00473A1F">
        <w:rPr>
          <w:rFonts w:ascii="Calibri" w:hAnsi="Calibri" w:cs="Calibri"/>
          <w:lang w:val="en-US"/>
        </w:rPr>
        <w:t xml:space="preserve">Behavioral assessments of spontaneous locomotion in a murine MPTP-induced Parkinson's disease model. </w:t>
      </w:r>
      <w:proofErr w:type="spellStart"/>
      <w:r w:rsidRPr="00E42762">
        <w:rPr>
          <w:rStyle w:val="Emphasis"/>
          <w:rFonts w:ascii="Calibri" w:hAnsi="Calibri" w:cs="Calibri"/>
        </w:rPr>
        <w:t>J</w:t>
      </w:r>
      <w:proofErr w:type="spellEnd"/>
      <w:r w:rsidRPr="00E42762">
        <w:rPr>
          <w:rStyle w:val="Emphasis"/>
          <w:rFonts w:ascii="Calibri" w:hAnsi="Calibri" w:cs="Calibri"/>
        </w:rPr>
        <w:t xml:space="preserve"> Vis </w:t>
      </w:r>
      <w:proofErr w:type="spellStart"/>
      <w:r w:rsidRPr="00E42762">
        <w:rPr>
          <w:rStyle w:val="Emphasis"/>
          <w:rFonts w:ascii="Calibri" w:hAnsi="Calibri" w:cs="Calibri"/>
        </w:rPr>
        <w:t>Exp</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143</w:t>
      </w:r>
      <w:r w:rsidR="00DA0A01" w:rsidRPr="00E42762">
        <w:rPr>
          <w:rStyle w:val="Strong"/>
          <w:rFonts w:ascii="Calibri" w:hAnsi="Calibri" w:cs="Calibri"/>
          <w:b w:val="0"/>
          <w:bCs w:val="0"/>
        </w:rPr>
        <w:t xml:space="preserve">, </w:t>
      </w:r>
      <w:r w:rsidR="0079341B" w:rsidRPr="00E42762">
        <w:rPr>
          <w:rStyle w:val="Strong"/>
          <w:rFonts w:ascii="Calibri" w:hAnsi="Calibri" w:cs="Calibri"/>
          <w:b w:val="0"/>
          <w:bCs w:val="0"/>
        </w:rPr>
        <w:t>e58653</w:t>
      </w:r>
      <w:r w:rsidRPr="00E42762">
        <w:rPr>
          <w:rFonts w:ascii="Calibri" w:hAnsi="Calibri" w:cs="Calibri"/>
        </w:rPr>
        <w:t xml:space="preserve"> (2019).</w:t>
      </w:r>
    </w:p>
    <w:p w14:paraId="326D41B0"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Colombo, G. et al. A step-by-step protocol for assaying protein carbonylation in biological samples. </w:t>
      </w:r>
      <w:r w:rsidRPr="00E42762">
        <w:rPr>
          <w:rStyle w:val="Emphasis"/>
          <w:rFonts w:ascii="Calibri" w:hAnsi="Calibri" w:cs="Calibri"/>
        </w:rPr>
        <w:t xml:space="preserve">J </w:t>
      </w:r>
      <w:proofErr w:type="spellStart"/>
      <w:r w:rsidRPr="00E42762">
        <w:rPr>
          <w:rStyle w:val="Emphasis"/>
          <w:rFonts w:ascii="Calibri" w:hAnsi="Calibri" w:cs="Calibri"/>
        </w:rPr>
        <w:t>Chromatogr</w:t>
      </w:r>
      <w:proofErr w:type="spellEnd"/>
      <w:r w:rsidRPr="00E42762">
        <w:rPr>
          <w:rStyle w:val="Emphasis"/>
          <w:rFonts w:ascii="Calibri" w:hAnsi="Calibri" w:cs="Calibri"/>
        </w:rPr>
        <w:t xml:space="preserve"> B </w:t>
      </w:r>
      <w:proofErr w:type="spellStart"/>
      <w:r w:rsidRPr="00E42762">
        <w:rPr>
          <w:rStyle w:val="Emphasis"/>
          <w:rFonts w:ascii="Calibri" w:hAnsi="Calibri" w:cs="Calibri"/>
        </w:rPr>
        <w:t>Analyt</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Technol</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Biomed</w:t>
      </w:r>
      <w:proofErr w:type="spellEnd"/>
      <w:r w:rsidRPr="00E42762">
        <w:rPr>
          <w:rStyle w:val="Emphasis"/>
          <w:rFonts w:ascii="Calibri" w:hAnsi="Calibri" w:cs="Calibri"/>
        </w:rPr>
        <w:t xml:space="preserve"> Life </w:t>
      </w:r>
      <w:proofErr w:type="spellStart"/>
      <w:r w:rsidRPr="00E42762">
        <w:rPr>
          <w:rStyle w:val="Emphasis"/>
          <w:rFonts w:ascii="Calibri" w:hAnsi="Calibri" w:cs="Calibri"/>
        </w:rPr>
        <w:t>Sci</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1019</w:t>
      </w:r>
      <w:r w:rsidRPr="00E42762">
        <w:rPr>
          <w:rFonts w:ascii="Calibri" w:hAnsi="Calibri" w:cs="Calibri"/>
        </w:rPr>
        <w:t>, 178–190 (2016).</w:t>
      </w:r>
    </w:p>
    <w:p w14:paraId="247DB8CF"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Misra, H. P., </w:t>
      </w:r>
      <w:proofErr w:type="spellStart"/>
      <w:r w:rsidRPr="00473A1F">
        <w:rPr>
          <w:rFonts w:ascii="Calibri" w:hAnsi="Calibri" w:cs="Calibri"/>
          <w:lang w:val="en-US"/>
        </w:rPr>
        <w:t>Fridovich</w:t>
      </w:r>
      <w:proofErr w:type="spellEnd"/>
      <w:r w:rsidRPr="00473A1F">
        <w:rPr>
          <w:rFonts w:ascii="Calibri" w:hAnsi="Calibri" w:cs="Calibri"/>
          <w:lang w:val="en-US"/>
        </w:rPr>
        <w:t xml:space="preserve">, I. The role of superoxide anion in the autoxidation of epinephrine and a simple assay for superoxide dismutase. </w:t>
      </w:r>
      <w:r w:rsidRPr="00E42762">
        <w:rPr>
          <w:rStyle w:val="Emphasis"/>
          <w:rFonts w:ascii="Calibri" w:hAnsi="Calibri" w:cs="Calibri"/>
        </w:rPr>
        <w:t xml:space="preserve">J Biol </w:t>
      </w:r>
      <w:proofErr w:type="spellStart"/>
      <w:r w:rsidRPr="00E42762">
        <w:rPr>
          <w:rStyle w:val="Emphasis"/>
          <w:rFonts w:ascii="Calibri" w:hAnsi="Calibri" w:cs="Calibri"/>
        </w:rPr>
        <w:t>Chem</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247</w:t>
      </w:r>
      <w:r w:rsidRPr="00E42762">
        <w:rPr>
          <w:rFonts w:ascii="Calibri" w:hAnsi="Calibri" w:cs="Calibri"/>
        </w:rPr>
        <w:t xml:space="preserve"> (10), 3170–3175 (1972).</w:t>
      </w:r>
    </w:p>
    <w:p w14:paraId="062795B3"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Schmittgen</w:t>
      </w:r>
      <w:proofErr w:type="spellEnd"/>
      <w:r w:rsidRPr="00473A1F">
        <w:rPr>
          <w:rFonts w:ascii="Calibri" w:hAnsi="Calibri" w:cs="Calibri"/>
          <w:lang w:val="en-US"/>
        </w:rPr>
        <w:t xml:space="preserve">, T. D., Livak, K. J. Analyzing real-time PCR data by the comparative CT method. </w:t>
      </w:r>
      <w:r w:rsidRPr="00E42762">
        <w:rPr>
          <w:rStyle w:val="Emphasis"/>
          <w:rFonts w:ascii="Calibri" w:hAnsi="Calibri" w:cs="Calibri"/>
        </w:rPr>
        <w:t>Nat Protoc.</w:t>
      </w:r>
      <w:r w:rsidRPr="00E42762">
        <w:rPr>
          <w:rFonts w:ascii="Calibri" w:hAnsi="Calibri" w:cs="Calibri"/>
        </w:rPr>
        <w:t xml:space="preserve"> </w:t>
      </w:r>
      <w:r w:rsidRPr="00E42762">
        <w:rPr>
          <w:rStyle w:val="Strong"/>
          <w:rFonts w:ascii="Calibri" w:hAnsi="Calibri" w:cs="Calibri"/>
        </w:rPr>
        <w:t>3</w:t>
      </w:r>
      <w:r w:rsidRPr="00E42762">
        <w:rPr>
          <w:rFonts w:ascii="Calibri" w:hAnsi="Calibri" w:cs="Calibri"/>
        </w:rPr>
        <w:t xml:space="preserve"> (6), 1101–1108 (2008).</w:t>
      </w:r>
    </w:p>
    <w:p w14:paraId="37A6A5DB"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Jackson-Lewis, V., </w:t>
      </w:r>
      <w:proofErr w:type="spellStart"/>
      <w:r w:rsidRPr="00473A1F">
        <w:rPr>
          <w:rFonts w:ascii="Calibri" w:hAnsi="Calibri" w:cs="Calibri"/>
          <w:lang w:val="en-US"/>
        </w:rPr>
        <w:t>Przedborski</w:t>
      </w:r>
      <w:proofErr w:type="spellEnd"/>
      <w:r w:rsidRPr="00473A1F">
        <w:rPr>
          <w:rFonts w:ascii="Calibri" w:hAnsi="Calibri" w:cs="Calibri"/>
          <w:lang w:val="en-US"/>
        </w:rPr>
        <w:t xml:space="preserve">, S. Protocol for the MPTP mouse model of Parkinson’s disease. </w:t>
      </w:r>
      <w:r w:rsidRPr="00E42762">
        <w:rPr>
          <w:rStyle w:val="Emphasis"/>
          <w:rFonts w:ascii="Calibri" w:hAnsi="Calibri" w:cs="Calibri"/>
        </w:rPr>
        <w:t>Nat Protoc.</w:t>
      </w:r>
      <w:r w:rsidRPr="00E42762">
        <w:rPr>
          <w:rFonts w:ascii="Calibri" w:hAnsi="Calibri" w:cs="Calibri"/>
        </w:rPr>
        <w:t xml:space="preserve"> </w:t>
      </w:r>
      <w:r w:rsidRPr="00E42762">
        <w:rPr>
          <w:rStyle w:val="Strong"/>
          <w:rFonts w:ascii="Calibri" w:hAnsi="Calibri" w:cs="Calibri"/>
        </w:rPr>
        <w:t>2</w:t>
      </w:r>
      <w:r w:rsidRPr="00E42762">
        <w:rPr>
          <w:rFonts w:ascii="Calibri" w:hAnsi="Calibri" w:cs="Calibri"/>
        </w:rPr>
        <w:t xml:space="preserve"> (1), 141–151 (2007).</w:t>
      </w:r>
    </w:p>
    <w:p w14:paraId="0F359462"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Dufes</w:t>
      </w:r>
      <w:proofErr w:type="spellEnd"/>
      <w:r w:rsidRPr="00473A1F">
        <w:rPr>
          <w:rFonts w:ascii="Calibri" w:hAnsi="Calibri" w:cs="Calibri"/>
          <w:lang w:val="en-US"/>
        </w:rPr>
        <w:t xml:space="preserve">, C., Olivier, J. C., Gaillard, F., Gaillard, A., </w:t>
      </w:r>
      <w:proofErr w:type="spellStart"/>
      <w:r w:rsidRPr="00473A1F">
        <w:rPr>
          <w:rFonts w:ascii="Calibri" w:hAnsi="Calibri" w:cs="Calibri"/>
          <w:lang w:val="en-US"/>
        </w:rPr>
        <w:t>Couet</w:t>
      </w:r>
      <w:proofErr w:type="spellEnd"/>
      <w:r w:rsidRPr="00473A1F">
        <w:rPr>
          <w:rFonts w:ascii="Calibri" w:hAnsi="Calibri" w:cs="Calibri"/>
          <w:lang w:val="en-US"/>
        </w:rPr>
        <w:t xml:space="preserve">, W., Muller, J. M. Brain delivery of vasoactive intestinal peptide (VIP) following nasal administration to rats. </w:t>
      </w:r>
      <w:r w:rsidRPr="00E42762">
        <w:rPr>
          <w:rStyle w:val="Emphasis"/>
          <w:rFonts w:ascii="Calibri" w:hAnsi="Calibri" w:cs="Calibri"/>
        </w:rPr>
        <w:t>Int J Pharm.</w:t>
      </w:r>
      <w:r w:rsidRPr="00E42762">
        <w:rPr>
          <w:rFonts w:ascii="Calibri" w:hAnsi="Calibri" w:cs="Calibri"/>
        </w:rPr>
        <w:t xml:space="preserve"> </w:t>
      </w:r>
      <w:r w:rsidRPr="00E42762">
        <w:rPr>
          <w:rStyle w:val="Strong"/>
          <w:rFonts w:ascii="Calibri" w:hAnsi="Calibri" w:cs="Calibri"/>
        </w:rPr>
        <w:t>255</w:t>
      </w:r>
      <w:r w:rsidRPr="00E42762">
        <w:rPr>
          <w:rFonts w:ascii="Calibri" w:hAnsi="Calibri" w:cs="Calibri"/>
        </w:rPr>
        <w:t xml:space="preserve"> (1–2), 87–97 (2003).</w:t>
      </w:r>
    </w:p>
    <w:p w14:paraId="158A3491"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Silva, S. et al. Encapsulated escitalopram and paroxetine intranasal co-administration: </w:t>
      </w:r>
      <w:r w:rsidRPr="00473A1F">
        <w:rPr>
          <w:rFonts w:ascii="Calibri" w:hAnsi="Calibri" w:cs="Calibri"/>
          <w:i/>
          <w:iCs/>
          <w:lang w:val="en-US"/>
        </w:rPr>
        <w:t>In vitro/in vivo</w:t>
      </w:r>
      <w:r w:rsidRPr="00473A1F">
        <w:rPr>
          <w:rFonts w:ascii="Calibri" w:hAnsi="Calibri" w:cs="Calibri"/>
          <w:lang w:val="en-US"/>
        </w:rPr>
        <w:t xml:space="preserve"> evaluation. </w:t>
      </w:r>
      <w:r w:rsidRPr="00E42762">
        <w:rPr>
          <w:rStyle w:val="Emphasis"/>
          <w:rFonts w:ascii="Calibri" w:hAnsi="Calibri" w:cs="Calibri"/>
        </w:rPr>
        <w:t xml:space="preserve">Front </w:t>
      </w:r>
      <w:proofErr w:type="spellStart"/>
      <w:r w:rsidRPr="00E42762">
        <w:rPr>
          <w:rStyle w:val="Emphasis"/>
          <w:rFonts w:ascii="Calibri" w:hAnsi="Calibri" w:cs="Calibri"/>
        </w:rPr>
        <w:t>Pharmacol</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12</w:t>
      </w:r>
      <w:r w:rsidRPr="00E42762">
        <w:rPr>
          <w:rFonts w:ascii="Calibri" w:hAnsi="Calibri" w:cs="Calibri"/>
        </w:rPr>
        <w:t>, 751321 (2021).</w:t>
      </w:r>
    </w:p>
    <w:p w14:paraId="720F64A8"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Selvaraj, K., </w:t>
      </w:r>
      <w:proofErr w:type="spellStart"/>
      <w:r w:rsidRPr="00473A1F">
        <w:rPr>
          <w:rFonts w:ascii="Calibri" w:hAnsi="Calibri" w:cs="Calibri"/>
          <w:lang w:val="en-US"/>
        </w:rPr>
        <w:t>Gowthamarajan</w:t>
      </w:r>
      <w:proofErr w:type="spellEnd"/>
      <w:r w:rsidRPr="00473A1F">
        <w:rPr>
          <w:rFonts w:ascii="Calibri" w:hAnsi="Calibri" w:cs="Calibri"/>
          <w:lang w:val="en-US"/>
        </w:rPr>
        <w:t xml:space="preserve">, K., Karri, V. V. S. R. Nose to brain transport pathways an overview: Potential of nanostructured lipid carriers in nose to brain targeting. </w:t>
      </w:r>
      <w:proofErr w:type="spellStart"/>
      <w:r w:rsidRPr="00E42762">
        <w:rPr>
          <w:rStyle w:val="Emphasis"/>
          <w:rFonts w:ascii="Calibri" w:hAnsi="Calibri" w:cs="Calibri"/>
        </w:rPr>
        <w:t>Artif</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Cells</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Nanomedicine</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Biotechnol</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46</w:t>
      </w:r>
      <w:r w:rsidRPr="00E42762">
        <w:rPr>
          <w:rFonts w:ascii="Calibri" w:hAnsi="Calibri" w:cs="Calibri"/>
        </w:rPr>
        <w:t xml:space="preserve"> (8), 2088–2095 (2017).</w:t>
      </w:r>
    </w:p>
    <w:p w14:paraId="539573E5"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Jeong, S. H., Jang, J. H., Lee, Y. B. Drug delivery to the brain via the nasal route of administration: Exploration of key targets and major consideration factors. </w:t>
      </w:r>
      <w:r w:rsidRPr="00E42762">
        <w:rPr>
          <w:rStyle w:val="Emphasis"/>
          <w:rFonts w:ascii="Calibri" w:hAnsi="Calibri" w:cs="Calibri"/>
        </w:rPr>
        <w:t xml:space="preserve">J </w:t>
      </w:r>
      <w:proofErr w:type="spellStart"/>
      <w:r w:rsidRPr="00E42762">
        <w:rPr>
          <w:rStyle w:val="Emphasis"/>
          <w:rFonts w:ascii="Calibri" w:hAnsi="Calibri" w:cs="Calibri"/>
        </w:rPr>
        <w:t>Pharm</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Investig</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53</w:t>
      </w:r>
      <w:r w:rsidRPr="00E42762">
        <w:rPr>
          <w:rFonts w:ascii="Calibri" w:hAnsi="Calibri" w:cs="Calibri"/>
        </w:rPr>
        <w:t xml:space="preserve"> (1), 119–152 (2023).</w:t>
      </w:r>
    </w:p>
    <w:p w14:paraId="278C0391"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Cherait</w:t>
      </w:r>
      <w:proofErr w:type="spellEnd"/>
      <w:r w:rsidRPr="00473A1F">
        <w:rPr>
          <w:rFonts w:ascii="Calibri" w:hAnsi="Calibri" w:cs="Calibri"/>
          <w:lang w:val="en-US"/>
        </w:rPr>
        <w:t xml:space="preserve">, A., Banks, W. A., </w:t>
      </w:r>
      <w:proofErr w:type="spellStart"/>
      <w:r w:rsidRPr="00473A1F">
        <w:rPr>
          <w:rFonts w:ascii="Calibri" w:hAnsi="Calibri" w:cs="Calibri"/>
          <w:lang w:val="en-US"/>
        </w:rPr>
        <w:t>Vaudry</w:t>
      </w:r>
      <w:proofErr w:type="spellEnd"/>
      <w:r w:rsidRPr="00473A1F">
        <w:rPr>
          <w:rFonts w:ascii="Calibri" w:hAnsi="Calibri" w:cs="Calibri"/>
          <w:lang w:val="en-US"/>
        </w:rPr>
        <w:t xml:space="preserve">, D. The potential of the nose-to-brain delivery of PACAP for the treatment of neuronal disease. </w:t>
      </w:r>
      <w:proofErr w:type="spellStart"/>
      <w:r w:rsidRPr="00E42762">
        <w:rPr>
          <w:rStyle w:val="Emphasis"/>
          <w:rFonts w:ascii="Calibri" w:hAnsi="Calibri" w:cs="Calibri"/>
        </w:rPr>
        <w:t>Pharmaceutics</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15</w:t>
      </w:r>
      <w:r w:rsidRPr="00E42762">
        <w:rPr>
          <w:rFonts w:ascii="Calibri" w:hAnsi="Calibri" w:cs="Calibri"/>
        </w:rPr>
        <w:t xml:space="preserve"> (8), 2032 (2023).</w:t>
      </w:r>
    </w:p>
    <w:p w14:paraId="41719051"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Crowe, T. P., Hsu, W. H. Evaluation of recent intranasal drug delivery systems to the central nervous system. </w:t>
      </w:r>
      <w:proofErr w:type="spellStart"/>
      <w:r w:rsidRPr="00E42762">
        <w:rPr>
          <w:rStyle w:val="Emphasis"/>
          <w:rFonts w:ascii="Calibri" w:hAnsi="Calibri" w:cs="Calibri"/>
        </w:rPr>
        <w:t>Pharmaceutics</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14</w:t>
      </w:r>
      <w:r w:rsidRPr="00E42762">
        <w:rPr>
          <w:rFonts w:ascii="Calibri" w:hAnsi="Calibri" w:cs="Calibri"/>
        </w:rPr>
        <w:t xml:space="preserve"> (3), 629 (2022).</w:t>
      </w:r>
    </w:p>
    <w:p w14:paraId="3CBA4792"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Hanson, L. R., Frey, W. H. Intranasal delivery bypasses the blood-brain barrier to target therapeutic agents to the central nervous system and treat neurodegenerative disease. </w:t>
      </w:r>
      <w:r w:rsidRPr="00E42762">
        <w:rPr>
          <w:rStyle w:val="Emphasis"/>
          <w:rFonts w:ascii="Calibri" w:hAnsi="Calibri" w:cs="Calibri"/>
        </w:rPr>
        <w:t xml:space="preserve">BMC </w:t>
      </w:r>
      <w:proofErr w:type="spellStart"/>
      <w:r w:rsidRPr="00E42762">
        <w:rPr>
          <w:rStyle w:val="Emphasis"/>
          <w:rFonts w:ascii="Calibri" w:hAnsi="Calibri" w:cs="Calibri"/>
        </w:rPr>
        <w:t>Neurosci</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9</w:t>
      </w:r>
      <w:r w:rsidRPr="00E42762">
        <w:rPr>
          <w:rFonts w:ascii="Calibri" w:hAnsi="Calibri" w:cs="Calibri"/>
        </w:rPr>
        <w:t xml:space="preserve"> </w:t>
      </w:r>
      <w:proofErr w:type="spellStart"/>
      <w:r w:rsidRPr="00E42762">
        <w:rPr>
          <w:rFonts w:ascii="Calibri" w:hAnsi="Calibri" w:cs="Calibri"/>
        </w:rPr>
        <w:t>Suppl</w:t>
      </w:r>
      <w:proofErr w:type="spellEnd"/>
      <w:r w:rsidRPr="00E42762">
        <w:rPr>
          <w:rFonts w:ascii="Calibri" w:hAnsi="Calibri" w:cs="Calibri"/>
        </w:rPr>
        <w:t xml:space="preserve"> 3, S5 (2008).</w:t>
      </w:r>
    </w:p>
    <w:p w14:paraId="51588534"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Meredith, G. E., Rademacher, D. J. MPTP mouse models of Parkinson’s disease: An update. </w:t>
      </w:r>
      <w:r w:rsidRPr="00E42762">
        <w:rPr>
          <w:rStyle w:val="Emphasis"/>
          <w:rFonts w:ascii="Calibri" w:hAnsi="Calibri" w:cs="Calibri"/>
        </w:rPr>
        <w:t>J Park Dis.</w:t>
      </w:r>
      <w:r w:rsidRPr="00E42762">
        <w:rPr>
          <w:rFonts w:ascii="Calibri" w:hAnsi="Calibri" w:cs="Calibri"/>
        </w:rPr>
        <w:t xml:space="preserve"> </w:t>
      </w:r>
      <w:r w:rsidRPr="00E42762">
        <w:rPr>
          <w:rStyle w:val="Strong"/>
          <w:rFonts w:ascii="Calibri" w:hAnsi="Calibri" w:cs="Calibri"/>
        </w:rPr>
        <w:t>1</w:t>
      </w:r>
      <w:r w:rsidRPr="00E42762">
        <w:rPr>
          <w:rFonts w:ascii="Calibri" w:hAnsi="Calibri" w:cs="Calibri"/>
        </w:rPr>
        <w:t xml:space="preserve"> (1), 19–33 (2011).</w:t>
      </w:r>
    </w:p>
    <w:p w14:paraId="4BFAFB93"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Sarrafchi</w:t>
      </w:r>
      <w:proofErr w:type="spellEnd"/>
      <w:r w:rsidRPr="00473A1F">
        <w:rPr>
          <w:rFonts w:ascii="Calibri" w:hAnsi="Calibri" w:cs="Calibri"/>
          <w:lang w:val="en-US"/>
        </w:rPr>
        <w:t>, A., Bahmani, M., Shirzad, H., Rafieian-</w:t>
      </w:r>
      <w:proofErr w:type="spellStart"/>
      <w:r w:rsidRPr="00473A1F">
        <w:rPr>
          <w:rFonts w:ascii="Calibri" w:hAnsi="Calibri" w:cs="Calibri"/>
          <w:lang w:val="en-US"/>
        </w:rPr>
        <w:t>Kopaei</w:t>
      </w:r>
      <w:proofErr w:type="spellEnd"/>
      <w:r w:rsidRPr="00473A1F">
        <w:rPr>
          <w:rFonts w:ascii="Calibri" w:hAnsi="Calibri" w:cs="Calibri"/>
          <w:lang w:val="en-US"/>
        </w:rPr>
        <w:t xml:space="preserve">, M. Oxidative stress and Parkinson’s disease: New hopes in treatment with herbal antioxidants. </w:t>
      </w:r>
      <w:proofErr w:type="spellStart"/>
      <w:r w:rsidRPr="00E42762">
        <w:rPr>
          <w:rStyle w:val="Emphasis"/>
          <w:rFonts w:ascii="Calibri" w:hAnsi="Calibri" w:cs="Calibri"/>
        </w:rPr>
        <w:t>Curr</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Pharm</w:t>
      </w:r>
      <w:proofErr w:type="spellEnd"/>
      <w:r w:rsidRPr="00E42762">
        <w:rPr>
          <w:rStyle w:val="Emphasis"/>
          <w:rFonts w:ascii="Calibri" w:hAnsi="Calibri" w:cs="Calibri"/>
        </w:rPr>
        <w:t xml:space="preserve"> Des.</w:t>
      </w:r>
      <w:r w:rsidRPr="00E42762">
        <w:rPr>
          <w:rFonts w:ascii="Calibri" w:hAnsi="Calibri" w:cs="Calibri"/>
        </w:rPr>
        <w:t xml:space="preserve"> </w:t>
      </w:r>
      <w:r w:rsidRPr="00E42762">
        <w:rPr>
          <w:rStyle w:val="Strong"/>
          <w:rFonts w:ascii="Calibri" w:hAnsi="Calibri" w:cs="Calibri"/>
        </w:rPr>
        <w:t>22</w:t>
      </w:r>
      <w:r w:rsidRPr="00E42762">
        <w:rPr>
          <w:rFonts w:ascii="Calibri" w:hAnsi="Calibri" w:cs="Calibri"/>
        </w:rPr>
        <w:t xml:space="preserve"> (2), 238–246 (2016).</w:t>
      </w:r>
    </w:p>
    <w:p w14:paraId="76920E84"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 xml:space="preserve">Hirsch, E. C., </w:t>
      </w:r>
      <w:proofErr w:type="spellStart"/>
      <w:r w:rsidRPr="00473A1F">
        <w:rPr>
          <w:rFonts w:ascii="Calibri" w:hAnsi="Calibri" w:cs="Calibri"/>
          <w:lang w:val="en-US"/>
        </w:rPr>
        <w:t>Hunot</w:t>
      </w:r>
      <w:proofErr w:type="spellEnd"/>
      <w:r w:rsidRPr="00473A1F">
        <w:rPr>
          <w:rFonts w:ascii="Calibri" w:hAnsi="Calibri" w:cs="Calibri"/>
          <w:lang w:val="en-US"/>
        </w:rPr>
        <w:t xml:space="preserve">, S. Neuroinflammation in Parkinson’s disease: A target for neuroprotection? </w:t>
      </w:r>
      <w:r w:rsidRPr="00E42762">
        <w:rPr>
          <w:rStyle w:val="Emphasis"/>
          <w:rFonts w:ascii="Calibri" w:hAnsi="Calibri" w:cs="Calibri"/>
        </w:rPr>
        <w:t xml:space="preserve">Lancet </w:t>
      </w:r>
      <w:proofErr w:type="spellStart"/>
      <w:r w:rsidRPr="00E42762">
        <w:rPr>
          <w:rStyle w:val="Emphasis"/>
          <w:rFonts w:ascii="Calibri" w:hAnsi="Calibri" w:cs="Calibri"/>
        </w:rPr>
        <w:t>Neurol</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8</w:t>
      </w:r>
      <w:r w:rsidRPr="00E42762">
        <w:rPr>
          <w:rFonts w:ascii="Calibri" w:hAnsi="Calibri" w:cs="Calibri"/>
        </w:rPr>
        <w:t xml:space="preserve"> (4), 382–397 (2009).</w:t>
      </w:r>
    </w:p>
    <w:p w14:paraId="5C43CF2B" w14:textId="77AAD66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r w:rsidRPr="00473A1F">
        <w:rPr>
          <w:rFonts w:ascii="Calibri" w:hAnsi="Calibri" w:cs="Calibri"/>
          <w:lang w:val="en-US"/>
        </w:rPr>
        <w:t>Baillet, A.</w:t>
      </w:r>
      <w:r w:rsidR="00747C6B" w:rsidRPr="00473A1F">
        <w:rPr>
          <w:rFonts w:ascii="Calibri" w:hAnsi="Calibri" w:cs="Calibri"/>
          <w:lang w:val="en-US"/>
        </w:rPr>
        <w:t xml:space="preserve"> et al</w:t>
      </w:r>
      <w:r w:rsidRPr="00473A1F">
        <w:rPr>
          <w:rFonts w:ascii="Calibri" w:hAnsi="Calibri" w:cs="Calibri"/>
          <w:lang w:val="en-US"/>
        </w:rPr>
        <w:t xml:space="preserve">. The role of oxidative stress in amyotrophic lateral sclerosis and Parkinson’s disease. </w:t>
      </w:r>
      <w:proofErr w:type="spellStart"/>
      <w:r w:rsidRPr="00E42762">
        <w:rPr>
          <w:rStyle w:val="Emphasis"/>
          <w:rFonts w:ascii="Calibri" w:hAnsi="Calibri" w:cs="Calibri"/>
        </w:rPr>
        <w:t>Neurochem</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Res</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35</w:t>
      </w:r>
      <w:r w:rsidRPr="00E42762">
        <w:rPr>
          <w:rFonts w:ascii="Calibri" w:hAnsi="Calibri" w:cs="Calibri"/>
        </w:rPr>
        <w:t xml:space="preserve"> (10), 1530–1537 (2010).</w:t>
      </w:r>
    </w:p>
    <w:p w14:paraId="306F9025"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E42762">
        <w:rPr>
          <w:rFonts w:ascii="Calibri" w:hAnsi="Calibri" w:cs="Calibri"/>
        </w:rPr>
        <w:lastRenderedPageBreak/>
        <w:t>Mythri</w:t>
      </w:r>
      <w:proofErr w:type="spellEnd"/>
      <w:r w:rsidRPr="00E42762">
        <w:rPr>
          <w:rFonts w:ascii="Calibri" w:hAnsi="Calibri" w:cs="Calibri"/>
        </w:rPr>
        <w:t xml:space="preserve">, R. B. et al. </w:t>
      </w:r>
      <w:r w:rsidRPr="00473A1F">
        <w:rPr>
          <w:rFonts w:ascii="Calibri" w:hAnsi="Calibri" w:cs="Calibri"/>
          <w:lang w:val="en-US"/>
        </w:rPr>
        <w:t xml:space="preserve">Evaluation of markers of oxidative stress, antioxidant function and astrocytic proliferation in the striatum and frontal cortex of Parkinson’s disease brains. </w:t>
      </w:r>
      <w:proofErr w:type="spellStart"/>
      <w:r w:rsidRPr="00E42762">
        <w:rPr>
          <w:rStyle w:val="Emphasis"/>
          <w:rFonts w:ascii="Calibri" w:hAnsi="Calibri" w:cs="Calibri"/>
        </w:rPr>
        <w:t>Neurochem</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Res</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36</w:t>
      </w:r>
      <w:r w:rsidRPr="00E42762">
        <w:rPr>
          <w:rFonts w:ascii="Calibri" w:hAnsi="Calibri" w:cs="Calibri"/>
        </w:rPr>
        <w:t xml:space="preserve"> (8), 1452–1463 (2011).</w:t>
      </w:r>
    </w:p>
    <w:p w14:paraId="42F9A805" w14:textId="50352E3E"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Venkateshappa</w:t>
      </w:r>
      <w:proofErr w:type="spellEnd"/>
      <w:r w:rsidRPr="00473A1F">
        <w:rPr>
          <w:rFonts w:ascii="Calibri" w:hAnsi="Calibri" w:cs="Calibri"/>
          <w:lang w:val="en-US"/>
        </w:rPr>
        <w:t>, C.</w:t>
      </w:r>
      <w:r w:rsidR="00280821" w:rsidRPr="00473A1F">
        <w:rPr>
          <w:rFonts w:ascii="Calibri" w:hAnsi="Calibri" w:cs="Calibri"/>
          <w:lang w:val="en-US"/>
        </w:rPr>
        <w:t xml:space="preserve"> et al</w:t>
      </w:r>
      <w:r w:rsidRPr="00473A1F">
        <w:rPr>
          <w:rFonts w:ascii="Calibri" w:hAnsi="Calibri" w:cs="Calibri"/>
          <w:lang w:val="en-US"/>
        </w:rPr>
        <w:t xml:space="preserve">. Increased oxidative damage and decreased antioxidant function in aging human substantia nigra compared to striatum: Implications for Parkinson’s disease. </w:t>
      </w:r>
      <w:proofErr w:type="spellStart"/>
      <w:r w:rsidRPr="00E42762">
        <w:rPr>
          <w:rStyle w:val="Emphasis"/>
          <w:rFonts w:ascii="Calibri" w:hAnsi="Calibri" w:cs="Calibri"/>
        </w:rPr>
        <w:t>Neurochem</w:t>
      </w:r>
      <w:proofErr w:type="spellEnd"/>
      <w:r w:rsidRPr="00E42762">
        <w:rPr>
          <w:rStyle w:val="Emphasis"/>
          <w:rFonts w:ascii="Calibri" w:hAnsi="Calibri" w:cs="Calibri"/>
        </w:rPr>
        <w:t xml:space="preserve"> </w:t>
      </w:r>
      <w:proofErr w:type="spellStart"/>
      <w:r w:rsidRPr="00E42762">
        <w:rPr>
          <w:rStyle w:val="Emphasis"/>
          <w:rFonts w:ascii="Calibri" w:hAnsi="Calibri" w:cs="Calibri"/>
        </w:rPr>
        <w:t>Res</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37</w:t>
      </w:r>
      <w:r w:rsidRPr="00E42762">
        <w:rPr>
          <w:rFonts w:ascii="Calibri" w:hAnsi="Calibri" w:cs="Calibri"/>
        </w:rPr>
        <w:t xml:space="preserve"> (2), 358–369 (2012).</w:t>
      </w:r>
    </w:p>
    <w:p w14:paraId="7EAF93B7" w14:textId="77777777" w:rsidR="005A0DD9" w:rsidRPr="00E42762" w:rsidRDefault="005A0DD9" w:rsidP="00E42762">
      <w:pPr>
        <w:pStyle w:val="NormalWeb"/>
        <w:numPr>
          <w:ilvl w:val="0"/>
          <w:numId w:val="48"/>
        </w:numPr>
        <w:spacing w:before="0" w:beforeAutospacing="0" w:after="0" w:afterAutospacing="0"/>
        <w:ind w:left="0" w:firstLine="0"/>
        <w:jc w:val="both"/>
        <w:rPr>
          <w:rFonts w:ascii="Calibri" w:hAnsi="Calibri" w:cs="Calibri"/>
        </w:rPr>
      </w:pPr>
      <w:proofErr w:type="spellStart"/>
      <w:r w:rsidRPr="00473A1F">
        <w:rPr>
          <w:rFonts w:ascii="Calibri" w:hAnsi="Calibri" w:cs="Calibri"/>
          <w:lang w:val="en-US"/>
        </w:rPr>
        <w:t>Ghouili</w:t>
      </w:r>
      <w:proofErr w:type="spellEnd"/>
      <w:r w:rsidRPr="00473A1F">
        <w:rPr>
          <w:rFonts w:ascii="Calibri" w:hAnsi="Calibri" w:cs="Calibri"/>
          <w:lang w:val="en-US"/>
        </w:rPr>
        <w:t xml:space="preserve">, I. et al. Endogenous expression of ODN-related peptides in astrocytes contributes to cell protection against oxidative stress: Astrocyte-neuron crosstalk relevance for neuronal survival. </w:t>
      </w:r>
      <w:r w:rsidRPr="00E42762">
        <w:rPr>
          <w:rStyle w:val="Emphasis"/>
          <w:rFonts w:ascii="Calibri" w:hAnsi="Calibri" w:cs="Calibri"/>
        </w:rPr>
        <w:t xml:space="preserve">Mol </w:t>
      </w:r>
      <w:proofErr w:type="spellStart"/>
      <w:r w:rsidRPr="00E42762">
        <w:rPr>
          <w:rStyle w:val="Emphasis"/>
          <w:rFonts w:ascii="Calibri" w:hAnsi="Calibri" w:cs="Calibri"/>
        </w:rPr>
        <w:t>Neurobiol</w:t>
      </w:r>
      <w:proofErr w:type="spellEnd"/>
      <w:r w:rsidRPr="00E42762">
        <w:rPr>
          <w:rStyle w:val="Emphasis"/>
          <w:rFonts w:ascii="Calibri" w:hAnsi="Calibri" w:cs="Calibri"/>
        </w:rPr>
        <w:t>.</w:t>
      </w:r>
      <w:r w:rsidRPr="00E42762">
        <w:rPr>
          <w:rFonts w:ascii="Calibri" w:hAnsi="Calibri" w:cs="Calibri"/>
        </w:rPr>
        <w:t xml:space="preserve"> </w:t>
      </w:r>
      <w:r w:rsidRPr="00E42762">
        <w:rPr>
          <w:rStyle w:val="Strong"/>
          <w:rFonts w:ascii="Calibri" w:hAnsi="Calibri" w:cs="Calibri"/>
        </w:rPr>
        <w:t>55</w:t>
      </w:r>
      <w:r w:rsidRPr="00E42762">
        <w:rPr>
          <w:rFonts w:ascii="Calibri" w:hAnsi="Calibri" w:cs="Calibri"/>
        </w:rPr>
        <w:t xml:space="preserve"> (6), 4596–4611 (2018).</w:t>
      </w:r>
    </w:p>
    <w:p w14:paraId="4BFFE05E" w14:textId="55DCF5DF" w:rsidR="000A3B36" w:rsidRPr="00E42762" w:rsidRDefault="005A0DD9" w:rsidP="00E42762">
      <w:pPr>
        <w:pStyle w:val="NormalWeb"/>
        <w:numPr>
          <w:ilvl w:val="0"/>
          <w:numId w:val="48"/>
        </w:numPr>
        <w:spacing w:before="0" w:beforeAutospacing="0" w:after="0" w:afterAutospacing="0"/>
        <w:ind w:left="0" w:firstLine="0"/>
        <w:jc w:val="both"/>
        <w:rPr>
          <w:rFonts w:ascii="Calibri" w:hAnsi="Calibri" w:cs="Calibri"/>
          <w:iCs/>
          <w:color w:val="C0504D" w:themeColor="accent2"/>
        </w:rPr>
      </w:pPr>
      <w:r w:rsidRPr="00473A1F">
        <w:rPr>
          <w:rFonts w:ascii="Calibri" w:hAnsi="Calibri" w:cs="Calibri"/>
          <w:lang w:val="en-US"/>
        </w:rPr>
        <w:t xml:space="preserve">Kaddour, H. et al. Antioxidant and anti-apoptotic activity of octadecaneuropeptide against 6-OHDA toxicity in cultured rat astrocytes. </w:t>
      </w:r>
      <w:r w:rsidRPr="00E42762">
        <w:rPr>
          <w:rStyle w:val="Emphasis"/>
          <w:rFonts w:ascii="Calibri" w:hAnsi="Calibri" w:cs="Calibri"/>
        </w:rPr>
        <w:t xml:space="preserve">J Mol </w:t>
      </w:r>
      <w:proofErr w:type="spellStart"/>
      <w:r w:rsidRPr="00E42762">
        <w:rPr>
          <w:rStyle w:val="Emphasis"/>
          <w:rFonts w:ascii="Calibri" w:hAnsi="Calibri" w:cs="Calibri"/>
        </w:rPr>
        <w:t>Neurosci</w:t>
      </w:r>
      <w:proofErr w:type="spellEnd"/>
      <w:r w:rsidRPr="00E42762">
        <w:rPr>
          <w:rStyle w:val="Emphasis"/>
          <w:rFonts w:ascii="Calibri" w:hAnsi="Calibri" w:cs="Calibri"/>
        </w:rPr>
        <w:t xml:space="preserve"> MN.</w:t>
      </w:r>
      <w:r w:rsidRPr="00E42762">
        <w:rPr>
          <w:rFonts w:ascii="Calibri" w:hAnsi="Calibri" w:cs="Calibri"/>
        </w:rPr>
        <w:t xml:space="preserve"> </w:t>
      </w:r>
      <w:r w:rsidRPr="00E42762">
        <w:rPr>
          <w:rStyle w:val="Strong"/>
          <w:rFonts w:ascii="Calibri" w:hAnsi="Calibri" w:cs="Calibri"/>
        </w:rPr>
        <w:t>69</w:t>
      </w:r>
      <w:r w:rsidRPr="00E42762">
        <w:rPr>
          <w:rFonts w:ascii="Calibri" w:hAnsi="Calibri" w:cs="Calibri"/>
        </w:rPr>
        <w:t xml:space="preserve"> (1), 1–16 (2019).</w:t>
      </w:r>
    </w:p>
    <w:sectPr w:rsidR="000A3B36" w:rsidRPr="00E42762" w:rsidSect="00E42762">
      <w:headerReference w:type="even" r:id="rId19"/>
      <w:headerReference w:type="default" r:id="rId20"/>
      <w:footerReference w:type="even" r:id="rId21"/>
      <w:headerReference w:type="first" r:id="rId22"/>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2742" w14:textId="77777777" w:rsidR="008E56DD" w:rsidRDefault="008E56DD">
      <w:r>
        <w:separator/>
      </w:r>
    </w:p>
  </w:endnote>
  <w:endnote w:type="continuationSeparator" w:id="0">
    <w:p w14:paraId="1DF8F041" w14:textId="77777777" w:rsidR="008E56DD" w:rsidRDefault="008E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FD5953" w:rsidRDefault="00FD595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2980" w14:textId="77777777" w:rsidR="008E56DD" w:rsidRDefault="008E56DD">
      <w:r>
        <w:separator/>
      </w:r>
    </w:p>
  </w:footnote>
  <w:footnote w:type="continuationSeparator" w:id="0">
    <w:p w14:paraId="22031248" w14:textId="77777777" w:rsidR="008E56DD" w:rsidRDefault="008E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FD5953" w:rsidRDefault="00FD595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FD5953" w:rsidRDefault="00FD5953">
    <w:pPr>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92F5EC4" w:rsidR="00FD5953" w:rsidRDefault="00FD5953">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497"/>
    <w:multiLevelType w:val="hybridMultilevel"/>
    <w:tmpl w:val="A004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76DA"/>
    <w:multiLevelType w:val="multilevel"/>
    <w:tmpl w:val="BAD4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70D07"/>
    <w:multiLevelType w:val="hybridMultilevel"/>
    <w:tmpl w:val="6B5AF030"/>
    <w:lvl w:ilvl="0" w:tplc="04090001">
      <w:start w:val="1"/>
      <w:numFmt w:val="bullet"/>
      <w:lvlText w:val=""/>
      <w:lvlJc w:val="left"/>
      <w:pPr>
        <w:ind w:left="1080" w:hanging="360"/>
      </w:pPr>
      <w:rPr>
        <w:rFonts w:ascii="Symbol" w:hAnsi="Symbol" w:hint="default"/>
        <w:b/>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9037A7"/>
    <w:multiLevelType w:val="hybridMultilevel"/>
    <w:tmpl w:val="7736C692"/>
    <w:lvl w:ilvl="0" w:tplc="1E90E8AE">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C36971"/>
    <w:multiLevelType w:val="multilevel"/>
    <w:tmpl w:val="D710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968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C0F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912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A0514F"/>
    <w:multiLevelType w:val="multilevel"/>
    <w:tmpl w:val="F0B8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963FA"/>
    <w:multiLevelType w:val="hybridMultilevel"/>
    <w:tmpl w:val="FE90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970A3A"/>
    <w:multiLevelType w:val="hybridMultilevel"/>
    <w:tmpl w:val="CE46ED98"/>
    <w:lvl w:ilvl="0" w:tplc="AC06EB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720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6B79A5"/>
    <w:multiLevelType w:val="multilevel"/>
    <w:tmpl w:val="E1F649FE"/>
    <w:lvl w:ilvl="0">
      <w:start w:val="1"/>
      <w:numFmt w:val="decimal"/>
      <w:lvlText w:val="%1."/>
      <w:lvlJc w:val="left"/>
      <w:pPr>
        <w:ind w:left="360" w:hanging="360"/>
      </w:pPr>
    </w:lvl>
    <w:lvl w:ilvl="1">
      <w:start w:val="1"/>
      <w:numFmt w:val="decimal"/>
      <w:lvlText w:val="%1.%2."/>
      <w:lvlJc w:val="left"/>
      <w:pPr>
        <w:ind w:left="70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064733"/>
    <w:multiLevelType w:val="multilevel"/>
    <w:tmpl w:val="6526B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67A33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F57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260740"/>
    <w:multiLevelType w:val="multilevel"/>
    <w:tmpl w:val="2B106A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F52265"/>
    <w:multiLevelType w:val="multilevel"/>
    <w:tmpl w:val="895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EF1D29"/>
    <w:multiLevelType w:val="hybridMultilevel"/>
    <w:tmpl w:val="75B054C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B1464C"/>
    <w:multiLevelType w:val="hybridMultilevel"/>
    <w:tmpl w:val="0B1C7BCE"/>
    <w:lvl w:ilvl="0" w:tplc="2C80A86C">
      <w:start w:val="2"/>
      <w:numFmt w:val="bullet"/>
      <w:lvlText w:val="-"/>
      <w:lvlJc w:val="left"/>
      <w:pPr>
        <w:ind w:left="360" w:hanging="360"/>
      </w:pPr>
      <w:rPr>
        <w:rFonts w:ascii="Cambria" w:eastAsiaTheme="minorHAnsi" w:hAnsi="Cambria"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124B8B"/>
    <w:multiLevelType w:val="hybridMultilevel"/>
    <w:tmpl w:val="D6F0424C"/>
    <w:lvl w:ilvl="0" w:tplc="C628616C">
      <w:start w:val="1"/>
      <w:numFmt w:val="bullet"/>
      <w:lvlText w:val="•"/>
      <w:lvlJc w:val="left"/>
      <w:pPr>
        <w:tabs>
          <w:tab w:val="num" w:pos="720"/>
        </w:tabs>
        <w:ind w:left="720" w:hanging="360"/>
      </w:pPr>
      <w:rPr>
        <w:rFonts w:ascii="Arial" w:hAnsi="Arial" w:hint="default"/>
      </w:rPr>
    </w:lvl>
    <w:lvl w:ilvl="1" w:tplc="D7EC1EB0" w:tentative="1">
      <w:start w:val="1"/>
      <w:numFmt w:val="bullet"/>
      <w:lvlText w:val="•"/>
      <w:lvlJc w:val="left"/>
      <w:pPr>
        <w:tabs>
          <w:tab w:val="num" w:pos="1440"/>
        </w:tabs>
        <w:ind w:left="1440" w:hanging="360"/>
      </w:pPr>
      <w:rPr>
        <w:rFonts w:ascii="Arial" w:hAnsi="Arial" w:hint="default"/>
      </w:rPr>
    </w:lvl>
    <w:lvl w:ilvl="2" w:tplc="A1FE27D8" w:tentative="1">
      <w:start w:val="1"/>
      <w:numFmt w:val="bullet"/>
      <w:lvlText w:val="•"/>
      <w:lvlJc w:val="left"/>
      <w:pPr>
        <w:tabs>
          <w:tab w:val="num" w:pos="2160"/>
        </w:tabs>
        <w:ind w:left="2160" w:hanging="360"/>
      </w:pPr>
      <w:rPr>
        <w:rFonts w:ascii="Arial" w:hAnsi="Arial" w:hint="default"/>
      </w:rPr>
    </w:lvl>
    <w:lvl w:ilvl="3" w:tplc="09CAFB6E" w:tentative="1">
      <w:start w:val="1"/>
      <w:numFmt w:val="bullet"/>
      <w:lvlText w:val="•"/>
      <w:lvlJc w:val="left"/>
      <w:pPr>
        <w:tabs>
          <w:tab w:val="num" w:pos="2880"/>
        </w:tabs>
        <w:ind w:left="2880" w:hanging="360"/>
      </w:pPr>
      <w:rPr>
        <w:rFonts w:ascii="Arial" w:hAnsi="Arial" w:hint="default"/>
      </w:rPr>
    </w:lvl>
    <w:lvl w:ilvl="4" w:tplc="5A5E5480" w:tentative="1">
      <w:start w:val="1"/>
      <w:numFmt w:val="bullet"/>
      <w:lvlText w:val="•"/>
      <w:lvlJc w:val="left"/>
      <w:pPr>
        <w:tabs>
          <w:tab w:val="num" w:pos="3600"/>
        </w:tabs>
        <w:ind w:left="3600" w:hanging="360"/>
      </w:pPr>
      <w:rPr>
        <w:rFonts w:ascii="Arial" w:hAnsi="Arial" w:hint="default"/>
      </w:rPr>
    </w:lvl>
    <w:lvl w:ilvl="5" w:tplc="405464EC" w:tentative="1">
      <w:start w:val="1"/>
      <w:numFmt w:val="bullet"/>
      <w:lvlText w:val="•"/>
      <w:lvlJc w:val="left"/>
      <w:pPr>
        <w:tabs>
          <w:tab w:val="num" w:pos="4320"/>
        </w:tabs>
        <w:ind w:left="4320" w:hanging="360"/>
      </w:pPr>
      <w:rPr>
        <w:rFonts w:ascii="Arial" w:hAnsi="Arial" w:hint="default"/>
      </w:rPr>
    </w:lvl>
    <w:lvl w:ilvl="6" w:tplc="1206F220" w:tentative="1">
      <w:start w:val="1"/>
      <w:numFmt w:val="bullet"/>
      <w:lvlText w:val="•"/>
      <w:lvlJc w:val="left"/>
      <w:pPr>
        <w:tabs>
          <w:tab w:val="num" w:pos="5040"/>
        </w:tabs>
        <w:ind w:left="5040" w:hanging="360"/>
      </w:pPr>
      <w:rPr>
        <w:rFonts w:ascii="Arial" w:hAnsi="Arial" w:hint="default"/>
      </w:rPr>
    </w:lvl>
    <w:lvl w:ilvl="7" w:tplc="57A85BE8" w:tentative="1">
      <w:start w:val="1"/>
      <w:numFmt w:val="bullet"/>
      <w:lvlText w:val="•"/>
      <w:lvlJc w:val="left"/>
      <w:pPr>
        <w:tabs>
          <w:tab w:val="num" w:pos="5760"/>
        </w:tabs>
        <w:ind w:left="5760" w:hanging="360"/>
      </w:pPr>
      <w:rPr>
        <w:rFonts w:ascii="Arial" w:hAnsi="Arial" w:hint="default"/>
      </w:rPr>
    </w:lvl>
    <w:lvl w:ilvl="8" w:tplc="300495A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9A740A"/>
    <w:multiLevelType w:val="hybridMultilevel"/>
    <w:tmpl w:val="8534877A"/>
    <w:lvl w:ilvl="0" w:tplc="FFFFFFFF">
      <w:numFmt w:val="bullet"/>
      <w:lvlText w:val=""/>
      <w:lvlJc w:val="left"/>
      <w:pPr>
        <w:ind w:left="720" w:hanging="360"/>
      </w:pPr>
      <w:rPr>
        <w:rFonts w:ascii="Symbol" w:eastAsia="Calibri" w:hAnsi="Symbol" w:cs="Calibri" w:hint="default"/>
      </w:rPr>
    </w:lvl>
    <w:lvl w:ilvl="1" w:tplc="1E90E8AE">
      <w:numFmt w:val="bullet"/>
      <w:lvlText w:val=""/>
      <w:lvlJc w:val="left"/>
      <w:pPr>
        <w:ind w:left="1440" w:hanging="360"/>
      </w:pPr>
      <w:rPr>
        <w:rFonts w:ascii="Symbol" w:eastAsia="Calibri" w:hAnsi="Symbol"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8E0F30"/>
    <w:multiLevelType w:val="hybridMultilevel"/>
    <w:tmpl w:val="15885E4E"/>
    <w:lvl w:ilvl="0" w:tplc="F63AC84E">
      <w:start w:val="17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836B4B"/>
    <w:multiLevelType w:val="hybridMultilevel"/>
    <w:tmpl w:val="DB1EBB66"/>
    <w:lvl w:ilvl="0" w:tplc="2C80A86C">
      <w:start w:val="2"/>
      <w:numFmt w:val="bullet"/>
      <w:lvlText w:val="-"/>
      <w:lvlJc w:val="left"/>
      <w:pPr>
        <w:ind w:left="360" w:hanging="360"/>
      </w:pPr>
      <w:rPr>
        <w:rFonts w:ascii="Cambria" w:eastAsiaTheme="minorHAnsi" w:hAnsi="Cambria"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590D19"/>
    <w:multiLevelType w:val="hybridMultilevel"/>
    <w:tmpl w:val="772E7BE4"/>
    <w:lvl w:ilvl="0" w:tplc="6046F5D4">
      <w:start w:val="17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A646A"/>
    <w:multiLevelType w:val="multilevel"/>
    <w:tmpl w:val="20C4407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D343CE9"/>
    <w:multiLevelType w:val="hybridMultilevel"/>
    <w:tmpl w:val="D93087FE"/>
    <w:lvl w:ilvl="0" w:tplc="1E90E8AE">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945FF"/>
    <w:multiLevelType w:val="hybridMultilevel"/>
    <w:tmpl w:val="AF863D3A"/>
    <w:lvl w:ilvl="0" w:tplc="2C80A86C">
      <w:start w:val="2"/>
      <w:numFmt w:val="bullet"/>
      <w:lvlText w:val="-"/>
      <w:lvlJc w:val="left"/>
      <w:pPr>
        <w:ind w:left="360" w:hanging="360"/>
      </w:pPr>
      <w:rPr>
        <w:rFonts w:ascii="Cambria" w:eastAsiaTheme="minorHAnsi" w:hAnsi="Cambria" w:cstheme="minorBidi"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F2647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341D84"/>
    <w:multiLevelType w:val="multilevel"/>
    <w:tmpl w:val="F33A8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CD53B9"/>
    <w:multiLevelType w:val="hybridMultilevel"/>
    <w:tmpl w:val="07A4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60273"/>
    <w:multiLevelType w:val="multilevel"/>
    <w:tmpl w:val="6002AF4E"/>
    <w:lvl w:ilvl="0">
      <w:start w:val="1"/>
      <w:numFmt w:val="decimal"/>
      <w:lvlText w:val="%1."/>
      <w:lvlJc w:val="left"/>
      <w:pPr>
        <w:ind w:left="2628" w:hanging="360"/>
      </w:pPr>
      <w:rPr>
        <w:rFonts w:hint="default"/>
      </w:rPr>
    </w:lvl>
    <w:lvl w:ilvl="1">
      <w:start w:val="1"/>
      <w:numFmt w:val="decimal"/>
      <w:lvlText w:val="%1.%2."/>
      <w:lvlJc w:val="left"/>
      <w:pPr>
        <w:ind w:left="5819" w:hanging="432"/>
      </w:pPr>
      <w:rPr>
        <w:rFonts w:hint="default"/>
      </w:rPr>
    </w:lvl>
    <w:lvl w:ilvl="2">
      <w:start w:val="1"/>
      <w:numFmt w:val="decimal"/>
      <w:lvlText w:val="%1.%2.%3."/>
      <w:lvlJc w:val="left"/>
      <w:pPr>
        <w:ind w:left="2772" w:hanging="504"/>
      </w:pPr>
      <w:rPr>
        <w:rFonts w:hint="default"/>
        <w:b w:val="0"/>
        <w:bCs w:val="0"/>
      </w:rPr>
    </w:lvl>
    <w:lvl w:ilvl="3">
      <w:start w:val="1"/>
      <w:numFmt w:val="decimal"/>
      <w:lvlText w:val="%1.%2.%3.%4."/>
      <w:lvlJc w:val="left"/>
      <w:pPr>
        <w:ind w:left="3996" w:hanging="648"/>
      </w:pPr>
      <w:rPr>
        <w:rFonts w:hint="default"/>
      </w:rPr>
    </w:lvl>
    <w:lvl w:ilvl="4">
      <w:start w:val="1"/>
      <w:numFmt w:val="decimal"/>
      <w:lvlText w:val="%1.%2.%3.%4.%5."/>
      <w:lvlJc w:val="left"/>
      <w:pPr>
        <w:ind w:left="4500" w:hanging="792"/>
      </w:pPr>
      <w:rPr>
        <w:rFonts w:hint="default"/>
      </w:rPr>
    </w:lvl>
    <w:lvl w:ilvl="5">
      <w:start w:val="1"/>
      <w:numFmt w:val="decimal"/>
      <w:lvlText w:val="%1.%2.%3.%4.%5.%6."/>
      <w:lvlJc w:val="left"/>
      <w:pPr>
        <w:ind w:left="5004" w:hanging="936"/>
      </w:pPr>
      <w:rPr>
        <w:rFonts w:hint="default"/>
      </w:rPr>
    </w:lvl>
    <w:lvl w:ilvl="6">
      <w:start w:val="1"/>
      <w:numFmt w:val="decimal"/>
      <w:lvlText w:val="%1.%2.%3.%4.%5.%6.%7."/>
      <w:lvlJc w:val="left"/>
      <w:pPr>
        <w:ind w:left="5508" w:hanging="1080"/>
      </w:pPr>
      <w:rPr>
        <w:rFonts w:hint="default"/>
      </w:rPr>
    </w:lvl>
    <w:lvl w:ilvl="7">
      <w:start w:val="1"/>
      <w:numFmt w:val="decimal"/>
      <w:lvlText w:val="%1.%2.%3.%4.%5.%6.%7.%8."/>
      <w:lvlJc w:val="left"/>
      <w:pPr>
        <w:ind w:left="6012" w:hanging="1224"/>
      </w:pPr>
      <w:rPr>
        <w:rFonts w:hint="default"/>
      </w:rPr>
    </w:lvl>
    <w:lvl w:ilvl="8">
      <w:start w:val="1"/>
      <w:numFmt w:val="decimal"/>
      <w:lvlText w:val="%1.%2.%3.%4.%5.%6.%7.%8.%9."/>
      <w:lvlJc w:val="left"/>
      <w:pPr>
        <w:ind w:left="6588" w:hanging="1440"/>
      </w:pPr>
      <w:rPr>
        <w:rFonts w:hint="default"/>
      </w:rPr>
    </w:lvl>
  </w:abstractNum>
  <w:abstractNum w:abstractNumId="44" w15:restartNumberingAfterBreak="0">
    <w:nsid w:val="792427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D0B9E"/>
    <w:multiLevelType w:val="hybridMultilevel"/>
    <w:tmpl w:val="45B48590"/>
    <w:lvl w:ilvl="0" w:tplc="B27CCB2E">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CC7876"/>
    <w:multiLevelType w:val="hybridMultilevel"/>
    <w:tmpl w:val="FBCC5EBE"/>
    <w:lvl w:ilvl="0" w:tplc="2C80A86C">
      <w:start w:val="2"/>
      <w:numFmt w:val="bullet"/>
      <w:lvlText w:val="-"/>
      <w:lvlJc w:val="left"/>
      <w:pPr>
        <w:ind w:left="1080" w:hanging="360"/>
      </w:pPr>
      <w:rPr>
        <w:rFonts w:ascii="Cambria" w:eastAsiaTheme="minorHAnsi" w:hAnsi="Cambria" w:cstheme="minorBidi"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2991413">
    <w:abstractNumId w:val="17"/>
  </w:num>
  <w:num w:numId="2" w16cid:durableId="242688152">
    <w:abstractNumId w:val="25"/>
  </w:num>
  <w:num w:numId="3" w16cid:durableId="1643148964">
    <w:abstractNumId w:val="40"/>
  </w:num>
  <w:num w:numId="4" w16cid:durableId="1227495267">
    <w:abstractNumId w:val="12"/>
  </w:num>
  <w:num w:numId="5" w16cid:durableId="1653636291">
    <w:abstractNumId w:val="29"/>
  </w:num>
  <w:num w:numId="6" w16cid:durableId="196359161">
    <w:abstractNumId w:val="36"/>
  </w:num>
  <w:num w:numId="7" w16cid:durableId="2046178170">
    <w:abstractNumId w:val="18"/>
  </w:num>
  <w:num w:numId="8" w16cid:durableId="1405106762">
    <w:abstractNumId w:val="23"/>
  </w:num>
  <w:num w:numId="9" w16cid:durableId="1764688471">
    <w:abstractNumId w:val="13"/>
  </w:num>
  <w:num w:numId="10" w16cid:durableId="947082422">
    <w:abstractNumId w:val="20"/>
  </w:num>
  <w:num w:numId="11" w16cid:durableId="509680815">
    <w:abstractNumId w:val="28"/>
  </w:num>
  <w:num w:numId="12" w16cid:durableId="639698348">
    <w:abstractNumId w:val="15"/>
  </w:num>
  <w:num w:numId="13" w16cid:durableId="661617708">
    <w:abstractNumId w:val="45"/>
  </w:num>
  <w:num w:numId="14" w16cid:durableId="1817256156">
    <w:abstractNumId w:val="37"/>
  </w:num>
  <w:num w:numId="15" w16cid:durableId="997341018">
    <w:abstractNumId w:val="47"/>
  </w:num>
  <w:num w:numId="16" w16cid:durableId="1885406717">
    <w:abstractNumId w:val="32"/>
  </w:num>
  <w:num w:numId="17" w16cid:durableId="1271398883">
    <w:abstractNumId w:val="34"/>
  </w:num>
  <w:num w:numId="18" w16cid:durableId="1615557587">
    <w:abstractNumId w:val="30"/>
  </w:num>
  <w:num w:numId="19" w16cid:durableId="635376565">
    <w:abstractNumId w:val="1"/>
  </w:num>
  <w:num w:numId="20" w16cid:durableId="1611666434">
    <w:abstractNumId w:val="24"/>
  </w:num>
  <w:num w:numId="21" w16cid:durableId="203299435">
    <w:abstractNumId w:val="8"/>
  </w:num>
  <w:num w:numId="22" w16cid:durableId="1312978206">
    <w:abstractNumId w:val="16"/>
  </w:num>
  <w:num w:numId="23" w16cid:durableId="1539733498">
    <w:abstractNumId w:val="9"/>
  </w:num>
  <w:num w:numId="24" w16cid:durableId="1146700949">
    <w:abstractNumId w:val="31"/>
  </w:num>
  <w:num w:numId="25" w16cid:durableId="1869834342">
    <w:abstractNumId w:val="27"/>
  </w:num>
  <w:num w:numId="26" w16cid:durableId="251742155">
    <w:abstractNumId w:val="38"/>
  </w:num>
  <w:num w:numId="27" w16cid:durableId="1792627947">
    <w:abstractNumId w:val="2"/>
  </w:num>
  <w:num w:numId="28" w16cid:durableId="514882610">
    <w:abstractNumId w:val="33"/>
  </w:num>
  <w:num w:numId="29" w16cid:durableId="732199303">
    <w:abstractNumId w:val="46"/>
  </w:num>
  <w:num w:numId="30" w16cid:durableId="1537233942">
    <w:abstractNumId w:val="43"/>
  </w:num>
  <w:num w:numId="31" w16cid:durableId="1673682075">
    <w:abstractNumId w:val="26"/>
  </w:num>
  <w:num w:numId="32" w16cid:durableId="1527790341">
    <w:abstractNumId w:val="6"/>
  </w:num>
  <w:num w:numId="33" w16cid:durableId="1649289191">
    <w:abstractNumId w:val="22"/>
  </w:num>
  <w:num w:numId="34" w16cid:durableId="1458600718">
    <w:abstractNumId w:val="7"/>
  </w:num>
  <w:num w:numId="35" w16cid:durableId="1761562571">
    <w:abstractNumId w:val="11"/>
  </w:num>
  <w:num w:numId="36" w16cid:durableId="1295982133">
    <w:abstractNumId w:val="19"/>
  </w:num>
  <w:num w:numId="37" w16cid:durableId="291448384">
    <w:abstractNumId w:val="4"/>
  </w:num>
  <w:num w:numId="38" w16cid:durableId="1903368061">
    <w:abstractNumId w:val="41"/>
  </w:num>
  <w:num w:numId="39" w16cid:durableId="643387737">
    <w:abstractNumId w:val="21"/>
  </w:num>
  <w:num w:numId="40" w16cid:durableId="1911622520">
    <w:abstractNumId w:val="5"/>
  </w:num>
  <w:num w:numId="41" w16cid:durableId="37164445">
    <w:abstractNumId w:val="14"/>
  </w:num>
  <w:num w:numId="42" w16cid:durableId="737753968">
    <w:abstractNumId w:val="39"/>
  </w:num>
  <w:num w:numId="43" w16cid:durableId="1390306400">
    <w:abstractNumId w:val="42"/>
  </w:num>
  <w:num w:numId="44" w16cid:durableId="1899972904">
    <w:abstractNumId w:val="0"/>
  </w:num>
  <w:num w:numId="45" w16cid:durableId="1408190723">
    <w:abstractNumId w:val="44"/>
  </w:num>
  <w:num w:numId="46" w16cid:durableId="1756585509">
    <w:abstractNumId w:val="10"/>
  </w:num>
  <w:num w:numId="47" w16cid:durableId="209999417">
    <w:abstractNumId w:val="3"/>
  </w:num>
  <w:num w:numId="48" w16cid:durableId="1996349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00C2"/>
    <w:rsid w:val="00000D26"/>
    <w:rsid w:val="000031F9"/>
    <w:rsid w:val="000105DA"/>
    <w:rsid w:val="0001152F"/>
    <w:rsid w:val="0001418B"/>
    <w:rsid w:val="000148FE"/>
    <w:rsid w:val="0001501B"/>
    <w:rsid w:val="00015A09"/>
    <w:rsid w:val="0001793A"/>
    <w:rsid w:val="00020A9B"/>
    <w:rsid w:val="00020ABD"/>
    <w:rsid w:val="00023F9E"/>
    <w:rsid w:val="00025090"/>
    <w:rsid w:val="00026681"/>
    <w:rsid w:val="0002777C"/>
    <w:rsid w:val="00030014"/>
    <w:rsid w:val="00030F82"/>
    <w:rsid w:val="00031382"/>
    <w:rsid w:val="00032EE1"/>
    <w:rsid w:val="000341CE"/>
    <w:rsid w:val="000348AA"/>
    <w:rsid w:val="000351E2"/>
    <w:rsid w:val="000354DC"/>
    <w:rsid w:val="00037C9F"/>
    <w:rsid w:val="000407BE"/>
    <w:rsid w:val="00041678"/>
    <w:rsid w:val="000431BC"/>
    <w:rsid w:val="0004355D"/>
    <w:rsid w:val="00043D66"/>
    <w:rsid w:val="0004503B"/>
    <w:rsid w:val="00046003"/>
    <w:rsid w:val="00047789"/>
    <w:rsid w:val="000502AF"/>
    <w:rsid w:val="00050E01"/>
    <w:rsid w:val="000517BD"/>
    <w:rsid w:val="000526DC"/>
    <w:rsid w:val="00052FE0"/>
    <w:rsid w:val="000560BD"/>
    <w:rsid w:val="0005698E"/>
    <w:rsid w:val="00056BC2"/>
    <w:rsid w:val="0006021B"/>
    <w:rsid w:val="00061E0E"/>
    <w:rsid w:val="00063C5D"/>
    <w:rsid w:val="000642D7"/>
    <w:rsid w:val="00065BC5"/>
    <w:rsid w:val="00065CD7"/>
    <w:rsid w:val="0007065A"/>
    <w:rsid w:val="00070856"/>
    <w:rsid w:val="00070D5E"/>
    <w:rsid w:val="00073059"/>
    <w:rsid w:val="00074074"/>
    <w:rsid w:val="0007506F"/>
    <w:rsid w:val="00076815"/>
    <w:rsid w:val="00077EBE"/>
    <w:rsid w:val="0008055B"/>
    <w:rsid w:val="00080935"/>
    <w:rsid w:val="00080B50"/>
    <w:rsid w:val="00082939"/>
    <w:rsid w:val="00082A5F"/>
    <w:rsid w:val="0008413B"/>
    <w:rsid w:val="000841A3"/>
    <w:rsid w:val="00086398"/>
    <w:rsid w:val="00090CBB"/>
    <w:rsid w:val="0009546C"/>
    <w:rsid w:val="00095643"/>
    <w:rsid w:val="000A1878"/>
    <w:rsid w:val="000A1F85"/>
    <w:rsid w:val="000A2A4E"/>
    <w:rsid w:val="000A2D88"/>
    <w:rsid w:val="000A3B36"/>
    <w:rsid w:val="000A53E3"/>
    <w:rsid w:val="000B1919"/>
    <w:rsid w:val="000B2B5A"/>
    <w:rsid w:val="000B41B6"/>
    <w:rsid w:val="000B453E"/>
    <w:rsid w:val="000B5108"/>
    <w:rsid w:val="000B5F06"/>
    <w:rsid w:val="000C16BD"/>
    <w:rsid w:val="000C3DEE"/>
    <w:rsid w:val="000C56C4"/>
    <w:rsid w:val="000C5EF1"/>
    <w:rsid w:val="000C6AF8"/>
    <w:rsid w:val="000C7E76"/>
    <w:rsid w:val="000D1B36"/>
    <w:rsid w:val="000D20E6"/>
    <w:rsid w:val="000D2601"/>
    <w:rsid w:val="000D389F"/>
    <w:rsid w:val="000D4B50"/>
    <w:rsid w:val="000D4D4E"/>
    <w:rsid w:val="000D6A1C"/>
    <w:rsid w:val="000E2ABF"/>
    <w:rsid w:val="000E3240"/>
    <w:rsid w:val="000E3F1F"/>
    <w:rsid w:val="000E3F21"/>
    <w:rsid w:val="000E439B"/>
    <w:rsid w:val="000E4C51"/>
    <w:rsid w:val="000E683C"/>
    <w:rsid w:val="000E785C"/>
    <w:rsid w:val="000E7DE9"/>
    <w:rsid w:val="000F2B6B"/>
    <w:rsid w:val="000F3315"/>
    <w:rsid w:val="000F3D68"/>
    <w:rsid w:val="000F4E43"/>
    <w:rsid w:val="000F5B25"/>
    <w:rsid w:val="0010453F"/>
    <w:rsid w:val="00110B29"/>
    <w:rsid w:val="00111F94"/>
    <w:rsid w:val="0011414E"/>
    <w:rsid w:val="001149AF"/>
    <w:rsid w:val="00117C31"/>
    <w:rsid w:val="0012066A"/>
    <w:rsid w:val="0012125E"/>
    <w:rsid w:val="0012290A"/>
    <w:rsid w:val="0012599B"/>
    <w:rsid w:val="00127355"/>
    <w:rsid w:val="00127D5A"/>
    <w:rsid w:val="00130E7E"/>
    <w:rsid w:val="00130F04"/>
    <w:rsid w:val="001315E2"/>
    <w:rsid w:val="00132B9E"/>
    <w:rsid w:val="00133361"/>
    <w:rsid w:val="0013473B"/>
    <w:rsid w:val="00134AB4"/>
    <w:rsid w:val="001409FE"/>
    <w:rsid w:val="00142DD6"/>
    <w:rsid w:val="001436AC"/>
    <w:rsid w:val="00143825"/>
    <w:rsid w:val="0014522B"/>
    <w:rsid w:val="001474DC"/>
    <w:rsid w:val="00147CBA"/>
    <w:rsid w:val="00150DF5"/>
    <w:rsid w:val="0015333A"/>
    <w:rsid w:val="00153E38"/>
    <w:rsid w:val="00153EE0"/>
    <w:rsid w:val="00155C8B"/>
    <w:rsid w:val="0015693F"/>
    <w:rsid w:val="00161513"/>
    <w:rsid w:val="00161731"/>
    <w:rsid w:val="001628DC"/>
    <w:rsid w:val="0016495E"/>
    <w:rsid w:val="001653E8"/>
    <w:rsid w:val="0016549A"/>
    <w:rsid w:val="001665BB"/>
    <w:rsid w:val="0016717E"/>
    <w:rsid w:val="001672A3"/>
    <w:rsid w:val="00172667"/>
    <w:rsid w:val="00174A26"/>
    <w:rsid w:val="001750D7"/>
    <w:rsid w:val="00176208"/>
    <w:rsid w:val="00180AFE"/>
    <w:rsid w:val="00183E2B"/>
    <w:rsid w:val="00183EEB"/>
    <w:rsid w:val="001853F5"/>
    <w:rsid w:val="001856FD"/>
    <w:rsid w:val="00187CBD"/>
    <w:rsid w:val="001912E0"/>
    <w:rsid w:val="00194C04"/>
    <w:rsid w:val="00195622"/>
    <w:rsid w:val="001959A2"/>
    <w:rsid w:val="001A1D0C"/>
    <w:rsid w:val="001A2D2A"/>
    <w:rsid w:val="001A38AC"/>
    <w:rsid w:val="001A7277"/>
    <w:rsid w:val="001B0025"/>
    <w:rsid w:val="001B0090"/>
    <w:rsid w:val="001B145A"/>
    <w:rsid w:val="001B16BE"/>
    <w:rsid w:val="001B22BB"/>
    <w:rsid w:val="001B413B"/>
    <w:rsid w:val="001B4AAD"/>
    <w:rsid w:val="001B6541"/>
    <w:rsid w:val="001B6FE7"/>
    <w:rsid w:val="001C016A"/>
    <w:rsid w:val="001C48DA"/>
    <w:rsid w:val="001C6AB9"/>
    <w:rsid w:val="001C7361"/>
    <w:rsid w:val="001C760E"/>
    <w:rsid w:val="001D15CA"/>
    <w:rsid w:val="001D2CBE"/>
    <w:rsid w:val="001D2D40"/>
    <w:rsid w:val="001D3C97"/>
    <w:rsid w:val="001D4D08"/>
    <w:rsid w:val="001D4EA0"/>
    <w:rsid w:val="001D6904"/>
    <w:rsid w:val="001E04BB"/>
    <w:rsid w:val="001E0779"/>
    <w:rsid w:val="001E1B09"/>
    <w:rsid w:val="001E209C"/>
    <w:rsid w:val="001E3C75"/>
    <w:rsid w:val="001E6CB0"/>
    <w:rsid w:val="001F158A"/>
    <w:rsid w:val="001F23F0"/>
    <w:rsid w:val="001F4464"/>
    <w:rsid w:val="001F4B7F"/>
    <w:rsid w:val="001F629F"/>
    <w:rsid w:val="001F6331"/>
    <w:rsid w:val="001F6880"/>
    <w:rsid w:val="00202C09"/>
    <w:rsid w:val="002033F0"/>
    <w:rsid w:val="00210DD6"/>
    <w:rsid w:val="00211219"/>
    <w:rsid w:val="00213A46"/>
    <w:rsid w:val="0021587B"/>
    <w:rsid w:val="00216314"/>
    <w:rsid w:val="00217582"/>
    <w:rsid w:val="00221E64"/>
    <w:rsid w:val="00223BA0"/>
    <w:rsid w:val="00225876"/>
    <w:rsid w:val="00230586"/>
    <w:rsid w:val="00230C99"/>
    <w:rsid w:val="00232722"/>
    <w:rsid w:val="0023296D"/>
    <w:rsid w:val="00233F26"/>
    <w:rsid w:val="002341C1"/>
    <w:rsid w:val="002350F2"/>
    <w:rsid w:val="002353FB"/>
    <w:rsid w:val="00235526"/>
    <w:rsid w:val="00235855"/>
    <w:rsid w:val="0023739F"/>
    <w:rsid w:val="00242953"/>
    <w:rsid w:val="00242CBF"/>
    <w:rsid w:val="0024346E"/>
    <w:rsid w:val="002451E2"/>
    <w:rsid w:val="00245B51"/>
    <w:rsid w:val="00245D55"/>
    <w:rsid w:val="002479D4"/>
    <w:rsid w:val="00251031"/>
    <w:rsid w:val="00252077"/>
    <w:rsid w:val="00252866"/>
    <w:rsid w:val="00260FE2"/>
    <w:rsid w:val="002610AC"/>
    <w:rsid w:val="00261547"/>
    <w:rsid w:val="00264C56"/>
    <w:rsid w:val="00265460"/>
    <w:rsid w:val="00270275"/>
    <w:rsid w:val="00275E86"/>
    <w:rsid w:val="00280821"/>
    <w:rsid w:val="00280D22"/>
    <w:rsid w:val="00282A91"/>
    <w:rsid w:val="002847C5"/>
    <w:rsid w:val="00284811"/>
    <w:rsid w:val="00291D80"/>
    <w:rsid w:val="00293511"/>
    <w:rsid w:val="00294092"/>
    <w:rsid w:val="002949E0"/>
    <w:rsid w:val="0029585A"/>
    <w:rsid w:val="00296EEF"/>
    <w:rsid w:val="002A4C06"/>
    <w:rsid w:val="002A5612"/>
    <w:rsid w:val="002A5AA6"/>
    <w:rsid w:val="002A6D3B"/>
    <w:rsid w:val="002A7AD7"/>
    <w:rsid w:val="002A7B93"/>
    <w:rsid w:val="002B1E6D"/>
    <w:rsid w:val="002B1EA7"/>
    <w:rsid w:val="002B2A3A"/>
    <w:rsid w:val="002B3414"/>
    <w:rsid w:val="002B6930"/>
    <w:rsid w:val="002B7E7A"/>
    <w:rsid w:val="002C0916"/>
    <w:rsid w:val="002C0DE7"/>
    <w:rsid w:val="002C2303"/>
    <w:rsid w:val="002C25A9"/>
    <w:rsid w:val="002C28CB"/>
    <w:rsid w:val="002C4FF4"/>
    <w:rsid w:val="002C531A"/>
    <w:rsid w:val="002C63DF"/>
    <w:rsid w:val="002C660B"/>
    <w:rsid w:val="002D23B6"/>
    <w:rsid w:val="002D5989"/>
    <w:rsid w:val="002D6BA9"/>
    <w:rsid w:val="002D7AFA"/>
    <w:rsid w:val="002E13F4"/>
    <w:rsid w:val="002E1EA4"/>
    <w:rsid w:val="002E20D7"/>
    <w:rsid w:val="002E234D"/>
    <w:rsid w:val="002E3C6C"/>
    <w:rsid w:val="002E4E6A"/>
    <w:rsid w:val="002E7ACB"/>
    <w:rsid w:val="002F1630"/>
    <w:rsid w:val="002F57C9"/>
    <w:rsid w:val="002F65EC"/>
    <w:rsid w:val="002F7D32"/>
    <w:rsid w:val="00304210"/>
    <w:rsid w:val="00304E65"/>
    <w:rsid w:val="003058C6"/>
    <w:rsid w:val="003066C5"/>
    <w:rsid w:val="00306F58"/>
    <w:rsid w:val="0030744A"/>
    <w:rsid w:val="00307821"/>
    <w:rsid w:val="0031100B"/>
    <w:rsid w:val="00311024"/>
    <w:rsid w:val="00311D90"/>
    <w:rsid w:val="0031307F"/>
    <w:rsid w:val="0031446D"/>
    <w:rsid w:val="0031658E"/>
    <w:rsid w:val="00316C84"/>
    <w:rsid w:val="00317BA1"/>
    <w:rsid w:val="003204AE"/>
    <w:rsid w:val="00326449"/>
    <w:rsid w:val="00327C00"/>
    <w:rsid w:val="0033096C"/>
    <w:rsid w:val="00331C6F"/>
    <w:rsid w:val="003337F4"/>
    <w:rsid w:val="00334CAD"/>
    <w:rsid w:val="0033749B"/>
    <w:rsid w:val="0034397A"/>
    <w:rsid w:val="003445AE"/>
    <w:rsid w:val="00347106"/>
    <w:rsid w:val="00351087"/>
    <w:rsid w:val="003516EB"/>
    <w:rsid w:val="00351F3D"/>
    <w:rsid w:val="00352083"/>
    <w:rsid w:val="00354F9D"/>
    <w:rsid w:val="0035582F"/>
    <w:rsid w:val="00362B2C"/>
    <w:rsid w:val="00362C59"/>
    <w:rsid w:val="003632C0"/>
    <w:rsid w:val="00370608"/>
    <w:rsid w:val="00370F63"/>
    <w:rsid w:val="00371C75"/>
    <w:rsid w:val="00373FB0"/>
    <w:rsid w:val="0037462E"/>
    <w:rsid w:val="00374F8B"/>
    <w:rsid w:val="00376669"/>
    <w:rsid w:val="00376B58"/>
    <w:rsid w:val="00377049"/>
    <w:rsid w:val="0038064E"/>
    <w:rsid w:val="00380FB8"/>
    <w:rsid w:val="003837AD"/>
    <w:rsid w:val="00384390"/>
    <w:rsid w:val="00384754"/>
    <w:rsid w:val="00384BD2"/>
    <w:rsid w:val="00385989"/>
    <w:rsid w:val="00385A40"/>
    <w:rsid w:val="00385D06"/>
    <w:rsid w:val="00385DDD"/>
    <w:rsid w:val="00387441"/>
    <w:rsid w:val="00390576"/>
    <w:rsid w:val="00390B98"/>
    <w:rsid w:val="0039407F"/>
    <w:rsid w:val="003955E1"/>
    <w:rsid w:val="0039574A"/>
    <w:rsid w:val="00397EDB"/>
    <w:rsid w:val="003A037A"/>
    <w:rsid w:val="003A357D"/>
    <w:rsid w:val="003A463D"/>
    <w:rsid w:val="003A4B1B"/>
    <w:rsid w:val="003A5C46"/>
    <w:rsid w:val="003A645A"/>
    <w:rsid w:val="003B18E7"/>
    <w:rsid w:val="003B5043"/>
    <w:rsid w:val="003B568A"/>
    <w:rsid w:val="003B65EA"/>
    <w:rsid w:val="003C1E89"/>
    <w:rsid w:val="003C2D28"/>
    <w:rsid w:val="003C407B"/>
    <w:rsid w:val="003C61C4"/>
    <w:rsid w:val="003C71EE"/>
    <w:rsid w:val="003D502E"/>
    <w:rsid w:val="003E1C17"/>
    <w:rsid w:val="003E27EE"/>
    <w:rsid w:val="003E3C81"/>
    <w:rsid w:val="003E48B9"/>
    <w:rsid w:val="003E5B4E"/>
    <w:rsid w:val="003E611C"/>
    <w:rsid w:val="003F1AF7"/>
    <w:rsid w:val="003F6322"/>
    <w:rsid w:val="00401525"/>
    <w:rsid w:val="00402450"/>
    <w:rsid w:val="00402645"/>
    <w:rsid w:val="00402DE0"/>
    <w:rsid w:val="00402E6E"/>
    <w:rsid w:val="004035DC"/>
    <w:rsid w:val="00403AB3"/>
    <w:rsid w:val="004042C2"/>
    <w:rsid w:val="004053A4"/>
    <w:rsid w:val="0040579A"/>
    <w:rsid w:val="00410621"/>
    <w:rsid w:val="00413247"/>
    <w:rsid w:val="004143B4"/>
    <w:rsid w:val="00415192"/>
    <w:rsid w:val="00422498"/>
    <w:rsid w:val="00424EDE"/>
    <w:rsid w:val="0042686F"/>
    <w:rsid w:val="004268F3"/>
    <w:rsid w:val="00426F2C"/>
    <w:rsid w:val="00427444"/>
    <w:rsid w:val="00427589"/>
    <w:rsid w:val="00427CA3"/>
    <w:rsid w:val="00432A9A"/>
    <w:rsid w:val="004335BD"/>
    <w:rsid w:val="004341C1"/>
    <w:rsid w:val="004348D7"/>
    <w:rsid w:val="00434BB5"/>
    <w:rsid w:val="0043745E"/>
    <w:rsid w:val="00437B70"/>
    <w:rsid w:val="0044285C"/>
    <w:rsid w:val="00444680"/>
    <w:rsid w:val="00444F27"/>
    <w:rsid w:val="0044554D"/>
    <w:rsid w:val="00445C8E"/>
    <w:rsid w:val="004474FD"/>
    <w:rsid w:val="00450E24"/>
    <w:rsid w:val="00452837"/>
    <w:rsid w:val="004530E1"/>
    <w:rsid w:val="00453F91"/>
    <w:rsid w:val="00462EDA"/>
    <w:rsid w:val="00467ABD"/>
    <w:rsid w:val="00470779"/>
    <w:rsid w:val="00473A1F"/>
    <w:rsid w:val="004758A4"/>
    <w:rsid w:val="00480C3C"/>
    <w:rsid w:val="00480E9F"/>
    <w:rsid w:val="00481763"/>
    <w:rsid w:val="00484B81"/>
    <w:rsid w:val="00485B0B"/>
    <w:rsid w:val="00490375"/>
    <w:rsid w:val="00493697"/>
    <w:rsid w:val="0049465C"/>
    <w:rsid w:val="00494AED"/>
    <w:rsid w:val="00496A8A"/>
    <w:rsid w:val="004A1D96"/>
    <w:rsid w:val="004A3797"/>
    <w:rsid w:val="004A4F2F"/>
    <w:rsid w:val="004A52C8"/>
    <w:rsid w:val="004A7CE0"/>
    <w:rsid w:val="004B003E"/>
    <w:rsid w:val="004B1452"/>
    <w:rsid w:val="004B17D0"/>
    <w:rsid w:val="004B2369"/>
    <w:rsid w:val="004B2378"/>
    <w:rsid w:val="004B5667"/>
    <w:rsid w:val="004B6DB6"/>
    <w:rsid w:val="004C0985"/>
    <w:rsid w:val="004C0E0A"/>
    <w:rsid w:val="004C347F"/>
    <w:rsid w:val="004C3893"/>
    <w:rsid w:val="004C4E91"/>
    <w:rsid w:val="004C5017"/>
    <w:rsid w:val="004C5B29"/>
    <w:rsid w:val="004D085C"/>
    <w:rsid w:val="004D13E2"/>
    <w:rsid w:val="004D19BC"/>
    <w:rsid w:val="004D362E"/>
    <w:rsid w:val="004D3C57"/>
    <w:rsid w:val="004D47A6"/>
    <w:rsid w:val="004D731F"/>
    <w:rsid w:val="004D73A6"/>
    <w:rsid w:val="004D7ADF"/>
    <w:rsid w:val="004E0D7C"/>
    <w:rsid w:val="004E1AEF"/>
    <w:rsid w:val="004E2428"/>
    <w:rsid w:val="004E34C2"/>
    <w:rsid w:val="004E3A51"/>
    <w:rsid w:val="004E5D19"/>
    <w:rsid w:val="004E5F9D"/>
    <w:rsid w:val="004E7ADC"/>
    <w:rsid w:val="004F1269"/>
    <w:rsid w:val="004F2705"/>
    <w:rsid w:val="00500BE9"/>
    <w:rsid w:val="00501237"/>
    <w:rsid w:val="00501433"/>
    <w:rsid w:val="00504F83"/>
    <w:rsid w:val="00504FDA"/>
    <w:rsid w:val="005104A3"/>
    <w:rsid w:val="00510847"/>
    <w:rsid w:val="005139EC"/>
    <w:rsid w:val="00513CCF"/>
    <w:rsid w:val="00514A97"/>
    <w:rsid w:val="00514AD7"/>
    <w:rsid w:val="00514F4B"/>
    <w:rsid w:val="00515094"/>
    <w:rsid w:val="005152BA"/>
    <w:rsid w:val="0051775A"/>
    <w:rsid w:val="0051775C"/>
    <w:rsid w:val="0052416E"/>
    <w:rsid w:val="00524EF4"/>
    <w:rsid w:val="00525CB1"/>
    <w:rsid w:val="00527B70"/>
    <w:rsid w:val="00531B44"/>
    <w:rsid w:val="00532C53"/>
    <w:rsid w:val="005336CC"/>
    <w:rsid w:val="00534AB9"/>
    <w:rsid w:val="00536250"/>
    <w:rsid w:val="00537D98"/>
    <w:rsid w:val="00543ED1"/>
    <w:rsid w:val="00544755"/>
    <w:rsid w:val="00544AB6"/>
    <w:rsid w:val="00545013"/>
    <w:rsid w:val="00547DD8"/>
    <w:rsid w:val="00547ED5"/>
    <w:rsid w:val="00550D70"/>
    <w:rsid w:val="00551D82"/>
    <w:rsid w:val="005522D5"/>
    <w:rsid w:val="00553248"/>
    <w:rsid w:val="00554ACC"/>
    <w:rsid w:val="0055553A"/>
    <w:rsid w:val="00556DD9"/>
    <w:rsid w:val="00560609"/>
    <w:rsid w:val="005608D4"/>
    <w:rsid w:val="005618E1"/>
    <w:rsid w:val="005620EA"/>
    <w:rsid w:val="005639E6"/>
    <w:rsid w:val="00565FF9"/>
    <w:rsid w:val="00566430"/>
    <w:rsid w:val="005664FE"/>
    <w:rsid w:val="005728FC"/>
    <w:rsid w:val="00572E72"/>
    <w:rsid w:val="005733B8"/>
    <w:rsid w:val="005748F1"/>
    <w:rsid w:val="00575E55"/>
    <w:rsid w:val="005761E1"/>
    <w:rsid w:val="00581001"/>
    <w:rsid w:val="00582C78"/>
    <w:rsid w:val="00583940"/>
    <w:rsid w:val="00585E75"/>
    <w:rsid w:val="00586475"/>
    <w:rsid w:val="00586A59"/>
    <w:rsid w:val="00590415"/>
    <w:rsid w:val="00592E4C"/>
    <w:rsid w:val="0059567C"/>
    <w:rsid w:val="00595FC2"/>
    <w:rsid w:val="00596CF9"/>
    <w:rsid w:val="005A0DD9"/>
    <w:rsid w:val="005A1B19"/>
    <w:rsid w:val="005A43CD"/>
    <w:rsid w:val="005A4BBC"/>
    <w:rsid w:val="005B0DE3"/>
    <w:rsid w:val="005B1494"/>
    <w:rsid w:val="005B226B"/>
    <w:rsid w:val="005B26B7"/>
    <w:rsid w:val="005B3075"/>
    <w:rsid w:val="005C399B"/>
    <w:rsid w:val="005C57B4"/>
    <w:rsid w:val="005C6304"/>
    <w:rsid w:val="005D129F"/>
    <w:rsid w:val="005D4428"/>
    <w:rsid w:val="005D4FD0"/>
    <w:rsid w:val="005D6384"/>
    <w:rsid w:val="005E11C9"/>
    <w:rsid w:val="005E57AF"/>
    <w:rsid w:val="005E77ED"/>
    <w:rsid w:val="005F1554"/>
    <w:rsid w:val="005F4C94"/>
    <w:rsid w:val="005F4F7F"/>
    <w:rsid w:val="005F5F97"/>
    <w:rsid w:val="00601689"/>
    <w:rsid w:val="00601DDF"/>
    <w:rsid w:val="00603363"/>
    <w:rsid w:val="00603DBA"/>
    <w:rsid w:val="00604B9A"/>
    <w:rsid w:val="00605CE8"/>
    <w:rsid w:val="00606893"/>
    <w:rsid w:val="00610962"/>
    <w:rsid w:val="0061234F"/>
    <w:rsid w:val="00615035"/>
    <w:rsid w:val="006161B8"/>
    <w:rsid w:val="0061633E"/>
    <w:rsid w:val="006175D4"/>
    <w:rsid w:val="00620AC6"/>
    <w:rsid w:val="00622578"/>
    <w:rsid w:val="0062319C"/>
    <w:rsid w:val="0062442E"/>
    <w:rsid w:val="00624B34"/>
    <w:rsid w:val="00624BC4"/>
    <w:rsid w:val="006256A2"/>
    <w:rsid w:val="00625C86"/>
    <w:rsid w:val="0062649B"/>
    <w:rsid w:val="00627770"/>
    <w:rsid w:val="006318E1"/>
    <w:rsid w:val="00632174"/>
    <w:rsid w:val="006327E6"/>
    <w:rsid w:val="00632D6E"/>
    <w:rsid w:val="00633C9E"/>
    <w:rsid w:val="0063464E"/>
    <w:rsid w:val="0063465D"/>
    <w:rsid w:val="00634672"/>
    <w:rsid w:val="00634AC9"/>
    <w:rsid w:val="00635326"/>
    <w:rsid w:val="006354E7"/>
    <w:rsid w:val="006357E3"/>
    <w:rsid w:val="00636D85"/>
    <w:rsid w:val="00640673"/>
    <w:rsid w:val="0064145E"/>
    <w:rsid w:val="0064278F"/>
    <w:rsid w:val="00646154"/>
    <w:rsid w:val="006478A4"/>
    <w:rsid w:val="00650F81"/>
    <w:rsid w:val="00651CAF"/>
    <w:rsid w:val="006520DD"/>
    <w:rsid w:val="00655BCC"/>
    <w:rsid w:val="00655FD1"/>
    <w:rsid w:val="0066052C"/>
    <w:rsid w:val="00660E89"/>
    <w:rsid w:val="00661BFC"/>
    <w:rsid w:val="00662CC9"/>
    <w:rsid w:val="00662FD8"/>
    <w:rsid w:val="006651A6"/>
    <w:rsid w:val="00671801"/>
    <w:rsid w:val="006755EE"/>
    <w:rsid w:val="0068079B"/>
    <w:rsid w:val="00681927"/>
    <w:rsid w:val="006821D2"/>
    <w:rsid w:val="006824BF"/>
    <w:rsid w:val="0068316B"/>
    <w:rsid w:val="00684479"/>
    <w:rsid w:val="0069087C"/>
    <w:rsid w:val="00691A00"/>
    <w:rsid w:val="006A1BBE"/>
    <w:rsid w:val="006A3886"/>
    <w:rsid w:val="006A4F73"/>
    <w:rsid w:val="006A526B"/>
    <w:rsid w:val="006A6F72"/>
    <w:rsid w:val="006B2043"/>
    <w:rsid w:val="006B2135"/>
    <w:rsid w:val="006B30ED"/>
    <w:rsid w:val="006B4102"/>
    <w:rsid w:val="006B6929"/>
    <w:rsid w:val="006C0036"/>
    <w:rsid w:val="006C0431"/>
    <w:rsid w:val="006C1127"/>
    <w:rsid w:val="006C19FD"/>
    <w:rsid w:val="006C3BDC"/>
    <w:rsid w:val="006C43D9"/>
    <w:rsid w:val="006C5004"/>
    <w:rsid w:val="006C525C"/>
    <w:rsid w:val="006C5D4D"/>
    <w:rsid w:val="006C6109"/>
    <w:rsid w:val="006D01E2"/>
    <w:rsid w:val="006D2B03"/>
    <w:rsid w:val="006D3BFF"/>
    <w:rsid w:val="006E1E73"/>
    <w:rsid w:val="006E25EB"/>
    <w:rsid w:val="006E46FF"/>
    <w:rsid w:val="006E4797"/>
    <w:rsid w:val="006E5EE6"/>
    <w:rsid w:val="006F37E2"/>
    <w:rsid w:val="006F4AB4"/>
    <w:rsid w:val="006F547E"/>
    <w:rsid w:val="007000B4"/>
    <w:rsid w:val="00700679"/>
    <w:rsid w:val="0070444F"/>
    <w:rsid w:val="0070545C"/>
    <w:rsid w:val="00706906"/>
    <w:rsid w:val="00706D3C"/>
    <w:rsid w:val="0070795F"/>
    <w:rsid w:val="0071201E"/>
    <w:rsid w:val="00714548"/>
    <w:rsid w:val="00714BE0"/>
    <w:rsid w:val="007166B1"/>
    <w:rsid w:val="00716D18"/>
    <w:rsid w:val="00720F4C"/>
    <w:rsid w:val="00723F7C"/>
    <w:rsid w:val="007250AD"/>
    <w:rsid w:val="00725246"/>
    <w:rsid w:val="007255E4"/>
    <w:rsid w:val="007264AB"/>
    <w:rsid w:val="007265AA"/>
    <w:rsid w:val="007274B7"/>
    <w:rsid w:val="0073075B"/>
    <w:rsid w:val="00730F67"/>
    <w:rsid w:val="00730FE4"/>
    <w:rsid w:val="0073179C"/>
    <w:rsid w:val="0073197C"/>
    <w:rsid w:val="00736371"/>
    <w:rsid w:val="00736A16"/>
    <w:rsid w:val="00740773"/>
    <w:rsid w:val="00741CEB"/>
    <w:rsid w:val="00741DD7"/>
    <w:rsid w:val="00742AEB"/>
    <w:rsid w:val="00743A5A"/>
    <w:rsid w:val="007441AC"/>
    <w:rsid w:val="00744429"/>
    <w:rsid w:val="00747237"/>
    <w:rsid w:val="00747C6B"/>
    <w:rsid w:val="0075062F"/>
    <w:rsid w:val="007509D3"/>
    <w:rsid w:val="00751D44"/>
    <w:rsid w:val="0075339E"/>
    <w:rsid w:val="00753766"/>
    <w:rsid w:val="00755914"/>
    <w:rsid w:val="00757D2D"/>
    <w:rsid w:val="00762BCA"/>
    <w:rsid w:val="007637CF"/>
    <w:rsid w:val="00763C39"/>
    <w:rsid w:val="00763EE5"/>
    <w:rsid w:val="007651E7"/>
    <w:rsid w:val="00765DDA"/>
    <w:rsid w:val="00766674"/>
    <w:rsid w:val="00766BC1"/>
    <w:rsid w:val="0076764D"/>
    <w:rsid w:val="007709BC"/>
    <w:rsid w:val="00772D93"/>
    <w:rsid w:val="00775D08"/>
    <w:rsid w:val="007775F9"/>
    <w:rsid w:val="00777FCC"/>
    <w:rsid w:val="00781DCB"/>
    <w:rsid w:val="00781DD0"/>
    <w:rsid w:val="0078203B"/>
    <w:rsid w:val="00782638"/>
    <w:rsid w:val="0078743D"/>
    <w:rsid w:val="00790F76"/>
    <w:rsid w:val="00791C59"/>
    <w:rsid w:val="0079341B"/>
    <w:rsid w:val="00794EAA"/>
    <w:rsid w:val="0079580C"/>
    <w:rsid w:val="00795DBE"/>
    <w:rsid w:val="007A0ADF"/>
    <w:rsid w:val="007A3AF8"/>
    <w:rsid w:val="007A5C50"/>
    <w:rsid w:val="007A65D9"/>
    <w:rsid w:val="007B1D76"/>
    <w:rsid w:val="007B303C"/>
    <w:rsid w:val="007B4AE4"/>
    <w:rsid w:val="007B4DAA"/>
    <w:rsid w:val="007B7E06"/>
    <w:rsid w:val="007C0B58"/>
    <w:rsid w:val="007C2A27"/>
    <w:rsid w:val="007C2A4D"/>
    <w:rsid w:val="007C37E9"/>
    <w:rsid w:val="007C3FAE"/>
    <w:rsid w:val="007C4F59"/>
    <w:rsid w:val="007C6CD1"/>
    <w:rsid w:val="007C72AD"/>
    <w:rsid w:val="007D42D5"/>
    <w:rsid w:val="007D4723"/>
    <w:rsid w:val="007D5453"/>
    <w:rsid w:val="007D5ECE"/>
    <w:rsid w:val="007D6BE0"/>
    <w:rsid w:val="007E1537"/>
    <w:rsid w:val="007E16B9"/>
    <w:rsid w:val="007E3C67"/>
    <w:rsid w:val="007E457D"/>
    <w:rsid w:val="007E5DBE"/>
    <w:rsid w:val="007E6880"/>
    <w:rsid w:val="007E6AC2"/>
    <w:rsid w:val="007F047E"/>
    <w:rsid w:val="007F152A"/>
    <w:rsid w:val="007F1E42"/>
    <w:rsid w:val="007F2030"/>
    <w:rsid w:val="007F2704"/>
    <w:rsid w:val="007F49EE"/>
    <w:rsid w:val="007F58A2"/>
    <w:rsid w:val="007F5D93"/>
    <w:rsid w:val="007F6388"/>
    <w:rsid w:val="00800042"/>
    <w:rsid w:val="00800875"/>
    <w:rsid w:val="00800CCC"/>
    <w:rsid w:val="008035C5"/>
    <w:rsid w:val="0080434B"/>
    <w:rsid w:val="00804EB4"/>
    <w:rsid w:val="008055E4"/>
    <w:rsid w:val="00814177"/>
    <w:rsid w:val="00814920"/>
    <w:rsid w:val="00814BFD"/>
    <w:rsid w:val="00814DDF"/>
    <w:rsid w:val="00815CAD"/>
    <w:rsid w:val="008168CB"/>
    <w:rsid w:val="008204BD"/>
    <w:rsid w:val="00821C55"/>
    <w:rsid w:val="00824770"/>
    <w:rsid w:val="00827D1F"/>
    <w:rsid w:val="008309D4"/>
    <w:rsid w:val="0083266E"/>
    <w:rsid w:val="00834E38"/>
    <w:rsid w:val="0083525B"/>
    <w:rsid w:val="00835940"/>
    <w:rsid w:val="0083768E"/>
    <w:rsid w:val="00837744"/>
    <w:rsid w:val="00837A98"/>
    <w:rsid w:val="008423A7"/>
    <w:rsid w:val="00843EAA"/>
    <w:rsid w:val="008444AC"/>
    <w:rsid w:val="00845111"/>
    <w:rsid w:val="008461C6"/>
    <w:rsid w:val="00846345"/>
    <w:rsid w:val="00846688"/>
    <w:rsid w:val="00847C6E"/>
    <w:rsid w:val="0085019A"/>
    <w:rsid w:val="0085225E"/>
    <w:rsid w:val="00853C3A"/>
    <w:rsid w:val="008542A0"/>
    <w:rsid w:val="0085515C"/>
    <w:rsid w:val="00857367"/>
    <w:rsid w:val="00860643"/>
    <w:rsid w:val="00861140"/>
    <w:rsid w:val="00861F51"/>
    <w:rsid w:val="00863A35"/>
    <w:rsid w:val="00863B75"/>
    <w:rsid w:val="008646AD"/>
    <w:rsid w:val="00864F1C"/>
    <w:rsid w:val="00865826"/>
    <w:rsid w:val="00866416"/>
    <w:rsid w:val="00866423"/>
    <w:rsid w:val="008664A3"/>
    <w:rsid w:val="008716E3"/>
    <w:rsid w:val="00872AE5"/>
    <w:rsid w:val="0087324C"/>
    <w:rsid w:val="00873343"/>
    <w:rsid w:val="00873474"/>
    <w:rsid w:val="008739FD"/>
    <w:rsid w:val="00875219"/>
    <w:rsid w:val="00877AF8"/>
    <w:rsid w:val="00877E49"/>
    <w:rsid w:val="008819AC"/>
    <w:rsid w:val="00883F1E"/>
    <w:rsid w:val="00884A63"/>
    <w:rsid w:val="00884CDD"/>
    <w:rsid w:val="0089019C"/>
    <w:rsid w:val="00891D9F"/>
    <w:rsid w:val="0089253C"/>
    <w:rsid w:val="008944B4"/>
    <w:rsid w:val="0089478F"/>
    <w:rsid w:val="00896758"/>
    <w:rsid w:val="008976A5"/>
    <w:rsid w:val="008A12CA"/>
    <w:rsid w:val="008A2337"/>
    <w:rsid w:val="008A40BB"/>
    <w:rsid w:val="008A4723"/>
    <w:rsid w:val="008A4859"/>
    <w:rsid w:val="008A52E9"/>
    <w:rsid w:val="008A5924"/>
    <w:rsid w:val="008A5BAF"/>
    <w:rsid w:val="008A6414"/>
    <w:rsid w:val="008A7228"/>
    <w:rsid w:val="008B0832"/>
    <w:rsid w:val="008B25B1"/>
    <w:rsid w:val="008B2D50"/>
    <w:rsid w:val="008B3323"/>
    <w:rsid w:val="008B35D2"/>
    <w:rsid w:val="008B3FF7"/>
    <w:rsid w:val="008B736F"/>
    <w:rsid w:val="008C0956"/>
    <w:rsid w:val="008C0F73"/>
    <w:rsid w:val="008C1CD2"/>
    <w:rsid w:val="008C3FF0"/>
    <w:rsid w:val="008C434C"/>
    <w:rsid w:val="008C5AF1"/>
    <w:rsid w:val="008C67C4"/>
    <w:rsid w:val="008C7F58"/>
    <w:rsid w:val="008D006B"/>
    <w:rsid w:val="008D126A"/>
    <w:rsid w:val="008D5AC3"/>
    <w:rsid w:val="008D6D24"/>
    <w:rsid w:val="008D73AE"/>
    <w:rsid w:val="008D78A9"/>
    <w:rsid w:val="008D7E89"/>
    <w:rsid w:val="008E01C1"/>
    <w:rsid w:val="008E01EE"/>
    <w:rsid w:val="008E3B64"/>
    <w:rsid w:val="008E40DB"/>
    <w:rsid w:val="008E52D3"/>
    <w:rsid w:val="008E56DD"/>
    <w:rsid w:val="008E6A52"/>
    <w:rsid w:val="008E6C7C"/>
    <w:rsid w:val="008F4F54"/>
    <w:rsid w:val="008F5EBB"/>
    <w:rsid w:val="008F62DB"/>
    <w:rsid w:val="008F7006"/>
    <w:rsid w:val="008F740C"/>
    <w:rsid w:val="008F74AF"/>
    <w:rsid w:val="008F7DED"/>
    <w:rsid w:val="00900A70"/>
    <w:rsid w:val="00900ADF"/>
    <w:rsid w:val="00905871"/>
    <w:rsid w:val="00905A32"/>
    <w:rsid w:val="0091071B"/>
    <w:rsid w:val="0091209D"/>
    <w:rsid w:val="009135CF"/>
    <w:rsid w:val="00915BE5"/>
    <w:rsid w:val="00915C70"/>
    <w:rsid w:val="009166A4"/>
    <w:rsid w:val="00916987"/>
    <w:rsid w:val="00916F80"/>
    <w:rsid w:val="00920A24"/>
    <w:rsid w:val="009210BC"/>
    <w:rsid w:val="00921ABE"/>
    <w:rsid w:val="009226EB"/>
    <w:rsid w:val="00922F7C"/>
    <w:rsid w:val="00923132"/>
    <w:rsid w:val="009255C6"/>
    <w:rsid w:val="00925B07"/>
    <w:rsid w:val="009339C6"/>
    <w:rsid w:val="00943D31"/>
    <w:rsid w:val="0094566B"/>
    <w:rsid w:val="00945A4B"/>
    <w:rsid w:val="00945F2F"/>
    <w:rsid w:val="009460E6"/>
    <w:rsid w:val="00947407"/>
    <w:rsid w:val="00951353"/>
    <w:rsid w:val="0095206F"/>
    <w:rsid w:val="00953CED"/>
    <w:rsid w:val="00954880"/>
    <w:rsid w:val="00955FA1"/>
    <w:rsid w:val="009576BD"/>
    <w:rsid w:val="00957E9C"/>
    <w:rsid w:val="00960F44"/>
    <w:rsid w:val="009642A0"/>
    <w:rsid w:val="00966F89"/>
    <w:rsid w:val="00967DDC"/>
    <w:rsid w:val="00970583"/>
    <w:rsid w:val="00970BEC"/>
    <w:rsid w:val="00970DAA"/>
    <w:rsid w:val="00971310"/>
    <w:rsid w:val="00972940"/>
    <w:rsid w:val="00972B56"/>
    <w:rsid w:val="00974AC1"/>
    <w:rsid w:val="00974D74"/>
    <w:rsid w:val="00974F25"/>
    <w:rsid w:val="00975C99"/>
    <w:rsid w:val="00981DF1"/>
    <w:rsid w:val="00982BB6"/>
    <w:rsid w:val="00986D42"/>
    <w:rsid w:val="0098769F"/>
    <w:rsid w:val="00990EBA"/>
    <w:rsid w:val="0099339D"/>
    <w:rsid w:val="00994F50"/>
    <w:rsid w:val="00996311"/>
    <w:rsid w:val="0099776D"/>
    <w:rsid w:val="009A1B98"/>
    <w:rsid w:val="009A1D8F"/>
    <w:rsid w:val="009A2D33"/>
    <w:rsid w:val="009A703B"/>
    <w:rsid w:val="009B0416"/>
    <w:rsid w:val="009B06B2"/>
    <w:rsid w:val="009B580B"/>
    <w:rsid w:val="009B5B7A"/>
    <w:rsid w:val="009B7846"/>
    <w:rsid w:val="009B7E51"/>
    <w:rsid w:val="009C0D55"/>
    <w:rsid w:val="009C1044"/>
    <w:rsid w:val="009C1632"/>
    <w:rsid w:val="009C1BBE"/>
    <w:rsid w:val="009C1EB9"/>
    <w:rsid w:val="009C7023"/>
    <w:rsid w:val="009C7588"/>
    <w:rsid w:val="009D15E1"/>
    <w:rsid w:val="009D3909"/>
    <w:rsid w:val="009D401C"/>
    <w:rsid w:val="009D6AB5"/>
    <w:rsid w:val="009D6D12"/>
    <w:rsid w:val="009D753C"/>
    <w:rsid w:val="009D7B25"/>
    <w:rsid w:val="009E011C"/>
    <w:rsid w:val="009E1E82"/>
    <w:rsid w:val="009E2BB3"/>
    <w:rsid w:val="009E4748"/>
    <w:rsid w:val="009E4785"/>
    <w:rsid w:val="009E5C05"/>
    <w:rsid w:val="009E6FE8"/>
    <w:rsid w:val="009F1A37"/>
    <w:rsid w:val="009F24A6"/>
    <w:rsid w:val="009F29B2"/>
    <w:rsid w:val="009F3E00"/>
    <w:rsid w:val="009F3EBB"/>
    <w:rsid w:val="00A00E9F"/>
    <w:rsid w:val="00A01703"/>
    <w:rsid w:val="00A021C7"/>
    <w:rsid w:val="00A043DC"/>
    <w:rsid w:val="00A102E4"/>
    <w:rsid w:val="00A1110B"/>
    <w:rsid w:val="00A1422F"/>
    <w:rsid w:val="00A1540E"/>
    <w:rsid w:val="00A166AF"/>
    <w:rsid w:val="00A1684A"/>
    <w:rsid w:val="00A201F1"/>
    <w:rsid w:val="00A21A2D"/>
    <w:rsid w:val="00A235A8"/>
    <w:rsid w:val="00A23938"/>
    <w:rsid w:val="00A239D1"/>
    <w:rsid w:val="00A26D91"/>
    <w:rsid w:val="00A2711A"/>
    <w:rsid w:val="00A306A8"/>
    <w:rsid w:val="00A316A2"/>
    <w:rsid w:val="00A33973"/>
    <w:rsid w:val="00A33D91"/>
    <w:rsid w:val="00A3417D"/>
    <w:rsid w:val="00A37DFD"/>
    <w:rsid w:val="00A40480"/>
    <w:rsid w:val="00A44B20"/>
    <w:rsid w:val="00A44F39"/>
    <w:rsid w:val="00A452D3"/>
    <w:rsid w:val="00A454FE"/>
    <w:rsid w:val="00A47302"/>
    <w:rsid w:val="00A51BF8"/>
    <w:rsid w:val="00A5519C"/>
    <w:rsid w:val="00A558F5"/>
    <w:rsid w:val="00A55BAE"/>
    <w:rsid w:val="00A55C0A"/>
    <w:rsid w:val="00A576C3"/>
    <w:rsid w:val="00A57879"/>
    <w:rsid w:val="00A6264D"/>
    <w:rsid w:val="00A62D4D"/>
    <w:rsid w:val="00A63F4B"/>
    <w:rsid w:val="00A677F0"/>
    <w:rsid w:val="00A67CA1"/>
    <w:rsid w:val="00A702B9"/>
    <w:rsid w:val="00A703CE"/>
    <w:rsid w:val="00A71922"/>
    <w:rsid w:val="00A73DE3"/>
    <w:rsid w:val="00A76563"/>
    <w:rsid w:val="00A773E3"/>
    <w:rsid w:val="00A77530"/>
    <w:rsid w:val="00A826DD"/>
    <w:rsid w:val="00A870F8"/>
    <w:rsid w:val="00A91918"/>
    <w:rsid w:val="00A92402"/>
    <w:rsid w:val="00A96285"/>
    <w:rsid w:val="00AA02BF"/>
    <w:rsid w:val="00AA1BFE"/>
    <w:rsid w:val="00AA661F"/>
    <w:rsid w:val="00AA70C3"/>
    <w:rsid w:val="00AB10C5"/>
    <w:rsid w:val="00AB270B"/>
    <w:rsid w:val="00AB300E"/>
    <w:rsid w:val="00AB4EE2"/>
    <w:rsid w:val="00AB5E39"/>
    <w:rsid w:val="00AB667B"/>
    <w:rsid w:val="00AB6D87"/>
    <w:rsid w:val="00AB756F"/>
    <w:rsid w:val="00AC1E73"/>
    <w:rsid w:val="00AC3728"/>
    <w:rsid w:val="00AD11DC"/>
    <w:rsid w:val="00AD1CB2"/>
    <w:rsid w:val="00AD201A"/>
    <w:rsid w:val="00AD2B09"/>
    <w:rsid w:val="00AD4720"/>
    <w:rsid w:val="00AD5AF5"/>
    <w:rsid w:val="00AD6553"/>
    <w:rsid w:val="00AD6576"/>
    <w:rsid w:val="00AE15F4"/>
    <w:rsid w:val="00AE1EEB"/>
    <w:rsid w:val="00AE20A7"/>
    <w:rsid w:val="00AE32B6"/>
    <w:rsid w:val="00AE3F44"/>
    <w:rsid w:val="00AE40A0"/>
    <w:rsid w:val="00AE463B"/>
    <w:rsid w:val="00AE5604"/>
    <w:rsid w:val="00AF1703"/>
    <w:rsid w:val="00AF319B"/>
    <w:rsid w:val="00AF3299"/>
    <w:rsid w:val="00AF4EFB"/>
    <w:rsid w:val="00AF769B"/>
    <w:rsid w:val="00B00A36"/>
    <w:rsid w:val="00B0290B"/>
    <w:rsid w:val="00B033D9"/>
    <w:rsid w:val="00B057C5"/>
    <w:rsid w:val="00B071C5"/>
    <w:rsid w:val="00B0755F"/>
    <w:rsid w:val="00B07602"/>
    <w:rsid w:val="00B10782"/>
    <w:rsid w:val="00B118B5"/>
    <w:rsid w:val="00B12123"/>
    <w:rsid w:val="00B12AB4"/>
    <w:rsid w:val="00B15CF1"/>
    <w:rsid w:val="00B160E3"/>
    <w:rsid w:val="00B20427"/>
    <w:rsid w:val="00B20D79"/>
    <w:rsid w:val="00B21390"/>
    <w:rsid w:val="00B21A8C"/>
    <w:rsid w:val="00B2533F"/>
    <w:rsid w:val="00B27728"/>
    <w:rsid w:val="00B27BBB"/>
    <w:rsid w:val="00B30455"/>
    <w:rsid w:val="00B32009"/>
    <w:rsid w:val="00B332C6"/>
    <w:rsid w:val="00B35B98"/>
    <w:rsid w:val="00B37E7B"/>
    <w:rsid w:val="00B40E92"/>
    <w:rsid w:val="00B41250"/>
    <w:rsid w:val="00B419FE"/>
    <w:rsid w:val="00B42575"/>
    <w:rsid w:val="00B43BE1"/>
    <w:rsid w:val="00B4582F"/>
    <w:rsid w:val="00B464EE"/>
    <w:rsid w:val="00B46A5A"/>
    <w:rsid w:val="00B47FBC"/>
    <w:rsid w:val="00B50957"/>
    <w:rsid w:val="00B51CF8"/>
    <w:rsid w:val="00B547B2"/>
    <w:rsid w:val="00B560CC"/>
    <w:rsid w:val="00B56AEA"/>
    <w:rsid w:val="00B6013D"/>
    <w:rsid w:val="00B60488"/>
    <w:rsid w:val="00B61395"/>
    <w:rsid w:val="00B6362B"/>
    <w:rsid w:val="00B63948"/>
    <w:rsid w:val="00B63E46"/>
    <w:rsid w:val="00B640B0"/>
    <w:rsid w:val="00B64836"/>
    <w:rsid w:val="00B66ED0"/>
    <w:rsid w:val="00B71013"/>
    <w:rsid w:val="00B72CDB"/>
    <w:rsid w:val="00B73215"/>
    <w:rsid w:val="00B75009"/>
    <w:rsid w:val="00B755F6"/>
    <w:rsid w:val="00B81BAF"/>
    <w:rsid w:val="00B82ABC"/>
    <w:rsid w:val="00B833A5"/>
    <w:rsid w:val="00B861DC"/>
    <w:rsid w:val="00B861DD"/>
    <w:rsid w:val="00B86E84"/>
    <w:rsid w:val="00B91615"/>
    <w:rsid w:val="00B925BA"/>
    <w:rsid w:val="00B95F2C"/>
    <w:rsid w:val="00B966D5"/>
    <w:rsid w:val="00BA0B08"/>
    <w:rsid w:val="00BA18E7"/>
    <w:rsid w:val="00BA1AFA"/>
    <w:rsid w:val="00BA1B7D"/>
    <w:rsid w:val="00BA2B7F"/>
    <w:rsid w:val="00BA2F68"/>
    <w:rsid w:val="00BA5FEF"/>
    <w:rsid w:val="00BA62F7"/>
    <w:rsid w:val="00BB007E"/>
    <w:rsid w:val="00BB089A"/>
    <w:rsid w:val="00BB10C3"/>
    <w:rsid w:val="00BB1F6B"/>
    <w:rsid w:val="00BB7777"/>
    <w:rsid w:val="00BB7802"/>
    <w:rsid w:val="00BC02E8"/>
    <w:rsid w:val="00BC0B26"/>
    <w:rsid w:val="00BC2044"/>
    <w:rsid w:val="00BC5968"/>
    <w:rsid w:val="00BD0731"/>
    <w:rsid w:val="00BD0A98"/>
    <w:rsid w:val="00BD0E22"/>
    <w:rsid w:val="00BD0F69"/>
    <w:rsid w:val="00BD28CD"/>
    <w:rsid w:val="00BD2AF2"/>
    <w:rsid w:val="00BD5630"/>
    <w:rsid w:val="00BD69F7"/>
    <w:rsid w:val="00BE0429"/>
    <w:rsid w:val="00BE0800"/>
    <w:rsid w:val="00BE0BE1"/>
    <w:rsid w:val="00BE1C78"/>
    <w:rsid w:val="00BE22A2"/>
    <w:rsid w:val="00BE5F9B"/>
    <w:rsid w:val="00BE7639"/>
    <w:rsid w:val="00BF23F1"/>
    <w:rsid w:val="00BF3074"/>
    <w:rsid w:val="00BF3D5A"/>
    <w:rsid w:val="00BF59C5"/>
    <w:rsid w:val="00BF5F9B"/>
    <w:rsid w:val="00BF7147"/>
    <w:rsid w:val="00C01956"/>
    <w:rsid w:val="00C02F46"/>
    <w:rsid w:val="00C03181"/>
    <w:rsid w:val="00C0480B"/>
    <w:rsid w:val="00C05EA8"/>
    <w:rsid w:val="00C07A42"/>
    <w:rsid w:val="00C10186"/>
    <w:rsid w:val="00C1100C"/>
    <w:rsid w:val="00C114C6"/>
    <w:rsid w:val="00C11D93"/>
    <w:rsid w:val="00C11F47"/>
    <w:rsid w:val="00C129B3"/>
    <w:rsid w:val="00C13136"/>
    <w:rsid w:val="00C1385A"/>
    <w:rsid w:val="00C1577A"/>
    <w:rsid w:val="00C1738F"/>
    <w:rsid w:val="00C175B3"/>
    <w:rsid w:val="00C17D45"/>
    <w:rsid w:val="00C205E1"/>
    <w:rsid w:val="00C2291E"/>
    <w:rsid w:val="00C2370B"/>
    <w:rsid w:val="00C247BE"/>
    <w:rsid w:val="00C24D76"/>
    <w:rsid w:val="00C25FCE"/>
    <w:rsid w:val="00C2653C"/>
    <w:rsid w:val="00C27C71"/>
    <w:rsid w:val="00C30B94"/>
    <w:rsid w:val="00C32611"/>
    <w:rsid w:val="00C34659"/>
    <w:rsid w:val="00C3573C"/>
    <w:rsid w:val="00C35F07"/>
    <w:rsid w:val="00C365AD"/>
    <w:rsid w:val="00C375A9"/>
    <w:rsid w:val="00C4092E"/>
    <w:rsid w:val="00C41AFB"/>
    <w:rsid w:val="00C41B66"/>
    <w:rsid w:val="00C41B99"/>
    <w:rsid w:val="00C42D67"/>
    <w:rsid w:val="00C43793"/>
    <w:rsid w:val="00C4785B"/>
    <w:rsid w:val="00C47EB1"/>
    <w:rsid w:val="00C512DC"/>
    <w:rsid w:val="00C51A09"/>
    <w:rsid w:val="00C546A2"/>
    <w:rsid w:val="00C550F3"/>
    <w:rsid w:val="00C5554D"/>
    <w:rsid w:val="00C5658B"/>
    <w:rsid w:val="00C57104"/>
    <w:rsid w:val="00C57816"/>
    <w:rsid w:val="00C60219"/>
    <w:rsid w:val="00C60D29"/>
    <w:rsid w:val="00C624B1"/>
    <w:rsid w:val="00C652D8"/>
    <w:rsid w:val="00C72D0C"/>
    <w:rsid w:val="00C74347"/>
    <w:rsid w:val="00C74665"/>
    <w:rsid w:val="00C749CD"/>
    <w:rsid w:val="00C74ABB"/>
    <w:rsid w:val="00C77CDC"/>
    <w:rsid w:val="00C80281"/>
    <w:rsid w:val="00C80F3A"/>
    <w:rsid w:val="00C821C4"/>
    <w:rsid w:val="00C8339F"/>
    <w:rsid w:val="00C8632A"/>
    <w:rsid w:val="00C86FEF"/>
    <w:rsid w:val="00C87207"/>
    <w:rsid w:val="00C90416"/>
    <w:rsid w:val="00C930DB"/>
    <w:rsid w:val="00C93C2B"/>
    <w:rsid w:val="00C94176"/>
    <w:rsid w:val="00C96694"/>
    <w:rsid w:val="00C97817"/>
    <w:rsid w:val="00C97DF0"/>
    <w:rsid w:val="00CA05B5"/>
    <w:rsid w:val="00CA4983"/>
    <w:rsid w:val="00CA5FD0"/>
    <w:rsid w:val="00CA713A"/>
    <w:rsid w:val="00CA756D"/>
    <w:rsid w:val="00CA75AE"/>
    <w:rsid w:val="00CB1713"/>
    <w:rsid w:val="00CB1F92"/>
    <w:rsid w:val="00CB257C"/>
    <w:rsid w:val="00CB28D4"/>
    <w:rsid w:val="00CB42D6"/>
    <w:rsid w:val="00CC008F"/>
    <w:rsid w:val="00CC09DA"/>
    <w:rsid w:val="00CC17F5"/>
    <w:rsid w:val="00CC21FA"/>
    <w:rsid w:val="00CC4F64"/>
    <w:rsid w:val="00CC5131"/>
    <w:rsid w:val="00CC5437"/>
    <w:rsid w:val="00CC6A73"/>
    <w:rsid w:val="00CD08D9"/>
    <w:rsid w:val="00CD202A"/>
    <w:rsid w:val="00CD2167"/>
    <w:rsid w:val="00CD24D0"/>
    <w:rsid w:val="00CD2674"/>
    <w:rsid w:val="00CD2B1F"/>
    <w:rsid w:val="00CD33AE"/>
    <w:rsid w:val="00CD4175"/>
    <w:rsid w:val="00CD55CD"/>
    <w:rsid w:val="00CD772C"/>
    <w:rsid w:val="00CE25B4"/>
    <w:rsid w:val="00CE532D"/>
    <w:rsid w:val="00CE5F81"/>
    <w:rsid w:val="00CE69BA"/>
    <w:rsid w:val="00CE6B6D"/>
    <w:rsid w:val="00CE71D1"/>
    <w:rsid w:val="00CF0C94"/>
    <w:rsid w:val="00CF23C6"/>
    <w:rsid w:val="00CF3C31"/>
    <w:rsid w:val="00CF3E7D"/>
    <w:rsid w:val="00CF4C35"/>
    <w:rsid w:val="00CF7456"/>
    <w:rsid w:val="00CF7E60"/>
    <w:rsid w:val="00D008F0"/>
    <w:rsid w:val="00D0527A"/>
    <w:rsid w:val="00D07A90"/>
    <w:rsid w:val="00D10743"/>
    <w:rsid w:val="00D110A6"/>
    <w:rsid w:val="00D11290"/>
    <w:rsid w:val="00D12011"/>
    <w:rsid w:val="00D1282C"/>
    <w:rsid w:val="00D128F6"/>
    <w:rsid w:val="00D15E06"/>
    <w:rsid w:val="00D16C64"/>
    <w:rsid w:val="00D16D2F"/>
    <w:rsid w:val="00D17F15"/>
    <w:rsid w:val="00D202AA"/>
    <w:rsid w:val="00D21368"/>
    <w:rsid w:val="00D23644"/>
    <w:rsid w:val="00D27D13"/>
    <w:rsid w:val="00D318BD"/>
    <w:rsid w:val="00D32787"/>
    <w:rsid w:val="00D33A81"/>
    <w:rsid w:val="00D347DC"/>
    <w:rsid w:val="00D34884"/>
    <w:rsid w:val="00D353FA"/>
    <w:rsid w:val="00D369FB"/>
    <w:rsid w:val="00D37320"/>
    <w:rsid w:val="00D37D31"/>
    <w:rsid w:val="00D4329F"/>
    <w:rsid w:val="00D433EA"/>
    <w:rsid w:val="00D44D92"/>
    <w:rsid w:val="00D45A65"/>
    <w:rsid w:val="00D45DD9"/>
    <w:rsid w:val="00D45E9B"/>
    <w:rsid w:val="00D4648D"/>
    <w:rsid w:val="00D47B0F"/>
    <w:rsid w:val="00D52B77"/>
    <w:rsid w:val="00D53ED8"/>
    <w:rsid w:val="00D5562A"/>
    <w:rsid w:val="00D57B09"/>
    <w:rsid w:val="00D60FBF"/>
    <w:rsid w:val="00D639A4"/>
    <w:rsid w:val="00D65F23"/>
    <w:rsid w:val="00D66053"/>
    <w:rsid w:val="00D66794"/>
    <w:rsid w:val="00D67E14"/>
    <w:rsid w:val="00D70E63"/>
    <w:rsid w:val="00D7299A"/>
    <w:rsid w:val="00D73505"/>
    <w:rsid w:val="00D76E43"/>
    <w:rsid w:val="00D80492"/>
    <w:rsid w:val="00D8141F"/>
    <w:rsid w:val="00D829A3"/>
    <w:rsid w:val="00D82AA0"/>
    <w:rsid w:val="00D83834"/>
    <w:rsid w:val="00D876B2"/>
    <w:rsid w:val="00D91D50"/>
    <w:rsid w:val="00D92193"/>
    <w:rsid w:val="00D9230C"/>
    <w:rsid w:val="00D959E7"/>
    <w:rsid w:val="00DA0277"/>
    <w:rsid w:val="00DA0A01"/>
    <w:rsid w:val="00DA2341"/>
    <w:rsid w:val="00DA2BA0"/>
    <w:rsid w:val="00DA34EC"/>
    <w:rsid w:val="00DA557E"/>
    <w:rsid w:val="00DA7CA3"/>
    <w:rsid w:val="00DB05A6"/>
    <w:rsid w:val="00DB223C"/>
    <w:rsid w:val="00DB34E0"/>
    <w:rsid w:val="00DB4140"/>
    <w:rsid w:val="00DC7D67"/>
    <w:rsid w:val="00DD0B0B"/>
    <w:rsid w:val="00DD0D2A"/>
    <w:rsid w:val="00DD1D81"/>
    <w:rsid w:val="00DD4918"/>
    <w:rsid w:val="00DD5257"/>
    <w:rsid w:val="00DD5EDF"/>
    <w:rsid w:val="00DE13AA"/>
    <w:rsid w:val="00DE24E0"/>
    <w:rsid w:val="00DE2FC8"/>
    <w:rsid w:val="00DE3743"/>
    <w:rsid w:val="00DE485D"/>
    <w:rsid w:val="00DE7087"/>
    <w:rsid w:val="00DE7CA8"/>
    <w:rsid w:val="00DF00FC"/>
    <w:rsid w:val="00DF0E5A"/>
    <w:rsid w:val="00DF1230"/>
    <w:rsid w:val="00DF2F0A"/>
    <w:rsid w:val="00DF5B45"/>
    <w:rsid w:val="00DF5F11"/>
    <w:rsid w:val="00DF7254"/>
    <w:rsid w:val="00DF7846"/>
    <w:rsid w:val="00E0077B"/>
    <w:rsid w:val="00E00E5C"/>
    <w:rsid w:val="00E02420"/>
    <w:rsid w:val="00E02618"/>
    <w:rsid w:val="00E02A28"/>
    <w:rsid w:val="00E04D97"/>
    <w:rsid w:val="00E05BEC"/>
    <w:rsid w:val="00E11992"/>
    <w:rsid w:val="00E13724"/>
    <w:rsid w:val="00E13A0C"/>
    <w:rsid w:val="00E16321"/>
    <w:rsid w:val="00E207E5"/>
    <w:rsid w:val="00E2321C"/>
    <w:rsid w:val="00E2359D"/>
    <w:rsid w:val="00E23BE6"/>
    <w:rsid w:val="00E24A8B"/>
    <w:rsid w:val="00E26C80"/>
    <w:rsid w:val="00E300A7"/>
    <w:rsid w:val="00E30AEA"/>
    <w:rsid w:val="00E30DA5"/>
    <w:rsid w:val="00E31FFE"/>
    <w:rsid w:val="00E333BC"/>
    <w:rsid w:val="00E33890"/>
    <w:rsid w:val="00E34E23"/>
    <w:rsid w:val="00E373EC"/>
    <w:rsid w:val="00E37D54"/>
    <w:rsid w:val="00E401D5"/>
    <w:rsid w:val="00E4064F"/>
    <w:rsid w:val="00E4086F"/>
    <w:rsid w:val="00E41439"/>
    <w:rsid w:val="00E42762"/>
    <w:rsid w:val="00E42DF9"/>
    <w:rsid w:val="00E4431B"/>
    <w:rsid w:val="00E46D0A"/>
    <w:rsid w:val="00E51082"/>
    <w:rsid w:val="00E5258D"/>
    <w:rsid w:val="00E57D59"/>
    <w:rsid w:val="00E61A25"/>
    <w:rsid w:val="00E62F93"/>
    <w:rsid w:val="00E634C6"/>
    <w:rsid w:val="00E65944"/>
    <w:rsid w:val="00E65C67"/>
    <w:rsid w:val="00E668A1"/>
    <w:rsid w:val="00E668E3"/>
    <w:rsid w:val="00E668F3"/>
    <w:rsid w:val="00E66D51"/>
    <w:rsid w:val="00E67A5E"/>
    <w:rsid w:val="00E72068"/>
    <w:rsid w:val="00E72E3E"/>
    <w:rsid w:val="00E739E4"/>
    <w:rsid w:val="00E73FFE"/>
    <w:rsid w:val="00E741EA"/>
    <w:rsid w:val="00E74283"/>
    <w:rsid w:val="00E7631E"/>
    <w:rsid w:val="00E8028E"/>
    <w:rsid w:val="00E803EF"/>
    <w:rsid w:val="00E8315D"/>
    <w:rsid w:val="00E83866"/>
    <w:rsid w:val="00E83E63"/>
    <w:rsid w:val="00E8403E"/>
    <w:rsid w:val="00E8472E"/>
    <w:rsid w:val="00E84E8A"/>
    <w:rsid w:val="00E90AF6"/>
    <w:rsid w:val="00E92752"/>
    <w:rsid w:val="00E95BB1"/>
    <w:rsid w:val="00EA01E3"/>
    <w:rsid w:val="00EA7363"/>
    <w:rsid w:val="00EB08F4"/>
    <w:rsid w:val="00EB13CD"/>
    <w:rsid w:val="00EB15D3"/>
    <w:rsid w:val="00EB1E68"/>
    <w:rsid w:val="00EB5E8C"/>
    <w:rsid w:val="00EB6D90"/>
    <w:rsid w:val="00EC0649"/>
    <w:rsid w:val="00EC1F94"/>
    <w:rsid w:val="00EC2032"/>
    <w:rsid w:val="00EC2DDF"/>
    <w:rsid w:val="00EC49D7"/>
    <w:rsid w:val="00EC5E8C"/>
    <w:rsid w:val="00EC74C6"/>
    <w:rsid w:val="00ED102F"/>
    <w:rsid w:val="00ED2E02"/>
    <w:rsid w:val="00ED7189"/>
    <w:rsid w:val="00ED7D7E"/>
    <w:rsid w:val="00EE1331"/>
    <w:rsid w:val="00EE1AEC"/>
    <w:rsid w:val="00EE1D9F"/>
    <w:rsid w:val="00EE486C"/>
    <w:rsid w:val="00EE7BB6"/>
    <w:rsid w:val="00EF197D"/>
    <w:rsid w:val="00EF1A13"/>
    <w:rsid w:val="00EF253A"/>
    <w:rsid w:val="00EF634D"/>
    <w:rsid w:val="00EF6537"/>
    <w:rsid w:val="00F00E8F"/>
    <w:rsid w:val="00F01025"/>
    <w:rsid w:val="00F01CD0"/>
    <w:rsid w:val="00F020F2"/>
    <w:rsid w:val="00F02167"/>
    <w:rsid w:val="00F023C4"/>
    <w:rsid w:val="00F0299F"/>
    <w:rsid w:val="00F03476"/>
    <w:rsid w:val="00F038C4"/>
    <w:rsid w:val="00F05302"/>
    <w:rsid w:val="00F05822"/>
    <w:rsid w:val="00F05BC8"/>
    <w:rsid w:val="00F06EA0"/>
    <w:rsid w:val="00F070A8"/>
    <w:rsid w:val="00F07D05"/>
    <w:rsid w:val="00F1431B"/>
    <w:rsid w:val="00F1478D"/>
    <w:rsid w:val="00F16B69"/>
    <w:rsid w:val="00F22FE7"/>
    <w:rsid w:val="00F23A0C"/>
    <w:rsid w:val="00F2439F"/>
    <w:rsid w:val="00F246FF"/>
    <w:rsid w:val="00F252E5"/>
    <w:rsid w:val="00F254E3"/>
    <w:rsid w:val="00F30F32"/>
    <w:rsid w:val="00F32B58"/>
    <w:rsid w:val="00F33D90"/>
    <w:rsid w:val="00F352BF"/>
    <w:rsid w:val="00F354B8"/>
    <w:rsid w:val="00F35E0F"/>
    <w:rsid w:val="00F37161"/>
    <w:rsid w:val="00F4072A"/>
    <w:rsid w:val="00F42FAA"/>
    <w:rsid w:val="00F43B96"/>
    <w:rsid w:val="00F43E60"/>
    <w:rsid w:val="00F45589"/>
    <w:rsid w:val="00F459CF"/>
    <w:rsid w:val="00F51223"/>
    <w:rsid w:val="00F5133B"/>
    <w:rsid w:val="00F54B1D"/>
    <w:rsid w:val="00F54F95"/>
    <w:rsid w:val="00F554B6"/>
    <w:rsid w:val="00F566EB"/>
    <w:rsid w:val="00F56BC9"/>
    <w:rsid w:val="00F56DD1"/>
    <w:rsid w:val="00F609D9"/>
    <w:rsid w:val="00F62ABE"/>
    <w:rsid w:val="00F62C9E"/>
    <w:rsid w:val="00F65108"/>
    <w:rsid w:val="00F6541E"/>
    <w:rsid w:val="00F659DE"/>
    <w:rsid w:val="00F669B6"/>
    <w:rsid w:val="00F67E78"/>
    <w:rsid w:val="00F7005E"/>
    <w:rsid w:val="00F706C3"/>
    <w:rsid w:val="00F717CB"/>
    <w:rsid w:val="00F71F1D"/>
    <w:rsid w:val="00F7456A"/>
    <w:rsid w:val="00F74D89"/>
    <w:rsid w:val="00F75253"/>
    <w:rsid w:val="00F7599E"/>
    <w:rsid w:val="00F773CF"/>
    <w:rsid w:val="00F80316"/>
    <w:rsid w:val="00F803B4"/>
    <w:rsid w:val="00F81C9E"/>
    <w:rsid w:val="00F82C82"/>
    <w:rsid w:val="00F83761"/>
    <w:rsid w:val="00F83E3B"/>
    <w:rsid w:val="00F84424"/>
    <w:rsid w:val="00F85767"/>
    <w:rsid w:val="00F91570"/>
    <w:rsid w:val="00F92772"/>
    <w:rsid w:val="00FA0CFC"/>
    <w:rsid w:val="00FA1A18"/>
    <w:rsid w:val="00FA2214"/>
    <w:rsid w:val="00FA2FF9"/>
    <w:rsid w:val="00FA4C2D"/>
    <w:rsid w:val="00FA6A6D"/>
    <w:rsid w:val="00FA6C9C"/>
    <w:rsid w:val="00FA70BA"/>
    <w:rsid w:val="00FA7134"/>
    <w:rsid w:val="00FB0531"/>
    <w:rsid w:val="00FB14A5"/>
    <w:rsid w:val="00FB1B5D"/>
    <w:rsid w:val="00FB5362"/>
    <w:rsid w:val="00FB5B20"/>
    <w:rsid w:val="00FB6794"/>
    <w:rsid w:val="00FB7491"/>
    <w:rsid w:val="00FC1849"/>
    <w:rsid w:val="00FC26FB"/>
    <w:rsid w:val="00FC7D25"/>
    <w:rsid w:val="00FD5953"/>
    <w:rsid w:val="00FD6B97"/>
    <w:rsid w:val="00FE0BDE"/>
    <w:rsid w:val="00FE152D"/>
    <w:rsid w:val="00FE233D"/>
    <w:rsid w:val="00FE785A"/>
    <w:rsid w:val="00FE7A9A"/>
    <w:rsid w:val="00FF06AF"/>
    <w:rsid w:val="00FF0D90"/>
    <w:rsid w:val="00FF1E1D"/>
    <w:rsid w:val="00FF2358"/>
    <w:rsid w:val="00FF367F"/>
    <w:rsid w:val="00FF4EEF"/>
    <w:rsid w:val="00FF5C6A"/>
    <w:rsid w:val="00FF7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7AE10"/>
  <w15:docId w15:val="{49426249-960F-407C-B7AC-F4CB5EA2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AA"/>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Caption">
    <w:name w:val="caption"/>
    <w:basedOn w:val="Normal"/>
    <w:next w:val="Normal"/>
    <w:uiPriority w:val="35"/>
    <w:unhideWhenUsed/>
    <w:qFormat/>
    <w:rsid w:val="00510847"/>
    <w:pPr>
      <w:spacing w:after="200"/>
    </w:pPr>
    <w:rPr>
      <w:i/>
      <w:iCs/>
      <w:color w:val="1F497D" w:themeColor="text2"/>
      <w:sz w:val="18"/>
      <w:szCs w:val="18"/>
    </w:rPr>
  </w:style>
  <w:style w:type="paragraph" w:styleId="Bibliography">
    <w:name w:val="Bibliography"/>
    <w:basedOn w:val="Normal"/>
    <w:next w:val="Normal"/>
    <w:uiPriority w:val="37"/>
    <w:unhideWhenUsed/>
    <w:rsid w:val="00B12AB4"/>
    <w:pPr>
      <w:tabs>
        <w:tab w:val="left" w:pos="384"/>
      </w:tabs>
      <w:spacing w:after="240"/>
      <w:ind w:left="384" w:hanging="384"/>
    </w:pPr>
  </w:style>
  <w:style w:type="paragraph" w:styleId="BalloonText">
    <w:name w:val="Balloon Text"/>
    <w:basedOn w:val="Normal"/>
    <w:link w:val="BalloonTextChar"/>
    <w:uiPriority w:val="99"/>
    <w:semiHidden/>
    <w:unhideWhenUsed/>
    <w:rsid w:val="00BC0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2E8"/>
    <w:rPr>
      <w:rFonts w:ascii="Segoe UI" w:hAnsi="Segoe UI" w:cs="Segoe UI"/>
      <w:sz w:val="18"/>
      <w:szCs w:val="18"/>
    </w:rPr>
  </w:style>
  <w:style w:type="paragraph" w:styleId="NormalWeb">
    <w:name w:val="Normal (Web)"/>
    <w:basedOn w:val="Normal"/>
    <w:uiPriority w:val="99"/>
    <w:unhideWhenUsed/>
    <w:rsid w:val="0010453F"/>
    <w:pPr>
      <w:widowControl/>
      <w:spacing w:before="100" w:beforeAutospacing="1" w:after="100" w:afterAutospacing="1"/>
      <w:jc w:val="left"/>
    </w:pPr>
    <w:rPr>
      <w:rFonts w:ascii="Times New Roman" w:eastAsia="Times New Roman" w:hAnsi="Times New Roman" w:cs="Times New Roman"/>
      <w:lang w:val="fr-FR" w:eastAsia="fr-FR"/>
    </w:rPr>
  </w:style>
  <w:style w:type="paragraph" w:customStyle="1" w:styleId="MDPI16affiliation">
    <w:name w:val="MDPI_1.6_affiliation"/>
    <w:uiPriority w:val="99"/>
    <w:qFormat/>
    <w:rsid w:val="00F22FE7"/>
    <w:pPr>
      <w:widowControl/>
      <w:adjustRightInd w:val="0"/>
      <w:snapToGrid w:val="0"/>
      <w:spacing w:line="200" w:lineRule="atLeast"/>
      <w:ind w:left="2806" w:hanging="198"/>
      <w:jc w:val="left"/>
    </w:pPr>
    <w:rPr>
      <w:rFonts w:ascii="Palatino Linotype" w:eastAsia="Times New Roman" w:hAnsi="Palatino Linotype" w:cs="Times New Roman"/>
      <w:color w:val="000000"/>
      <w:sz w:val="16"/>
      <w:szCs w:val="18"/>
      <w:lang w:eastAsia="de-DE" w:bidi="en-US"/>
      <w14:ligatures w14:val="standardContextual"/>
    </w:rPr>
  </w:style>
  <w:style w:type="character" w:styleId="Strong">
    <w:name w:val="Strong"/>
    <w:basedOn w:val="DefaultParagraphFont"/>
    <w:uiPriority w:val="22"/>
    <w:qFormat/>
    <w:rsid w:val="00F62ABE"/>
    <w:rPr>
      <w:b/>
      <w:bCs/>
    </w:rPr>
  </w:style>
  <w:style w:type="table" w:styleId="TableGrid">
    <w:name w:val="Table Grid"/>
    <w:basedOn w:val="TableNormal"/>
    <w:uiPriority w:val="39"/>
    <w:rsid w:val="00A34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24BC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D2AF2"/>
    <w:pPr>
      <w:widowControl/>
      <w:autoSpaceDE w:val="0"/>
      <w:autoSpaceDN w:val="0"/>
      <w:adjustRightInd w:val="0"/>
      <w:jc w:val="left"/>
    </w:pPr>
    <w:rPr>
      <w:rFonts w:ascii="Charis SIL" w:hAnsi="Charis SIL" w:cs="Charis SIL"/>
      <w:color w:val="000000"/>
      <w:lang w:val="fr-FR"/>
    </w:rPr>
  </w:style>
  <w:style w:type="character" w:customStyle="1" w:styleId="UnresolvedMention2">
    <w:name w:val="Unresolved Mention2"/>
    <w:basedOn w:val="DefaultParagraphFont"/>
    <w:uiPriority w:val="99"/>
    <w:semiHidden/>
    <w:unhideWhenUsed/>
    <w:rsid w:val="004D7ADF"/>
    <w:rPr>
      <w:color w:val="605E5C"/>
      <w:shd w:val="clear" w:color="auto" w:fill="E1DFDD"/>
    </w:rPr>
  </w:style>
  <w:style w:type="paragraph" w:styleId="Header">
    <w:name w:val="header"/>
    <w:basedOn w:val="Normal"/>
    <w:link w:val="HeaderChar"/>
    <w:uiPriority w:val="99"/>
    <w:semiHidden/>
    <w:unhideWhenUsed/>
    <w:rsid w:val="001B6541"/>
    <w:pPr>
      <w:tabs>
        <w:tab w:val="center" w:pos="4680"/>
        <w:tab w:val="right" w:pos="9360"/>
      </w:tabs>
    </w:pPr>
  </w:style>
  <w:style w:type="character" w:customStyle="1" w:styleId="HeaderChar">
    <w:name w:val="Header Char"/>
    <w:basedOn w:val="DefaultParagraphFont"/>
    <w:link w:val="Header"/>
    <w:uiPriority w:val="99"/>
    <w:semiHidden/>
    <w:rsid w:val="001B6541"/>
  </w:style>
  <w:style w:type="character" w:customStyle="1" w:styleId="UnresolvedMention3">
    <w:name w:val="Unresolved Mention3"/>
    <w:basedOn w:val="DefaultParagraphFont"/>
    <w:uiPriority w:val="99"/>
    <w:semiHidden/>
    <w:unhideWhenUsed/>
    <w:rsid w:val="00EC74C6"/>
    <w:rPr>
      <w:color w:val="605E5C"/>
      <w:shd w:val="clear" w:color="auto" w:fill="E1DFDD"/>
    </w:rPr>
  </w:style>
  <w:style w:type="character" w:styleId="Emphasis">
    <w:name w:val="Emphasis"/>
    <w:basedOn w:val="DefaultParagraphFont"/>
    <w:uiPriority w:val="20"/>
    <w:qFormat/>
    <w:rsid w:val="00F252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384">
      <w:bodyDiv w:val="1"/>
      <w:marLeft w:val="0"/>
      <w:marRight w:val="0"/>
      <w:marTop w:val="0"/>
      <w:marBottom w:val="0"/>
      <w:divBdr>
        <w:top w:val="none" w:sz="0" w:space="0" w:color="auto"/>
        <w:left w:val="none" w:sz="0" w:space="0" w:color="auto"/>
        <w:bottom w:val="none" w:sz="0" w:space="0" w:color="auto"/>
        <w:right w:val="none" w:sz="0" w:space="0" w:color="auto"/>
      </w:divBdr>
    </w:div>
    <w:div w:id="191967153">
      <w:bodyDiv w:val="1"/>
      <w:marLeft w:val="0"/>
      <w:marRight w:val="0"/>
      <w:marTop w:val="0"/>
      <w:marBottom w:val="0"/>
      <w:divBdr>
        <w:top w:val="none" w:sz="0" w:space="0" w:color="auto"/>
        <w:left w:val="none" w:sz="0" w:space="0" w:color="auto"/>
        <w:bottom w:val="none" w:sz="0" w:space="0" w:color="auto"/>
        <w:right w:val="none" w:sz="0" w:space="0" w:color="auto"/>
      </w:divBdr>
    </w:div>
    <w:div w:id="197470281">
      <w:bodyDiv w:val="1"/>
      <w:marLeft w:val="0"/>
      <w:marRight w:val="0"/>
      <w:marTop w:val="0"/>
      <w:marBottom w:val="0"/>
      <w:divBdr>
        <w:top w:val="none" w:sz="0" w:space="0" w:color="auto"/>
        <w:left w:val="none" w:sz="0" w:space="0" w:color="auto"/>
        <w:bottom w:val="none" w:sz="0" w:space="0" w:color="auto"/>
        <w:right w:val="none" w:sz="0" w:space="0" w:color="auto"/>
      </w:divBdr>
    </w:div>
    <w:div w:id="247227820">
      <w:bodyDiv w:val="1"/>
      <w:marLeft w:val="0"/>
      <w:marRight w:val="0"/>
      <w:marTop w:val="0"/>
      <w:marBottom w:val="0"/>
      <w:divBdr>
        <w:top w:val="none" w:sz="0" w:space="0" w:color="auto"/>
        <w:left w:val="none" w:sz="0" w:space="0" w:color="auto"/>
        <w:bottom w:val="none" w:sz="0" w:space="0" w:color="auto"/>
        <w:right w:val="none" w:sz="0" w:space="0" w:color="auto"/>
      </w:divBdr>
    </w:div>
    <w:div w:id="269513394">
      <w:bodyDiv w:val="1"/>
      <w:marLeft w:val="0"/>
      <w:marRight w:val="0"/>
      <w:marTop w:val="0"/>
      <w:marBottom w:val="0"/>
      <w:divBdr>
        <w:top w:val="none" w:sz="0" w:space="0" w:color="auto"/>
        <w:left w:val="none" w:sz="0" w:space="0" w:color="auto"/>
        <w:bottom w:val="none" w:sz="0" w:space="0" w:color="auto"/>
        <w:right w:val="none" w:sz="0" w:space="0" w:color="auto"/>
      </w:divBdr>
    </w:div>
    <w:div w:id="391513559">
      <w:bodyDiv w:val="1"/>
      <w:marLeft w:val="0"/>
      <w:marRight w:val="0"/>
      <w:marTop w:val="0"/>
      <w:marBottom w:val="0"/>
      <w:divBdr>
        <w:top w:val="none" w:sz="0" w:space="0" w:color="auto"/>
        <w:left w:val="none" w:sz="0" w:space="0" w:color="auto"/>
        <w:bottom w:val="none" w:sz="0" w:space="0" w:color="auto"/>
        <w:right w:val="none" w:sz="0" w:space="0" w:color="auto"/>
      </w:divBdr>
    </w:div>
    <w:div w:id="421486486">
      <w:bodyDiv w:val="1"/>
      <w:marLeft w:val="0"/>
      <w:marRight w:val="0"/>
      <w:marTop w:val="0"/>
      <w:marBottom w:val="0"/>
      <w:divBdr>
        <w:top w:val="none" w:sz="0" w:space="0" w:color="auto"/>
        <w:left w:val="none" w:sz="0" w:space="0" w:color="auto"/>
        <w:bottom w:val="none" w:sz="0" w:space="0" w:color="auto"/>
        <w:right w:val="none" w:sz="0" w:space="0" w:color="auto"/>
      </w:divBdr>
    </w:div>
    <w:div w:id="440683903">
      <w:bodyDiv w:val="1"/>
      <w:marLeft w:val="0"/>
      <w:marRight w:val="0"/>
      <w:marTop w:val="0"/>
      <w:marBottom w:val="0"/>
      <w:divBdr>
        <w:top w:val="none" w:sz="0" w:space="0" w:color="auto"/>
        <w:left w:val="none" w:sz="0" w:space="0" w:color="auto"/>
        <w:bottom w:val="none" w:sz="0" w:space="0" w:color="auto"/>
        <w:right w:val="none" w:sz="0" w:space="0" w:color="auto"/>
      </w:divBdr>
    </w:div>
    <w:div w:id="476923172">
      <w:bodyDiv w:val="1"/>
      <w:marLeft w:val="0"/>
      <w:marRight w:val="0"/>
      <w:marTop w:val="0"/>
      <w:marBottom w:val="0"/>
      <w:divBdr>
        <w:top w:val="none" w:sz="0" w:space="0" w:color="auto"/>
        <w:left w:val="none" w:sz="0" w:space="0" w:color="auto"/>
        <w:bottom w:val="none" w:sz="0" w:space="0" w:color="auto"/>
        <w:right w:val="none" w:sz="0" w:space="0" w:color="auto"/>
      </w:divBdr>
    </w:div>
    <w:div w:id="608316992">
      <w:bodyDiv w:val="1"/>
      <w:marLeft w:val="0"/>
      <w:marRight w:val="0"/>
      <w:marTop w:val="0"/>
      <w:marBottom w:val="0"/>
      <w:divBdr>
        <w:top w:val="none" w:sz="0" w:space="0" w:color="auto"/>
        <w:left w:val="none" w:sz="0" w:space="0" w:color="auto"/>
        <w:bottom w:val="none" w:sz="0" w:space="0" w:color="auto"/>
        <w:right w:val="none" w:sz="0" w:space="0" w:color="auto"/>
      </w:divBdr>
    </w:div>
    <w:div w:id="698438306">
      <w:bodyDiv w:val="1"/>
      <w:marLeft w:val="0"/>
      <w:marRight w:val="0"/>
      <w:marTop w:val="0"/>
      <w:marBottom w:val="0"/>
      <w:divBdr>
        <w:top w:val="none" w:sz="0" w:space="0" w:color="auto"/>
        <w:left w:val="none" w:sz="0" w:space="0" w:color="auto"/>
        <w:bottom w:val="none" w:sz="0" w:space="0" w:color="auto"/>
        <w:right w:val="none" w:sz="0" w:space="0" w:color="auto"/>
      </w:divBdr>
    </w:div>
    <w:div w:id="739408817">
      <w:bodyDiv w:val="1"/>
      <w:marLeft w:val="0"/>
      <w:marRight w:val="0"/>
      <w:marTop w:val="0"/>
      <w:marBottom w:val="0"/>
      <w:divBdr>
        <w:top w:val="none" w:sz="0" w:space="0" w:color="auto"/>
        <w:left w:val="none" w:sz="0" w:space="0" w:color="auto"/>
        <w:bottom w:val="none" w:sz="0" w:space="0" w:color="auto"/>
        <w:right w:val="none" w:sz="0" w:space="0" w:color="auto"/>
      </w:divBdr>
      <w:divsChild>
        <w:div w:id="502822895">
          <w:marLeft w:val="0"/>
          <w:marRight w:val="0"/>
          <w:marTop w:val="0"/>
          <w:marBottom w:val="0"/>
          <w:divBdr>
            <w:top w:val="none" w:sz="0" w:space="0" w:color="auto"/>
            <w:left w:val="none" w:sz="0" w:space="0" w:color="auto"/>
            <w:bottom w:val="none" w:sz="0" w:space="0" w:color="auto"/>
            <w:right w:val="none" w:sz="0" w:space="0" w:color="auto"/>
          </w:divBdr>
        </w:div>
      </w:divsChild>
    </w:div>
    <w:div w:id="792559307">
      <w:bodyDiv w:val="1"/>
      <w:marLeft w:val="0"/>
      <w:marRight w:val="0"/>
      <w:marTop w:val="0"/>
      <w:marBottom w:val="0"/>
      <w:divBdr>
        <w:top w:val="none" w:sz="0" w:space="0" w:color="auto"/>
        <w:left w:val="none" w:sz="0" w:space="0" w:color="auto"/>
        <w:bottom w:val="none" w:sz="0" w:space="0" w:color="auto"/>
        <w:right w:val="none" w:sz="0" w:space="0" w:color="auto"/>
      </w:divBdr>
    </w:div>
    <w:div w:id="816991123">
      <w:bodyDiv w:val="1"/>
      <w:marLeft w:val="0"/>
      <w:marRight w:val="0"/>
      <w:marTop w:val="0"/>
      <w:marBottom w:val="0"/>
      <w:divBdr>
        <w:top w:val="none" w:sz="0" w:space="0" w:color="auto"/>
        <w:left w:val="none" w:sz="0" w:space="0" w:color="auto"/>
        <w:bottom w:val="none" w:sz="0" w:space="0" w:color="auto"/>
        <w:right w:val="none" w:sz="0" w:space="0" w:color="auto"/>
      </w:divBdr>
    </w:div>
    <w:div w:id="897277281">
      <w:bodyDiv w:val="1"/>
      <w:marLeft w:val="0"/>
      <w:marRight w:val="0"/>
      <w:marTop w:val="0"/>
      <w:marBottom w:val="0"/>
      <w:divBdr>
        <w:top w:val="none" w:sz="0" w:space="0" w:color="auto"/>
        <w:left w:val="none" w:sz="0" w:space="0" w:color="auto"/>
        <w:bottom w:val="none" w:sz="0" w:space="0" w:color="auto"/>
        <w:right w:val="none" w:sz="0" w:space="0" w:color="auto"/>
      </w:divBdr>
      <w:divsChild>
        <w:div w:id="372577970">
          <w:marLeft w:val="547"/>
          <w:marRight w:val="0"/>
          <w:marTop w:val="0"/>
          <w:marBottom w:val="0"/>
          <w:divBdr>
            <w:top w:val="none" w:sz="0" w:space="0" w:color="auto"/>
            <w:left w:val="none" w:sz="0" w:space="0" w:color="auto"/>
            <w:bottom w:val="none" w:sz="0" w:space="0" w:color="auto"/>
            <w:right w:val="none" w:sz="0" w:space="0" w:color="auto"/>
          </w:divBdr>
        </w:div>
      </w:divsChild>
    </w:div>
    <w:div w:id="959914621">
      <w:bodyDiv w:val="1"/>
      <w:marLeft w:val="0"/>
      <w:marRight w:val="0"/>
      <w:marTop w:val="0"/>
      <w:marBottom w:val="0"/>
      <w:divBdr>
        <w:top w:val="none" w:sz="0" w:space="0" w:color="auto"/>
        <w:left w:val="none" w:sz="0" w:space="0" w:color="auto"/>
        <w:bottom w:val="none" w:sz="0" w:space="0" w:color="auto"/>
        <w:right w:val="none" w:sz="0" w:space="0" w:color="auto"/>
      </w:divBdr>
    </w:div>
    <w:div w:id="972557741">
      <w:bodyDiv w:val="1"/>
      <w:marLeft w:val="0"/>
      <w:marRight w:val="0"/>
      <w:marTop w:val="0"/>
      <w:marBottom w:val="0"/>
      <w:divBdr>
        <w:top w:val="none" w:sz="0" w:space="0" w:color="auto"/>
        <w:left w:val="none" w:sz="0" w:space="0" w:color="auto"/>
        <w:bottom w:val="none" w:sz="0" w:space="0" w:color="auto"/>
        <w:right w:val="none" w:sz="0" w:space="0" w:color="auto"/>
      </w:divBdr>
      <w:divsChild>
        <w:div w:id="1443961503">
          <w:marLeft w:val="0"/>
          <w:marRight w:val="0"/>
          <w:marTop w:val="0"/>
          <w:marBottom w:val="0"/>
          <w:divBdr>
            <w:top w:val="none" w:sz="0" w:space="0" w:color="auto"/>
            <w:left w:val="none" w:sz="0" w:space="0" w:color="auto"/>
            <w:bottom w:val="none" w:sz="0" w:space="0" w:color="auto"/>
            <w:right w:val="none" w:sz="0" w:space="0" w:color="auto"/>
          </w:divBdr>
          <w:divsChild>
            <w:div w:id="946816397">
              <w:marLeft w:val="0"/>
              <w:marRight w:val="0"/>
              <w:marTop w:val="0"/>
              <w:marBottom w:val="0"/>
              <w:divBdr>
                <w:top w:val="none" w:sz="0" w:space="0" w:color="auto"/>
                <w:left w:val="none" w:sz="0" w:space="0" w:color="auto"/>
                <w:bottom w:val="none" w:sz="0" w:space="0" w:color="auto"/>
                <w:right w:val="none" w:sz="0" w:space="0" w:color="auto"/>
              </w:divBdr>
              <w:divsChild>
                <w:div w:id="1123770517">
                  <w:marLeft w:val="0"/>
                  <w:marRight w:val="0"/>
                  <w:marTop w:val="0"/>
                  <w:marBottom w:val="0"/>
                  <w:divBdr>
                    <w:top w:val="none" w:sz="0" w:space="0" w:color="auto"/>
                    <w:left w:val="none" w:sz="0" w:space="0" w:color="auto"/>
                    <w:bottom w:val="none" w:sz="0" w:space="0" w:color="auto"/>
                    <w:right w:val="none" w:sz="0" w:space="0" w:color="auto"/>
                  </w:divBdr>
                </w:div>
                <w:div w:id="289626593">
                  <w:marLeft w:val="0"/>
                  <w:marRight w:val="0"/>
                  <w:marTop w:val="0"/>
                  <w:marBottom w:val="0"/>
                  <w:divBdr>
                    <w:top w:val="none" w:sz="0" w:space="0" w:color="auto"/>
                    <w:left w:val="none" w:sz="0" w:space="0" w:color="auto"/>
                    <w:bottom w:val="none" w:sz="0" w:space="0" w:color="auto"/>
                    <w:right w:val="none" w:sz="0" w:space="0" w:color="auto"/>
                  </w:divBdr>
                  <w:divsChild>
                    <w:div w:id="16965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594">
          <w:marLeft w:val="0"/>
          <w:marRight w:val="0"/>
          <w:marTop w:val="0"/>
          <w:marBottom w:val="0"/>
          <w:divBdr>
            <w:top w:val="none" w:sz="0" w:space="0" w:color="auto"/>
            <w:left w:val="none" w:sz="0" w:space="0" w:color="auto"/>
            <w:bottom w:val="none" w:sz="0" w:space="0" w:color="auto"/>
            <w:right w:val="none" w:sz="0" w:space="0" w:color="auto"/>
          </w:divBdr>
          <w:divsChild>
            <w:div w:id="1848716128">
              <w:marLeft w:val="0"/>
              <w:marRight w:val="0"/>
              <w:marTop w:val="0"/>
              <w:marBottom w:val="0"/>
              <w:divBdr>
                <w:top w:val="none" w:sz="0" w:space="0" w:color="auto"/>
                <w:left w:val="none" w:sz="0" w:space="0" w:color="auto"/>
                <w:bottom w:val="none" w:sz="0" w:space="0" w:color="auto"/>
                <w:right w:val="none" w:sz="0" w:space="0" w:color="auto"/>
              </w:divBdr>
              <w:divsChild>
                <w:div w:id="522129722">
                  <w:marLeft w:val="0"/>
                  <w:marRight w:val="0"/>
                  <w:marTop w:val="0"/>
                  <w:marBottom w:val="0"/>
                  <w:divBdr>
                    <w:top w:val="none" w:sz="0" w:space="0" w:color="auto"/>
                    <w:left w:val="none" w:sz="0" w:space="0" w:color="auto"/>
                    <w:bottom w:val="none" w:sz="0" w:space="0" w:color="auto"/>
                    <w:right w:val="none" w:sz="0" w:space="0" w:color="auto"/>
                  </w:divBdr>
                  <w:divsChild>
                    <w:div w:id="1792166571">
                      <w:marLeft w:val="0"/>
                      <w:marRight w:val="0"/>
                      <w:marTop w:val="0"/>
                      <w:marBottom w:val="0"/>
                      <w:divBdr>
                        <w:top w:val="none" w:sz="0" w:space="0" w:color="auto"/>
                        <w:left w:val="none" w:sz="0" w:space="0" w:color="auto"/>
                        <w:bottom w:val="none" w:sz="0" w:space="0" w:color="auto"/>
                        <w:right w:val="none" w:sz="0" w:space="0" w:color="auto"/>
                      </w:divBdr>
                      <w:divsChild>
                        <w:div w:id="583419561">
                          <w:marLeft w:val="0"/>
                          <w:marRight w:val="0"/>
                          <w:marTop w:val="0"/>
                          <w:marBottom w:val="0"/>
                          <w:divBdr>
                            <w:top w:val="none" w:sz="0" w:space="0" w:color="auto"/>
                            <w:left w:val="none" w:sz="0" w:space="0" w:color="auto"/>
                            <w:bottom w:val="none" w:sz="0" w:space="0" w:color="auto"/>
                            <w:right w:val="none" w:sz="0" w:space="0" w:color="auto"/>
                          </w:divBdr>
                          <w:divsChild>
                            <w:div w:id="1722437098">
                              <w:marLeft w:val="0"/>
                              <w:marRight w:val="0"/>
                              <w:marTop w:val="0"/>
                              <w:marBottom w:val="0"/>
                              <w:divBdr>
                                <w:top w:val="none" w:sz="0" w:space="0" w:color="auto"/>
                                <w:left w:val="none" w:sz="0" w:space="0" w:color="auto"/>
                                <w:bottom w:val="none" w:sz="0" w:space="0" w:color="auto"/>
                                <w:right w:val="none" w:sz="0" w:space="0" w:color="auto"/>
                              </w:divBdr>
                              <w:divsChild>
                                <w:div w:id="586303359">
                                  <w:marLeft w:val="0"/>
                                  <w:marRight w:val="0"/>
                                  <w:marTop w:val="0"/>
                                  <w:marBottom w:val="0"/>
                                  <w:divBdr>
                                    <w:top w:val="none" w:sz="0" w:space="0" w:color="auto"/>
                                    <w:left w:val="none" w:sz="0" w:space="0" w:color="auto"/>
                                    <w:bottom w:val="none" w:sz="0" w:space="0" w:color="auto"/>
                                    <w:right w:val="none" w:sz="0" w:space="0" w:color="auto"/>
                                  </w:divBdr>
                                  <w:divsChild>
                                    <w:div w:id="1318919898">
                                      <w:marLeft w:val="0"/>
                                      <w:marRight w:val="0"/>
                                      <w:marTop w:val="0"/>
                                      <w:marBottom w:val="0"/>
                                      <w:divBdr>
                                        <w:top w:val="none" w:sz="0" w:space="0" w:color="auto"/>
                                        <w:left w:val="none" w:sz="0" w:space="0" w:color="auto"/>
                                        <w:bottom w:val="none" w:sz="0" w:space="0" w:color="auto"/>
                                        <w:right w:val="none" w:sz="0" w:space="0" w:color="auto"/>
                                      </w:divBdr>
                                      <w:divsChild>
                                        <w:div w:id="16210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81424">
          <w:marLeft w:val="0"/>
          <w:marRight w:val="0"/>
          <w:marTop w:val="0"/>
          <w:marBottom w:val="0"/>
          <w:divBdr>
            <w:top w:val="none" w:sz="0" w:space="0" w:color="auto"/>
            <w:left w:val="none" w:sz="0" w:space="0" w:color="auto"/>
            <w:bottom w:val="none" w:sz="0" w:space="0" w:color="auto"/>
            <w:right w:val="none" w:sz="0" w:space="0" w:color="auto"/>
          </w:divBdr>
          <w:divsChild>
            <w:div w:id="328681270">
              <w:marLeft w:val="0"/>
              <w:marRight w:val="0"/>
              <w:marTop w:val="0"/>
              <w:marBottom w:val="0"/>
              <w:divBdr>
                <w:top w:val="none" w:sz="0" w:space="0" w:color="auto"/>
                <w:left w:val="none" w:sz="0" w:space="0" w:color="auto"/>
                <w:bottom w:val="none" w:sz="0" w:space="0" w:color="auto"/>
                <w:right w:val="none" w:sz="0" w:space="0" w:color="auto"/>
              </w:divBdr>
              <w:divsChild>
                <w:div w:id="546457319">
                  <w:marLeft w:val="0"/>
                  <w:marRight w:val="0"/>
                  <w:marTop w:val="0"/>
                  <w:marBottom w:val="0"/>
                  <w:divBdr>
                    <w:top w:val="none" w:sz="0" w:space="0" w:color="auto"/>
                    <w:left w:val="none" w:sz="0" w:space="0" w:color="auto"/>
                    <w:bottom w:val="none" w:sz="0" w:space="0" w:color="auto"/>
                    <w:right w:val="none" w:sz="0" w:space="0" w:color="auto"/>
                  </w:divBdr>
                  <w:divsChild>
                    <w:div w:id="647245791">
                      <w:marLeft w:val="0"/>
                      <w:marRight w:val="0"/>
                      <w:marTop w:val="0"/>
                      <w:marBottom w:val="0"/>
                      <w:divBdr>
                        <w:top w:val="none" w:sz="0" w:space="0" w:color="auto"/>
                        <w:left w:val="none" w:sz="0" w:space="0" w:color="auto"/>
                        <w:bottom w:val="none" w:sz="0" w:space="0" w:color="auto"/>
                        <w:right w:val="none" w:sz="0" w:space="0" w:color="auto"/>
                      </w:divBdr>
                      <w:divsChild>
                        <w:div w:id="1581523491">
                          <w:marLeft w:val="0"/>
                          <w:marRight w:val="0"/>
                          <w:marTop w:val="0"/>
                          <w:marBottom w:val="0"/>
                          <w:divBdr>
                            <w:top w:val="none" w:sz="0" w:space="0" w:color="auto"/>
                            <w:left w:val="none" w:sz="0" w:space="0" w:color="auto"/>
                            <w:bottom w:val="none" w:sz="0" w:space="0" w:color="auto"/>
                            <w:right w:val="none" w:sz="0" w:space="0" w:color="auto"/>
                          </w:divBdr>
                          <w:divsChild>
                            <w:div w:id="1950312384">
                              <w:marLeft w:val="0"/>
                              <w:marRight w:val="0"/>
                              <w:marTop w:val="0"/>
                              <w:marBottom w:val="0"/>
                              <w:divBdr>
                                <w:top w:val="none" w:sz="0" w:space="0" w:color="auto"/>
                                <w:left w:val="none" w:sz="0" w:space="0" w:color="auto"/>
                                <w:bottom w:val="none" w:sz="0" w:space="0" w:color="auto"/>
                                <w:right w:val="none" w:sz="0" w:space="0" w:color="auto"/>
                              </w:divBdr>
                              <w:divsChild>
                                <w:div w:id="15659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38253">
                  <w:marLeft w:val="0"/>
                  <w:marRight w:val="0"/>
                  <w:marTop w:val="0"/>
                  <w:marBottom w:val="0"/>
                  <w:divBdr>
                    <w:top w:val="none" w:sz="0" w:space="0" w:color="auto"/>
                    <w:left w:val="none" w:sz="0" w:space="0" w:color="auto"/>
                    <w:bottom w:val="none" w:sz="0" w:space="0" w:color="auto"/>
                    <w:right w:val="none" w:sz="0" w:space="0" w:color="auto"/>
                  </w:divBdr>
                  <w:divsChild>
                    <w:div w:id="819351412">
                      <w:marLeft w:val="0"/>
                      <w:marRight w:val="0"/>
                      <w:marTop w:val="0"/>
                      <w:marBottom w:val="0"/>
                      <w:divBdr>
                        <w:top w:val="none" w:sz="0" w:space="0" w:color="auto"/>
                        <w:left w:val="none" w:sz="0" w:space="0" w:color="auto"/>
                        <w:bottom w:val="none" w:sz="0" w:space="0" w:color="auto"/>
                        <w:right w:val="none" w:sz="0" w:space="0" w:color="auto"/>
                      </w:divBdr>
                      <w:divsChild>
                        <w:div w:id="765689783">
                          <w:marLeft w:val="0"/>
                          <w:marRight w:val="0"/>
                          <w:marTop w:val="0"/>
                          <w:marBottom w:val="0"/>
                          <w:divBdr>
                            <w:top w:val="none" w:sz="0" w:space="0" w:color="auto"/>
                            <w:left w:val="none" w:sz="0" w:space="0" w:color="auto"/>
                            <w:bottom w:val="none" w:sz="0" w:space="0" w:color="auto"/>
                            <w:right w:val="none" w:sz="0" w:space="0" w:color="auto"/>
                          </w:divBdr>
                          <w:divsChild>
                            <w:div w:id="808204910">
                              <w:marLeft w:val="0"/>
                              <w:marRight w:val="0"/>
                              <w:marTop w:val="0"/>
                              <w:marBottom w:val="0"/>
                              <w:divBdr>
                                <w:top w:val="none" w:sz="0" w:space="0" w:color="auto"/>
                                <w:left w:val="none" w:sz="0" w:space="0" w:color="auto"/>
                                <w:bottom w:val="none" w:sz="0" w:space="0" w:color="auto"/>
                                <w:right w:val="none" w:sz="0" w:space="0" w:color="auto"/>
                              </w:divBdr>
                              <w:divsChild>
                                <w:div w:id="603345036">
                                  <w:marLeft w:val="0"/>
                                  <w:marRight w:val="0"/>
                                  <w:marTop w:val="0"/>
                                  <w:marBottom w:val="0"/>
                                  <w:divBdr>
                                    <w:top w:val="none" w:sz="0" w:space="0" w:color="auto"/>
                                    <w:left w:val="none" w:sz="0" w:space="0" w:color="auto"/>
                                    <w:bottom w:val="none" w:sz="0" w:space="0" w:color="auto"/>
                                    <w:right w:val="none" w:sz="0" w:space="0" w:color="auto"/>
                                  </w:divBdr>
                                  <w:divsChild>
                                    <w:div w:id="5402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515632">
      <w:bodyDiv w:val="1"/>
      <w:marLeft w:val="0"/>
      <w:marRight w:val="0"/>
      <w:marTop w:val="0"/>
      <w:marBottom w:val="0"/>
      <w:divBdr>
        <w:top w:val="none" w:sz="0" w:space="0" w:color="auto"/>
        <w:left w:val="none" w:sz="0" w:space="0" w:color="auto"/>
        <w:bottom w:val="none" w:sz="0" w:space="0" w:color="auto"/>
        <w:right w:val="none" w:sz="0" w:space="0" w:color="auto"/>
      </w:divBdr>
    </w:div>
    <w:div w:id="1044407087">
      <w:bodyDiv w:val="1"/>
      <w:marLeft w:val="0"/>
      <w:marRight w:val="0"/>
      <w:marTop w:val="0"/>
      <w:marBottom w:val="0"/>
      <w:divBdr>
        <w:top w:val="none" w:sz="0" w:space="0" w:color="auto"/>
        <w:left w:val="none" w:sz="0" w:space="0" w:color="auto"/>
        <w:bottom w:val="none" w:sz="0" w:space="0" w:color="auto"/>
        <w:right w:val="none" w:sz="0" w:space="0" w:color="auto"/>
      </w:divBdr>
    </w:div>
    <w:div w:id="1056320078">
      <w:bodyDiv w:val="1"/>
      <w:marLeft w:val="0"/>
      <w:marRight w:val="0"/>
      <w:marTop w:val="0"/>
      <w:marBottom w:val="0"/>
      <w:divBdr>
        <w:top w:val="none" w:sz="0" w:space="0" w:color="auto"/>
        <w:left w:val="none" w:sz="0" w:space="0" w:color="auto"/>
        <w:bottom w:val="none" w:sz="0" w:space="0" w:color="auto"/>
        <w:right w:val="none" w:sz="0" w:space="0" w:color="auto"/>
      </w:divBdr>
      <w:divsChild>
        <w:div w:id="614216195">
          <w:marLeft w:val="0"/>
          <w:marRight w:val="0"/>
          <w:marTop w:val="0"/>
          <w:marBottom w:val="0"/>
          <w:divBdr>
            <w:top w:val="none" w:sz="0" w:space="0" w:color="auto"/>
            <w:left w:val="none" w:sz="0" w:space="0" w:color="auto"/>
            <w:bottom w:val="none" w:sz="0" w:space="0" w:color="auto"/>
            <w:right w:val="none" w:sz="0" w:space="0" w:color="auto"/>
          </w:divBdr>
          <w:divsChild>
            <w:div w:id="756947460">
              <w:marLeft w:val="0"/>
              <w:marRight w:val="0"/>
              <w:marTop w:val="0"/>
              <w:marBottom w:val="0"/>
              <w:divBdr>
                <w:top w:val="none" w:sz="0" w:space="0" w:color="auto"/>
                <w:left w:val="none" w:sz="0" w:space="0" w:color="auto"/>
                <w:bottom w:val="none" w:sz="0" w:space="0" w:color="auto"/>
                <w:right w:val="none" w:sz="0" w:space="0" w:color="auto"/>
              </w:divBdr>
              <w:divsChild>
                <w:div w:id="156308009">
                  <w:marLeft w:val="0"/>
                  <w:marRight w:val="0"/>
                  <w:marTop w:val="0"/>
                  <w:marBottom w:val="0"/>
                  <w:divBdr>
                    <w:top w:val="none" w:sz="0" w:space="0" w:color="auto"/>
                    <w:left w:val="none" w:sz="0" w:space="0" w:color="auto"/>
                    <w:bottom w:val="none" w:sz="0" w:space="0" w:color="auto"/>
                    <w:right w:val="none" w:sz="0" w:space="0" w:color="auto"/>
                  </w:divBdr>
                  <w:divsChild>
                    <w:div w:id="1552690223">
                      <w:marLeft w:val="0"/>
                      <w:marRight w:val="0"/>
                      <w:marTop w:val="0"/>
                      <w:marBottom w:val="0"/>
                      <w:divBdr>
                        <w:top w:val="none" w:sz="0" w:space="0" w:color="auto"/>
                        <w:left w:val="none" w:sz="0" w:space="0" w:color="auto"/>
                        <w:bottom w:val="none" w:sz="0" w:space="0" w:color="auto"/>
                        <w:right w:val="none" w:sz="0" w:space="0" w:color="auto"/>
                      </w:divBdr>
                      <w:divsChild>
                        <w:div w:id="1588348225">
                          <w:marLeft w:val="0"/>
                          <w:marRight w:val="0"/>
                          <w:marTop w:val="0"/>
                          <w:marBottom w:val="0"/>
                          <w:divBdr>
                            <w:top w:val="none" w:sz="0" w:space="0" w:color="auto"/>
                            <w:left w:val="none" w:sz="0" w:space="0" w:color="auto"/>
                            <w:bottom w:val="none" w:sz="0" w:space="0" w:color="auto"/>
                            <w:right w:val="none" w:sz="0" w:space="0" w:color="auto"/>
                          </w:divBdr>
                          <w:divsChild>
                            <w:div w:id="179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736144">
      <w:bodyDiv w:val="1"/>
      <w:marLeft w:val="0"/>
      <w:marRight w:val="0"/>
      <w:marTop w:val="0"/>
      <w:marBottom w:val="0"/>
      <w:divBdr>
        <w:top w:val="none" w:sz="0" w:space="0" w:color="auto"/>
        <w:left w:val="none" w:sz="0" w:space="0" w:color="auto"/>
        <w:bottom w:val="none" w:sz="0" w:space="0" w:color="auto"/>
        <w:right w:val="none" w:sz="0" w:space="0" w:color="auto"/>
      </w:divBdr>
    </w:div>
    <w:div w:id="1129126518">
      <w:bodyDiv w:val="1"/>
      <w:marLeft w:val="0"/>
      <w:marRight w:val="0"/>
      <w:marTop w:val="0"/>
      <w:marBottom w:val="0"/>
      <w:divBdr>
        <w:top w:val="none" w:sz="0" w:space="0" w:color="auto"/>
        <w:left w:val="none" w:sz="0" w:space="0" w:color="auto"/>
        <w:bottom w:val="none" w:sz="0" w:space="0" w:color="auto"/>
        <w:right w:val="none" w:sz="0" w:space="0" w:color="auto"/>
      </w:divBdr>
    </w:div>
    <w:div w:id="1132673851">
      <w:bodyDiv w:val="1"/>
      <w:marLeft w:val="0"/>
      <w:marRight w:val="0"/>
      <w:marTop w:val="0"/>
      <w:marBottom w:val="0"/>
      <w:divBdr>
        <w:top w:val="none" w:sz="0" w:space="0" w:color="auto"/>
        <w:left w:val="none" w:sz="0" w:space="0" w:color="auto"/>
        <w:bottom w:val="none" w:sz="0" w:space="0" w:color="auto"/>
        <w:right w:val="none" w:sz="0" w:space="0" w:color="auto"/>
      </w:divBdr>
    </w:div>
    <w:div w:id="1138953303">
      <w:bodyDiv w:val="1"/>
      <w:marLeft w:val="0"/>
      <w:marRight w:val="0"/>
      <w:marTop w:val="0"/>
      <w:marBottom w:val="0"/>
      <w:divBdr>
        <w:top w:val="none" w:sz="0" w:space="0" w:color="auto"/>
        <w:left w:val="none" w:sz="0" w:space="0" w:color="auto"/>
        <w:bottom w:val="none" w:sz="0" w:space="0" w:color="auto"/>
        <w:right w:val="none" w:sz="0" w:space="0" w:color="auto"/>
      </w:divBdr>
    </w:div>
    <w:div w:id="1297371933">
      <w:bodyDiv w:val="1"/>
      <w:marLeft w:val="0"/>
      <w:marRight w:val="0"/>
      <w:marTop w:val="0"/>
      <w:marBottom w:val="0"/>
      <w:divBdr>
        <w:top w:val="none" w:sz="0" w:space="0" w:color="auto"/>
        <w:left w:val="none" w:sz="0" w:space="0" w:color="auto"/>
        <w:bottom w:val="none" w:sz="0" w:space="0" w:color="auto"/>
        <w:right w:val="none" w:sz="0" w:space="0" w:color="auto"/>
      </w:divBdr>
    </w:div>
    <w:div w:id="1300383113">
      <w:bodyDiv w:val="1"/>
      <w:marLeft w:val="0"/>
      <w:marRight w:val="0"/>
      <w:marTop w:val="0"/>
      <w:marBottom w:val="0"/>
      <w:divBdr>
        <w:top w:val="none" w:sz="0" w:space="0" w:color="auto"/>
        <w:left w:val="none" w:sz="0" w:space="0" w:color="auto"/>
        <w:bottom w:val="none" w:sz="0" w:space="0" w:color="auto"/>
        <w:right w:val="none" w:sz="0" w:space="0" w:color="auto"/>
      </w:divBdr>
    </w:div>
    <w:div w:id="1364013043">
      <w:bodyDiv w:val="1"/>
      <w:marLeft w:val="0"/>
      <w:marRight w:val="0"/>
      <w:marTop w:val="0"/>
      <w:marBottom w:val="0"/>
      <w:divBdr>
        <w:top w:val="none" w:sz="0" w:space="0" w:color="auto"/>
        <w:left w:val="none" w:sz="0" w:space="0" w:color="auto"/>
        <w:bottom w:val="none" w:sz="0" w:space="0" w:color="auto"/>
        <w:right w:val="none" w:sz="0" w:space="0" w:color="auto"/>
      </w:divBdr>
    </w:div>
    <w:div w:id="1448769552">
      <w:bodyDiv w:val="1"/>
      <w:marLeft w:val="0"/>
      <w:marRight w:val="0"/>
      <w:marTop w:val="0"/>
      <w:marBottom w:val="0"/>
      <w:divBdr>
        <w:top w:val="none" w:sz="0" w:space="0" w:color="auto"/>
        <w:left w:val="none" w:sz="0" w:space="0" w:color="auto"/>
        <w:bottom w:val="none" w:sz="0" w:space="0" w:color="auto"/>
        <w:right w:val="none" w:sz="0" w:space="0" w:color="auto"/>
      </w:divBdr>
    </w:div>
    <w:div w:id="1528761233">
      <w:bodyDiv w:val="1"/>
      <w:marLeft w:val="0"/>
      <w:marRight w:val="0"/>
      <w:marTop w:val="0"/>
      <w:marBottom w:val="0"/>
      <w:divBdr>
        <w:top w:val="none" w:sz="0" w:space="0" w:color="auto"/>
        <w:left w:val="none" w:sz="0" w:space="0" w:color="auto"/>
        <w:bottom w:val="none" w:sz="0" w:space="0" w:color="auto"/>
        <w:right w:val="none" w:sz="0" w:space="0" w:color="auto"/>
      </w:divBdr>
    </w:div>
    <w:div w:id="1577277982">
      <w:bodyDiv w:val="1"/>
      <w:marLeft w:val="0"/>
      <w:marRight w:val="0"/>
      <w:marTop w:val="0"/>
      <w:marBottom w:val="0"/>
      <w:divBdr>
        <w:top w:val="none" w:sz="0" w:space="0" w:color="auto"/>
        <w:left w:val="none" w:sz="0" w:space="0" w:color="auto"/>
        <w:bottom w:val="none" w:sz="0" w:space="0" w:color="auto"/>
        <w:right w:val="none" w:sz="0" w:space="0" w:color="auto"/>
      </w:divBdr>
    </w:div>
    <w:div w:id="1640915984">
      <w:bodyDiv w:val="1"/>
      <w:marLeft w:val="0"/>
      <w:marRight w:val="0"/>
      <w:marTop w:val="0"/>
      <w:marBottom w:val="0"/>
      <w:divBdr>
        <w:top w:val="none" w:sz="0" w:space="0" w:color="auto"/>
        <w:left w:val="none" w:sz="0" w:space="0" w:color="auto"/>
        <w:bottom w:val="none" w:sz="0" w:space="0" w:color="auto"/>
        <w:right w:val="none" w:sz="0" w:space="0" w:color="auto"/>
      </w:divBdr>
    </w:div>
    <w:div w:id="1723021711">
      <w:bodyDiv w:val="1"/>
      <w:marLeft w:val="0"/>
      <w:marRight w:val="0"/>
      <w:marTop w:val="0"/>
      <w:marBottom w:val="0"/>
      <w:divBdr>
        <w:top w:val="none" w:sz="0" w:space="0" w:color="auto"/>
        <w:left w:val="none" w:sz="0" w:space="0" w:color="auto"/>
        <w:bottom w:val="none" w:sz="0" w:space="0" w:color="auto"/>
        <w:right w:val="none" w:sz="0" w:space="0" w:color="auto"/>
      </w:divBdr>
    </w:div>
    <w:div w:id="1724796030">
      <w:bodyDiv w:val="1"/>
      <w:marLeft w:val="0"/>
      <w:marRight w:val="0"/>
      <w:marTop w:val="0"/>
      <w:marBottom w:val="0"/>
      <w:divBdr>
        <w:top w:val="none" w:sz="0" w:space="0" w:color="auto"/>
        <w:left w:val="none" w:sz="0" w:space="0" w:color="auto"/>
        <w:bottom w:val="none" w:sz="0" w:space="0" w:color="auto"/>
        <w:right w:val="none" w:sz="0" w:space="0" w:color="auto"/>
      </w:divBdr>
    </w:div>
    <w:div w:id="1725594845">
      <w:bodyDiv w:val="1"/>
      <w:marLeft w:val="0"/>
      <w:marRight w:val="0"/>
      <w:marTop w:val="0"/>
      <w:marBottom w:val="0"/>
      <w:divBdr>
        <w:top w:val="none" w:sz="0" w:space="0" w:color="auto"/>
        <w:left w:val="none" w:sz="0" w:space="0" w:color="auto"/>
        <w:bottom w:val="none" w:sz="0" w:space="0" w:color="auto"/>
        <w:right w:val="none" w:sz="0" w:space="0" w:color="auto"/>
      </w:divBdr>
    </w:div>
    <w:div w:id="1828280482">
      <w:bodyDiv w:val="1"/>
      <w:marLeft w:val="0"/>
      <w:marRight w:val="0"/>
      <w:marTop w:val="0"/>
      <w:marBottom w:val="0"/>
      <w:divBdr>
        <w:top w:val="none" w:sz="0" w:space="0" w:color="auto"/>
        <w:left w:val="none" w:sz="0" w:space="0" w:color="auto"/>
        <w:bottom w:val="none" w:sz="0" w:space="0" w:color="auto"/>
        <w:right w:val="none" w:sz="0" w:space="0" w:color="auto"/>
      </w:divBdr>
    </w:div>
    <w:div w:id="1834486532">
      <w:bodyDiv w:val="1"/>
      <w:marLeft w:val="0"/>
      <w:marRight w:val="0"/>
      <w:marTop w:val="0"/>
      <w:marBottom w:val="0"/>
      <w:divBdr>
        <w:top w:val="none" w:sz="0" w:space="0" w:color="auto"/>
        <w:left w:val="none" w:sz="0" w:space="0" w:color="auto"/>
        <w:bottom w:val="none" w:sz="0" w:space="0" w:color="auto"/>
        <w:right w:val="none" w:sz="0" w:space="0" w:color="auto"/>
      </w:divBdr>
    </w:div>
    <w:div w:id="1842349568">
      <w:bodyDiv w:val="1"/>
      <w:marLeft w:val="0"/>
      <w:marRight w:val="0"/>
      <w:marTop w:val="0"/>
      <w:marBottom w:val="0"/>
      <w:divBdr>
        <w:top w:val="none" w:sz="0" w:space="0" w:color="auto"/>
        <w:left w:val="none" w:sz="0" w:space="0" w:color="auto"/>
        <w:bottom w:val="none" w:sz="0" w:space="0" w:color="auto"/>
        <w:right w:val="none" w:sz="0" w:space="0" w:color="auto"/>
      </w:divBdr>
    </w:div>
    <w:div w:id="210102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inebfridhi@gmail.com" TargetMode="External"/><Relationship Id="rId13" Type="http://schemas.openxmlformats.org/officeDocument/2006/relationships/hyperlink" Target="mailto:sami.zekri@fmt.utm.tn" TargetMode="External"/><Relationship Id="rId18" Type="http://schemas.openxmlformats.org/officeDocument/2006/relationships/hyperlink" Target="mailto:olfa.masmoudi@fst.utm.t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annani2606@gmail.com" TargetMode="External"/><Relationship Id="rId17" Type="http://schemas.openxmlformats.org/officeDocument/2006/relationships/hyperlink" Target="mailto:jerome.leprince@univ-rouen.fr" TargetMode="External"/><Relationship Id="rId2" Type="http://schemas.openxmlformats.org/officeDocument/2006/relationships/numbering" Target="numbering.xml"/><Relationship Id="rId16" Type="http://schemas.openxmlformats.org/officeDocument/2006/relationships/hyperlink" Target="mailto:taoufik.ghrairi@fst.utm.t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ayma.dlimi1@univ-rouen.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ie-anne.le-solliec2@univ-rouen.fr" TargetMode="External"/><Relationship Id="rId23" Type="http://schemas.openxmlformats.org/officeDocument/2006/relationships/fontTable" Target="fontTable.xml"/><Relationship Id="rId10" Type="http://schemas.openxmlformats.org/officeDocument/2006/relationships/hyperlink" Target="mailto:bourzamamine77@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erifamine81@gmail.com" TargetMode="External"/><Relationship Id="rId14" Type="http://schemas.openxmlformats.org/officeDocument/2006/relationships/hyperlink" Target="mailto:karthi.duraisamy@univ-rouen.f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1F967-D2C4-4FF5-8356-593AE8D6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14</Pages>
  <Words>21486</Words>
  <Characters>122473</Characters>
  <Application>Microsoft Office Word</Application>
  <DocSecurity>0</DocSecurity>
  <Lines>1020</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Olfa Masmoudi</dc:creator>
  <cp:lastModifiedBy>zeineb fridhi</cp:lastModifiedBy>
  <cp:revision>211</cp:revision>
  <dcterms:created xsi:type="dcterms:W3CDTF">2025-06-12T14:22:00Z</dcterms:created>
  <dcterms:modified xsi:type="dcterms:W3CDTF">2025-06-18T21:26:00Z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zotero-version="7.0.15"&gt;&lt;session id="dKMGonER"/&gt;&lt;style id="http://www.zotero.org/styles/national-library-of-medicine" hasBibliography="1" bibliographyStyleHasBeenSet="1"/&gt;&lt;prefs&gt;&lt;pref name="fieldType" value="Field"/&gt;&lt;pref name="auto</vt:lpwstr>
  </property>
  <property fmtid="{D5CDD505-2E9C-101B-9397-08002B2CF9AE}" pid="4" name="ZOTERO_PREF_2">
    <vt:lpwstr>maticJournalAbbreviations" value="true"/&gt;&lt;pref name="dontAskDelayCitationUpdates" value="true"/&gt;&lt;/prefs&gt;&lt;/data&gt;</vt:lpwstr>
  </property>
</Properties>
</file>