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BB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D2AB3">
        <w:rPr>
          <w:rFonts w:eastAsia="Times New Roman" w:cstheme="minorHAnsi"/>
          <w:b/>
        </w:rPr>
        <w:t>68107</w:t>
      </w:r>
    </w:p>
    <w:p w14:paraId="2F6924E5" w14:textId="2CCBF3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D2AB3">
        <w:rPr>
          <w:rFonts w:eastAsia="Times New Roman" w:cstheme="minorHAnsi"/>
          <w:b/>
        </w:rPr>
        <w:t>Sulakshana Karkala</w:t>
      </w:r>
    </w:p>
    <w:p w14:paraId="6FB9233B" w14:textId="6FA06B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D2AB3" w:rsidRPr="00C826F9">
          <w:rPr>
            <w:rStyle w:val="Hyperlink"/>
            <w:rFonts w:eastAsia="Times New Roman" w:cstheme="minorHAnsi"/>
            <w:b/>
          </w:rPr>
          <w:t>https://review.jove.com/account/file-uploader?src=20772683</w:t>
        </w:r>
      </w:hyperlink>
    </w:p>
    <w:p w14:paraId="28FE5C2C" w14:textId="77777777" w:rsidR="006D2AB3" w:rsidRPr="00B07A3B" w:rsidRDefault="006D2A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7989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D3E27" w:rsidRPr="006D3E27">
        <w:rPr>
          <w:b/>
          <w:bCs/>
          <w:sz w:val="32"/>
          <w:szCs w:val="32"/>
        </w:rPr>
        <w:t>Demystifying Venous Excess Ultrasound (</w:t>
      </w:r>
      <w:proofErr w:type="spellStart"/>
      <w:r w:rsidR="006D3E27" w:rsidRPr="006D3E27">
        <w:rPr>
          <w:b/>
          <w:bCs/>
          <w:sz w:val="32"/>
          <w:szCs w:val="32"/>
        </w:rPr>
        <w:t>VExUS</w:t>
      </w:r>
      <w:proofErr w:type="spellEnd"/>
      <w:r w:rsidR="006D3E27" w:rsidRPr="006D3E27">
        <w:rPr>
          <w:b/>
          <w:bCs/>
          <w:sz w:val="32"/>
          <w:szCs w:val="32"/>
        </w:rPr>
        <w:t>): Image Acquisition and Interpretation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B76C0" w14:textId="1BEC3B83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lang w:val="it-IT"/>
        </w:rPr>
        <w:t>Michael Turk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Abhilash Koratala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Thomas Robertson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Hari K.P. Kalagara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Yuriy S. Bronshteyn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</w:p>
    <w:p w14:paraId="1D276743" w14:textId="77777777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BB14212" w14:textId="2F0E6E0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Duke University School of Medicine</w:t>
      </w:r>
    </w:p>
    <w:p w14:paraId="2A406004" w14:textId="621C30C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Medical College of Wisconsin</w:t>
      </w:r>
    </w:p>
    <w:p w14:paraId="02B04B21" w14:textId="2CC6FD56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Medicine Institute, Allegheny Health Network</w:t>
      </w:r>
    </w:p>
    <w:p w14:paraId="403EE404" w14:textId="2BBFE555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Mayo Clinic</w:t>
      </w:r>
    </w:p>
    <w:p w14:paraId="74A3CDA1" w14:textId="1FA4B8D4" w:rsidR="00D6314B" w:rsidRPr="006D3E27" w:rsidRDefault="006D3E27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Duke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1F6ED9" w:rsidR="004E0C5A" w:rsidRPr="00B07A3B" w:rsidRDefault="006D3E27" w:rsidP="004E0C5A">
      <w:pPr>
        <w:outlineLvl w:val="0"/>
        <w:rPr>
          <w:rFonts w:eastAsia="Times New Roman" w:cstheme="minorHAnsi"/>
        </w:rPr>
      </w:pPr>
      <w:bookmarkStart w:id="0" w:name="_Hlk25233958"/>
      <w:r w:rsidRPr="006D3E27">
        <w:rPr>
          <w:rFonts w:eastAsia="Times New Roman" w:cstheme="minorHAnsi"/>
        </w:rPr>
        <w:t>Michael Turk</w:t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  <w:t>(Michael.turk@duke.edu)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4B8C231B" w:rsidR="003B5E26" w:rsidRPr="006D3E27" w:rsidRDefault="006D3E27" w:rsidP="009A0E7C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>Michael Turk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(Michael.turk@duke.edu)</w:t>
      </w:r>
    </w:p>
    <w:p w14:paraId="2528EFB2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Abhilash </w:t>
      </w:r>
      <w:proofErr w:type="spellStart"/>
      <w:r w:rsidRPr="006D3E27">
        <w:rPr>
          <w:rFonts w:cstheme="minorHAnsi"/>
          <w:bCs/>
          <w:sz w:val="22"/>
          <w:szCs w:val="22"/>
        </w:rPr>
        <w:t>Koratala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(Akoratala@mcw.edu)</w:t>
      </w:r>
    </w:p>
    <w:p w14:paraId="2E805203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Thomas Robertson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(Thomas.robertson@ahn.org)</w:t>
      </w:r>
    </w:p>
    <w:p w14:paraId="0BD70879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Hari K.P. </w:t>
      </w:r>
      <w:proofErr w:type="spellStart"/>
      <w:r w:rsidRPr="006D3E27">
        <w:rPr>
          <w:rFonts w:cstheme="minorHAnsi"/>
          <w:bCs/>
          <w:sz w:val="22"/>
          <w:szCs w:val="22"/>
        </w:rPr>
        <w:t>Kalagara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(Kalagara.hari@mayo.edu)</w:t>
      </w:r>
    </w:p>
    <w:p w14:paraId="5A2BE33C" w14:textId="536CB318" w:rsidR="001E230F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Yuriy S. Bronshteyn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(Yuriy.bronshteyn@duke.edu)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46B49">
        <w:rPr>
          <w:rFonts w:cstheme="minorHAnsi"/>
          <w:b/>
          <w:sz w:val="22"/>
          <w:szCs w:val="22"/>
        </w:rPr>
        <w:t>Length</w:t>
      </w:r>
    </w:p>
    <w:p w14:paraId="72F5C5E6" w14:textId="35882C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46B49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4B6363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6B49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658407D7" w:rsidR="00FF25E5" w:rsidRPr="006D3E27" w:rsidRDefault="00FF25E5" w:rsidP="006D3E2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</w:t>
      </w:r>
      <w:commentRangeStart w:id="1"/>
      <w:r w:rsidRPr="00B36993">
        <w:rPr>
          <w:rFonts w:eastAsia="Times New Roman" w:cstheme="minorHAnsi"/>
        </w:rPr>
        <w:t xml:space="preserve">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6D3E27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82C4FCB" w:rsidR="00CE10F2" w:rsidRDefault="006D3E2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D3E27">
        <w:rPr>
          <w:rFonts w:cstheme="minorHAnsi"/>
          <w:b/>
          <w:bCs/>
        </w:rPr>
        <w:t>Ultrasound Imaging Setup and Hepatic Vein Assessment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3F5151E4" w:rsidR="00985FE6" w:rsidRDefault="00A11851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11851">
        <w:rPr>
          <w:rFonts w:cstheme="minorHAnsi"/>
          <w:highlight w:val="yellow"/>
        </w:rPr>
        <w:t>AUTHORS: Please confirm that all shots labeled SCREEN are captured using software. If some shots can be manually performed, please re-label them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31D7E525" w14:textId="6AC7837C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To begin, position the patient in a supine posture for most of the examination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Expose the patient’s lower chest and abdomen prior to scanning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Position the ultrasound machine so that the sonographer’s dominant hand can comfortably hold the ultrasound probe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D1E9C6B" w14:textId="7E55AB82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WIDE: Talent positioning a patient lying supine on the examination bed.</w:t>
      </w:r>
    </w:p>
    <w:p w14:paraId="6A636D97" w14:textId="37A19F00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uncovering the patient’s lower chest and abdomen.</w:t>
      </w:r>
    </w:p>
    <w:p w14:paraId="037026F5" w14:textId="4E5D97BE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adjusting the ultrasound machine to the correct side for probe access.</w:t>
      </w:r>
    </w:p>
    <w:p w14:paraId="0093241A" w14:textId="77777777" w:rsidR="006D3E27" w:rsidRPr="006D3E27" w:rsidRDefault="006D3E27" w:rsidP="006D3E27">
      <w:pPr>
        <w:pStyle w:val="ListParagraph"/>
        <w:spacing w:before="120"/>
        <w:ind w:left="907"/>
        <w:rPr>
          <w:rFonts w:cstheme="minorHAnsi"/>
        </w:rPr>
      </w:pPr>
    </w:p>
    <w:p w14:paraId="27DCBB89" w14:textId="44AFE56F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Select the </w:t>
      </w:r>
      <w:r w:rsidRPr="006D3E27">
        <w:rPr>
          <w:rFonts w:cstheme="minorHAnsi"/>
          <w:b/>
          <w:bCs/>
        </w:rPr>
        <w:t>two-dimensional</w:t>
      </w:r>
      <w:r w:rsidRPr="006D3E27">
        <w:rPr>
          <w:rFonts w:cstheme="minorHAnsi"/>
        </w:rPr>
        <w:t xml:space="preserve"> </w:t>
      </w:r>
      <w:r w:rsidRPr="006D3E27">
        <w:rPr>
          <w:rFonts w:cstheme="minorHAnsi"/>
          <w:b/>
          <w:bCs/>
        </w:rPr>
        <w:t>(2</w:t>
      </w:r>
      <w:r>
        <w:rPr>
          <w:rFonts w:cstheme="minorHAnsi"/>
          <w:b/>
          <w:bCs/>
        </w:rPr>
        <w:t>-</w:t>
      </w:r>
      <w:r w:rsidRPr="006D3E27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Pr="006D3E27">
        <w:rPr>
          <w:rFonts w:cstheme="minorHAnsi"/>
          <w:i/>
          <w:iCs/>
          <w:color w:val="FF0000"/>
        </w:rPr>
        <w:t xml:space="preserve">(2-D) </w:t>
      </w:r>
      <w:r w:rsidRPr="006D3E27">
        <w:rPr>
          <w:rFonts w:cstheme="minorHAnsi"/>
        </w:rPr>
        <w:t xml:space="preserve">mode, also called brightness mode or </w:t>
      </w:r>
      <w:r w:rsidRPr="006D3E27">
        <w:rPr>
          <w:rFonts w:cstheme="minorHAnsi"/>
          <w:b/>
          <w:bCs/>
        </w:rPr>
        <w:t>B-mode</w:t>
      </w:r>
      <w:r>
        <w:rPr>
          <w:rFonts w:cstheme="minorHAnsi"/>
          <w:b/>
          <w:bCs/>
        </w:rPr>
        <w:t xml:space="preserve"> </w:t>
      </w:r>
      <w:r w:rsidRPr="00A11851">
        <w:rPr>
          <w:rFonts w:cstheme="minorHAnsi"/>
          <w:i/>
          <w:iCs/>
          <w:color w:val="FF0000"/>
        </w:rPr>
        <w:t>(</w:t>
      </w:r>
      <w:r w:rsidRPr="00A11851">
        <w:rPr>
          <w:rFonts w:cstheme="minorHAnsi"/>
          <w:i/>
          <w:iCs/>
          <w:color w:val="FF0000"/>
        </w:rPr>
        <w:t>B-mod</w:t>
      </w:r>
      <w:r w:rsidR="00A11851" w:rsidRPr="00A11851">
        <w:rPr>
          <w:rFonts w:cstheme="minorHAnsi"/>
          <w:i/>
          <w:iCs/>
          <w:color w:val="FF0000"/>
        </w:rPr>
        <w:t>e)</w:t>
      </w:r>
      <w:r w:rsidRPr="006D3E27">
        <w:rPr>
          <w:rFonts w:cstheme="minorHAnsi"/>
        </w:rPr>
        <w:t xml:space="preserve">, on the ultrasound machine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Then, select the </w:t>
      </w:r>
      <w:r w:rsidRPr="00A11851">
        <w:rPr>
          <w:rFonts w:cstheme="minorHAnsi"/>
          <w:b/>
          <w:bCs/>
        </w:rPr>
        <w:t>Cardiac</w:t>
      </w:r>
      <w:r w:rsidRPr="006D3E27">
        <w:rPr>
          <w:rFonts w:cstheme="minorHAnsi"/>
        </w:rPr>
        <w:t xml:space="preserve"> preset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>.</w:t>
      </w:r>
      <w:r w:rsidR="00A11851">
        <w:rPr>
          <w:rFonts w:cstheme="minorHAnsi"/>
        </w:rPr>
        <w:br/>
      </w:r>
      <w:r w:rsidR="00A11851" w:rsidRPr="00A11851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4" w:history="1">
        <w:r w:rsidR="00A11851" w:rsidRPr="00A11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https://review.jove.com/account/file-uploader?src=20772683</w:t>
        </w:r>
      </w:hyperlink>
    </w:p>
    <w:p w14:paraId="2D79425A" w14:textId="3796FD27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Navigate the machine interface and choose B-mode.</w:t>
      </w:r>
    </w:p>
    <w:p w14:paraId="1FF34FDD" w14:textId="29958320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the Cardiac preset from the list of presets.</w:t>
      </w:r>
    </w:p>
    <w:p w14:paraId="544B8A9B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3C150474" w14:textId="0477CB85" w:rsidR="006D3E27" w:rsidRPr="00A11851" w:rsidRDefault="006D3E27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For the subxiphoid view, place the probe beneath the xiphoid process with the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Adjust the probe position until the inferior vena cava </w:t>
      </w:r>
      <w:r w:rsidR="00A11851">
        <w:rPr>
          <w:rFonts w:cstheme="minorHAnsi"/>
        </w:rPr>
        <w:lastRenderedPageBreak/>
        <w:t xml:space="preserve">or IVC </w:t>
      </w:r>
      <w:r w:rsidR="00A11851" w:rsidRPr="00A11851">
        <w:rPr>
          <w:rFonts w:cstheme="minorHAnsi"/>
          <w:i/>
          <w:iCs/>
          <w:color w:val="FF0000"/>
        </w:rPr>
        <w:t xml:space="preserve">(I-V-C) </w:t>
      </w:r>
      <w:r w:rsidRPr="006D3E27">
        <w:rPr>
          <w:rFonts w:cstheme="minorHAnsi"/>
        </w:rPr>
        <w:t xml:space="preserve">is visualized in its maximal anteroposterior diameter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While maintaining the IVC at the center of the screen, rotate the probe 90 degrees counterclockwise to obtain a short-axis view of the IVC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D589B4E" w14:textId="0B52A160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placing the ultrasound probe below the xiphoid process with indicator cranially.</w:t>
      </w:r>
    </w:p>
    <w:p w14:paraId="1B4AA58D" w14:textId="6AFDFA2D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</w:t>
      </w:r>
      <w:r w:rsidR="00A11851" w:rsidRPr="00A11851">
        <w:rPr>
          <w:rFonts w:cstheme="minorHAnsi"/>
          <w:highlight w:val="yellow"/>
        </w:rPr>
        <w:t>/SCREEN</w:t>
      </w:r>
      <w:r w:rsidRPr="006D3E27">
        <w:rPr>
          <w:rFonts w:cstheme="minorHAnsi"/>
        </w:rPr>
        <w:t xml:space="preserve">: Maximal anteroposterior diameter view of the IVC </w:t>
      </w:r>
      <w:r w:rsidR="00A11851">
        <w:rPr>
          <w:rFonts w:cstheme="minorHAnsi"/>
        </w:rPr>
        <w:t xml:space="preserve">is being seen </w:t>
      </w:r>
      <w:r w:rsidRPr="006D3E27">
        <w:rPr>
          <w:rFonts w:cstheme="minorHAnsi"/>
        </w:rPr>
        <w:t>on screen.</w:t>
      </w:r>
    </w:p>
    <w:p w14:paraId="19BDDE21" w14:textId="2E55AD9F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rotating the probe counterclockwise while keeping the IVC centered on screen.</w:t>
      </w:r>
      <w:r w:rsidR="00A11851">
        <w:rPr>
          <w:rFonts w:cstheme="minorHAnsi"/>
        </w:rPr>
        <w:br/>
      </w:r>
    </w:p>
    <w:p w14:paraId="1401C5C7" w14:textId="5A5A88AE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In patients with contraindications to subxiphoid imaging, place the probe along the right anterior axillary line in the body’s coronal plane with the probe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</w:t>
      </w:r>
    </w:p>
    <w:p w14:paraId="477FFD21" w14:textId="102F7CEA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the probe on the right anterior axillary line with indicator pointing cranially.</w:t>
      </w:r>
      <w:r w:rsidR="00A11851">
        <w:rPr>
          <w:rFonts w:cstheme="minorHAnsi"/>
        </w:rPr>
        <w:br/>
      </w:r>
    </w:p>
    <w:p w14:paraId="00C46FF1" w14:textId="3B4DAE4F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Adjust the probe position until the IVC is seen in its maximal anteroposterior diameter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While keeping the IVC in the center of the screen, rotate the probe 90 degrees counterclockwise to obtain a short-axis view of the IVC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>.</w:t>
      </w:r>
    </w:p>
    <w:p w14:paraId="141EA339" w14:textId="4FA383EC" w:rsidR="006D3E27" w:rsidRPr="006D3E27" w:rsidRDefault="00A11851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 w:rsidR="006D3E27" w:rsidRPr="006D3E27">
        <w:rPr>
          <w:rFonts w:cstheme="minorHAnsi"/>
        </w:rPr>
        <w:t>Visualization of the IVC in maximal anteroposterior diameter</w:t>
      </w:r>
      <w:r>
        <w:rPr>
          <w:rFonts w:cstheme="minorHAnsi"/>
        </w:rPr>
        <w:t xml:space="preserve"> is being seen</w:t>
      </w:r>
      <w:r w:rsidR="006D3E27" w:rsidRPr="006D3E27">
        <w:rPr>
          <w:rFonts w:cstheme="minorHAnsi"/>
        </w:rPr>
        <w:t>.</w:t>
      </w:r>
    </w:p>
    <w:p w14:paraId="76687913" w14:textId="4F08D10C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rotating the probe 90 degrees counterclockwise while keeping IVC centered.</w:t>
      </w:r>
    </w:p>
    <w:p w14:paraId="20F9D706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2BBAC43E" w14:textId="332D577A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To visualize hepatic vein Doppler from the right flank view, place the probe along the right anterior axillary line in the body’s coronal plane with the probe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</w:t>
      </w:r>
    </w:p>
    <w:p w14:paraId="2D5A760A" w14:textId="1FA8E78F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probe at the right anterior axillary line.</w:t>
      </w:r>
      <w:r w:rsidR="00A11851">
        <w:rPr>
          <w:rFonts w:cstheme="minorHAnsi"/>
        </w:rPr>
        <w:br/>
      </w:r>
    </w:p>
    <w:p w14:paraId="17F5CD24" w14:textId="38883581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Adjust the probe until the hepatic vein is visualized entering the IVC near the </w:t>
      </w:r>
      <w:proofErr w:type="spellStart"/>
      <w:r w:rsidRPr="006D3E27">
        <w:rPr>
          <w:rFonts w:cstheme="minorHAnsi"/>
        </w:rPr>
        <w:t>cavo</w:t>
      </w:r>
      <w:proofErr w:type="spellEnd"/>
      <w:r w:rsidRPr="006D3E27">
        <w:rPr>
          <w:rFonts w:cstheme="minorHAnsi"/>
        </w:rPr>
        <w:t xml:space="preserve">-atrial junction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Select </w:t>
      </w:r>
      <w:r w:rsidRPr="00A11851">
        <w:rPr>
          <w:rFonts w:cstheme="minorHAnsi"/>
          <w:b/>
          <w:bCs/>
        </w:rPr>
        <w:t>Color Doppler</w:t>
      </w:r>
      <w:r w:rsidRPr="006D3E27">
        <w:rPr>
          <w:rFonts w:cstheme="minorHAnsi"/>
        </w:rPr>
        <w:t xml:space="preserve"> mode on the ultrasound machine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</w:t>
      </w:r>
      <w:r>
        <w:rPr>
          <w:rFonts w:cstheme="minorHAnsi"/>
        </w:rPr>
        <w:t>Then m</w:t>
      </w:r>
      <w:r w:rsidRPr="006D3E27">
        <w:rPr>
          <w:rFonts w:cstheme="minorHAnsi"/>
        </w:rPr>
        <w:t xml:space="preserve">ove the color box to include </w:t>
      </w:r>
      <w:proofErr w:type="gramStart"/>
      <w:r w:rsidRPr="006D3E27">
        <w:rPr>
          <w:rFonts w:cstheme="minorHAnsi"/>
        </w:rPr>
        <w:t>the majority of</w:t>
      </w:r>
      <w:proofErr w:type="gramEnd"/>
      <w:r w:rsidRPr="006D3E27">
        <w:rPr>
          <w:rFonts w:cstheme="minorHAnsi"/>
        </w:rPr>
        <w:t xml:space="preserve"> the vessel within its borders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FF58734" w14:textId="634623ED" w:rsidR="00A11851" w:rsidRPr="00A11851" w:rsidRDefault="00A11851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 w:rsidR="006D3E27" w:rsidRPr="006D3E27">
        <w:rPr>
          <w:rFonts w:cstheme="minorHAnsi"/>
        </w:rPr>
        <w:t xml:space="preserve">Hepatic vein emptying into IVC near </w:t>
      </w:r>
      <w:proofErr w:type="spellStart"/>
      <w:r w:rsidR="006D3E27" w:rsidRPr="006D3E27">
        <w:rPr>
          <w:rFonts w:cstheme="minorHAnsi"/>
        </w:rPr>
        <w:t>cavo</w:t>
      </w:r>
      <w:proofErr w:type="spellEnd"/>
      <w:r w:rsidR="006D3E27" w:rsidRPr="006D3E27">
        <w:rPr>
          <w:rFonts w:cstheme="minorHAnsi"/>
        </w:rPr>
        <w:t>-atrial junction</w:t>
      </w:r>
      <w:r>
        <w:rPr>
          <w:rFonts w:cstheme="minorHAnsi"/>
        </w:rPr>
        <w:t xml:space="preserve"> is being seen</w:t>
      </w:r>
      <w:r w:rsidR="006D3E27" w:rsidRPr="006D3E27">
        <w:rPr>
          <w:rFonts w:cstheme="minorHAnsi"/>
        </w:rPr>
        <w:t>.</w:t>
      </w:r>
    </w:p>
    <w:p w14:paraId="7E20609A" w14:textId="14DD14DD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Color Doppler mode on the interface.</w:t>
      </w:r>
    </w:p>
    <w:p w14:paraId="3B26F114" w14:textId="7F81550E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Move and resize the color Doppler box to cover the vessel.</w:t>
      </w:r>
    </w:p>
    <w:p w14:paraId="5FFB63DB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4A32AF5C" w14:textId="6762E2E9" w:rsidR="006D3E27" w:rsidRPr="00A11851" w:rsidRDefault="00A11851" w:rsidP="00D578D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</w:rPr>
        <w:t>Next</w:t>
      </w:r>
      <w:r w:rsidR="006D3E27" w:rsidRPr="00A11851">
        <w:rPr>
          <w:rFonts w:cstheme="minorHAnsi"/>
        </w:rPr>
        <w:t xml:space="preserve">, select </w:t>
      </w:r>
      <w:r w:rsidR="006D3E27" w:rsidRPr="00A11851">
        <w:rPr>
          <w:rFonts w:cstheme="minorHAnsi"/>
          <w:b/>
          <w:bCs/>
        </w:rPr>
        <w:t>PW Doppler</w:t>
      </w:r>
      <w:r w:rsidR="006D3E27" w:rsidRPr="00A11851">
        <w:rPr>
          <w:rFonts w:cstheme="minorHAnsi"/>
        </w:rPr>
        <w:t xml:space="preserve"> </w:t>
      </w:r>
      <w:r w:rsidRPr="00A11851">
        <w:rPr>
          <w:rFonts w:cstheme="minorHAnsi"/>
          <w:i/>
          <w:iCs/>
          <w:color w:val="FF0000"/>
        </w:rPr>
        <w:t>(</w:t>
      </w:r>
      <w:r w:rsidRPr="00A11851">
        <w:rPr>
          <w:rFonts w:cstheme="minorHAnsi"/>
          <w:i/>
          <w:iCs/>
          <w:color w:val="FF0000"/>
        </w:rPr>
        <w:t>P</w:t>
      </w:r>
      <w:r w:rsidRPr="00A11851">
        <w:rPr>
          <w:rFonts w:cstheme="minorHAnsi"/>
          <w:i/>
          <w:iCs/>
          <w:color w:val="FF0000"/>
        </w:rPr>
        <w:t>-</w:t>
      </w:r>
      <w:r w:rsidRPr="00A11851">
        <w:rPr>
          <w:rFonts w:cstheme="minorHAnsi"/>
          <w:i/>
          <w:iCs/>
          <w:color w:val="FF0000"/>
        </w:rPr>
        <w:t>W</w:t>
      </w:r>
      <w:r w:rsidRPr="00A11851">
        <w:rPr>
          <w:rFonts w:cstheme="minorHAnsi"/>
          <w:i/>
          <w:iCs/>
          <w:color w:val="FF0000"/>
        </w:rPr>
        <w:t>-</w:t>
      </w:r>
      <w:r w:rsidRPr="00A11851">
        <w:rPr>
          <w:rFonts w:cstheme="minorHAnsi"/>
          <w:i/>
          <w:iCs/>
          <w:color w:val="FF0000"/>
        </w:rPr>
        <w:t>Doppler</w:t>
      </w:r>
      <w:r w:rsidRPr="00A11851">
        <w:rPr>
          <w:rFonts w:cstheme="minorHAnsi"/>
          <w:i/>
          <w:iCs/>
          <w:color w:val="FF0000"/>
        </w:rPr>
        <w:t>)</w:t>
      </w:r>
      <w:r w:rsidRPr="00A11851">
        <w:rPr>
          <w:rFonts w:cstheme="minorHAnsi"/>
          <w:i/>
          <w:iCs/>
          <w:color w:val="FF0000"/>
        </w:rPr>
        <w:t xml:space="preserve"> </w:t>
      </w:r>
      <w:r w:rsidR="006D3E27" w:rsidRPr="00A11851">
        <w:rPr>
          <w:rFonts w:cstheme="minorHAnsi"/>
        </w:rPr>
        <w:t xml:space="preserve">mode on the ultrasound machine </w:t>
      </w:r>
      <w:r w:rsidR="00746B49" w:rsidRPr="00746B49">
        <w:rPr>
          <w:rFonts w:cstheme="minorHAnsi"/>
          <w:b/>
          <w:bCs/>
        </w:rPr>
        <w:t>[1]</w:t>
      </w:r>
      <w:r w:rsidR="006D3E27" w:rsidRPr="00A11851">
        <w:rPr>
          <w:rFonts w:cstheme="minorHAnsi"/>
        </w:rPr>
        <w:t xml:space="preserve">. Move the Doppler gate so that it is located within the lumen of the hepatic vein </w:t>
      </w:r>
      <w:r w:rsidR="00746B49" w:rsidRPr="00746B49">
        <w:rPr>
          <w:rFonts w:cstheme="minorHAnsi"/>
          <w:b/>
          <w:bCs/>
        </w:rPr>
        <w:t>[2]</w:t>
      </w:r>
      <w:r w:rsidR="006D3E27" w:rsidRPr="00A11851">
        <w:rPr>
          <w:rFonts w:cstheme="minorHAnsi"/>
        </w:rPr>
        <w:t xml:space="preserve">. </w:t>
      </w:r>
    </w:p>
    <w:p w14:paraId="272AEC0C" w14:textId="79158888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PW Doppler mode on the ultrasound machine.</w:t>
      </w:r>
    </w:p>
    <w:p w14:paraId="34AE4AAC" w14:textId="54075DA1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Adjust the Doppler gate to align within the hepatic vein.</w:t>
      </w:r>
    </w:p>
    <w:p w14:paraId="28195FDC" w14:textId="37E8DE3D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lastRenderedPageBreak/>
        <w:t xml:space="preserve">Activate </w:t>
      </w:r>
      <w:r w:rsidRPr="00A11851">
        <w:rPr>
          <w:rFonts w:cstheme="minorHAnsi"/>
          <w:b/>
          <w:bCs/>
        </w:rPr>
        <w:t>PW Doppler</w:t>
      </w:r>
      <w:r w:rsidRPr="006D3E27">
        <w:rPr>
          <w:rFonts w:cstheme="minorHAnsi"/>
        </w:rPr>
        <w:t xml:space="preserve"> to start capturing waveform data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Allow a full screen of PW Doppler tracing to occur, then click on </w:t>
      </w:r>
      <w:r w:rsidRPr="00A11851">
        <w:rPr>
          <w:rFonts w:cstheme="minorHAnsi"/>
          <w:b/>
          <w:bCs/>
        </w:rPr>
        <w:t>Freeze</w:t>
      </w:r>
      <w:r w:rsidRPr="006D3E27">
        <w:rPr>
          <w:rFonts w:cstheme="minorHAnsi"/>
        </w:rPr>
        <w:t xml:space="preserve"> or the equivalent control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Click on </w:t>
      </w:r>
      <w:r w:rsidRPr="00A11851">
        <w:rPr>
          <w:rFonts w:cstheme="minorHAnsi"/>
          <w:b/>
          <w:bCs/>
        </w:rPr>
        <w:t>Acquire</w:t>
      </w:r>
      <w:r w:rsidRPr="006D3E27">
        <w:rPr>
          <w:rFonts w:cstheme="minorHAnsi"/>
        </w:rPr>
        <w:t xml:space="preserve"> or the equivalent button to save still images of the flow tracing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1D7378CF" w14:textId="1F59292F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Activate PW Doppler to begin tracing.</w:t>
      </w:r>
    </w:p>
    <w:p w14:paraId="71EE6C3F" w14:textId="176DB8F1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Freeze once full tracing is captured.</w:t>
      </w:r>
    </w:p>
    <w:p w14:paraId="24C6B477" w14:textId="675CA43B" w:rsidR="00125924" w:rsidRPr="00B07A3B" w:rsidRDefault="006D3E27" w:rsidP="00A1185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Acquire to save the tracing image.</w:t>
      </w:r>
    </w:p>
    <w:p w14:paraId="09689C4F" w14:textId="68154B7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2CA116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254DD">
        <w:rPr>
          <w:rFonts w:eastAsia="Times New Roman" w:cstheme="minorHAnsi"/>
          <w:bCs/>
        </w:rPr>
        <w:t>102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34A1069" w14:textId="157A85FA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>Hepatic vein Doppler showed progressive reversal of the systolic wave with increasing venous congestion</w:t>
      </w:r>
      <w:r>
        <w:rPr>
          <w:rFonts w:cstheme="minorHAnsi"/>
        </w:rPr>
        <w:t xml:space="preserve">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4B644E3B" w14:textId="298AE51F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12. </w:t>
      </w:r>
      <w:r w:rsidRPr="00A254DD">
        <w:rPr>
          <w:rFonts w:cstheme="minorHAnsi"/>
          <w:color w:val="0000FF"/>
        </w:rPr>
        <w:t>Video editor: Highlight the three right-side panels with black backgrounds showing the waveform</w:t>
      </w:r>
    </w:p>
    <w:p w14:paraId="621A0F37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C6A366" w14:textId="7E40DE20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Portal vein Doppler tracing changed from a near-continuous waveform with </w:t>
      </w:r>
      <w:proofErr w:type="spellStart"/>
      <w:proofErr w:type="gramStart"/>
      <w:r w:rsidRPr="00A254DD">
        <w:rPr>
          <w:rFonts w:cstheme="minorHAnsi"/>
        </w:rPr>
        <w:t>pulsatility</w:t>
      </w:r>
      <w:proofErr w:type="spellEnd"/>
      <w:r w:rsidRPr="00A254DD">
        <w:rPr>
          <w:rFonts w:cstheme="minorHAnsi"/>
        </w:rPr>
        <w:t xml:space="preserve"> </w:t>
      </w:r>
      <w:r>
        <w:rPr>
          <w:rFonts w:cstheme="minorHAnsi"/>
        </w:rPr>
        <w:t xml:space="preserve"> index</w:t>
      </w:r>
      <w:proofErr w:type="gramEnd"/>
      <w:r>
        <w:rPr>
          <w:rFonts w:cstheme="minorHAnsi"/>
        </w:rPr>
        <w:t xml:space="preserve"> of </w:t>
      </w:r>
      <w:r w:rsidRPr="00A254DD">
        <w:rPr>
          <w:rFonts w:cstheme="minorHAnsi"/>
        </w:rPr>
        <w:t xml:space="preserve">less than 30 percent to over 50 percent and then to a to-and-fro pattern with reversed flow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0B77418C" w14:textId="623B9406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13. </w:t>
      </w:r>
      <w:r w:rsidRPr="00A254DD">
        <w:rPr>
          <w:rFonts w:cstheme="minorHAnsi"/>
          <w:i/>
          <w:iCs/>
          <w:color w:val="0000FF"/>
        </w:rPr>
        <w:t>Video editor: Highlight the waveform panels on the right side.</w:t>
      </w:r>
      <w:r w:rsidRPr="00A254DD">
        <w:rPr>
          <w:rFonts w:cstheme="minorHAnsi"/>
          <w:color w:val="0000FF"/>
        </w:rPr>
        <w:t xml:space="preserve"> </w:t>
      </w:r>
    </w:p>
    <w:p w14:paraId="791A41E4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5EC435" w14:textId="3D516FE7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Intrarenal vein Doppler showed progression from continuous flow to biphasic waves, then to monophasic D-only waves indicating worsening venous congestion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719A132C" w14:textId="6A8E9650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14. </w:t>
      </w:r>
      <w:r w:rsidRPr="00A254DD">
        <w:rPr>
          <w:rFonts w:cstheme="minorHAnsi"/>
          <w:i/>
          <w:iCs/>
          <w:color w:val="0000FF"/>
        </w:rPr>
        <w:t>Video editor: Highlight the three right-side waveform panels.</w:t>
      </w:r>
      <w:r w:rsidRPr="00A254DD">
        <w:rPr>
          <w:rFonts w:cstheme="minorHAnsi"/>
          <w:color w:val="0000FF"/>
        </w:rPr>
        <w:t xml:space="preserve"> </w:t>
      </w:r>
    </w:p>
    <w:p w14:paraId="3EDE6ACE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B4495C" w14:textId="196303C4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A254DD">
        <w:rPr>
          <w:rFonts w:cstheme="minorHAnsi"/>
        </w:rPr>
        <w:t>VExUS</w:t>
      </w:r>
      <w:proofErr w:type="spellEnd"/>
      <w:r>
        <w:rPr>
          <w:rFonts w:cstheme="minorHAnsi"/>
        </w:rPr>
        <w:t xml:space="preserve"> </w:t>
      </w:r>
      <w:r w:rsidRPr="00A254DD">
        <w:rPr>
          <w:rFonts w:cstheme="minorHAnsi"/>
          <w:i/>
          <w:iCs/>
          <w:color w:val="FF0000"/>
        </w:rPr>
        <w:t>(vex-us)</w:t>
      </w:r>
      <w:r w:rsidRPr="00A254DD">
        <w:rPr>
          <w:rFonts w:cstheme="minorHAnsi"/>
          <w:color w:val="FF0000"/>
        </w:rPr>
        <w:t xml:space="preserve"> </w:t>
      </w:r>
      <w:r w:rsidRPr="00A254DD">
        <w:rPr>
          <w:rFonts w:cstheme="minorHAnsi"/>
        </w:rPr>
        <w:t xml:space="preserve">grading system visually integrated the changes in hepatic, portal, and intrarenal vein waveforms, showing how combination and severity of waveform abnormalities correspond to increasing grades of venous congestion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00E4DD89" w14:textId="092927AA" w:rsidR="00AD3B41" w:rsidRPr="00A254DD" w:rsidRDefault="00A254DD" w:rsidP="001D45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A254DD">
        <w:rPr>
          <w:rFonts w:cstheme="minorHAnsi"/>
        </w:rPr>
        <w:t xml:space="preserve">LAB MEDIA: Figure 15. </w:t>
      </w:r>
      <w:r w:rsidRPr="00A254DD">
        <w:rPr>
          <w:rFonts w:cstheme="minorHAnsi"/>
          <w:i/>
          <w:iCs/>
          <w:color w:val="0000FF"/>
        </w:rPr>
        <w:t>Video editor: Highlight the three columns under hepatic, portal, and intrarenal veins.</w:t>
      </w:r>
      <w:r w:rsidRPr="00A254DD">
        <w:rPr>
          <w:rFonts w:cstheme="minorHAnsi"/>
        </w:rPr>
        <w:t xml:space="preserve"> </w:t>
      </w:r>
    </w:p>
    <w:sectPr w:rsidR="00AD3B41" w:rsidRPr="00A254DD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04-16T10:08:00Z" w:initials="SK">
    <w:p w14:paraId="152DB0F4" w14:textId="77777777" w:rsidR="006D3E27" w:rsidRDefault="006D3E27" w:rsidP="006D3E2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Could you please provide this information?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2DB0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2635E8" w16cex:dateUtc="2025-04-16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2DB0F4" w16cid:durableId="6C263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A3B8" w14:textId="77777777" w:rsidR="00D73681" w:rsidRDefault="00D73681">
      <w:r>
        <w:separator/>
      </w:r>
    </w:p>
    <w:p w14:paraId="3E9175E7" w14:textId="77777777" w:rsidR="00D73681" w:rsidRDefault="00D73681"/>
  </w:endnote>
  <w:endnote w:type="continuationSeparator" w:id="0">
    <w:p w14:paraId="5641C544" w14:textId="77777777" w:rsidR="00D73681" w:rsidRDefault="00D73681">
      <w:r>
        <w:continuationSeparator/>
      </w:r>
    </w:p>
    <w:p w14:paraId="3439A86E" w14:textId="77777777" w:rsidR="00D73681" w:rsidRDefault="00D73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2E2D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3E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068E" w14:textId="77777777" w:rsidR="00D73681" w:rsidRDefault="00D73681">
      <w:r>
        <w:separator/>
      </w:r>
    </w:p>
    <w:p w14:paraId="49F03DF7" w14:textId="77777777" w:rsidR="00D73681" w:rsidRDefault="00D73681"/>
  </w:footnote>
  <w:footnote w:type="continuationSeparator" w:id="0">
    <w:p w14:paraId="536301EE" w14:textId="77777777" w:rsidR="00D73681" w:rsidRDefault="00D73681">
      <w:r>
        <w:continuationSeparator/>
      </w:r>
    </w:p>
    <w:p w14:paraId="184DF17D" w14:textId="77777777" w:rsidR="00D73681" w:rsidRDefault="00D73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9E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AB3"/>
    <w:rsid w:val="006D3AC7"/>
    <w:rsid w:val="006D3E2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6B49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F8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475"/>
    <w:rsid w:val="00A07468"/>
    <w:rsid w:val="00A11851"/>
    <w:rsid w:val="00A13CC3"/>
    <w:rsid w:val="00A164F5"/>
    <w:rsid w:val="00A20DA8"/>
    <w:rsid w:val="00A21626"/>
    <w:rsid w:val="00A218EC"/>
    <w:rsid w:val="00A254DD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3681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6D3E2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Body">
    <w:name w:val="Body"/>
    <w:rsid w:val="006D3E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efaultParagraphFont"/>
    <w:rsid w:val="006D3E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7268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7726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25983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05475"/>
    <w:rsid w:val="00A12489"/>
    <w:rsid w:val="00A128CE"/>
    <w:rsid w:val="00A21626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84BA8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2025-04-16T05:25:00Z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