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1043A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0611">
        <w:rPr>
          <w:rFonts w:eastAsia="Times New Roman" w:cstheme="minorHAnsi"/>
          <w:b/>
        </w:rPr>
        <w:t>67967</w:t>
      </w:r>
    </w:p>
    <w:p w14:paraId="2F6924E5" w14:textId="764637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0611">
        <w:rPr>
          <w:rFonts w:eastAsia="Times New Roman" w:cstheme="minorHAnsi"/>
          <w:b/>
        </w:rPr>
        <w:t>Poornima G</w:t>
      </w:r>
    </w:p>
    <w:p w14:paraId="6FB9233B" w14:textId="2B9D1D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14DC8" w:rsidRPr="00464137">
          <w:rPr>
            <w:rStyle w:val="Hyperlink"/>
            <w:rFonts w:eastAsia="Times New Roman" w:cstheme="minorHAnsi"/>
            <w:b/>
          </w:rPr>
          <w:t>https://review.jove.com/account/file-uploader?src=20729983</w:t>
        </w:r>
      </w:hyperlink>
      <w:r w:rsidR="00B14DC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B22BC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14DC8" w:rsidRPr="00B14DC8">
        <w:rPr>
          <w:rStyle w:val="ArticleTitle"/>
          <w:rFonts w:cstheme="minorHAnsi"/>
        </w:rPr>
        <w:t>Identifying Microglia and Peripheral Infiltrating Macrophages in the Injured Spinal Cords Using Flow Cytometry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711F0D" w14:textId="77777777" w:rsidR="00B14DC8" w:rsidRPr="00B14DC8" w:rsidRDefault="00B14DC8" w:rsidP="00B14DC8">
      <w:pPr>
        <w:outlineLvl w:val="0"/>
        <w:rPr>
          <w:rFonts w:eastAsia="Times New Roman" w:cstheme="minorHAnsi"/>
          <w:b/>
          <w:bCs/>
          <w:sz w:val="28"/>
          <w:szCs w:val="28"/>
        </w:rPr>
      </w:pPr>
      <w:bookmarkStart w:id="0" w:name="_Hlk151352182"/>
      <w:r w:rsidRPr="00B14DC8">
        <w:rPr>
          <w:rFonts w:eastAsia="Times New Roman" w:cstheme="minorHAnsi"/>
          <w:b/>
          <w:bCs/>
          <w:sz w:val="28"/>
          <w:szCs w:val="28"/>
        </w:rPr>
        <w:t>Yu-Qing Chen</w:t>
      </w:r>
      <w:bookmarkEnd w:id="0"/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B14DC8">
        <w:rPr>
          <w:rFonts w:eastAsia="Times New Roman" w:cstheme="minorHAnsi"/>
          <w:b/>
          <w:bCs/>
          <w:sz w:val="28"/>
          <w:szCs w:val="28"/>
        </w:rPr>
        <w:t>, Jian-Xiong Gao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>, Hua-Zheng Yan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>, Shi-Yu Zhou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>, Yi-Wan Fang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</w:t>
      </w:r>
      <w:r w:rsidRPr="00B14DC8">
        <w:rPr>
          <w:rFonts w:eastAsia="Times New Roman" w:cstheme="minorHAnsi"/>
          <w:b/>
          <w:bCs/>
          <w:sz w:val="28"/>
          <w:szCs w:val="28"/>
        </w:rPr>
        <w:t xml:space="preserve">, </w:t>
      </w:r>
      <w:bookmarkStart w:id="1" w:name="_Hlk151063853"/>
      <w:r w:rsidRPr="00B14DC8">
        <w:rPr>
          <w:rFonts w:eastAsia="Times New Roman" w:cstheme="minorHAnsi"/>
          <w:b/>
          <w:bCs/>
          <w:sz w:val="28"/>
          <w:szCs w:val="28"/>
        </w:rPr>
        <w:t>Xin-Yi Lyu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B14DC8">
        <w:rPr>
          <w:rFonts w:eastAsia="Times New Roman" w:cstheme="minorHAnsi"/>
          <w:b/>
          <w:bCs/>
          <w:sz w:val="28"/>
          <w:szCs w:val="28"/>
        </w:rPr>
        <w:t>, Shu-Qin Ding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1,5</w:t>
      </w:r>
      <w:r w:rsidRPr="00B14DC8">
        <w:rPr>
          <w:rFonts w:eastAsia="Times New Roman" w:cstheme="minorHAnsi"/>
          <w:b/>
          <w:bCs/>
          <w:sz w:val="28"/>
          <w:szCs w:val="28"/>
        </w:rPr>
        <w:t>,</w:t>
      </w:r>
      <w:bookmarkEnd w:id="1"/>
      <w:r w:rsidRPr="00B14DC8">
        <w:rPr>
          <w:rFonts w:eastAsia="Times New Roman" w:cstheme="minorHAnsi"/>
          <w:b/>
          <w:bCs/>
          <w:sz w:val="28"/>
          <w:szCs w:val="28"/>
        </w:rPr>
        <w:t xml:space="preserve"> He-Zuo Lü</w:t>
      </w:r>
      <w:r w:rsidRPr="00B14DC8">
        <w:rPr>
          <w:rFonts w:eastAsia="Times New Roman" w:cstheme="minorHAnsi"/>
          <w:b/>
          <w:bCs/>
          <w:sz w:val="28"/>
          <w:szCs w:val="28"/>
          <w:vertAlign w:val="superscript"/>
        </w:rPr>
        <w:t>1,3,5</w:t>
      </w:r>
      <w:r w:rsidRPr="00B14DC8">
        <w:rPr>
          <w:rFonts w:eastAsia="Times New Roman" w:cstheme="minorHAnsi"/>
          <w:b/>
          <w:bCs/>
          <w:sz w:val="28"/>
          <w:szCs w:val="28"/>
        </w:rPr>
        <w:t>*</w:t>
      </w:r>
    </w:p>
    <w:p w14:paraId="40C10958" w14:textId="77777777" w:rsidR="00B14DC8" w:rsidRPr="00B14DC8" w:rsidRDefault="00B14DC8" w:rsidP="00B14DC8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</w:p>
    <w:p w14:paraId="489043B8" w14:textId="7B62A74A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1</w:t>
      </w:r>
      <w:r w:rsidRPr="00B14DC8">
        <w:rPr>
          <w:rFonts w:eastAsia="Times New Roman" w:cstheme="minorHAnsi"/>
          <w:sz w:val="28"/>
          <w:szCs w:val="28"/>
        </w:rPr>
        <w:t>Clinical Laboratory, the First Affiliated Hospital of Bengbu Medical University</w:t>
      </w:r>
    </w:p>
    <w:p w14:paraId="6182C002" w14:textId="4E7D8E0A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2</w:t>
      </w:r>
      <w:r w:rsidRPr="00B14DC8">
        <w:rPr>
          <w:rFonts w:eastAsia="Times New Roman" w:cstheme="minorHAnsi"/>
          <w:sz w:val="28"/>
          <w:szCs w:val="28"/>
        </w:rPr>
        <w:t xml:space="preserve">Department of Biochemistry and Molecular Biology, School of Laboratory Medicine, Bengbu Medical University </w:t>
      </w:r>
    </w:p>
    <w:p w14:paraId="700D0895" w14:textId="5237778D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3</w:t>
      </w:r>
      <w:r w:rsidRPr="00B14DC8">
        <w:rPr>
          <w:rFonts w:eastAsia="Times New Roman" w:cstheme="minorHAnsi"/>
          <w:sz w:val="28"/>
          <w:szCs w:val="28"/>
        </w:rPr>
        <w:t>Anhui Province Key Laboratory of Immunology in Chronic Diseases, Bengbu Medical University</w:t>
      </w:r>
    </w:p>
    <w:p w14:paraId="3F0F1FA2" w14:textId="34F24CEA" w:rsidR="00B14DC8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4</w:t>
      </w:r>
      <w:r w:rsidRPr="00B14DC8">
        <w:rPr>
          <w:rFonts w:eastAsia="Times New Roman" w:cstheme="minorHAnsi"/>
          <w:sz w:val="28"/>
          <w:szCs w:val="28"/>
        </w:rPr>
        <w:t>The Second Affiliated Hospital of South China University</w:t>
      </w:r>
    </w:p>
    <w:p w14:paraId="33CD999C" w14:textId="423D6C15" w:rsidR="00D6314B" w:rsidRPr="00B14DC8" w:rsidRDefault="00B14DC8" w:rsidP="00B14DC8">
      <w:pPr>
        <w:outlineLvl w:val="0"/>
        <w:rPr>
          <w:rFonts w:eastAsia="Times New Roman" w:cstheme="minorHAnsi"/>
          <w:sz w:val="28"/>
          <w:szCs w:val="28"/>
        </w:rPr>
      </w:pPr>
      <w:r w:rsidRPr="00B14DC8">
        <w:rPr>
          <w:rFonts w:eastAsia="Times New Roman" w:cstheme="minorHAnsi"/>
          <w:sz w:val="28"/>
          <w:szCs w:val="28"/>
          <w:vertAlign w:val="superscript"/>
        </w:rPr>
        <w:t>5</w:t>
      </w:r>
      <w:r w:rsidRPr="00B14DC8">
        <w:rPr>
          <w:rFonts w:eastAsia="Times New Roman" w:cstheme="minorHAnsi"/>
          <w:sz w:val="28"/>
          <w:szCs w:val="28"/>
        </w:rPr>
        <w:t>Anhui Province Key Laboratory of Basic and Translational Research of Inflammation-related Diseases, Bengbu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5AEE53D" w:rsidR="004E0C5A" w:rsidRDefault="00B14DC8" w:rsidP="004E0C5A">
      <w:pPr>
        <w:outlineLvl w:val="0"/>
        <w:rPr>
          <w:rFonts w:eastAsia="Times New Roman" w:cstheme="minorHAnsi"/>
        </w:rPr>
      </w:pPr>
      <w:bookmarkStart w:id="2" w:name="_Hlk25233958"/>
      <w:r w:rsidRPr="00B14DC8">
        <w:rPr>
          <w:rFonts w:eastAsia="Times New Roman" w:cstheme="minorHAnsi"/>
        </w:rPr>
        <w:t xml:space="preserve">He-Zuo </w:t>
      </w:r>
      <w:proofErr w:type="spellStart"/>
      <w:r w:rsidRPr="00B14DC8">
        <w:rPr>
          <w:rFonts w:eastAsia="Times New Roman" w:cstheme="minorHAnsi"/>
        </w:rPr>
        <w:t>Lü</w:t>
      </w:r>
      <w:proofErr w:type="spellEnd"/>
      <w:r w:rsidRPr="00B14DC8">
        <w:rPr>
          <w:rFonts w:eastAsia="Times New Roman" w:cstheme="minorHAnsi"/>
        </w:rPr>
        <w:tab/>
      </w:r>
      <w:r w:rsidRPr="00B14DC8">
        <w:rPr>
          <w:rFonts w:eastAsia="Times New Roman" w:cstheme="minorHAnsi"/>
        </w:rPr>
        <w:tab/>
        <w:t>lhz233003@163.com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03C02F3" w14:textId="5F77FA18" w:rsidR="00B14DC8" w:rsidRPr="00B14DC8" w:rsidRDefault="00B14DC8" w:rsidP="00B14DC8">
      <w:pPr>
        <w:widowControl w:val="0"/>
        <w:jc w:val="both"/>
        <w:rPr>
          <w:rFonts w:ascii="Calibri" w:eastAsia="SimSun" w:hAnsi="Calibri" w:cs="Calibri"/>
          <w:iCs w:val="0"/>
          <w:color w:val="auto"/>
        </w:rPr>
      </w:pPr>
      <w:r w:rsidRPr="00B14DC8">
        <w:rPr>
          <w:rFonts w:ascii="Calibri" w:eastAsia="SimSun" w:hAnsi="Calibri" w:cs="Calibri"/>
          <w:iCs w:val="0"/>
          <w:color w:val="auto"/>
        </w:rPr>
        <w:t>Yu-Qing Chen</w:t>
      </w:r>
      <w:r w:rsidRPr="00B14DC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B14DC8">
        <w:rPr>
          <w:rFonts w:ascii="Calibri" w:eastAsia="SimSun" w:hAnsi="Calibri" w:cs="Calibri"/>
          <w:iCs w:val="0"/>
          <w:color w:val="auto"/>
          <w:lang w:eastAsia="zh-CN"/>
        </w:rPr>
        <w:tab/>
      </w:r>
      <w:hyperlink r:id="rId8" w:history="1">
        <w:r w:rsidRPr="00B14DC8">
          <w:rPr>
            <w:rFonts w:ascii="Calibri" w:eastAsia="SimSun" w:hAnsi="Calibri" w:cs="Calibri"/>
            <w:iCs w:val="0"/>
            <w:color w:val="0000FF"/>
            <w:u w:val="single"/>
          </w:rPr>
          <w:t>1512973685@qq.com</w:t>
        </w:r>
      </w:hyperlink>
    </w:p>
    <w:p w14:paraId="3949DC06" w14:textId="2EC89139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eastAsia="SimSun" w:hAnsi="Calibri" w:cs="Calibri"/>
          <w:iCs w:val="0"/>
          <w:color w:val="auto"/>
        </w:rPr>
      </w:pPr>
      <w:r w:rsidRPr="00B14DC8">
        <w:rPr>
          <w:rFonts w:ascii="Calibri" w:eastAsia="SimSun" w:hAnsi="Calibri" w:cs="Calibri"/>
          <w:iCs w:val="0"/>
          <w:color w:val="auto"/>
        </w:rPr>
        <w:t>Jian-Xiong Gao</w:t>
      </w:r>
      <w:r w:rsidRPr="00B14DC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B14DC8">
        <w:rPr>
          <w:rFonts w:ascii="Calibri" w:eastAsia="SimSun" w:hAnsi="Calibri" w:cs="Calibri"/>
          <w:iCs w:val="0"/>
          <w:color w:val="auto"/>
          <w:lang w:eastAsia="zh-CN"/>
        </w:rPr>
        <w:tab/>
      </w:r>
      <w:hyperlink r:id="rId9" w:history="1">
        <w:r w:rsidRPr="00B14DC8">
          <w:rPr>
            <w:rFonts w:ascii="Calibri" w:eastAsia="SimSun" w:hAnsi="Calibri" w:cs="Calibri"/>
            <w:iCs w:val="0"/>
            <w:color w:val="0000FF"/>
            <w:u w:val="single"/>
          </w:rPr>
          <w:t>1534107569@qq.com</w:t>
        </w:r>
      </w:hyperlink>
    </w:p>
    <w:p w14:paraId="618AB169" w14:textId="5DAC1C5A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eastAsia="SimSun" w:hAnsi="Calibri" w:cs="Calibri"/>
          <w:iCs w:val="0"/>
          <w:color w:val="auto"/>
        </w:rPr>
      </w:pPr>
      <w:r w:rsidRPr="00B14DC8">
        <w:rPr>
          <w:rFonts w:ascii="Calibri" w:eastAsia="SimSun" w:hAnsi="Calibri" w:cs="Calibri"/>
          <w:iCs w:val="0"/>
          <w:color w:val="auto"/>
        </w:rPr>
        <w:t>Hua-Zheng Yan</w:t>
      </w:r>
      <w:r w:rsidRPr="00B14DC8">
        <w:rPr>
          <w:rFonts w:ascii="Calibri" w:eastAsia="SimSun" w:hAnsi="Calibri" w:cs="Calibri"/>
          <w:iCs w:val="0"/>
          <w:color w:val="auto"/>
          <w:lang w:eastAsia="zh-CN"/>
        </w:rPr>
        <w:tab/>
      </w:r>
      <w:hyperlink r:id="rId10" w:history="1">
        <w:r w:rsidRPr="00B14DC8">
          <w:rPr>
            <w:rFonts w:ascii="Calibri" w:eastAsia="SimSun" w:hAnsi="Calibri" w:cs="Calibri"/>
            <w:iCs w:val="0"/>
            <w:color w:val="0000FF"/>
            <w:u w:val="single"/>
          </w:rPr>
          <w:t>3248633078@qq.com</w:t>
        </w:r>
      </w:hyperlink>
    </w:p>
    <w:p w14:paraId="20C5042E" w14:textId="11F0CB18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eastAsia="SimSun" w:hAnsi="Calibri" w:cs="Calibri"/>
          <w:bCs/>
          <w:iCs w:val="0"/>
          <w:color w:val="auto"/>
          <w:lang w:eastAsia="zh-CN"/>
        </w:rPr>
      </w:pP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>Shi-Yu Zhou</w:t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ab/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ab/>
      </w:r>
      <w:hyperlink r:id="rId11" w:history="1">
        <w:r w:rsidRPr="00B14DC8">
          <w:rPr>
            <w:rFonts w:ascii="Calibri" w:eastAsia="SimSun" w:hAnsi="Calibri" w:cs="Calibri"/>
            <w:iCs w:val="0"/>
            <w:color w:val="0000FF"/>
            <w:u w:val="single"/>
            <w:lang w:eastAsia="zh-CN"/>
          </w:rPr>
          <w:t>1023130953</w:t>
        </w:r>
        <w:r w:rsidRPr="00B14DC8">
          <w:rPr>
            <w:rFonts w:ascii="Calibri" w:eastAsia="SimSun" w:hAnsi="Calibri" w:cs="Calibri"/>
            <w:iCs w:val="0"/>
            <w:color w:val="0000FF"/>
            <w:u w:val="single"/>
          </w:rPr>
          <w:t>@qq.com</w:t>
        </w:r>
      </w:hyperlink>
    </w:p>
    <w:p w14:paraId="413E15ED" w14:textId="460A3DC7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eastAsia="SimSun" w:hAnsi="Calibri" w:cs="Calibri"/>
          <w:bCs/>
          <w:iCs w:val="0"/>
          <w:color w:val="auto"/>
          <w:lang w:eastAsia="zh-CN"/>
        </w:rPr>
      </w:pP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>Yi-Wan Fang</w:t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ab/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ab/>
      </w:r>
      <w:hyperlink r:id="rId12" w:history="1">
        <w:r w:rsidRPr="00B14DC8">
          <w:rPr>
            <w:rFonts w:ascii="Calibri" w:eastAsia="SimSun" w:hAnsi="Calibri" w:cs="Calibri"/>
            <w:bCs/>
            <w:iCs w:val="0"/>
            <w:color w:val="0000FF"/>
            <w:u w:val="single"/>
            <w:lang w:eastAsia="zh-CN"/>
          </w:rPr>
          <w:t>1627802217</w:t>
        </w:r>
        <w:r w:rsidRPr="00B14DC8">
          <w:rPr>
            <w:rFonts w:ascii="Calibri" w:eastAsia="SimSun" w:hAnsi="Calibri" w:cs="Calibri"/>
            <w:iCs w:val="0"/>
            <w:color w:val="0000FF"/>
            <w:u w:val="single"/>
          </w:rPr>
          <w:t>@qq.com</w:t>
        </w:r>
      </w:hyperlink>
    </w:p>
    <w:p w14:paraId="05DC0E4D" w14:textId="1A9E4D5A" w:rsidR="00B14DC8" w:rsidRPr="00B14DC8" w:rsidRDefault="00B14DC8" w:rsidP="00B14DC8">
      <w:pPr>
        <w:widowControl w:val="0"/>
        <w:autoSpaceDE w:val="0"/>
        <w:autoSpaceDN w:val="0"/>
        <w:jc w:val="both"/>
        <w:rPr>
          <w:rFonts w:ascii="Calibri" w:eastAsia="SimSun" w:hAnsi="Calibri" w:cs="Calibri"/>
          <w:bCs/>
          <w:iCs w:val="0"/>
          <w:color w:val="auto"/>
          <w:lang w:eastAsia="zh-CN"/>
        </w:rPr>
      </w:pP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>Xin</w:t>
      </w:r>
      <w:r w:rsidRPr="00B14DC8">
        <w:rPr>
          <w:rFonts w:ascii="Calibri" w:eastAsia="SimSun" w:hAnsi="Calibri" w:cs="Calibri"/>
          <w:bCs/>
          <w:iCs w:val="0"/>
          <w:color w:val="auto"/>
        </w:rPr>
        <w:t>-</w:t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>Yi</w:t>
      </w:r>
      <w:r w:rsidRPr="00B14DC8">
        <w:rPr>
          <w:rFonts w:ascii="Calibri" w:eastAsia="SimSun" w:hAnsi="Calibri" w:cs="Calibri"/>
          <w:bCs/>
          <w:iCs w:val="0"/>
          <w:color w:val="auto"/>
        </w:rPr>
        <w:t xml:space="preserve"> </w:t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>Lyu</w:t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ab/>
      </w:r>
      <w:r w:rsidRPr="00B14DC8">
        <w:rPr>
          <w:rFonts w:ascii="Calibri" w:eastAsia="SimSun" w:hAnsi="Calibri" w:cs="Calibri"/>
          <w:bCs/>
          <w:iCs w:val="0"/>
          <w:color w:val="auto"/>
          <w:lang w:eastAsia="zh-CN"/>
        </w:rPr>
        <w:tab/>
      </w:r>
      <w:hyperlink r:id="rId13" w:history="1">
        <w:r w:rsidRPr="00B14DC8">
          <w:rPr>
            <w:rFonts w:ascii="Calibri" w:eastAsia="SimSun" w:hAnsi="Calibri" w:cs="Calibri"/>
            <w:bCs/>
            <w:iCs w:val="0"/>
            <w:color w:val="0000FF"/>
            <w:u w:val="single"/>
            <w:lang w:eastAsia="zh-CN"/>
          </w:rPr>
          <w:t>lxy233003@163.com</w:t>
        </w:r>
      </w:hyperlink>
    </w:p>
    <w:p w14:paraId="12916965" w14:textId="11162BE3" w:rsidR="003B5E26" w:rsidRPr="00B07A3B" w:rsidRDefault="00B14DC8" w:rsidP="00B14DC8">
      <w:pPr>
        <w:outlineLvl w:val="0"/>
        <w:rPr>
          <w:rFonts w:cstheme="minorHAnsi"/>
          <w:b/>
          <w:sz w:val="22"/>
          <w:szCs w:val="22"/>
        </w:rPr>
      </w:pPr>
      <w:r w:rsidRPr="00B14DC8">
        <w:rPr>
          <w:rFonts w:ascii="Calibri" w:eastAsia="SimSun" w:hAnsi="Calibri" w:cs="Calibri"/>
          <w:iCs w:val="0"/>
          <w:color w:val="auto"/>
        </w:rPr>
        <w:t>Shu-Qin Ding</w:t>
      </w:r>
      <w:r w:rsidRPr="00B14DC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B14DC8">
        <w:rPr>
          <w:rFonts w:ascii="Calibri" w:eastAsia="SimSun" w:hAnsi="Calibri" w:cs="Calibri"/>
          <w:iCs w:val="0"/>
          <w:color w:val="auto"/>
          <w:lang w:eastAsia="zh-CN"/>
        </w:rPr>
        <w:tab/>
      </w:r>
      <w:hyperlink r:id="rId14" w:history="1">
        <w:r w:rsidRPr="00B14DC8">
          <w:rPr>
            <w:rFonts w:ascii="Calibri" w:eastAsia="SimSun" w:hAnsi="Calibri" w:cs="Calibri"/>
            <w:iCs w:val="0"/>
            <w:color w:val="0000FF"/>
            <w:u w:val="single"/>
          </w:rPr>
          <w:t>59270847@qq.com</w:t>
        </w:r>
      </w:hyperlink>
    </w:p>
    <w:p w14:paraId="7F50E3DD" w14:textId="77777777" w:rsidR="00B14DC8" w:rsidRDefault="00B14DC8" w:rsidP="00B14DC8">
      <w:pPr>
        <w:outlineLvl w:val="0"/>
        <w:rPr>
          <w:rFonts w:eastAsia="Times New Roman" w:cstheme="minorHAnsi"/>
        </w:rPr>
      </w:pPr>
      <w:r w:rsidRPr="00B14DC8">
        <w:rPr>
          <w:rFonts w:eastAsia="Times New Roman" w:cstheme="minorHAnsi"/>
        </w:rPr>
        <w:t xml:space="preserve">He-Zuo </w:t>
      </w:r>
      <w:proofErr w:type="spellStart"/>
      <w:r w:rsidRPr="00B14DC8">
        <w:rPr>
          <w:rFonts w:eastAsia="Times New Roman" w:cstheme="minorHAnsi"/>
        </w:rPr>
        <w:t>Lü</w:t>
      </w:r>
      <w:proofErr w:type="spellEnd"/>
      <w:r w:rsidRPr="00B14DC8">
        <w:rPr>
          <w:rFonts w:eastAsia="Times New Roman" w:cstheme="minorHAnsi"/>
        </w:rPr>
        <w:tab/>
      </w:r>
      <w:r w:rsidRPr="00B14DC8">
        <w:rPr>
          <w:rFonts w:eastAsia="Times New Roman" w:cstheme="minorHAnsi"/>
        </w:rPr>
        <w:tab/>
        <w:t>lhz233003@163.com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7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28D95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B08F4">
        <w:rPr>
          <w:rFonts w:cstheme="minorHAnsi"/>
          <w:bCs/>
          <w:sz w:val="22"/>
          <w:szCs w:val="22"/>
        </w:rPr>
        <w:t>19</w:t>
      </w:r>
    </w:p>
    <w:p w14:paraId="5AAC9C6C" w14:textId="684AAB9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B08F4">
        <w:rPr>
          <w:rFonts w:cstheme="minorHAnsi"/>
          <w:bCs/>
          <w:sz w:val="22"/>
          <w:szCs w:val="22"/>
        </w:rPr>
        <w:t xml:space="preserve">41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0B08F4" w:rsidRPr="000B08F4">
        <w:rPr>
          <w:rFonts w:cstheme="minorHAnsi"/>
          <w:bCs/>
          <w:sz w:val="22"/>
          <w:szCs w:val="22"/>
        </w:rPr>
        <w:t>(38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688EF906" w:rsidR="001E0433" w:rsidRPr="00F11C5C" w:rsidRDefault="001E0433" w:rsidP="0096061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60611" w:rsidRPr="00960611">
        <w:rPr>
          <w:rFonts w:eastAsia="Times New Roman" w:cstheme="minorHAnsi"/>
        </w:rPr>
        <w:t xml:space="preserve">Animal Care Ethics Committee </w:t>
      </w:r>
      <w:r w:rsidR="00960611">
        <w:rPr>
          <w:rFonts w:eastAsia="Times New Roman" w:cstheme="minorHAnsi"/>
        </w:rPr>
        <w:t>at the</w:t>
      </w:r>
      <w:r w:rsidR="00960611" w:rsidRPr="00960611">
        <w:rPr>
          <w:rFonts w:eastAsia="Times New Roman" w:cstheme="minorHAnsi"/>
        </w:rPr>
        <w:t xml:space="preserve"> Bengbu Medical University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F9B1AB3" w:rsidR="00CE10F2" w:rsidRDefault="0096061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Flow Cytometric Analysis of Experimental Mouse Spinal Cord Cells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1C4A79C" w14:textId="1B80FE6B" w:rsidR="000B08F4" w:rsidRDefault="000B08F4" w:rsidP="000B08F4">
      <w:pPr>
        <w:pStyle w:val="Narration"/>
        <w:numPr>
          <w:ilvl w:val="1"/>
          <w:numId w:val="3"/>
        </w:numPr>
      </w:pPr>
      <w:r>
        <w:t xml:space="preserve">To begin, analyze the isotype control tube using the flow cytometer with the compatible software </w:t>
      </w:r>
      <w:r>
        <w:rPr>
          <w:b/>
        </w:rPr>
        <w:t>[1]</w:t>
      </w:r>
      <w:r>
        <w:t xml:space="preserve">. Adjust the forward scatter and side scatter voltages to position the cell population within an appropriate range </w:t>
      </w:r>
      <w:r>
        <w:rPr>
          <w:b/>
        </w:rPr>
        <w:t>[2]</w:t>
      </w:r>
      <w:r>
        <w:t>.</w:t>
      </w:r>
    </w:p>
    <w:p w14:paraId="005EDE79" w14:textId="3EAD19A6" w:rsidR="000B08F4" w:rsidRDefault="000B08F4" w:rsidP="000B08F4">
      <w:pPr>
        <w:pStyle w:val="ShotDescription"/>
        <w:numPr>
          <w:ilvl w:val="2"/>
          <w:numId w:val="3"/>
        </w:numPr>
      </w:pPr>
      <w:r>
        <w:t>WIDE: Talent placing the isotype control tube into the flow cytometer.</w:t>
      </w:r>
    </w:p>
    <w:p w14:paraId="5289706B" w14:textId="11BDD9C9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adjustment of voltage levels for both axes and the shifting of the cell population into view.</w:t>
      </w:r>
    </w:p>
    <w:p w14:paraId="7DAA9601" w14:textId="77777777" w:rsidR="000B08F4" w:rsidRDefault="000B08F4" w:rsidP="000B08F4"/>
    <w:p w14:paraId="1452A8FE" w14:textId="701BABB8" w:rsidR="00B14DC8" w:rsidRDefault="00B14DC8" w:rsidP="000B08F4">
      <w:hyperlink r:id="rId18" w:history="1">
        <w:r w:rsidRPr="00464137">
          <w:rPr>
            <w:rStyle w:val="Hyperlink"/>
          </w:rPr>
          <w:t>https://review.jove.com/account/file-uploader?src=20729983</w:t>
        </w:r>
      </w:hyperlink>
      <w:r>
        <w:t xml:space="preserve"> </w:t>
      </w:r>
    </w:p>
    <w:p w14:paraId="1449AA7D" w14:textId="22262EE6" w:rsidR="000B08F4" w:rsidRDefault="000B08F4" w:rsidP="000B08F4">
      <w:pPr>
        <w:pStyle w:val="Narration"/>
        <w:numPr>
          <w:ilvl w:val="1"/>
          <w:numId w:val="3"/>
        </w:numPr>
      </w:pPr>
      <w:r>
        <w:t>Set up two additional graphs in the software: one with CD45-APC</w:t>
      </w:r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C-D-forty five-A-P-C</w:t>
      </w:r>
      <w:r w:rsidRPr="000B08F4">
        <w:rPr>
          <w:i/>
          <w:iCs/>
          <w:color w:val="FF0000"/>
        </w:rPr>
        <w:t>)</w:t>
      </w:r>
      <w:r>
        <w:t xml:space="preserve"> on the x-axis and CD11b-PE</w:t>
      </w:r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C-D-</w:t>
      </w:r>
      <w:proofErr w:type="spellStart"/>
      <w:r>
        <w:rPr>
          <w:i/>
          <w:iCs/>
          <w:color w:val="FF0000"/>
        </w:rPr>
        <w:t>elveven</w:t>
      </w:r>
      <w:proofErr w:type="spellEnd"/>
      <w:r>
        <w:rPr>
          <w:i/>
          <w:iCs/>
          <w:color w:val="FF0000"/>
        </w:rPr>
        <w:t>-B-P-E</w:t>
      </w:r>
      <w:r w:rsidRPr="000B08F4">
        <w:rPr>
          <w:i/>
          <w:iCs/>
          <w:color w:val="FF0000"/>
        </w:rPr>
        <w:t>)</w:t>
      </w:r>
      <w:r>
        <w:t xml:space="preserve"> on the y-axis </w:t>
      </w:r>
      <w:r>
        <w:rPr>
          <w:b/>
        </w:rPr>
        <w:t>[1]</w:t>
      </w:r>
      <w:r>
        <w:t>, and another with CD68-FITC</w:t>
      </w:r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C-D-sixty eight-fit-cee</w:t>
      </w:r>
      <w:r w:rsidRPr="000B08F4">
        <w:rPr>
          <w:i/>
          <w:iCs/>
          <w:color w:val="FF0000"/>
        </w:rPr>
        <w:t>)</w:t>
      </w:r>
      <w:r>
        <w:t xml:space="preserve"> on the x-axis and CCR7 APC-</w:t>
      </w:r>
      <w:proofErr w:type="spellStart"/>
      <w:r>
        <w:t>eFluor</w:t>
      </w:r>
      <w:proofErr w:type="spellEnd"/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e-fluor</w:t>
      </w:r>
      <w:r w:rsidRPr="000B08F4">
        <w:rPr>
          <w:i/>
          <w:iCs/>
          <w:color w:val="FF0000"/>
        </w:rPr>
        <w:t>)</w:t>
      </w:r>
      <w:r>
        <w:t xml:space="preserve"> 780 on the y-axis </w:t>
      </w:r>
      <w:r>
        <w:rPr>
          <w:b/>
        </w:rPr>
        <w:t>[2]</w:t>
      </w:r>
      <w:r>
        <w:t>.</w:t>
      </w:r>
    </w:p>
    <w:p w14:paraId="691E3647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software interface where the first graph is configured with CD45-APC and CD11b-PE axes.</w:t>
      </w:r>
    </w:p>
    <w:p w14:paraId="47153CD3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software interface where the second graph is configured with CD68-FITC and CCR7 APC-</w:t>
      </w:r>
      <w:proofErr w:type="spellStart"/>
      <w:r>
        <w:t>eFluor</w:t>
      </w:r>
      <w:proofErr w:type="spellEnd"/>
      <w:r>
        <w:t xml:space="preserve"> 780 axes.</w:t>
      </w:r>
    </w:p>
    <w:p w14:paraId="14CB4E3C" w14:textId="77777777" w:rsidR="000B08F4" w:rsidRDefault="000B08F4" w:rsidP="000B08F4"/>
    <w:p w14:paraId="568516A2" w14:textId="50C058FA" w:rsidR="000B08F4" w:rsidRDefault="000B08F4" w:rsidP="000B08F4">
      <w:pPr>
        <w:pStyle w:val="Narration"/>
        <w:numPr>
          <w:ilvl w:val="1"/>
          <w:numId w:val="3"/>
        </w:numPr>
      </w:pPr>
      <w:r>
        <w:t>Then, a</w:t>
      </w:r>
      <w:r>
        <w:t>djust the fluorescence channel voltages for CD45-APC, CD11b-PE, CD68-FITC, and CCR7 APC-</w:t>
      </w:r>
      <w:proofErr w:type="spellStart"/>
      <w:r>
        <w:t>eFluor</w:t>
      </w:r>
      <w:proofErr w:type="spellEnd"/>
      <w:r>
        <w:t xml:space="preserve"> 780 to position the cell population within the double-negative region marked at 10 to the power of 2 </w:t>
      </w:r>
      <w:r>
        <w:rPr>
          <w:b/>
        </w:rPr>
        <w:t>[1]</w:t>
      </w:r>
      <w:r>
        <w:t>.</w:t>
      </w:r>
    </w:p>
    <w:p w14:paraId="4AC21F97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lastRenderedPageBreak/>
        <w:t>SCREEN</w:t>
      </w:r>
      <w:r>
        <w:t>: Show the adjustment of fluorescence channel voltages for all four markers and the resulting repositioning of the cell population within the 10² range on the graph.</w:t>
      </w:r>
    </w:p>
    <w:p w14:paraId="1442BC6C" w14:textId="77777777" w:rsidR="000B08F4" w:rsidRDefault="000B08F4" w:rsidP="000B08F4"/>
    <w:p w14:paraId="5F434988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After confirming the optimized voltages using the isotype control tube, retain all settings </w:t>
      </w:r>
      <w:r>
        <w:rPr>
          <w:b/>
        </w:rPr>
        <w:t>[1]</w:t>
      </w:r>
      <w:r>
        <w:t xml:space="preserve">. Proceed to analyze the antibody-stained experimental tubes </w:t>
      </w:r>
      <w:r>
        <w:rPr>
          <w:b/>
        </w:rPr>
        <w:t>[2]</w:t>
      </w:r>
      <w:r>
        <w:t>.</w:t>
      </w:r>
    </w:p>
    <w:p w14:paraId="3368DF7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Indicate the settings panel with confirmed values and a note or action indicating "Do not change".</w:t>
      </w:r>
    </w:p>
    <w:p w14:paraId="5952ACA1" w14:textId="7E223F37" w:rsidR="000B08F4" w:rsidRDefault="000B08F4" w:rsidP="000B08F4">
      <w:pPr>
        <w:pStyle w:val="ShotDescription"/>
        <w:numPr>
          <w:ilvl w:val="2"/>
          <w:numId w:val="3"/>
        </w:numPr>
      </w:pPr>
      <w:r>
        <w:t>Talent placing the antibody-stained experimental tubes into the flow cytometer.</w:t>
      </w:r>
    </w:p>
    <w:p w14:paraId="53B57DBF" w14:textId="77777777" w:rsidR="000B08F4" w:rsidRDefault="000B08F4" w:rsidP="000B08F4"/>
    <w:p w14:paraId="74A5D962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Establish a graph with CD11b-PE on the x-axis and side scatter on the y-axis </w:t>
      </w:r>
      <w:r>
        <w:rPr>
          <w:b/>
        </w:rPr>
        <w:t>[1]</w:t>
      </w:r>
      <w:r>
        <w:t>. Set up another graph with CD68-FITC and CCR7 APC-</w:t>
      </w:r>
      <w:proofErr w:type="spellStart"/>
      <w:r>
        <w:t>eFluor</w:t>
      </w:r>
      <w:proofErr w:type="spellEnd"/>
      <w:r>
        <w:t xml:space="preserve"> 780 </w:t>
      </w:r>
      <w:r>
        <w:rPr>
          <w:b/>
        </w:rPr>
        <w:t>[2]</w:t>
      </w:r>
      <w:r>
        <w:t xml:space="preserve">. Using the isotype control as a reference, delineate the CD11b+ region and define it as the P1 gate </w:t>
      </w:r>
      <w:r>
        <w:rPr>
          <w:b/>
        </w:rPr>
        <w:t>[3]</w:t>
      </w:r>
      <w:r>
        <w:t>.</w:t>
      </w:r>
    </w:p>
    <w:p w14:paraId="19916C01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creation of the CD11b-PE vs SSC graph.</w:t>
      </w:r>
    </w:p>
    <w:p w14:paraId="7AE92F50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configuration of the CD68-FITC vs CCR7 APC-</w:t>
      </w:r>
      <w:proofErr w:type="spellStart"/>
      <w:r>
        <w:t>eFluor</w:t>
      </w:r>
      <w:proofErr w:type="spellEnd"/>
      <w:r>
        <w:t xml:space="preserve"> 780 graph.</w:t>
      </w:r>
    </w:p>
    <w:p w14:paraId="5EC8FEC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how the region for CD11b+ cells is drawn and labeled as the “P1 gate” using the isotype control as a reference.</w:t>
      </w:r>
    </w:p>
    <w:p w14:paraId="5FE410A8" w14:textId="77777777" w:rsidR="000B08F4" w:rsidRDefault="000B08F4" w:rsidP="000B08F4"/>
    <w:p w14:paraId="4B5FE57B" w14:textId="77777777" w:rsidR="000B08F4" w:rsidRDefault="000B08F4" w:rsidP="000B08F4">
      <w:pPr>
        <w:pStyle w:val="Narration"/>
        <w:numPr>
          <w:ilvl w:val="1"/>
          <w:numId w:val="3"/>
        </w:numPr>
      </w:pPr>
      <w:r>
        <w:t>Select the CD68-FITC and CCR7 APC-</w:t>
      </w:r>
      <w:proofErr w:type="spellStart"/>
      <w:r>
        <w:t>eFluor</w:t>
      </w:r>
      <w:proofErr w:type="spellEnd"/>
      <w:r>
        <w:t xml:space="preserve"> 780 graph </w:t>
      </w:r>
      <w:r>
        <w:rPr>
          <w:b/>
        </w:rPr>
        <w:t>[1]</w:t>
      </w:r>
      <w:r>
        <w:t xml:space="preserve">. Right-click to open </w:t>
      </w:r>
      <w:r>
        <w:rPr>
          <w:b/>
        </w:rPr>
        <w:t>Properties</w:t>
      </w:r>
      <w:r>
        <w:t xml:space="preserve"> and assign the F4 column to </w:t>
      </w:r>
      <w:r>
        <w:rPr>
          <w:b/>
        </w:rPr>
        <w:t>P1</w:t>
      </w:r>
      <w:r>
        <w:t xml:space="preserve"> </w:t>
      </w:r>
      <w:r>
        <w:rPr>
          <w:b/>
        </w:rPr>
        <w:t>[2]</w:t>
      </w:r>
      <w:r>
        <w:t>.</w:t>
      </w:r>
    </w:p>
    <w:p w14:paraId="38F38177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selection of the correct graph in the software.</w:t>
      </w:r>
    </w:p>
    <w:p w14:paraId="70BA8DA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Demonstrate right-clicking the graph, choosing </w:t>
      </w:r>
      <w:r>
        <w:rPr>
          <w:b/>
        </w:rPr>
        <w:t>Properties</w:t>
      </w:r>
      <w:r>
        <w:t xml:space="preserve">, and setting F4 to </w:t>
      </w:r>
      <w:r>
        <w:rPr>
          <w:b/>
        </w:rPr>
        <w:t>P1</w:t>
      </w:r>
      <w:r>
        <w:t>.</w:t>
      </w:r>
    </w:p>
    <w:p w14:paraId="3FD8BD7F" w14:textId="77777777" w:rsidR="000B08F4" w:rsidRDefault="000B08F4" w:rsidP="000B08F4"/>
    <w:p w14:paraId="78EA80C8" w14:textId="05B6AE06" w:rsidR="000B08F4" w:rsidRDefault="000B08F4" w:rsidP="000B08F4">
      <w:pPr>
        <w:pStyle w:val="Narration"/>
        <w:numPr>
          <w:ilvl w:val="1"/>
          <w:numId w:val="3"/>
        </w:numPr>
      </w:pPr>
      <w:r>
        <w:t xml:space="preserve">After acquiring the data, adjust the fluorescence compensation as needed </w:t>
      </w:r>
      <w:r>
        <w:rPr>
          <w:b/>
        </w:rPr>
        <w:t>[1]</w:t>
      </w:r>
      <w:r>
        <w:t>. Analyze and record the percentage of CD11b</w:t>
      </w:r>
      <w:r>
        <w:t xml:space="preserve"> </w:t>
      </w:r>
      <w:r>
        <w:t xml:space="preserve"> CD68 CCR7</w:t>
      </w:r>
      <w:r>
        <w:t xml:space="preserve"> positive</w:t>
      </w:r>
      <w:r>
        <w:t xml:space="preserve"> and CD11b </w:t>
      </w:r>
      <w:r>
        <w:t xml:space="preserve"> </w:t>
      </w:r>
      <w:r>
        <w:t>CD68</w:t>
      </w:r>
      <w:r>
        <w:t xml:space="preserve"> positive </w:t>
      </w:r>
      <w:r>
        <w:t xml:space="preserve"> CCR7-</w:t>
      </w:r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C-C-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R-7-negative</w:t>
      </w:r>
      <w:r w:rsidRPr="000B08F4">
        <w:rPr>
          <w:i/>
          <w:iCs/>
          <w:color w:val="FF0000"/>
        </w:rPr>
        <w:t>)</w:t>
      </w:r>
      <w:r>
        <w:t xml:space="preserve"> cell populations </w:t>
      </w:r>
      <w:r>
        <w:rPr>
          <w:b/>
        </w:rPr>
        <w:t>[2]</w:t>
      </w:r>
      <w:r>
        <w:t>.</w:t>
      </w:r>
    </w:p>
    <w:p w14:paraId="575B7C1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software interface where compensation settings are adjusted post-acquisition.</w:t>
      </w:r>
    </w:p>
    <w:p w14:paraId="6BB3FC2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Display data readouts or gates for M1-like and M2-like populations, highlighting the percentage values.</w:t>
      </w:r>
    </w:p>
    <w:p w14:paraId="72DE66A5" w14:textId="77777777" w:rsidR="000B08F4" w:rsidRDefault="000B08F4" w:rsidP="000B08F4"/>
    <w:p w14:paraId="5914C48C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Using the voltage settings from the isotype control tube, begin analysis of the experimental tubes </w:t>
      </w:r>
      <w:r>
        <w:rPr>
          <w:b/>
        </w:rPr>
        <w:t>[1]</w:t>
      </w:r>
      <w:r>
        <w:t>.</w:t>
      </w:r>
    </w:p>
    <w:p w14:paraId="0CC50B66" w14:textId="27F54CD6" w:rsidR="000B08F4" w:rsidRDefault="000B08F4" w:rsidP="000B08F4">
      <w:pPr>
        <w:pStyle w:val="ShotDescription"/>
        <w:numPr>
          <w:ilvl w:val="2"/>
          <w:numId w:val="3"/>
        </w:numPr>
      </w:pPr>
      <w:r>
        <w:t xml:space="preserve">Talent loading new experimental tubes into the flow cytometer and starting the </w:t>
      </w:r>
      <w:r>
        <w:lastRenderedPageBreak/>
        <w:t>next round of data collection.</w:t>
      </w:r>
    </w:p>
    <w:p w14:paraId="7E53080A" w14:textId="77777777" w:rsidR="000B08F4" w:rsidRDefault="000B08F4" w:rsidP="000B08F4"/>
    <w:p w14:paraId="52686C7B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Establish a graph with CD45-APC and CD11b-PE </w:t>
      </w:r>
      <w:r>
        <w:rPr>
          <w:b/>
        </w:rPr>
        <w:t>[1]</w:t>
      </w:r>
      <w:r>
        <w:t>, then set up two graphs with CD68-FITC and CCR7 APC-</w:t>
      </w:r>
      <w:proofErr w:type="spellStart"/>
      <w:r>
        <w:t>eFluor</w:t>
      </w:r>
      <w:proofErr w:type="spellEnd"/>
      <w:r>
        <w:t xml:space="preserve"> 780 </w:t>
      </w:r>
      <w:r>
        <w:rPr>
          <w:b/>
        </w:rPr>
        <w:t>[2]</w:t>
      </w:r>
      <w:r>
        <w:t xml:space="preserve">. Acquire 50,000 events per sample, and adjust the fluorescence compensation after data collection </w:t>
      </w:r>
      <w:r>
        <w:rPr>
          <w:b/>
        </w:rPr>
        <w:t>[3]</w:t>
      </w:r>
      <w:r>
        <w:t>.</w:t>
      </w:r>
    </w:p>
    <w:p w14:paraId="0B168679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Configure and display the CD45-APC vs CD11b-PE graph.</w:t>
      </w:r>
    </w:p>
    <w:p w14:paraId="7A3196F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Configure and display the two CD68-FITC vs CCR7 APC-</w:t>
      </w:r>
      <w:proofErr w:type="spellStart"/>
      <w:r>
        <w:t>eFluor</w:t>
      </w:r>
      <w:proofErr w:type="spellEnd"/>
      <w:r>
        <w:t xml:space="preserve"> 780 graphs.</w:t>
      </w:r>
    </w:p>
    <w:p w14:paraId="5B7A493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event count progress bar reaching 50,000 and subsequent compensation adjustments.</w:t>
      </w:r>
    </w:p>
    <w:p w14:paraId="7D58A790" w14:textId="77777777" w:rsidR="000B08F4" w:rsidRDefault="000B08F4" w:rsidP="000B08F4"/>
    <w:p w14:paraId="4D21298F" w14:textId="1299BC45" w:rsidR="000B08F4" w:rsidRDefault="000B08F4" w:rsidP="000B08F4">
      <w:pPr>
        <w:pStyle w:val="Narration"/>
        <w:numPr>
          <w:ilvl w:val="1"/>
          <w:numId w:val="3"/>
        </w:numPr>
      </w:pPr>
      <w:r>
        <w:t xml:space="preserve">In the </w:t>
      </w:r>
      <w:proofErr w:type="spellStart"/>
      <w:r>
        <w:t>pseudocolor</w:t>
      </w:r>
      <w:proofErr w:type="spellEnd"/>
      <w:r>
        <w:t xml:space="preserve"> plots of CD45 and CD11b, identify and analyze the regions for CD11b+ CD45−</w:t>
      </w:r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CD-11-B positive C-D-45-negative</w:t>
      </w:r>
      <w:r w:rsidRPr="000B08F4">
        <w:rPr>
          <w:i/>
          <w:iCs/>
          <w:color w:val="FF0000"/>
        </w:rPr>
        <w:t>)</w:t>
      </w:r>
      <w:r>
        <w:t xml:space="preserve"> </w:t>
      </w:r>
      <w:r>
        <w:t>low and CD11b+ CD45</w:t>
      </w:r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CD-11-B positive C-D-45</w:t>
      </w:r>
      <w:r w:rsidRPr="000B08F4">
        <w:rPr>
          <w:i/>
          <w:iCs/>
          <w:color w:val="FF0000"/>
        </w:rPr>
        <w:t>)</w:t>
      </w:r>
      <w:r>
        <w:rPr>
          <w:i/>
          <w:iCs/>
          <w:color w:val="FF0000"/>
        </w:rPr>
        <w:t xml:space="preserve"> </w:t>
      </w:r>
      <w:r>
        <w:t xml:space="preserve">high cells </w:t>
      </w:r>
      <w:r>
        <w:rPr>
          <w:b/>
        </w:rPr>
        <w:t>[1]</w:t>
      </w:r>
      <w:r>
        <w:t>. Then, analyze the CD68+ CCR7+ and CD68+ CCR7-</w:t>
      </w:r>
      <w:r>
        <w:t xml:space="preserve"> </w:t>
      </w:r>
      <w:r w:rsidRPr="000B08F4">
        <w:rPr>
          <w:i/>
          <w:iCs/>
          <w:color w:val="FF0000"/>
        </w:rPr>
        <w:t>(</w:t>
      </w:r>
      <w:r>
        <w:rPr>
          <w:i/>
          <w:iCs/>
          <w:color w:val="FF0000"/>
        </w:rPr>
        <w:t>C</w:t>
      </w:r>
      <w:r>
        <w:rPr>
          <w:i/>
          <w:iCs/>
          <w:color w:val="FF0000"/>
        </w:rPr>
        <w:t>-C-R-7-negative</w:t>
      </w:r>
      <w:r w:rsidRPr="000B08F4">
        <w:rPr>
          <w:i/>
          <w:iCs/>
          <w:color w:val="FF0000"/>
        </w:rPr>
        <w:t>)</w:t>
      </w:r>
      <w:r>
        <w:t xml:space="preserve"> populations within each region </w:t>
      </w:r>
      <w:r>
        <w:rPr>
          <w:b/>
        </w:rPr>
        <w:t>[2]</w:t>
      </w:r>
      <w:r>
        <w:t>.</w:t>
      </w:r>
    </w:p>
    <w:p w14:paraId="0C4442A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Highlight the regions for CD45−/low and CD45high within CD11b+ gates on the </w:t>
      </w:r>
      <w:proofErr w:type="spellStart"/>
      <w:r>
        <w:t>pseudocolor</w:t>
      </w:r>
      <w:proofErr w:type="spellEnd"/>
      <w:r>
        <w:t xml:space="preserve"> plot.</w:t>
      </w:r>
    </w:p>
    <w:p w14:paraId="31BE6D4B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data separation and analysis of CCR7+ and CCR7- populations within each defined region.</w:t>
      </w:r>
    </w:p>
    <w:p w14:paraId="7173A18C" w14:textId="77777777" w:rsidR="000B08F4" w:rsidRDefault="000B08F4" w:rsidP="000B08F4"/>
    <w:p w14:paraId="7C0966C0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Integrate all analyses to determine the percentage of M1-like and M2-like microglia and macrophages across the defined regions </w:t>
      </w:r>
      <w:r>
        <w:rPr>
          <w:b/>
        </w:rPr>
        <w:t>[1]</w:t>
      </w:r>
      <w:r>
        <w:t>.</w:t>
      </w:r>
    </w:p>
    <w:p w14:paraId="0FB7CD5D" w14:textId="04F98AB2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Display a summary table or graph with the percentages of </w:t>
      </w:r>
      <w:r>
        <w:t>M1-like and M2-like cells</w:t>
      </w:r>
      <w:r>
        <w:t>.</w:t>
      </w:r>
    </w:p>
    <w:p w14:paraId="194E14C5" w14:textId="77777777" w:rsidR="000B08F4" w:rsidRDefault="000B08F4" w:rsidP="000B08F4"/>
    <w:p w14:paraId="637F94F1" w14:textId="77777777" w:rsidR="000B08F4" w:rsidRDefault="000B08F4" w:rsidP="000B08F4"/>
    <w:p w14:paraId="3081D76A" w14:textId="77777777" w:rsidR="000B08F4" w:rsidRDefault="000B08F4" w:rsidP="000B08F4"/>
    <w:p w14:paraId="0031CCA3" w14:textId="77777777" w:rsidR="000B08F4" w:rsidRDefault="000B08F4" w:rsidP="000B08F4"/>
    <w:p w14:paraId="11843580" w14:textId="77777777" w:rsidR="000B08F4" w:rsidRDefault="000B08F4" w:rsidP="000B08F4"/>
    <w:p w14:paraId="18053064" w14:textId="5559F5D7" w:rsidR="000B08F4" w:rsidRPr="00960611" w:rsidRDefault="00960611" w:rsidP="000B08F4">
      <w:pPr>
        <w:pStyle w:val="ListParagraph"/>
        <w:numPr>
          <w:ilvl w:val="0"/>
          <w:numId w:val="3"/>
        </w:numPr>
        <w:rPr>
          <w:b/>
          <w:bCs/>
        </w:rPr>
      </w:pPr>
      <w:r w:rsidRPr="00960611">
        <w:rPr>
          <w:b/>
          <w:bCs/>
        </w:rPr>
        <w:t>Flow Cytometry Data Analysis</w:t>
      </w:r>
    </w:p>
    <w:p w14:paraId="72B0FB28" w14:textId="77777777" w:rsidR="000B08F4" w:rsidRPr="00D7547B" w:rsidRDefault="000B08F4" w:rsidP="000B08F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2FF46C99CDCD4EE388B1C22DE7279B4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A1E39B7" w14:textId="77777777" w:rsidR="000B08F4" w:rsidRDefault="000B08F4" w:rsidP="000B08F4"/>
    <w:p w14:paraId="1498CECC" w14:textId="77777777" w:rsidR="000B08F4" w:rsidRDefault="000B08F4" w:rsidP="000B08F4"/>
    <w:p w14:paraId="45421F50" w14:textId="24814335" w:rsidR="000B08F4" w:rsidRDefault="000B08F4" w:rsidP="000B08F4">
      <w:pPr>
        <w:pStyle w:val="Narration"/>
        <w:numPr>
          <w:ilvl w:val="1"/>
          <w:numId w:val="3"/>
        </w:numPr>
      </w:pPr>
      <w:r>
        <w:t xml:space="preserve">Launch the flow cytometry analysis software </w:t>
      </w:r>
      <w:r>
        <w:rPr>
          <w:b/>
        </w:rPr>
        <w:t>[1]</w:t>
      </w:r>
      <w:r>
        <w:t xml:space="preserve">. Drag the flow cytometry experiment files into the </w:t>
      </w:r>
      <w:r>
        <w:rPr>
          <w:b/>
        </w:rPr>
        <w:t>All Samples</w:t>
      </w:r>
      <w:r>
        <w:t xml:space="preserve"> section of the interface </w:t>
      </w:r>
      <w:r>
        <w:rPr>
          <w:b/>
        </w:rPr>
        <w:t>[2]</w:t>
      </w:r>
      <w:r>
        <w:t xml:space="preserve">. </w:t>
      </w:r>
    </w:p>
    <w:p w14:paraId="14B81CBC" w14:textId="248F030F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Talent opening the flow cytometry analysis software on a computer.</w:t>
      </w:r>
    </w:p>
    <w:p w14:paraId="763307B9" w14:textId="0B540E2D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Show user dragging multiple experiment files into the </w:t>
      </w:r>
      <w:r>
        <w:rPr>
          <w:b/>
        </w:rPr>
        <w:t>All Samples</w:t>
      </w:r>
      <w:r>
        <w:t xml:space="preserve"> </w:t>
      </w:r>
      <w:r>
        <w:lastRenderedPageBreak/>
        <w:t>section on the software interface.</w:t>
      </w:r>
      <w:r>
        <w:t xml:space="preserve"> </w:t>
      </w:r>
      <w:r w:rsidRPr="000B08F4">
        <w:rPr>
          <w:b/>
          <w:bCs/>
        </w:rPr>
        <w:t xml:space="preserve">TXT: </w:t>
      </w:r>
      <w:r w:rsidRPr="000B08F4">
        <w:rPr>
          <w:b/>
          <w:bCs/>
        </w:rPr>
        <w:t>Begin by analyzing the isotype control tube</w:t>
      </w:r>
    </w:p>
    <w:p w14:paraId="50783B84" w14:textId="4B0FD93E" w:rsidR="000B08F4" w:rsidRDefault="000B08F4" w:rsidP="000B08F4">
      <w:pPr>
        <w:pStyle w:val="Narration"/>
        <w:numPr>
          <w:ilvl w:val="1"/>
          <w:numId w:val="3"/>
        </w:numPr>
      </w:pPr>
      <w:r>
        <w:t xml:space="preserve">Double-click on the isotype control sample to open a two-dimensional dot plot </w:t>
      </w:r>
      <w:r>
        <w:rPr>
          <w:b/>
        </w:rPr>
        <w:t>[1]</w:t>
      </w:r>
      <w:r>
        <w:t xml:space="preserve">. Select </w:t>
      </w:r>
      <w:r>
        <w:rPr>
          <w:b/>
        </w:rPr>
        <w:t>FSC-A</w:t>
      </w:r>
      <w:r>
        <w:t xml:space="preserve"> for the x-axis and </w:t>
      </w:r>
      <w:r>
        <w:rPr>
          <w:b/>
        </w:rPr>
        <w:t>SSC-A</w:t>
      </w:r>
      <w:r>
        <w:t xml:space="preserve"> for the y-axis </w:t>
      </w:r>
      <w:r>
        <w:rPr>
          <w:b/>
        </w:rPr>
        <w:t>[2]</w:t>
      </w:r>
      <w:r>
        <w:t xml:space="preserve"> </w:t>
      </w:r>
      <w:r w:rsidRPr="000B08F4">
        <w:rPr>
          <w:highlight w:val="yellow"/>
        </w:rPr>
        <w:t>and c</w:t>
      </w:r>
      <w:r>
        <w:t xml:space="preserve">lick on the </w:t>
      </w:r>
      <w:r>
        <w:rPr>
          <w:b/>
        </w:rPr>
        <w:t>Rectangular Gate</w:t>
      </w:r>
      <w:r>
        <w:t xml:space="preserve"> button and use it to select the area excluding cellular debris </w:t>
      </w:r>
      <w:r>
        <w:rPr>
          <w:b/>
        </w:rPr>
        <w:t>[3]</w:t>
      </w:r>
      <w:r>
        <w:t>.</w:t>
      </w:r>
    </w:p>
    <w:p w14:paraId="2F90276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Show the dot plot opening upon double-clicking the isotype sample.</w:t>
      </w:r>
    </w:p>
    <w:p w14:paraId="4845265D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User setting </w:t>
      </w:r>
      <w:r>
        <w:rPr>
          <w:b/>
        </w:rPr>
        <w:t>FSC-A</w:t>
      </w:r>
      <w:r>
        <w:t xml:space="preserve"> and </w:t>
      </w:r>
      <w:r>
        <w:rPr>
          <w:b/>
        </w:rPr>
        <w:t>SSC-A</w:t>
      </w:r>
      <w:r>
        <w:t xml:space="preserve"> on the respective axes in the plot window.</w:t>
      </w:r>
    </w:p>
    <w:p w14:paraId="1FDD863E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User clicking the </w:t>
      </w:r>
      <w:r>
        <w:rPr>
          <w:b/>
        </w:rPr>
        <w:t>Rectangular Gate</w:t>
      </w:r>
      <w:r>
        <w:t xml:space="preserve"> button and drawing a gate around the main population excluding debris.</w:t>
      </w:r>
    </w:p>
    <w:p w14:paraId="1073C4CE" w14:textId="77777777" w:rsidR="000B08F4" w:rsidRDefault="000B08F4" w:rsidP="000B08F4"/>
    <w:p w14:paraId="4451C2DD" w14:textId="68841AB7" w:rsidR="000B08F4" w:rsidRDefault="000B08F4" w:rsidP="000B08F4">
      <w:pPr>
        <w:pStyle w:val="Narration"/>
        <w:numPr>
          <w:ilvl w:val="1"/>
          <w:numId w:val="3"/>
        </w:numPr>
      </w:pPr>
      <w:r>
        <w:t xml:space="preserve">Double-click the gated area to open a new histogram plot </w:t>
      </w:r>
      <w:r>
        <w:rPr>
          <w:b/>
        </w:rPr>
        <w:t>[1]</w:t>
      </w:r>
      <w:r>
        <w:t xml:space="preserve">. </w:t>
      </w:r>
      <w:r>
        <w:t>Then, s</w:t>
      </w:r>
      <w:r>
        <w:t xml:space="preserve">elect </w:t>
      </w:r>
      <w:r>
        <w:rPr>
          <w:b/>
        </w:rPr>
        <w:t>FITC</w:t>
      </w:r>
      <w:r>
        <w:t xml:space="preserve"> for the x-axis and </w:t>
      </w:r>
      <w:r>
        <w:rPr>
          <w:b/>
        </w:rPr>
        <w:t>Histogram</w:t>
      </w:r>
      <w:r>
        <w:t xml:space="preserve"> for the y-axis </w:t>
      </w:r>
      <w:r>
        <w:rPr>
          <w:b/>
        </w:rPr>
        <w:t>[2]</w:t>
      </w:r>
      <w:r>
        <w:t xml:space="preserve">. Click on the </w:t>
      </w:r>
      <w:r>
        <w:rPr>
          <w:b/>
        </w:rPr>
        <w:t>Region Gate</w:t>
      </w:r>
      <w:r>
        <w:t xml:space="preserve"> button to define the threshold between negative and positive fluorescence signals </w:t>
      </w:r>
      <w:r>
        <w:rPr>
          <w:b/>
        </w:rPr>
        <w:t>[3]</w:t>
      </w:r>
      <w:r>
        <w:t>.</w:t>
      </w:r>
    </w:p>
    <w:p w14:paraId="0FAD82B0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double-clicking the gated area and opening a histogram plot.</w:t>
      </w:r>
    </w:p>
    <w:p w14:paraId="0E7B4AB8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Axis configuration showing FITC on the x-axis and Histogram on the y-axis.</w:t>
      </w:r>
    </w:p>
    <w:p w14:paraId="2AEE31D6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 of </w:t>
      </w:r>
      <w:r>
        <w:rPr>
          <w:b/>
        </w:rPr>
        <w:t>Region Gate</w:t>
      </w:r>
      <w:r>
        <w:t xml:space="preserve"> button to draw a gate in the histogram indicating threshold determination.</w:t>
      </w:r>
    </w:p>
    <w:p w14:paraId="0EFAB30A" w14:textId="77777777" w:rsidR="000B08F4" w:rsidRDefault="000B08F4" w:rsidP="000B08F4"/>
    <w:p w14:paraId="42B3475F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For each of the four fluorescent antibodies, determine the threshold between negative and positive signals using the isotype control sample </w:t>
      </w:r>
      <w:r>
        <w:rPr>
          <w:b/>
        </w:rPr>
        <w:t>[1]</w:t>
      </w:r>
      <w:r>
        <w:t xml:space="preserve">. Sequentially change the x-axis fluorochrome to </w:t>
      </w:r>
      <w:r>
        <w:rPr>
          <w:b/>
        </w:rPr>
        <w:t>PE</w:t>
      </w:r>
      <w:r>
        <w:t xml:space="preserve">, </w:t>
      </w:r>
      <w:r>
        <w:rPr>
          <w:b/>
        </w:rPr>
        <w:t>APC</w:t>
      </w:r>
      <w:r>
        <w:t xml:space="preserve">, and </w:t>
      </w:r>
      <w:r>
        <w:rPr>
          <w:b/>
        </w:rPr>
        <w:t>APC-Cy7</w:t>
      </w:r>
      <w:r>
        <w:t xml:space="preserve">, while keeping the y-axis as Histogram </w:t>
      </w:r>
      <w:r>
        <w:rPr>
          <w:b/>
        </w:rPr>
        <w:t>[2]</w:t>
      </w:r>
      <w:r>
        <w:t>.</w:t>
      </w:r>
    </w:p>
    <w:p w14:paraId="72C5DEF3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Selection and gating of each fluorochrome—PE, APC, and APC-Cy7—one after the other, showing the histogram changes.</w:t>
      </w:r>
    </w:p>
    <w:p w14:paraId="2C070F82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For each, maintain Histogram on the y-axis and highlight gate placements to define signal thresholds.</w:t>
      </w:r>
    </w:p>
    <w:p w14:paraId="25EAB230" w14:textId="77777777" w:rsidR="000B08F4" w:rsidRDefault="000B08F4" w:rsidP="000B08F4"/>
    <w:p w14:paraId="37C2AB9D" w14:textId="77777777" w:rsidR="000B08F4" w:rsidRDefault="000B08F4" w:rsidP="000B08F4">
      <w:pPr>
        <w:pStyle w:val="Narration"/>
        <w:numPr>
          <w:ilvl w:val="1"/>
          <w:numId w:val="3"/>
        </w:numPr>
      </w:pPr>
      <w:r>
        <w:t xml:space="preserve">Use the </w:t>
      </w:r>
      <w:r>
        <w:rPr>
          <w:b/>
        </w:rPr>
        <w:t>Region Gate</w:t>
      </w:r>
      <w:r>
        <w:t xml:space="preserve"> tool in each histogram to finalize gates for distinguishing negative and positive fluorescence signals for the four antibodies </w:t>
      </w:r>
      <w:r>
        <w:rPr>
          <w:b/>
        </w:rPr>
        <w:t>[1]</w:t>
      </w:r>
      <w:r>
        <w:t>.</w:t>
      </w:r>
    </w:p>
    <w:p w14:paraId="423E6726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For each antibody histogram, show user applying the </w:t>
      </w:r>
      <w:r>
        <w:rPr>
          <w:b/>
        </w:rPr>
        <w:t>Region Gate</w:t>
      </w:r>
      <w:r>
        <w:t xml:space="preserve"> and finalizing signal thresholds.</w:t>
      </w:r>
    </w:p>
    <w:p w14:paraId="6F07F0B9" w14:textId="77777777" w:rsidR="000B08F4" w:rsidRDefault="000B08F4" w:rsidP="000B08F4"/>
    <w:p w14:paraId="1EAAD3D5" w14:textId="7208B181" w:rsidR="000B08F4" w:rsidRDefault="000B08F4" w:rsidP="000B08F4">
      <w:pPr>
        <w:pStyle w:val="Narration"/>
        <w:numPr>
          <w:ilvl w:val="1"/>
          <w:numId w:val="3"/>
        </w:numPr>
      </w:pPr>
      <w:r>
        <w:t>Next, d</w:t>
      </w:r>
      <w:r>
        <w:t xml:space="preserve">ouble-click on the experimental sample to open a dot plot </w:t>
      </w:r>
      <w:r>
        <w:rPr>
          <w:b/>
        </w:rPr>
        <w:t>[1]</w:t>
      </w:r>
      <w:r>
        <w:t xml:space="preserve">. Select </w:t>
      </w:r>
      <w:r>
        <w:rPr>
          <w:b/>
        </w:rPr>
        <w:t>FSC-A</w:t>
      </w:r>
      <w:r>
        <w:t xml:space="preserve"> for the x-axis and </w:t>
      </w:r>
      <w:r>
        <w:rPr>
          <w:b/>
        </w:rPr>
        <w:t>SSC-A</w:t>
      </w:r>
      <w:r>
        <w:t xml:space="preserve"> for the y-axis </w:t>
      </w:r>
      <w:r>
        <w:rPr>
          <w:b/>
        </w:rPr>
        <w:t>[2]</w:t>
      </w:r>
      <w:r>
        <w:t xml:space="preserve">. Click the </w:t>
      </w:r>
      <w:r>
        <w:rPr>
          <w:b/>
        </w:rPr>
        <w:t>Rectangular Gate</w:t>
      </w:r>
      <w:r>
        <w:t xml:space="preserve"> button to gate the population after removing debris </w:t>
      </w:r>
      <w:r>
        <w:rPr>
          <w:b/>
        </w:rPr>
        <w:t>[3]</w:t>
      </w:r>
      <w:r>
        <w:t>.</w:t>
      </w:r>
    </w:p>
    <w:p w14:paraId="1A8D582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opening the experimental sample’s dot plot view.</w:t>
      </w:r>
    </w:p>
    <w:p w14:paraId="3B7B14AD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lastRenderedPageBreak/>
        <w:t>SCREEN</w:t>
      </w:r>
      <w:r>
        <w:t xml:space="preserve">: Axis assignment with </w:t>
      </w:r>
      <w:r>
        <w:rPr>
          <w:b/>
        </w:rPr>
        <w:t>FSC-A</w:t>
      </w:r>
      <w:r>
        <w:t xml:space="preserve"> and </w:t>
      </w:r>
      <w:r>
        <w:rPr>
          <w:b/>
        </w:rPr>
        <w:t>SSC-A</w:t>
      </w:r>
      <w:r>
        <w:t>.</w:t>
      </w:r>
    </w:p>
    <w:p w14:paraId="7BD50224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 xml:space="preserve">: User applying </w:t>
      </w:r>
      <w:r>
        <w:rPr>
          <w:b/>
        </w:rPr>
        <w:t>Rectangular Gate</w:t>
      </w:r>
      <w:r>
        <w:t xml:space="preserve"> to isolate main cell population.</w:t>
      </w:r>
    </w:p>
    <w:p w14:paraId="35C0225A" w14:textId="77777777" w:rsidR="000B08F4" w:rsidRDefault="000B08F4" w:rsidP="000B08F4"/>
    <w:p w14:paraId="26F2B987" w14:textId="48540C83" w:rsidR="000B08F4" w:rsidRDefault="000B08F4" w:rsidP="000B08F4">
      <w:pPr>
        <w:pStyle w:val="Narration"/>
        <w:numPr>
          <w:ilvl w:val="1"/>
          <w:numId w:val="3"/>
        </w:numPr>
      </w:pPr>
      <w:r>
        <w:t xml:space="preserve">Double-click the gated region to open a new dot plot </w:t>
      </w:r>
      <w:r>
        <w:rPr>
          <w:b/>
        </w:rPr>
        <w:t>[1]</w:t>
      </w:r>
      <w:r>
        <w:t xml:space="preserve">. Select </w:t>
      </w:r>
      <w:r>
        <w:rPr>
          <w:b/>
        </w:rPr>
        <w:t>CD11b-PE</w:t>
      </w:r>
      <w:r>
        <w:t xml:space="preserve"> for the x-axis and </w:t>
      </w:r>
      <w:r>
        <w:rPr>
          <w:b/>
        </w:rPr>
        <w:t>SSC-A</w:t>
      </w:r>
      <w:r>
        <w:t xml:space="preserve"> for the y-axis </w:t>
      </w:r>
      <w:r>
        <w:rPr>
          <w:b/>
        </w:rPr>
        <w:t>[2]</w:t>
      </w:r>
      <w:r>
        <w:t xml:space="preserve">. Click the </w:t>
      </w:r>
      <w:r>
        <w:rPr>
          <w:b/>
        </w:rPr>
        <w:t>Rectangular Gate</w:t>
      </w:r>
      <w:r>
        <w:t xml:space="preserve"> button and use the PE threshold from the isotype control to define the CD11b</w:t>
      </w:r>
      <w:r>
        <w:t xml:space="preserve"> positive</w:t>
      </w:r>
      <w:r>
        <w:t xml:space="preserve"> gate </w:t>
      </w:r>
      <w:r>
        <w:rPr>
          <w:b/>
        </w:rPr>
        <w:t>[3]</w:t>
      </w:r>
      <w:r>
        <w:t>.</w:t>
      </w:r>
    </w:p>
    <w:p w14:paraId="48C439E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Open dot plot showing gated region from previous step.</w:t>
      </w:r>
    </w:p>
    <w:p w14:paraId="2AEEF052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assigning axes: CD11b-PE and SSC-A.</w:t>
      </w:r>
    </w:p>
    <w:p w14:paraId="2B864E9C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gating CD11b+ cells using PE threshold as a reference.</w:t>
      </w:r>
    </w:p>
    <w:p w14:paraId="5A8281D3" w14:textId="77777777" w:rsidR="000B08F4" w:rsidRDefault="000B08F4" w:rsidP="000B08F4"/>
    <w:p w14:paraId="5BBB5C9C" w14:textId="4587CCBC" w:rsidR="000B08F4" w:rsidRDefault="000B08F4" w:rsidP="000B08F4">
      <w:pPr>
        <w:pStyle w:val="Narration"/>
        <w:numPr>
          <w:ilvl w:val="1"/>
          <w:numId w:val="3"/>
        </w:numPr>
      </w:pPr>
      <w:r>
        <w:t>Now, d</w:t>
      </w:r>
      <w:r>
        <w:t>ouble-click the CD11b</w:t>
      </w:r>
      <w:r>
        <w:t xml:space="preserve"> positive</w:t>
      </w:r>
      <w:r>
        <w:t xml:space="preserve"> region to open another dot plot </w:t>
      </w:r>
      <w:r>
        <w:rPr>
          <w:b/>
        </w:rPr>
        <w:t>[1]</w:t>
      </w:r>
      <w:r>
        <w:t xml:space="preserve">. Select </w:t>
      </w:r>
      <w:r>
        <w:rPr>
          <w:b/>
        </w:rPr>
        <w:t>CD68-FITC</w:t>
      </w:r>
      <w:r>
        <w:t xml:space="preserve"> for the x-axis and </w:t>
      </w:r>
      <w:r>
        <w:rPr>
          <w:b/>
        </w:rPr>
        <w:t>CCR7 APC-Cy7</w:t>
      </w:r>
      <w:r>
        <w:t xml:space="preserve"> for the y-axis </w:t>
      </w:r>
      <w:r>
        <w:rPr>
          <w:b/>
        </w:rPr>
        <w:t>[2]</w:t>
      </w:r>
      <w:r>
        <w:t xml:space="preserve">. Click the </w:t>
      </w:r>
      <w:r>
        <w:rPr>
          <w:b/>
        </w:rPr>
        <w:t>Cross Gate</w:t>
      </w:r>
      <w:r>
        <w:t xml:space="preserve"> button and use the isotype-derived FITC and APC-Cy7 thresholds to categorize cells into M1-like and M2-like types </w:t>
      </w:r>
      <w:r>
        <w:rPr>
          <w:b/>
        </w:rPr>
        <w:t>[3]</w:t>
      </w:r>
      <w:r>
        <w:t>.</w:t>
      </w:r>
    </w:p>
    <w:p w14:paraId="3DDCA829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User opening the CD11b+ gate region into a new dot plot.</w:t>
      </w:r>
    </w:p>
    <w:p w14:paraId="552BFE6A" w14:textId="77777777" w:rsidR="000B08F4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Axes set to CD68-FITC and CCR7 APC-Cy7.</w:t>
      </w:r>
    </w:p>
    <w:p w14:paraId="13CC1A54" w14:textId="77777777" w:rsidR="000B08F4" w:rsidRPr="00EA11EB" w:rsidRDefault="000B08F4" w:rsidP="000B08F4">
      <w:pPr>
        <w:pStyle w:val="ShotDescription"/>
        <w:numPr>
          <w:ilvl w:val="2"/>
          <w:numId w:val="3"/>
        </w:numPr>
      </w:pPr>
      <w:r w:rsidRPr="000B08F4">
        <w:rPr>
          <w:highlight w:val="yellow"/>
        </w:rPr>
        <w:t>SCREEN</w:t>
      </w:r>
      <w:r>
        <w:t>: Cross Gate tool used to mark M1-like and M2-like cell regions based on fluorescence thresholds.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DB928AB" w14:textId="77777777" w:rsidR="000B08F4" w:rsidRDefault="000B08F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3A50B8F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4F37D49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60611">
        <w:rPr>
          <w:rFonts w:eastAsia="Times New Roman" w:cstheme="minorHAnsi"/>
          <w:bCs/>
        </w:rPr>
        <w:t>110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5C53B8A0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24E1A73" w14:textId="7FC60298" w:rsidR="00960611" w:rsidRP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The proportion of CD45highCD11b+CD68+CCR7+ cells was significantly increased in the spinal cord injury </w:t>
      </w:r>
      <w:r>
        <w:rPr>
          <w:rFonts w:cstheme="minorHAnsi"/>
        </w:rPr>
        <w:t xml:space="preserve">or SCI </w:t>
      </w:r>
      <w:r w:rsidRPr="00960611">
        <w:rPr>
          <w:rFonts w:cstheme="minorHAnsi"/>
        </w:rPr>
        <w:t xml:space="preserve">vehicle group compared to the sham group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 xml:space="preserve">, and CRID3 </w:t>
      </w:r>
      <w:r w:rsidRPr="00960611">
        <w:rPr>
          <w:rFonts w:cstheme="minorHAnsi"/>
          <w:i/>
          <w:iCs w:val="0"/>
          <w:color w:val="FF0000"/>
        </w:rPr>
        <w:t>(</w:t>
      </w:r>
      <w:r>
        <w:rPr>
          <w:rFonts w:cstheme="minorHAnsi"/>
          <w:i/>
          <w:iCs w:val="0"/>
          <w:color w:val="FF0000"/>
        </w:rPr>
        <w:t>crid-3</w:t>
      </w:r>
      <w:r w:rsidRPr="00960611">
        <w:rPr>
          <w:rFonts w:cstheme="minorHAnsi"/>
          <w:i/>
          <w:iCs w:val="0"/>
          <w:color w:val="FF0000"/>
        </w:rPr>
        <w:t>)</w:t>
      </w:r>
      <w:r>
        <w:rPr>
          <w:rFonts w:cstheme="minorHAnsi"/>
        </w:rPr>
        <w:t xml:space="preserve"> </w:t>
      </w:r>
      <w:r w:rsidRPr="00960611">
        <w:rPr>
          <w:rFonts w:cstheme="minorHAnsi"/>
        </w:rPr>
        <w:t xml:space="preserve">treatment did not alter this level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1927DBEC" w14:textId="71B205BD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>Video editor: Highlight the bar for CD45highCD11b+CD68+CCR7+ cells in the SCI (vehicle) group</w:t>
      </w:r>
      <w:r w:rsidRPr="00960611">
        <w:rPr>
          <w:rFonts w:cstheme="minorHAnsi"/>
        </w:rPr>
        <w:t>.</w:t>
      </w:r>
    </w:p>
    <w:p w14:paraId="2EF715B5" w14:textId="66767A1B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 xml:space="preserve">B </w:t>
      </w:r>
      <w:r w:rsidRPr="00960611">
        <w:rPr>
          <w:rFonts w:cstheme="minorHAnsi"/>
        </w:rPr>
        <w:t xml:space="preserve"> </w:t>
      </w:r>
      <w:r w:rsidRPr="00960611">
        <w:rPr>
          <w:rFonts w:cstheme="minorHAnsi"/>
          <w:i/>
          <w:iCs w:val="0"/>
          <w:color w:val="3333FF"/>
        </w:rPr>
        <w:t>Video editor: Highlight the CD45highCD11b+CD68+CCR7+ bar in the CRID3 group</w:t>
      </w:r>
      <w:r w:rsidRPr="00960611">
        <w:rPr>
          <w:rFonts w:cstheme="minorHAnsi"/>
        </w:rPr>
        <w:t xml:space="preserve"> .</w:t>
      </w:r>
    </w:p>
    <w:p w14:paraId="58087FC4" w14:textId="77777777" w:rsidR="00960611" w:rsidRPr="00960611" w:rsidRDefault="00960611" w:rsidP="0096061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DBD179B" w14:textId="79C3FC1F" w:rsid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The proportion of CD45−/lowCD11b+CD68+CCR7+ cells was significantly higher in the </w:t>
      </w:r>
      <w:r>
        <w:rPr>
          <w:rFonts w:cstheme="minorHAnsi"/>
        </w:rPr>
        <w:t>SCI</w:t>
      </w:r>
      <w:r w:rsidRPr="00960611">
        <w:rPr>
          <w:rFonts w:cstheme="minorHAnsi"/>
        </w:rPr>
        <w:t xml:space="preserve"> vehicle group compared to sham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 xml:space="preserve">, and was significantly reduced following CRID3 treatment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35AED7FB" w14:textId="1ED9A91E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LAB MEDIA: Figure 3B. </w:t>
      </w:r>
      <w:r w:rsidRPr="00960611">
        <w:rPr>
          <w:rFonts w:cstheme="minorHAnsi"/>
          <w:i/>
          <w:iCs w:val="0"/>
          <w:color w:val="3333FF"/>
        </w:rPr>
        <w:t>Video editor: Highlight the tall bar for CD45−/lowCD11b+CD68+CCR7+ in the SCI (vehicle) group</w:t>
      </w:r>
      <w:r w:rsidRPr="00960611">
        <w:rPr>
          <w:rFonts w:cstheme="minorHAnsi"/>
        </w:rPr>
        <w:t>.</w:t>
      </w:r>
    </w:p>
    <w:p w14:paraId="1B292338" w14:textId="1F39B6D9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>Video editor: Highlight the CD45−/lowCD11b+CD68+CCR7+ bar in the CRID3 group</w:t>
      </w:r>
      <w:r w:rsidRPr="00960611">
        <w:rPr>
          <w:rFonts w:cstheme="minorHAnsi"/>
        </w:rPr>
        <w:t>.</w:t>
      </w:r>
    </w:p>
    <w:p w14:paraId="1438E9CC" w14:textId="77777777" w:rsidR="00960611" w:rsidRPr="00960611" w:rsidRDefault="00960611" w:rsidP="0096061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66DF167" w14:textId="2714A9AF" w:rsidR="00960611" w:rsidRP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The proportions of CD11b+CD68+CCR7+ cells were significantly increased in the </w:t>
      </w:r>
      <w:r>
        <w:rPr>
          <w:rFonts w:cstheme="minorHAnsi"/>
        </w:rPr>
        <w:t>SCI</w:t>
      </w:r>
      <w:r>
        <w:rPr>
          <w:rFonts w:cstheme="minorHAnsi"/>
        </w:rPr>
        <w:t xml:space="preserve"> </w:t>
      </w:r>
      <w:r w:rsidRPr="00960611">
        <w:rPr>
          <w:rFonts w:cstheme="minorHAnsi"/>
        </w:rPr>
        <w:t xml:space="preserve">vehicle group compared to sham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 xml:space="preserve">, and significantly decreased after CRID3 treatment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5871B2FC" w14:textId="77777777" w:rsid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 xml:space="preserve"> B. </w:t>
      </w:r>
      <w:r w:rsidRPr="00960611">
        <w:rPr>
          <w:rFonts w:cstheme="minorHAnsi"/>
          <w:i/>
          <w:iCs w:val="0"/>
          <w:color w:val="3333FF"/>
        </w:rPr>
        <w:t>Video editor: Highlight the increased bar for CD11b+CD68+CCR7+ in the</w:t>
      </w:r>
      <w:r w:rsidRPr="00960611">
        <w:rPr>
          <w:rFonts w:cstheme="minorHAnsi"/>
          <w:i/>
          <w:iCs w:val="0"/>
          <w:color w:val="3333FF"/>
        </w:rPr>
        <w:t xml:space="preserve"> SCI (vehicle) group</w:t>
      </w:r>
      <w:r w:rsidRPr="00960611">
        <w:rPr>
          <w:rFonts w:cstheme="minorHAnsi"/>
        </w:rPr>
        <w:t>.</w:t>
      </w:r>
    </w:p>
    <w:p w14:paraId="025FBBBE" w14:textId="1CEC403C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 w:rsidRPr="00960611"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>Video editor: Highlight the bar for CD11b+CD68+CCR7+ in the CRID3 group</w:t>
      </w:r>
      <w:r w:rsidRPr="00960611">
        <w:rPr>
          <w:rFonts w:cstheme="minorHAnsi"/>
        </w:rPr>
        <w:t>.</w:t>
      </w:r>
    </w:p>
    <w:p w14:paraId="2DB2125C" w14:textId="77777777" w:rsidR="00960611" w:rsidRPr="00960611" w:rsidRDefault="00960611" w:rsidP="0096061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3771EF4" w14:textId="72765E02" w:rsidR="00960611" w:rsidRPr="00960611" w:rsidRDefault="00960611" w:rsidP="0096061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 xml:space="preserve">CD11b+CD68+CCR7− and CD45−/lowCD11b+CD68+CCR7− cell proportions were significantly decreased in both </w:t>
      </w:r>
      <w:r>
        <w:rPr>
          <w:rFonts w:cstheme="minorHAnsi"/>
        </w:rPr>
        <w:t>SCI vehicle</w:t>
      </w:r>
      <w:r w:rsidRPr="00960611">
        <w:rPr>
          <w:rFonts w:cstheme="minorHAnsi"/>
        </w:rPr>
        <w:t xml:space="preserve"> </w:t>
      </w:r>
      <w:r w:rsidRPr="00960611">
        <w:rPr>
          <w:rFonts w:cstheme="minorHAnsi"/>
        </w:rPr>
        <w:t xml:space="preserve">groups compared to sham </w:t>
      </w:r>
      <w:r w:rsidRPr="00960611">
        <w:rPr>
          <w:rFonts w:cstheme="minorHAnsi"/>
          <w:b/>
        </w:rPr>
        <w:t>[1]</w:t>
      </w:r>
      <w:r w:rsidRPr="00960611">
        <w:rPr>
          <w:rFonts w:cstheme="minorHAnsi"/>
        </w:rPr>
        <w:t xml:space="preserve">, and increased after CRID3 treatment </w:t>
      </w:r>
      <w:r w:rsidRPr="00960611">
        <w:rPr>
          <w:rFonts w:cstheme="minorHAnsi"/>
          <w:b/>
        </w:rPr>
        <w:t>[2]</w:t>
      </w:r>
      <w:r w:rsidRPr="00960611">
        <w:rPr>
          <w:rFonts w:cstheme="minorHAnsi"/>
        </w:rPr>
        <w:t>.</w:t>
      </w:r>
    </w:p>
    <w:p w14:paraId="54EB535C" w14:textId="77777777" w:rsid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t>LAB MEDIA: Figure 3</w:t>
      </w:r>
      <w:r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>Video editor: Highlight the shorter bars for CD11b+CD68+CCR7− and CD45−/lowCD11b+CD68+CCR7− in the SCI (vehicle) group</w:t>
      </w:r>
      <w:r w:rsidRPr="00960611">
        <w:rPr>
          <w:rFonts w:cstheme="minorHAnsi"/>
        </w:rPr>
        <w:t>.</w:t>
      </w:r>
    </w:p>
    <w:p w14:paraId="1C39B62C" w14:textId="62E9E203" w:rsidR="00960611" w:rsidRPr="00960611" w:rsidRDefault="00960611" w:rsidP="0096061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0611">
        <w:rPr>
          <w:rFonts w:cstheme="minorHAnsi"/>
        </w:rPr>
        <w:lastRenderedPageBreak/>
        <w:t>LAB MEDIA: Figure 3</w:t>
      </w:r>
      <w:r w:rsidRPr="00960611">
        <w:rPr>
          <w:rFonts w:cstheme="minorHAnsi"/>
        </w:rPr>
        <w:t>B</w:t>
      </w:r>
      <w:r w:rsidRPr="00960611">
        <w:rPr>
          <w:rFonts w:cstheme="minorHAnsi"/>
        </w:rPr>
        <w:t xml:space="preserve">. </w:t>
      </w:r>
      <w:r w:rsidRPr="00960611">
        <w:rPr>
          <w:rFonts w:cstheme="minorHAnsi"/>
          <w:i/>
          <w:iCs w:val="0"/>
          <w:color w:val="3333FF"/>
        </w:rPr>
        <w:t xml:space="preserve">Video editor: Highlight the bars for CD11b+CD68+CCR7− and CD45−/lowCD11b+CD68+CCR7− in the CRID3 group </w:t>
      </w:r>
      <w:r w:rsidRPr="00960611">
        <w:rPr>
          <w:rFonts w:cstheme="minorHAnsi"/>
        </w:rPr>
        <w:t>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D978" w14:textId="77777777" w:rsidR="008F3006" w:rsidRDefault="008F3006">
      <w:r>
        <w:separator/>
      </w:r>
    </w:p>
    <w:p w14:paraId="0A24C543" w14:textId="77777777" w:rsidR="008F3006" w:rsidRDefault="008F3006"/>
  </w:endnote>
  <w:endnote w:type="continuationSeparator" w:id="0">
    <w:p w14:paraId="68BE45C1" w14:textId="77777777" w:rsidR="008F3006" w:rsidRDefault="008F3006">
      <w:r>
        <w:continuationSeparator/>
      </w:r>
    </w:p>
    <w:p w14:paraId="6686DA3F" w14:textId="77777777" w:rsidR="008F3006" w:rsidRDefault="008F3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6E6E81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B08F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E01C" w14:textId="77777777" w:rsidR="008F3006" w:rsidRDefault="008F3006">
      <w:r>
        <w:separator/>
      </w:r>
    </w:p>
    <w:p w14:paraId="6EFE41F9" w14:textId="77777777" w:rsidR="008F3006" w:rsidRDefault="008F3006"/>
  </w:footnote>
  <w:footnote w:type="continuationSeparator" w:id="0">
    <w:p w14:paraId="4E4485A4" w14:textId="77777777" w:rsidR="008F3006" w:rsidRDefault="008F3006">
      <w:r>
        <w:continuationSeparator/>
      </w:r>
    </w:p>
    <w:p w14:paraId="35C7CDC7" w14:textId="77777777" w:rsidR="008F3006" w:rsidRDefault="008F3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8F4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2C99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690B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3006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0611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DC8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B08F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B08F4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0B08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08F4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B08F4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B08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12973685@qq.com" TargetMode="External"/><Relationship Id="rId13" Type="http://schemas.openxmlformats.org/officeDocument/2006/relationships/hyperlink" Target="mailto:lxy233003@163.com" TargetMode="External"/><Relationship Id="rId18" Type="http://schemas.openxmlformats.org/officeDocument/2006/relationships/hyperlink" Target="https://review.jove.com/account/file-uploader?src=2072998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729983" TargetMode="External"/><Relationship Id="rId12" Type="http://schemas.openxmlformats.org/officeDocument/2006/relationships/hyperlink" Target="mailto:1627802217@qq.com" TargetMode="External"/><Relationship Id="rId17" Type="http://schemas.openxmlformats.org/officeDocument/2006/relationships/hyperlink" Target="mailto:yuan.yue@myjov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23130953@qq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3248633078@qq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1534107569@qq.com" TargetMode="External"/><Relationship Id="rId14" Type="http://schemas.openxmlformats.org/officeDocument/2006/relationships/hyperlink" Target="mailto:59270847@qq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FF46C99CDCD4EE388B1C22DE727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AE1C-0444-4FB4-9230-A8E82A3F1CAD}"/>
      </w:docPartPr>
      <w:docPartBody>
        <w:p w:rsidR="00000000" w:rsidRDefault="00274F8D" w:rsidP="00274F8D">
          <w:pPr>
            <w:pStyle w:val="2FF46C99CDCD4EE388B1C22DE7279B4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4F8D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3F690B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A5AF7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FF46C99CDCD4EE388B1C22DE7279B4C">
    <w:name w:val="2FF46C99CDCD4EE388B1C22DE7279B4C"/>
    <w:rsid w:val="00274F8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2740</Words>
  <Characters>15045</Characters>
  <Application>Microsoft Office Word</Application>
  <DocSecurity>0</DocSecurity>
  <Lines>349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2025-05-23T03:27:00Z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