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5DA58" w14:textId="77777777" w:rsidR="00B54667" w:rsidRPr="00B07A3B" w:rsidRDefault="00B54667" w:rsidP="00B54667">
      <w:pPr>
        <w:outlineLvl w:val="0"/>
        <w:rPr>
          <w:rFonts w:eastAsia="Times New Roman" w:cstheme="minorHAnsi"/>
          <w:b/>
        </w:rPr>
      </w:pPr>
      <w:r w:rsidRPr="00B07A3B">
        <w:rPr>
          <w:rFonts w:eastAsia="Times New Roman" w:cstheme="minorHAnsi"/>
          <w:b/>
        </w:rPr>
        <w:t xml:space="preserve">Submission ID #: </w:t>
      </w:r>
      <w:r>
        <w:rPr>
          <w:rFonts w:eastAsia="Times New Roman" w:cstheme="minorHAnsi"/>
          <w:b/>
        </w:rPr>
        <w:t>67910</w:t>
      </w:r>
      <w:r>
        <w:rPr>
          <w:rFonts w:eastAsia="Times New Roman" w:cstheme="minorHAnsi"/>
          <w:b/>
        </w:rPr>
        <w:tab/>
      </w:r>
    </w:p>
    <w:p w14:paraId="14462688" w14:textId="77777777" w:rsidR="00B54667" w:rsidRDefault="00B54667" w:rsidP="00B54667">
      <w:pPr>
        <w:outlineLvl w:val="0"/>
        <w:rPr>
          <w:rFonts w:eastAsia="Times New Roman" w:cstheme="minorHAnsi"/>
          <w:b/>
        </w:rPr>
      </w:pPr>
      <w:r w:rsidRPr="00B07A3B">
        <w:rPr>
          <w:rFonts w:eastAsia="Times New Roman" w:cstheme="minorHAnsi"/>
          <w:b/>
        </w:rPr>
        <w:t xml:space="preserve">Scriptwriter Name: </w:t>
      </w:r>
      <w:r>
        <w:rPr>
          <w:rFonts w:eastAsia="Times New Roman" w:cstheme="minorHAnsi"/>
          <w:b/>
        </w:rPr>
        <w:t>Nilesh Kolhe</w:t>
      </w:r>
    </w:p>
    <w:p w14:paraId="6240EA99" w14:textId="77777777" w:rsidR="00B54667" w:rsidRDefault="00B54667" w:rsidP="00B54667">
      <w:pPr>
        <w:outlineLvl w:val="0"/>
        <w:rPr>
          <w:rFonts w:eastAsia="Times New Roman" w:cstheme="minorHAnsi"/>
          <w:b/>
        </w:rPr>
      </w:pPr>
      <w:r w:rsidRPr="00B07A3B">
        <w:rPr>
          <w:rFonts w:eastAsia="Times New Roman" w:cstheme="minorHAnsi"/>
          <w:b/>
        </w:rPr>
        <w:t>Project Page Link:</w:t>
      </w:r>
      <w:r>
        <w:rPr>
          <w:rFonts w:eastAsia="Times New Roman" w:cstheme="minorHAnsi"/>
          <w:b/>
        </w:rPr>
        <w:t xml:space="preserve"> </w:t>
      </w:r>
      <w:hyperlink r:id="rId5" w:history="1">
        <w:r w:rsidRPr="00441E13">
          <w:rPr>
            <w:rStyle w:val="Hyperlink"/>
            <w:rFonts w:eastAsia="Times New Roman" w:cstheme="minorHAnsi"/>
            <w:b/>
          </w:rPr>
          <w:t>https://review.jove.com/account/file-uploader?src=20712598</w:t>
        </w:r>
      </w:hyperlink>
    </w:p>
    <w:p w14:paraId="6F74DC73" w14:textId="77777777" w:rsidR="00B54667" w:rsidRPr="001C63AA" w:rsidRDefault="00B54667" w:rsidP="00B54667">
      <w:pPr>
        <w:outlineLvl w:val="0"/>
        <w:rPr>
          <w:rFonts w:eastAsia="Times New Roman" w:cstheme="minorHAnsi"/>
          <w:b/>
          <w:sz w:val="32"/>
          <w:szCs w:val="32"/>
        </w:rPr>
      </w:pPr>
    </w:p>
    <w:p w14:paraId="713A250E" w14:textId="77777777" w:rsidR="00B54667" w:rsidRPr="001C63AA" w:rsidRDefault="00B54667" w:rsidP="00B54667">
      <w:pPr>
        <w:jc w:val="both"/>
        <w:rPr>
          <w:rFonts w:ascii="Calibri" w:hAnsi="Calibri" w:cs="Calibri"/>
          <w:b/>
          <w:sz w:val="32"/>
          <w:szCs w:val="32"/>
        </w:rPr>
      </w:pPr>
      <w:r w:rsidRPr="001C63AA">
        <w:rPr>
          <w:rFonts w:eastAsia="Times New Roman" w:cstheme="minorHAnsi"/>
          <w:b/>
          <w:sz w:val="32"/>
          <w:szCs w:val="32"/>
        </w:rPr>
        <w:t xml:space="preserve">Title: </w:t>
      </w:r>
      <w:r w:rsidRPr="001C63AA">
        <w:rPr>
          <w:rFonts w:ascii="Calibri" w:hAnsi="Calibri" w:cs="Calibri"/>
          <w:b/>
          <w:sz w:val="32"/>
          <w:szCs w:val="32"/>
        </w:rPr>
        <w:t xml:space="preserve">Modified Most Probable Number Assay to Quantify </w:t>
      </w:r>
      <w:r w:rsidRPr="001C63AA">
        <w:rPr>
          <w:rFonts w:ascii="Calibri" w:hAnsi="Calibri" w:cs="Calibri"/>
          <w:b/>
          <w:i/>
          <w:iCs/>
          <w:sz w:val="32"/>
          <w:szCs w:val="32"/>
        </w:rPr>
        <w:t>Salmonella</w:t>
      </w:r>
      <w:r w:rsidRPr="001C63AA">
        <w:rPr>
          <w:rFonts w:ascii="Calibri" w:hAnsi="Calibri" w:cs="Calibri"/>
          <w:b/>
          <w:sz w:val="32"/>
          <w:szCs w:val="32"/>
        </w:rPr>
        <w:t xml:space="preserve"> in Raw and Ready-to-Cook Chicken Products</w:t>
      </w:r>
    </w:p>
    <w:p w14:paraId="46D2B561" w14:textId="77777777" w:rsidR="009A2639" w:rsidRDefault="009A2639"/>
    <w:p w14:paraId="63F43954" w14:textId="77777777" w:rsidR="001F0645" w:rsidRDefault="005E5022" w:rsidP="001F0645">
      <w:r w:rsidRPr="005E5022">
        <w:t>3.8.4.</w:t>
      </w:r>
      <w:r w:rsidRPr="005E5022">
        <w:tab/>
      </w:r>
      <w:r w:rsidRPr="005E5022">
        <w:rPr>
          <w:highlight w:val="yellow"/>
        </w:rPr>
        <w:t>SCREEN:</w:t>
      </w:r>
      <w:r w:rsidRPr="009648F9">
        <w:t xml:space="preserve"> </w:t>
      </w:r>
      <w:r w:rsidR="009648F9">
        <w:rPr>
          <w:b/>
          <w:bCs/>
        </w:rPr>
        <w:t>67910</w:t>
      </w:r>
      <w:r w:rsidR="009648F9" w:rsidRPr="00B54667">
        <w:rPr>
          <w:b/>
          <w:bCs/>
        </w:rPr>
        <w:t>_screenshot_</w:t>
      </w:r>
      <w:r w:rsidR="009648F9">
        <w:rPr>
          <w:b/>
          <w:bCs/>
        </w:rPr>
        <w:t>1</w:t>
      </w:r>
      <w:r w:rsidRPr="005E5022">
        <w:t xml:space="preserve">: </w:t>
      </w:r>
      <w:r w:rsidR="001F0645">
        <w:t>Worksheet showing the input of positive and negative counts for MPN analysis, with the output displaying the calculated MPN value.</w:t>
      </w:r>
    </w:p>
    <w:p w14:paraId="2B48358A" w14:textId="77777777" w:rsidR="001F0645" w:rsidRDefault="001F0645" w:rsidP="001F0645"/>
    <w:p w14:paraId="0C3AC9CD" w14:textId="25276060" w:rsidR="001F0645" w:rsidRDefault="001F0645" w:rsidP="001F0645">
      <w:r>
        <w:t xml:space="preserve">3.8.4.1. </w:t>
      </w:r>
      <w:r w:rsidR="002F1468" w:rsidRPr="002F1468">
        <w:t xml:space="preserve">The screen shows the spreadsheet used for MPN calculation on the left, alongside an example MPN result from the MDS displayed on the right. The calculator includes fields for the name, date, number of experiments, and number of dilutions. In this example, 6 dilutions are used, reflecting the layout of the 48-well plate. </w:t>
      </w:r>
      <w:r w:rsidR="002F1468" w:rsidRPr="002F1468">
        <w:rPr>
          <w:b/>
          <w:bCs/>
        </w:rPr>
        <w:t>(00:00–00:20)</w:t>
      </w:r>
    </w:p>
    <w:p w14:paraId="465C68B5" w14:textId="77777777" w:rsidR="001F0645" w:rsidRDefault="001F0645" w:rsidP="001F0645"/>
    <w:p w14:paraId="6229BA2C" w14:textId="77777777" w:rsidR="001F0645" w:rsidRDefault="001F0645" w:rsidP="001F0645">
      <w:r>
        <w:t>3.8.4.2. Enter the specific dilution used. In this example, a 10-fold dilution is applied to reflect the plate layout and orientation of the 48-well block. (</w:t>
      </w:r>
      <w:r w:rsidRPr="001F0645">
        <w:rPr>
          <w:b/>
          <w:bCs/>
        </w:rPr>
        <w:t>00:21–00:34</w:t>
      </w:r>
      <w:r>
        <w:t>)</w:t>
      </w:r>
    </w:p>
    <w:p w14:paraId="75D822B1" w14:textId="77777777" w:rsidR="001F0645" w:rsidRDefault="001F0645" w:rsidP="001F0645"/>
    <w:p w14:paraId="7FB7D20A" w14:textId="77777777" w:rsidR="001F0645" w:rsidRDefault="001F0645" w:rsidP="001F0645">
      <w:r>
        <w:t>3.8.4.3. Input the appropriate volume or weight of the sample. Here, 3 mL is used, corresponding to the volume distributed throughout the 48-well block. (</w:t>
      </w:r>
      <w:r w:rsidRPr="001F0645">
        <w:rPr>
          <w:b/>
          <w:bCs/>
        </w:rPr>
        <w:t>00:35–00:41</w:t>
      </w:r>
      <w:r>
        <w:t>)</w:t>
      </w:r>
    </w:p>
    <w:p w14:paraId="4A01BFA5" w14:textId="77777777" w:rsidR="001F0645" w:rsidRDefault="001F0645" w:rsidP="001F0645"/>
    <w:p w14:paraId="4021FA14" w14:textId="77777777" w:rsidR="001F0645" w:rsidRDefault="001F0645" w:rsidP="001F0645">
      <w:r>
        <w:t>3.8.4.4. Specify the number of replicates. This example includes 8 replicates. (</w:t>
      </w:r>
      <w:r w:rsidRPr="001F0645">
        <w:rPr>
          <w:b/>
          <w:bCs/>
        </w:rPr>
        <w:t>00:42–00:54)</w:t>
      </w:r>
    </w:p>
    <w:p w14:paraId="7283A2A3" w14:textId="77777777" w:rsidR="001F0645" w:rsidRDefault="001F0645" w:rsidP="001F0645"/>
    <w:p w14:paraId="3F032B18" w14:textId="77777777" w:rsidR="001F0645" w:rsidRDefault="001F0645" w:rsidP="001F0645">
      <w:r>
        <w:t>3.8.4.5. Enter the number of samples that tested positive. The positive counts from the columns in the MDS report are input to align with the plate layout. (</w:t>
      </w:r>
      <w:r w:rsidRPr="001F0645">
        <w:rPr>
          <w:b/>
          <w:bCs/>
        </w:rPr>
        <w:t>00:55–01:34</w:t>
      </w:r>
      <w:r>
        <w:t>)</w:t>
      </w:r>
    </w:p>
    <w:p w14:paraId="77991680" w14:textId="77777777" w:rsidR="001F0645" w:rsidRDefault="001F0645" w:rsidP="001F0645"/>
    <w:p w14:paraId="47012416" w14:textId="77777777" w:rsidR="001F0645" w:rsidRDefault="001F0645" w:rsidP="001F0645">
      <w:r>
        <w:t>3.8.4.6. Click the green icon labeled “Calculate Results.” (</w:t>
      </w:r>
      <w:r w:rsidRPr="001F0645">
        <w:rPr>
          <w:b/>
          <w:bCs/>
        </w:rPr>
        <w:t>01:35–01:37</w:t>
      </w:r>
      <w:r>
        <w:t>)</w:t>
      </w:r>
    </w:p>
    <w:p w14:paraId="11D235F0" w14:textId="77777777" w:rsidR="001F0645" w:rsidRDefault="001F0645" w:rsidP="001F0645"/>
    <w:p w14:paraId="67857A37" w14:textId="77777777" w:rsidR="001F0645" w:rsidRDefault="001F0645" w:rsidP="001F0645">
      <w:r>
        <w:t>3.8.4.7. The results of the calculations are displayed in the green table labeled “Results of the MPN calculations.” (</w:t>
      </w:r>
      <w:r w:rsidRPr="001F0645">
        <w:rPr>
          <w:b/>
          <w:bCs/>
        </w:rPr>
        <w:t>01:38–01:42</w:t>
      </w:r>
      <w:r>
        <w:t>)</w:t>
      </w:r>
    </w:p>
    <w:p w14:paraId="6E74540F" w14:textId="77777777" w:rsidR="001F0645" w:rsidRDefault="001F0645" w:rsidP="001F0645"/>
    <w:p w14:paraId="37547B3A" w14:textId="77777777" w:rsidR="005E5022" w:rsidRDefault="005E5022"/>
    <w:p w14:paraId="2F3FA642" w14:textId="77777777" w:rsidR="005E5022" w:rsidRPr="00B54667" w:rsidRDefault="005E5022" w:rsidP="005E5022"/>
    <w:p w14:paraId="774E332B" w14:textId="77777777" w:rsidR="001F0645" w:rsidRDefault="00AD2825" w:rsidP="001F0645">
      <w:r w:rsidRPr="00AD2825">
        <w:rPr>
          <w:lang w:val="en-IN"/>
        </w:rPr>
        <w:t>4.5.3.</w:t>
      </w:r>
      <w:r w:rsidRPr="00AD2825">
        <w:rPr>
          <w:lang w:val="en-IN"/>
        </w:rPr>
        <w:tab/>
      </w:r>
      <w:r w:rsidRPr="009648F9">
        <w:rPr>
          <w:highlight w:val="yellow"/>
          <w:lang w:val="en-IN"/>
        </w:rPr>
        <w:t>SCREEN:</w:t>
      </w:r>
      <w:r w:rsidRPr="009648F9">
        <w:rPr>
          <w:lang w:val="en-IN"/>
        </w:rPr>
        <w:t xml:space="preserve"> </w:t>
      </w:r>
      <w:r w:rsidR="009648F9">
        <w:rPr>
          <w:b/>
          <w:bCs/>
        </w:rPr>
        <w:t>67910</w:t>
      </w:r>
      <w:r w:rsidR="009648F9" w:rsidRPr="00B54667">
        <w:rPr>
          <w:b/>
          <w:bCs/>
        </w:rPr>
        <w:t>_screenshot_</w:t>
      </w:r>
      <w:r w:rsidR="009648F9">
        <w:rPr>
          <w:b/>
          <w:bCs/>
        </w:rPr>
        <w:t>2</w:t>
      </w:r>
      <w:r w:rsidRPr="00AD2825">
        <w:rPr>
          <w:lang w:val="en-IN"/>
        </w:rPr>
        <w:t xml:space="preserve">: </w:t>
      </w:r>
      <w:r w:rsidR="001F0645" w:rsidRPr="001F0645">
        <w:t>Exporting the results and marking the samples positive or negative based on the Ct values.</w:t>
      </w:r>
    </w:p>
    <w:p w14:paraId="064B6F81" w14:textId="77777777" w:rsidR="001F0645" w:rsidRPr="001F0645" w:rsidRDefault="001F0645" w:rsidP="001F0645"/>
    <w:p w14:paraId="0E0E0245" w14:textId="77777777" w:rsidR="001F0645" w:rsidRDefault="001F0645" w:rsidP="001F0645">
      <w:pPr>
        <w:rPr>
          <w:b/>
          <w:bCs/>
        </w:rPr>
      </w:pPr>
      <w:r w:rsidRPr="001F0645">
        <w:t xml:space="preserve">4.5.3.1. Select the wells that contain samples for analysis. </w:t>
      </w:r>
      <w:r w:rsidRPr="001F0645">
        <w:rPr>
          <w:b/>
          <w:bCs/>
        </w:rPr>
        <w:t>(00:00–00:05)</w:t>
      </w:r>
    </w:p>
    <w:p w14:paraId="28CF5927" w14:textId="77777777" w:rsidR="001F0645" w:rsidRPr="001F0645" w:rsidRDefault="001F0645" w:rsidP="001F0645"/>
    <w:p w14:paraId="4A79B81B" w14:textId="77777777" w:rsidR="001F0645" w:rsidRDefault="001F0645" w:rsidP="001F0645">
      <w:pPr>
        <w:rPr>
          <w:b/>
          <w:bCs/>
        </w:rPr>
      </w:pPr>
      <w:r w:rsidRPr="001F0645">
        <w:t xml:space="preserve">4.5.3.2. Confirm the analysis for determining Ct is set to auto. </w:t>
      </w:r>
      <w:r w:rsidRPr="001F0645">
        <w:rPr>
          <w:b/>
          <w:bCs/>
        </w:rPr>
        <w:t>(00:06–00:10)</w:t>
      </w:r>
    </w:p>
    <w:p w14:paraId="39FCF4FB" w14:textId="77777777" w:rsidR="001F0645" w:rsidRPr="001F0645" w:rsidRDefault="001F0645" w:rsidP="001F0645"/>
    <w:p w14:paraId="3A98AFA3" w14:textId="77777777" w:rsidR="001F0645" w:rsidRDefault="001F0645" w:rsidP="001F0645">
      <w:pPr>
        <w:rPr>
          <w:b/>
          <w:bCs/>
        </w:rPr>
      </w:pPr>
      <w:r w:rsidRPr="001F0645">
        <w:t xml:space="preserve">4.5.3.3. Select the results tab and review the amplification plots. </w:t>
      </w:r>
      <w:r w:rsidRPr="001F0645">
        <w:rPr>
          <w:b/>
          <w:bCs/>
        </w:rPr>
        <w:t>(00:10–00:18)</w:t>
      </w:r>
    </w:p>
    <w:p w14:paraId="4EE35A4E" w14:textId="77777777" w:rsidR="001F0645" w:rsidRPr="001F0645" w:rsidRDefault="001F0645" w:rsidP="001F0645"/>
    <w:p w14:paraId="0E96D32A" w14:textId="2B36F179" w:rsidR="001F0645" w:rsidRDefault="001F0645" w:rsidP="001F0645">
      <w:pPr>
        <w:rPr>
          <w:b/>
          <w:bCs/>
        </w:rPr>
      </w:pPr>
      <w:r w:rsidRPr="001F0645">
        <w:lastRenderedPageBreak/>
        <w:t xml:space="preserve">4.5.3.4. Note that samples crossing the determined threshold before 30 are considered positive, while those that do </w:t>
      </w:r>
      <w:r>
        <w:t xml:space="preserve">not cross or cross beyond 30 </w:t>
      </w:r>
      <w:r w:rsidRPr="001F0645">
        <w:t xml:space="preserve">are negative. </w:t>
      </w:r>
      <w:r w:rsidRPr="001F0645">
        <w:rPr>
          <w:b/>
          <w:bCs/>
        </w:rPr>
        <w:t>(00:19–00:26)</w:t>
      </w:r>
    </w:p>
    <w:p w14:paraId="0AB1D664" w14:textId="77777777" w:rsidR="001F0645" w:rsidRPr="001F0645" w:rsidRDefault="001F0645" w:rsidP="001F0645"/>
    <w:p w14:paraId="4B2FA8A8" w14:textId="77777777" w:rsidR="001F0645" w:rsidRDefault="001F0645" w:rsidP="001F0645">
      <w:pPr>
        <w:rPr>
          <w:b/>
          <w:bCs/>
        </w:rPr>
      </w:pPr>
      <w:r w:rsidRPr="001F0645">
        <w:t xml:space="preserve">4.5.3.5. In addition to the delta Rn vs. cycle, also review the Rn vs. cycle by selecting the option through the drop-down menu. </w:t>
      </w:r>
      <w:r w:rsidRPr="001F0645">
        <w:rPr>
          <w:b/>
          <w:bCs/>
        </w:rPr>
        <w:t>(00:27–00:30)</w:t>
      </w:r>
    </w:p>
    <w:p w14:paraId="6943D27A" w14:textId="77777777" w:rsidR="001F0645" w:rsidRPr="001F0645" w:rsidRDefault="001F0645" w:rsidP="001F0645"/>
    <w:p w14:paraId="7E6609EC" w14:textId="77777777" w:rsidR="001F0645" w:rsidRDefault="001F0645" w:rsidP="001F0645">
      <w:pPr>
        <w:rPr>
          <w:b/>
          <w:bCs/>
        </w:rPr>
      </w:pPr>
      <w:r w:rsidRPr="001F0645">
        <w:t xml:space="preserve">4.5.3.6. Confirm again that the analysis for determining Ct is set to auto, and click the icon to analyze the data. </w:t>
      </w:r>
      <w:r w:rsidRPr="001F0645">
        <w:rPr>
          <w:b/>
          <w:bCs/>
        </w:rPr>
        <w:t>(00:31–00:35)</w:t>
      </w:r>
    </w:p>
    <w:p w14:paraId="7C5BDFAE" w14:textId="77777777" w:rsidR="001F0645" w:rsidRPr="001F0645" w:rsidRDefault="001F0645" w:rsidP="001F0645"/>
    <w:p w14:paraId="2B979B38" w14:textId="77777777" w:rsidR="001F0645" w:rsidRDefault="001F0645" w:rsidP="001F0645">
      <w:pPr>
        <w:rPr>
          <w:b/>
          <w:bCs/>
        </w:rPr>
      </w:pPr>
      <w:r w:rsidRPr="001F0645">
        <w:t xml:space="preserve">4.5.3.7. To facilitate the review of Ct values, click the Report tab. </w:t>
      </w:r>
      <w:r w:rsidRPr="001F0645">
        <w:rPr>
          <w:b/>
          <w:bCs/>
        </w:rPr>
        <w:t>(00:36–00:41)</w:t>
      </w:r>
    </w:p>
    <w:p w14:paraId="1FA61E15" w14:textId="77777777" w:rsidR="001F0645" w:rsidRPr="001F0645" w:rsidRDefault="001F0645" w:rsidP="001F0645"/>
    <w:p w14:paraId="722A902D" w14:textId="77777777" w:rsidR="001F0645" w:rsidRDefault="001F0645" w:rsidP="001F0645">
      <w:pPr>
        <w:rPr>
          <w:b/>
          <w:bCs/>
        </w:rPr>
      </w:pPr>
      <w:r w:rsidRPr="001F0645">
        <w:t xml:space="preserve">4.5.3.8. Review the Ct values for the internal amplification control (the IAC detector). The Ct values should be less than 30 to ensure there were no inhibitory effects on amplification. </w:t>
      </w:r>
      <w:r w:rsidRPr="001F0645">
        <w:rPr>
          <w:b/>
          <w:bCs/>
        </w:rPr>
        <w:t>(00:42–00:48)</w:t>
      </w:r>
    </w:p>
    <w:p w14:paraId="2BFDA511" w14:textId="77777777" w:rsidR="001F0645" w:rsidRPr="001F0645" w:rsidRDefault="001F0645" w:rsidP="001F0645"/>
    <w:p w14:paraId="65EA1092" w14:textId="77777777" w:rsidR="001F0645" w:rsidRPr="001F0645" w:rsidRDefault="001F0645" w:rsidP="001F0645">
      <w:r w:rsidRPr="001F0645">
        <w:t xml:space="preserve">4.5.3.9. Review the Ct values for </w:t>
      </w:r>
      <w:r w:rsidRPr="001F0645">
        <w:rPr>
          <w:i/>
          <w:iCs/>
        </w:rPr>
        <w:t>Salmonella</w:t>
      </w:r>
      <w:r w:rsidRPr="001F0645">
        <w:t xml:space="preserve"> (the invA detector). When Ct values are less than or equal to 30, samples are considered positive. When Ct values are greater than 30 or undetermined (undet.), samples are classified as negative. </w:t>
      </w:r>
      <w:r w:rsidRPr="001F0645">
        <w:rPr>
          <w:b/>
          <w:bCs/>
        </w:rPr>
        <w:t>(00:49–01:02)</w:t>
      </w:r>
    </w:p>
    <w:p w14:paraId="02CC3E9C" w14:textId="5F8AA58D" w:rsidR="00521A10" w:rsidRDefault="00521A10" w:rsidP="001F0645">
      <w:pPr>
        <w:rPr>
          <w:b/>
          <w:bCs/>
        </w:rPr>
      </w:pPr>
    </w:p>
    <w:p w14:paraId="593BC958" w14:textId="77777777" w:rsidR="00FE4D87" w:rsidRPr="00AD2825" w:rsidRDefault="00FE4D87" w:rsidP="00B54667"/>
    <w:p w14:paraId="3744C222" w14:textId="77777777" w:rsidR="00AD2825" w:rsidRDefault="00AD2825" w:rsidP="00B54667"/>
    <w:p w14:paraId="13FE8FB8" w14:textId="77777777" w:rsidR="002F1468" w:rsidRDefault="00B54667" w:rsidP="002F1468">
      <w:r>
        <w:t>4.8.2.</w:t>
      </w:r>
      <w:r>
        <w:tab/>
      </w:r>
      <w:r w:rsidRPr="009648F9">
        <w:rPr>
          <w:highlight w:val="yellow"/>
        </w:rPr>
        <w:t>SCREEN:</w:t>
      </w:r>
      <w:r w:rsidRPr="009648F9">
        <w:t xml:space="preserve"> </w:t>
      </w:r>
      <w:r w:rsidR="009648F9" w:rsidRPr="009648F9">
        <w:rPr>
          <w:b/>
          <w:bCs/>
        </w:rPr>
        <w:t>67910_screenshot_3</w:t>
      </w:r>
      <w:r w:rsidRPr="009648F9">
        <w:t>:</w:t>
      </w:r>
      <w:r w:rsidR="009648F9">
        <w:t xml:space="preserve"> </w:t>
      </w:r>
      <w:r>
        <w:t xml:space="preserve"> </w:t>
      </w:r>
      <w:r w:rsidR="002F1468" w:rsidRPr="002F1468">
        <w:t>MDS software interface showing assay settings configuration, including sample IDs and parameters.</w:t>
      </w:r>
    </w:p>
    <w:p w14:paraId="351FF41C" w14:textId="77777777" w:rsidR="002F1468" w:rsidRPr="002F1468" w:rsidRDefault="002F1468" w:rsidP="002F1468"/>
    <w:p w14:paraId="27DC4CF4" w14:textId="77777777" w:rsidR="002F1468" w:rsidRDefault="002F1468" w:rsidP="002F1468">
      <w:pPr>
        <w:rPr>
          <w:b/>
          <w:bCs/>
        </w:rPr>
      </w:pPr>
      <w:r w:rsidRPr="002F1468">
        <w:t xml:space="preserve">4.8.2.1. Setup a new qualitative run in the MDS software. </w:t>
      </w:r>
      <w:r w:rsidRPr="002F1468">
        <w:rPr>
          <w:b/>
          <w:bCs/>
        </w:rPr>
        <w:t>(00:00–00:06)</w:t>
      </w:r>
    </w:p>
    <w:p w14:paraId="524F689B" w14:textId="77777777" w:rsidR="002F1468" w:rsidRPr="002F1468" w:rsidRDefault="002F1468" w:rsidP="002F1468"/>
    <w:p w14:paraId="4980EE94" w14:textId="77777777" w:rsidR="002F1468" w:rsidRDefault="002F1468" w:rsidP="002F1468">
      <w:pPr>
        <w:rPr>
          <w:b/>
          <w:bCs/>
        </w:rPr>
      </w:pPr>
      <w:r w:rsidRPr="002F1468">
        <w:t xml:space="preserve">4.8.2.2. Provide a Plate ID, which will serve as a file name, and a description of the experiment. </w:t>
      </w:r>
      <w:r w:rsidRPr="002F1468">
        <w:rPr>
          <w:b/>
          <w:bCs/>
        </w:rPr>
        <w:t>(00:07–00:25)</w:t>
      </w:r>
    </w:p>
    <w:p w14:paraId="29A576B8" w14:textId="77777777" w:rsidR="002F1468" w:rsidRPr="002F1468" w:rsidRDefault="002F1468" w:rsidP="002F1468"/>
    <w:p w14:paraId="724D779C" w14:textId="77777777" w:rsidR="002F1468" w:rsidRDefault="002F1468" w:rsidP="002F1468">
      <w:pPr>
        <w:rPr>
          <w:b/>
          <w:bCs/>
        </w:rPr>
      </w:pPr>
      <w:r w:rsidRPr="002F1468">
        <w:t xml:space="preserve">4.8.2.3. Select the wells that will contain samples to measure and indicate the test type, which corresponds to the kit. In this instance, </w:t>
      </w:r>
      <w:r w:rsidRPr="002F1468">
        <w:rPr>
          <w:i/>
          <w:iCs/>
        </w:rPr>
        <w:t>Salmonella-2</w:t>
      </w:r>
      <w:r w:rsidRPr="002F1468">
        <w:t xml:space="preserve"> was selected. </w:t>
      </w:r>
      <w:r w:rsidRPr="002F1468">
        <w:rPr>
          <w:b/>
          <w:bCs/>
        </w:rPr>
        <w:t>(00:26–00:38)</w:t>
      </w:r>
    </w:p>
    <w:p w14:paraId="5DEBACFC" w14:textId="77777777" w:rsidR="002F1468" w:rsidRPr="002F1468" w:rsidRDefault="002F1468" w:rsidP="002F1468"/>
    <w:p w14:paraId="20F27F54" w14:textId="77777777" w:rsidR="002F1468" w:rsidRDefault="002F1468" w:rsidP="002F1468">
      <w:pPr>
        <w:rPr>
          <w:b/>
          <w:bCs/>
        </w:rPr>
      </w:pPr>
      <w:r w:rsidRPr="002F1468">
        <w:t xml:space="preserve">4.8.2.4. Input the lot number provided by the manufacturer, which can be located on the front of the package or on the certificate of analysis. </w:t>
      </w:r>
      <w:r w:rsidRPr="002F1468">
        <w:rPr>
          <w:b/>
          <w:bCs/>
        </w:rPr>
        <w:t>(00:39–00:52)</w:t>
      </w:r>
    </w:p>
    <w:p w14:paraId="1445096D" w14:textId="77777777" w:rsidR="002F1468" w:rsidRPr="002F1468" w:rsidRDefault="002F1468" w:rsidP="002F1468"/>
    <w:p w14:paraId="120B8379" w14:textId="77777777" w:rsidR="002F1468" w:rsidRDefault="002F1468" w:rsidP="002F1468">
      <w:pPr>
        <w:rPr>
          <w:b/>
          <w:bCs/>
        </w:rPr>
      </w:pPr>
      <w:r w:rsidRPr="002F1468">
        <w:t xml:space="preserve">4.8.2.5. Select the columns and provide a label corresponding to the dilution in the plate layout. </w:t>
      </w:r>
      <w:r w:rsidRPr="002F1468">
        <w:rPr>
          <w:b/>
          <w:bCs/>
        </w:rPr>
        <w:t>(00:53–01:59)</w:t>
      </w:r>
    </w:p>
    <w:p w14:paraId="5F6022D4" w14:textId="77777777" w:rsidR="002F1468" w:rsidRPr="002F1468" w:rsidRDefault="002F1468" w:rsidP="002F1468"/>
    <w:p w14:paraId="5EBF7725" w14:textId="77777777" w:rsidR="002F1468" w:rsidRDefault="002F1468" w:rsidP="002F1468">
      <w:pPr>
        <w:rPr>
          <w:b/>
          <w:bCs/>
        </w:rPr>
      </w:pPr>
      <w:r w:rsidRPr="002F1468">
        <w:t xml:space="preserve">4.8.2.6. Save the file by clicking the red disk icon. Ensure all wells are selected, then start the run by pressing the green play button. </w:t>
      </w:r>
      <w:r w:rsidRPr="002F1468">
        <w:rPr>
          <w:b/>
          <w:bCs/>
        </w:rPr>
        <w:t>(02:00–02:12)</w:t>
      </w:r>
    </w:p>
    <w:p w14:paraId="5509A89B" w14:textId="77777777" w:rsidR="002F1468" w:rsidRPr="002F1468" w:rsidRDefault="002F1468" w:rsidP="002F1468"/>
    <w:p w14:paraId="724ABD80" w14:textId="4FFCBBA0" w:rsidR="002F1468" w:rsidRPr="002F1468" w:rsidRDefault="002F1468" w:rsidP="002F1468">
      <w:r w:rsidRPr="002F1468">
        <w:t xml:space="preserve">4.8.2.7. The hinge will open on the instrument, allowing the samples to be loaded. Once the door is closed, the run will start, and the software will display the remaining </w:t>
      </w:r>
      <w:r w:rsidRPr="002F1468">
        <w:t>time,</w:t>
      </w:r>
      <w:r w:rsidRPr="002F1468">
        <w:t xml:space="preserve"> and the percentage completed. </w:t>
      </w:r>
      <w:r w:rsidRPr="002F1468">
        <w:rPr>
          <w:b/>
          <w:bCs/>
        </w:rPr>
        <w:t>(02:14–02:44)</w:t>
      </w:r>
    </w:p>
    <w:p w14:paraId="53F89400" w14:textId="3854C964" w:rsidR="00012881" w:rsidRPr="00B54667" w:rsidRDefault="00012881" w:rsidP="002F1468"/>
    <w:p w14:paraId="67E6DBE9" w14:textId="77777777" w:rsidR="002F1468" w:rsidRDefault="00B54667" w:rsidP="002F1468">
      <w:r>
        <w:t>4.8.3.</w:t>
      </w:r>
      <w:r>
        <w:tab/>
      </w:r>
      <w:r w:rsidRPr="00B54667">
        <w:rPr>
          <w:highlight w:val="yellow"/>
        </w:rPr>
        <w:t>SCREEN:</w:t>
      </w:r>
      <w:r w:rsidRPr="009648F9">
        <w:t xml:space="preserve"> </w:t>
      </w:r>
      <w:r w:rsidR="009648F9" w:rsidRPr="009648F9">
        <w:rPr>
          <w:b/>
          <w:bCs/>
        </w:rPr>
        <w:t>67910_screenshot_4</w:t>
      </w:r>
      <w:r w:rsidRPr="009648F9">
        <w:t>:</w:t>
      </w:r>
      <w:r>
        <w:t xml:space="preserve"> </w:t>
      </w:r>
      <w:r w:rsidR="002F1468" w:rsidRPr="002F1468">
        <w:t>MDS software showing the progress of the assay run with real-time data output, followed by the export menu displaying options to save the report in desired formats.</w:t>
      </w:r>
    </w:p>
    <w:p w14:paraId="4402243D" w14:textId="77777777" w:rsidR="002F1468" w:rsidRPr="002F1468" w:rsidRDefault="002F1468" w:rsidP="002F1468"/>
    <w:p w14:paraId="1E8F61CC" w14:textId="77777777" w:rsidR="002F1468" w:rsidRDefault="002F1468" w:rsidP="002F1468">
      <w:pPr>
        <w:rPr>
          <w:b/>
          <w:bCs/>
        </w:rPr>
      </w:pPr>
      <w:r w:rsidRPr="002F1468">
        <w:t xml:space="preserve">4.8.3.1. Press the green play button to start the run. </w:t>
      </w:r>
      <w:r w:rsidRPr="002F1468">
        <w:rPr>
          <w:b/>
          <w:bCs/>
        </w:rPr>
        <w:t>(00:00–00:05)</w:t>
      </w:r>
    </w:p>
    <w:p w14:paraId="0D6A8B61" w14:textId="77777777" w:rsidR="002F1468" w:rsidRPr="002F1468" w:rsidRDefault="002F1468" w:rsidP="002F1468"/>
    <w:p w14:paraId="7DA79504" w14:textId="77777777" w:rsidR="002F1468" w:rsidRDefault="002F1468" w:rsidP="002F1468">
      <w:pPr>
        <w:rPr>
          <w:b/>
          <w:bCs/>
        </w:rPr>
      </w:pPr>
      <w:r w:rsidRPr="002F1468">
        <w:t xml:space="preserve">4.8.3.2. The hinge will open on the instrument, allowing the samples to be loaded. Once the door is closed, the run will begin, and the software will display the remaining time and percentage completed. </w:t>
      </w:r>
      <w:r w:rsidRPr="002F1468">
        <w:rPr>
          <w:b/>
          <w:bCs/>
        </w:rPr>
        <w:t>(00:06–00:20)</w:t>
      </w:r>
    </w:p>
    <w:p w14:paraId="67D60F26" w14:textId="77777777" w:rsidR="002F1468" w:rsidRPr="002F1468" w:rsidRDefault="002F1468" w:rsidP="002F1468"/>
    <w:p w14:paraId="210CA65A" w14:textId="77777777" w:rsidR="002F1468" w:rsidRDefault="002F1468" w:rsidP="002F1468">
      <w:pPr>
        <w:rPr>
          <w:b/>
          <w:bCs/>
        </w:rPr>
      </w:pPr>
      <w:r w:rsidRPr="002F1468">
        <w:t xml:space="preserve">4.8.3.3. The instrument will display the start time, remaining time, and percentage completed. </w:t>
      </w:r>
      <w:r w:rsidRPr="002F1468">
        <w:rPr>
          <w:b/>
          <w:bCs/>
        </w:rPr>
        <w:t>(00:20–00:37)</w:t>
      </w:r>
    </w:p>
    <w:p w14:paraId="730A8D37" w14:textId="77777777" w:rsidR="002F1468" w:rsidRPr="002F1468" w:rsidRDefault="002F1468" w:rsidP="002F1468"/>
    <w:p w14:paraId="7D5693BF" w14:textId="77777777" w:rsidR="002F1468" w:rsidRPr="002F1468" w:rsidRDefault="002F1468" w:rsidP="002F1468">
      <w:r w:rsidRPr="002F1468">
        <w:t xml:space="preserve">4.8.3.4. Once the instrument indicates that the run is 100% complete with an end time, press the export report icon. This icon is depicted as a single plate with a red arrow pointing to the right. </w:t>
      </w:r>
      <w:r w:rsidRPr="002F1468">
        <w:rPr>
          <w:b/>
          <w:bCs/>
        </w:rPr>
        <w:t>(00:38–00:57)</w:t>
      </w:r>
    </w:p>
    <w:p w14:paraId="6613DB5E" w14:textId="7D6F0A68" w:rsidR="00180166" w:rsidRDefault="00180166" w:rsidP="002F1468"/>
    <w:p w14:paraId="4887BF5B" w14:textId="4923A187" w:rsidR="002F1468" w:rsidRDefault="00310CC2" w:rsidP="002F1468">
      <w:r>
        <w:rPr>
          <w:b/>
          <w:bCs/>
        </w:rPr>
        <w:t>67910</w:t>
      </w:r>
      <w:r w:rsidRPr="00B54667">
        <w:rPr>
          <w:b/>
          <w:bCs/>
        </w:rPr>
        <w:t>_screenshot_</w:t>
      </w:r>
      <w:r>
        <w:rPr>
          <w:b/>
          <w:bCs/>
        </w:rPr>
        <w:t>5</w:t>
      </w:r>
      <w:r w:rsidR="002F1468">
        <w:rPr>
          <w:b/>
          <w:bCs/>
        </w:rPr>
        <w:t xml:space="preserve"> </w:t>
      </w:r>
      <w:r w:rsidR="002F1468" w:rsidRPr="002F1468">
        <w:t xml:space="preserve">The MDS run report provides detailed output information that can be </w:t>
      </w:r>
      <w:r w:rsidR="002F1468">
        <w:t>spliced</w:t>
      </w:r>
      <w:r w:rsidR="002F1468" w:rsidRPr="002F1468">
        <w:t xml:space="preserve"> with the progress display from screenshot 4 for a cohesive description.</w:t>
      </w:r>
    </w:p>
    <w:p w14:paraId="48B11428" w14:textId="77777777" w:rsidR="002F1468" w:rsidRPr="002F1468" w:rsidRDefault="002F1468" w:rsidP="002F1468">
      <w:pPr>
        <w:rPr>
          <w:b/>
          <w:bCs/>
        </w:rPr>
      </w:pPr>
    </w:p>
    <w:p w14:paraId="1AC4E36C" w14:textId="77777777" w:rsidR="002F1468" w:rsidRDefault="002F1468" w:rsidP="002F1468">
      <w:pPr>
        <w:rPr>
          <w:b/>
          <w:bCs/>
        </w:rPr>
      </w:pPr>
      <w:r w:rsidRPr="002F1468">
        <w:t xml:space="preserve">4.8.4.1. The MDS run report opens with the Run ID (file name) displayed at the top, along with the operator, instrument, time, and date of completion. </w:t>
      </w:r>
      <w:r w:rsidRPr="002F1468">
        <w:rPr>
          <w:b/>
          <w:bCs/>
        </w:rPr>
        <w:t>(00:00–00:08)</w:t>
      </w:r>
    </w:p>
    <w:p w14:paraId="721299C9" w14:textId="77777777" w:rsidR="002F1468" w:rsidRPr="002F1468" w:rsidRDefault="002F1468" w:rsidP="002F1468"/>
    <w:p w14:paraId="0E556627" w14:textId="77777777" w:rsidR="002F1468" w:rsidRDefault="002F1468" w:rsidP="002F1468">
      <w:pPr>
        <w:rPr>
          <w:b/>
          <w:bCs/>
        </w:rPr>
      </w:pPr>
      <w:r w:rsidRPr="002F1468">
        <w:t xml:space="preserve">4.8.4.2. The report includes a graphical representation of the plate. Red icons with a "+" symbol indicate positive samples, while green icons with a "−" symbol indicate negative samples. </w:t>
      </w:r>
      <w:r w:rsidRPr="002F1468">
        <w:rPr>
          <w:b/>
          <w:bCs/>
        </w:rPr>
        <w:t>(00:08–00:20)</w:t>
      </w:r>
    </w:p>
    <w:p w14:paraId="51CC2D2E" w14:textId="77777777" w:rsidR="002F1468" w:rsidRPr="002F1468" w:rsidRDefault="002F1468" w:rsidP="002F1468"/>
    <w:p w14:paraId="7D3C9751" w14:textId="77777777" w:rsidR="002F1468" w:rsidRDefault="002F1468" w:rsidP="002F1468">
      <w:pPr>
        <w:rPr>
          <w:b/>
          <w:bCs/>
        </w:rPr>
      </w:pPr>
      <w:r w:rsidRPr="002F1468">
        <w:t xml:space="preserve">4.8.4.3. A table in the report provides the well ID, corresponding sample ID, assay type, kit lot number, and the results, which are labeled as “positive” or “negative.” </w:t>
      </w:r>
      <w:r w:rsidRPr="002F1468">
        <w:rPr>
          <w:b/>
          <w:bCs/>
        </w:rPr>
        <w:t>(00:21–00:33)</w:t>
      </w:r>
    </w:p>
    <w:p w14:paraId="6C9F44A3" w14:textId="77777777" w:rsidR="002F1468" w:rsidRPr="002F1468" w:rsidRDefault="002F1468" w:rsidP="002F1468"/>
    <w:p w14:paraId="188604A0" w14:textId="77777777" w:rsidR="002F1468" w:rsidRPr="002F1468" w:rsidRDefault="002F1468" w:rsidP="002F1468">
      <w:r w:rsidRPr="002F1468">
        <w:t xml:space="preserve">4.8.4.4. The report also contains graphs showing the relative light unit (RLU) as a function of time. These graphs confirm the presence or absence of a peak, correlating to positive and negative samples. Ambiguous graphs allow for potential retests. </w:t>
      </w:r>
      <w:r w:rsidRPr="002F1468">
        <w:rPr>
          <w:b/>
          <w:bCs/>
        </w:rPr>
        <w:t>(00:34–00:58)</w:t>
      </w:r>
    </w:p>
    <w:p w14:paraId="593DCC86" w14:textId="77777777" w:rsidR="00310CC2" w:rsidRPr="00B54667" w:rsidRDefault="00310CC2" w:rsidP="00310CC2"/>
    <w:p w14:paraId="261CC327" w14:textId="77777777" w:rsidR="00310CC2" w:rsidRDefault="00310CC2" w:rsidP="00B54667"/>
    <w:p w14:paraId="759CD387" w14:textId="77777777" w:rsidR="002F1468" w:rsidRDefault="002F1468" w:rsidP="00B54667"/>
    <w:sectPr w:rsidR="002F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87795"/>
    <w:multiLevelType w:val="multilevel"/>
    <w:tmpl w:val="5FFCB57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1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67"/>
    <w:rsid w:val="00012881"/>
    <w:rsid w:val="00020359"/>
    <w:rsid w:val="000E6FE7"/>
    <w:rsid w:val="00180166"/>
    <w:rsid w:val="001F0645"/>
    <w:rsid w:val="002856FF"/>
    <w:rsid w:val="002A549A"/>
    <w:rsid w:val="002F1468"/>
    <w:rsid w:val="00310CC2"/>
    <w:rsid w:val="003E45B2"/>
    <w:rsid w:val="00521A10"/>
    <w:rsid w:val="005E5022"/>
    <w:rsid w:val="006E1470"/>
    <w:rsid w:val="00766EA6"/>
    <w:rsid w:val="009648F9"/>
    <w:rsid w:val="009A2639"/>
    <w:rsid w:val="00A015CF"/>
    <w:rsid w:val="00A05C09"/>
    <w:rsid w:val="00A5287C"/>
    <w:rsid w:val="00A55222"/>
    <w:rsid w:val="00AD2825"/>
    <w:rsid w:val="00B4250C"/>
    <w:rsid w:val="00B54667"/>
    <w:rsid w:val="00CF002B"/>
    <w:rsid w:val="00DB1B27"/>
    <w:rsid w:val="00FE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83F5"/>
  <w15:chartTrackingRefBased/>
  <w15:docId w15:val="{9FF9ED50-C953-4306-ACD6-4AFAAF70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67"/>
    <w:pPr>
      <w:spacing w:after="0" w:line="240" w:lineRule="auto"/>
    </w:pPr>
    <w:rPr>
      <w:rFonts w:eastAsia="Times" w:cs="Calibri (Body)"/>
      <w:color w:val="000000" w:themeColor="text1"/>
      <w:kern w:val="0"/>
      <w:sz w:val="24"/>
      <w:szCs w:val="24"/>
      <w14:ligatures w14:val="none"/>
    </w:rPr>
  </w:style>
  <w:style w:type="paragraph" w:styleId="Heading1">
    <w:name w:val="heading 1"/>
    <w:basedOn w:val="Normal"/>
    <w:next w:val="Normal"/>
    <w:link w:val="Heading1Char"/>
    <w:uiPriority w:val="9"/>
    <w:qFormat/>
    <w:rsid w:val="00B5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6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67"/>
    <w:rPr>
      <w:rFonts w:eastAsiaTheme="majorEastAsia" w:cstheme="majorBidi"/>
      <w:color w:val="272727" w:themeColor="text1" w:themeTint="D8"/>
    </w:rPr>
  </w:style>
  <w:style w:type="paragraph" w:styleId="Title">
    <w:name w:val="Title"/>
    <w:basedOn w:val="Normal"/>
    <w:next w:val="Normal"/>
    <w:link w:val="TitleChar"/>
    <w:uiPriority w:val="10"/>
    <w:qFormat/>
    <w:rsid w:val="00B546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67"/>
    <w:pPr>
      <w:spacing w:before="160"/>
      <w:jc w:val="center"/>
    </w:pPr>
    <w:rPr>
      <w:i/>
      <w:iCs/>
      <w:color w:val="404040" w:themeColor="text1" w:themeTint="BF"/>
    </w:rPr>
  </w:style>
  <w:style w:type="character" w:customStyle="1" w:styleId="QuoteChar">
    <w:name w:val="Quote Char"/>
    <w:basedOn w:val="DefaultParagraphFont"/>
    <w:link w:val="Quote"/>
    <w:uiPriority w:val="29"/>
    <w:rsid w:val="00B54667"/>
    <w:rPr>
      <w:i/>
      <w:iCs/>
      <w:color w:val="404040" w:themeColor="text1" w:themeTint="BF"/>
    </w:rPr>
  </w:style>
  <w:style w:type="paragraph" w:styleId="ListParagraph">
    <w:name w:val="List Paragraph"/>
    <w:basedOn w:val="Normal"/>
    <w:uiPriority w:val="34"/>
    <w:qFormat/>
    <w:rsid w:val="00B54667"/>
    <w:pPr>
      <w:ind w:left="720"/>
      <w:contextualSpacing/>
    </w:pPr>
  </w:style>
  <w:style w:type="character" w:styleId="IntenseEmphasis">
    <w:name w:val="Intense Emphasis"/>
    <w:basedOn w:val="DefaultParagraphFont"/>
    <w:uiPriority w:val="21"/>
    <w:qFormat/>
    <w:rsid w:val="00B54667"/>
    <w:rPr>
      <w:i/>
      <w:iCs/>
      <w:color w:val="0F4761" w:themeColor="accent1" w:themeShade="BF"/>
    </w:rPr>
  </w:style>
  <w:style w:type="paragraph" w:styleId="IntenseQuote">
    <w:name w:val="Intense Quote"/>
    <w:basedOn w:val="Normal"/>
    <w:next w:val="Normal"/>
    <w:link w:val="IntenseQuoteChar"/>
    <w:uiPriority w:val="30"/>
    <w:qFormat/>
    <w:rsid w:val="00B54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667"/>
    <w:rPr>
      <w:i/>
      <w:iCs/>
      <w:color w:val="0F4761" w:themeColor="accent1" w:themeShade="BF"/>
    </w:rPr>
  </w:style>
  <w:style w:type="character" w:styleId="IntenseReference">
    <w:name w:val="Intense Reference"/>
    <w:basedOn w:val="DefaultParagraphFont"/>
    <w:uiPriority w:val="32"/>
    <w:qFormat/>
    <w:rsid w:val="00B54667"/>
    <w:rPr>
      <w:b/>
      <w:bCs/>
      <w:smallCaps/>
      <w:color w:val="0F4761" w:themeColor="accent1" w:themeShade="BF"/>
      <w:spacing w:val="5"/>
    </w:rPr>
  </w:style>
  <w:style w:type="character" w:styleId="Hyperlink">
    <w:name w:val="Hyperlink"/>
    <w:uiPriority w:val="99"/>
    <w:unhideWhenUsed/>
    <w:rsid w:val="00B54667"/>
    <w:rPr>
      <w:color w:val="0000FF"/>
      <w:u w:val="single"/>
    </w:rPr>
  </w:style>
  <w:style w:type="character" w:styleId="FollowedHyperlink">
    <w:name w:val="FollowedHyperlink"/>
    <w:basedOn w:val="DefaultParagraphFont"/>
    <w:uiPriority w:val="99"/>
    <w:semiHidden/>
    <w:unhideWhenUsed/>
    <w:rsid w:val="00A5287C"/>
    <w:rPr>
      <w:color w:val="96607D" w:themeColor="followedHyperlink"/>
      <w:u w:val="single"/>
    </w:rPr>
  </w:style>
  <w:style w:type="paragraph" w:styleId="NormalWeb">
    <w:name w:val="Normal (Web)"/>
    <w:basedOn w:val="Normal"/>
    <w:uiPriority w:val="99"/>
    <w:semiHidden/>
    <w:unhideWhenUsed/>
    <w:rsid w:val="001F06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66933">
      <w:bodyDiv w:val="1"/>
      <w:marLeft w:val="0"/>
      <w:marRight w:val="0"/>
      <w:marTop w:val="0"/>
      <w:marBottom w:val="0"/>
      <w:divBdr>
        <w:top w:val="none" w:sz="0" w:space="0" w:color="auto"/>
        <w:left w:val="none" w:sz="0" w:space="0" w:color="auto"/>
        <w:bottom w:val="none" w:sz="0" w:space="0" w:color="auto"/>
        <w:right w:val="none" w:sz="0" w:space="0" w:color="auto"/>
      </w:divBdr>
    </w:div>
    <w:div w:id="494683042">
      <w:bodyDiv w:val="1"/>
      <w:marLeft w:val="0"/>
      <w:marRight w:val="0"/>
      <w:marTop w:val="0"/>
      <w:marBottom w:val="0"/>
      <w:divBdr>
        <w:top w:val="none" w:sz="0" w:space="0" w:color="auto"/>
        <w:left w:val="none" w:sz="0" w:space="0" w:color="auto"/>
        <w:bottom w:val="none" w:sz="0" w:space="0" w:color="auto"/>
        <w:right w:val="none" w:sz="0" w:space="0" w:color="auto"/>
      </w:divBdr>
    </w:div>
    <w:div w:id="777676530">
      <w:bodyDiv w:val="1"/>
      <w:marLeft w:val="0"/>
      <w:marRight w:val="0"/>
      <w:marTop w:val="0"/>
      <w:marBottom w:val="0"/>
      <w:divBdr>
        <w:top w:val="none" w:sz="0" w:space="0" w:color="auto"/>
        <w:left w:val="none" w:sz="0" w:space="0" w:color="auto"/>
        <w:bottom w:val="none" w:sz="0" w:space="0" w:color="auto"/>
        <w:right w:val="none" w:sz="0" w:space="0" w:color="auto"/>
      </w:divBdr>
    </w:div>
    <w:div w:id="1037202213">
      <w:bodyDiv w:val="1"/>
      <w:marLeft w:val="0"/>
      <w:marRight w:val="0"/>
      <w:marTop w:val="0"/>
      <w:marBottom w:val="0"/>
      <w:divBdr>
        <w:top w:val="none" w:sz="0" w:space="0" w:color="auto"/>
        <w:left w:val="none" w:sz="0" w:space="0" w:color="auto"/>
        <w:bottom w:val="none" w:sz="0" w:space="0" w:color="auto"/>
        <w:right w:val="none" w:sz="0" w:space="0" w:color="auto"/>
      </w:divBdr>
    </w:div>
    <w:div w:id="1149204788">
      <w:bodyDiv w:val="1"/>
      <w:marLeft w:val="0"/>
      <w:marRight w:val="0"/>
      <w:marTop w:val="0"/>
      <w:marBottom w:val="0"/>
      <w:divBdr>
        <w:top w:val="none" w:sz="0" w:space="0" w:color="auto"/>
        <w:left w:val="none" w:sz="0" w:space="0" w:color="auto"/>
        <w:bottom w:val="none" w:sz="0" w:space="0" w:color="auto"/>
        <w:right w:val="none" w:sz="0" w:space="0" w:color="auto"/>
      </w:divBdr>
    </w:div>
    <w:div w:id="1165051163">
      <w:bodyDiv w:val="1"/>
      <w:marLeft w:val="0"/>
      <w:marRight w:val="0"/>
      <w:marTop w:val="0"/>
      <w:marBottom w:val="0"/>
      <w:divBdr>
        <w:top w:val="none" w:sz="0" w:space="0" w:color="auto"/>
        <w:left w:val="none" w:sz="0" w:space="0" w:color="auto"/>
        <w:bottom w:val="none" w:sz="0" w:space="0" w:color="auto"/>
        <w:right w:val="none" w:sz="0" w:space="0" w:color="auto"/>
      </w:divBdr>
    </w:div>
    <w:div w:id="1251888191">
      <w:bodyDiv w:val="1"/>
      <w:marLeft w:val="0"/>
      <w:marRight w:val="0"/>
      <w:marTop w:val="0"/>
      <w:marBottom w:val="0"/>
      <w:divBdr>
        <w:top w:val="none" w:sz="0" w:space="0" w:color="auto"/>
        <w:left w:val="none" w:sz="0" w:space="0" w:color="auto"/>
        <w:bottom w:val="none" w:sz="0" w:space="0" w:color="auto"/>
        <w:right w:val="none" w:sz="0" w:space="0" w:color="auto"/>
      </w:divBdr>
    </w:div>
    <w:div w:id="2026245127">
      <w:bodyDiv w:val="1"/>
      <w:marLeft w:val="0"/>
      <w:marRight w:val="0"/>
      <w:marTop w:val="0"/>
      <w:marBottom w:val="0"/>
      <w:divBdr>
        <w:top w:val="none" w:sz="0" w:space="0" w:color="auto"/>
        <w:left w:val="none" w:sz="0" w:space="0" w:color="auto"/>
        <w:bottom w:val="none" w:sz="0" w:space="0" w:color="auto"/>
        <w:right w:val="none" w:sz="0" w:space="0" w:color="auto"/>
      </w:divBdr>
    </w:div>
    <w:div w:id="2065594710">
      <w:bodyDiv w:val="1"/>
      <w:marLeft w:val="0"/>
      <w:marRight w:val="0"/>
      <w:marTop w:val="0"/>
      <w:marBottom w:val="0"/>
      <w:divBdr>
        <w:top w:val="none" w:sz="0" w:space="0" w:color="auto"/>
        <w:left w:val="none" w:sz="0" w:space="0" w:color="auto"/>
        <w:bottom w:val="none" w:sz="0" w:space="0" w:color="auto"/>
        <w:right w:val="none" w:sz="0" w:space="0" w:color="auto"/>
      </w:divBdr>
    </w:div>
    <w:div w:id="20660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iew.jove.com/account/file-uploader?src=207125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Capobianco, Joseph - REE-ARS</dc:creator>
  <cp:keywords/>
  <dc:description/>
  <cp:lastModifiedBy>Joseph Capobianco</cp:lastModifiedBy>
  <cp:revision>3</cp:revision>
  <dcterms:created xsi:type="dcterms:W3CDTF">2024-12-11T20:13:00Z</dcterms:created>
  <dcterms:modified xsi:type="dcterms:W3CDTF">2024-12-11T20:31:00Z</dcterms:modified>
</cp:coreProperties>
</file>