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Screen Summary </w:t>
      </w:r>
      <w:r w:rsidDel="00000000" w:rsidR="00000000" w:rsidRPr="00000000">
        <w:rPr>
          <w:b w:val="1"/>
          <w:sz w:val="32"/>
          <w:szCs w:val="32"/>
          <w:rtl w:val="0"/>
        </w:rPr>
        <w:t xml:space="preserve">ARTICLE 67906</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2.3.1.mp4: Laser controller screen recording demonstrating the tuning range for the pump laser. The pump wavelength begins at 780nm and is then changed to 990nm, displaying the full ranges of the pump beam, accessible by selecting “Signal + Idler”.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2.3.2.png: Laser controller screenshot demonstrating the parameters for selecting solely the Stokes beam, named “Laser IR 1031nm” while signal is off (not colored blue). This displays the selection of the Stokes laser and its wavelength.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2.5.2.mp4: Laser controller screen recording demonstrating the switch from multiphoton fluorescence to second harmonic generation by turning off “Signal” and switching on “Laser IR 1031nm”.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2.6.1-3.mp4: Image acquisition software recording demonstrating the selection of specific parameters for each modality. First, In “Scan Settings” a 512x512 scan size is selected through a drop-down menu. For MPF/SHG, the pixel dwell time is changed to 8us in “Scan Settings” and frame averaging is changed to 3 under the photomultiplier tube (PMT) settings. A few seconds later the settings for SRS are selected: the pixel dwell time is changed to 40us and frame averaging is chosen at 2 frames.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2.7.1-2.mp4: Laser controller screen recording demonstrating the set up for MPF image acquisition. First, the “Laser IR 1031nm” beam is switched off, then the pump wavelength is changed to 800nm. The rest of the recording demonstrates the tuning process on the laser controller.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2.8.1-2.mp4: Laser controller screen recording demonstrating the set up for SHG image acquisition. First, the “Signal” beam is switched off, then the Stokes power (IR power) is changed to 500mW.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2.9.1-2.9.2.mp4: Laser controller screen recording demonstrating the selection of SRS modality and the different macromolecule channels. First, the “Signal” beam and the “Laser IR 1031nm” beam are both turned on (shown by the two being blue at the same time). From there, we select through the different wavelengths that correspond to the Raman vibrational mode peak for distinct macromolecules. Originally, the wavelength is set to 791.3nm, then changed to 794.6nm, then to 797.2nm, to 786.5nm, and finally back to 791.3nm. These wavelengths correspond to the “total protein”, “saturated lipids”, “total lipids”, and “unsaturated lipids” peaks (ending back at “total protein”).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2.10.1-3.mp4: Laser controller screen recording of the parameters for a SRS hyperspectral sweep. To select sweep, the configuration settings are selected, then the sweep window. From this sweep window, we select the tunable range for the hyperspectral imaging–from 781.3nm to 806.5nm. The number of frames/”samples” is then chosen to be 60 (can be higher).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2.10.4.mp4 Image acquisition software screen recording of entire hyperspectral sweep. Note: frame averaging is switched off for hyperspectral SRS. After clicking “sweep” on the laser controller Sweep window and “LSM start” on the image acquisition software, then hyperspectral image acquisition begins, where the “LSM start” is continuously selected for each of the “samples” selected previously. The duration of the process is dependent on the scan size, pixel dwell time, and field of view of the image being acquired.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2.11.1-2.mp4: Image acquisition software cropped recording displaying the .oir files being saved during a hyperspectral sweep. On the left, Windows file explorer is shown to demonstrate the automatic saving of the .oir files, meanwhile on the right the image acquisition software displays the current image being obtained..oir file extension is the default file format.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