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15287A5F" w14:textId="6F177009" w:rsidR="006411A0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52582E" w:rsidRPr="00635D8A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https://review.jove.com/t/67835?status=a69841k</w:t>
        </w:r>
      </w:hyperlink>
    </w:p>
    <w:p w14:paraId="4DAB9E58" w14:textId="6F09388D" w:rsidR="0052582E" w:rsidRDefault="006411A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="0052582E" w:rsidRPr="00635D8A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https://review.jove.com/v/67835?status=a69841k</w:t>
        </w:r>
      </w:hyperlink>
    </w:p>
    <w:p w14:paraId="0000000B" w14:textId="7989967E" w:rsidR="00C74D7E" w:rsidRPr="0052582E" w:rsidRDefault="006411A0" w:rsidP="0052582E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6411A0">
        <w:rPr>
          <w:rFonts w:ascii="Calibri" w:eastAsia="Times New Roman" w:hAnsi="Calibri" w:cs="Calibri"/>
          <w:bCs/>
          <w:sz w:val="24"/>
          <w:szCs w:val="24"/>
        </w:rPr>
        <w:t xml:space="preserve"> </w:t>
      </w:r>
    </w:p>
    <w:p w14:paraId="0000000C" w14:textId="77777777" w:rsidR="00C74D7E" w:rsidRPr="0052582E" w:rsidRDefault="00000000" w:rsidP="00320B9F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9005AE">
        <w:rPr>
          <w:rFonts w:ascii="Calibri" w:eastAsia="Times New Roman" w:hAnsi="Calibri" w:cs="Calibri"/>
          <w:b/>
          <w:sz w:val="24"/>
          <w:szCs w:val="24"/>
          <w:u w:val="single"/>
        </w:rPr>
        <w:t>R</w:t>
      </w:r>
      <w:r w:rsidRPr="0052582E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eviewer 1 Comments: </w:t>
      </w:r>
    </w:p>
    <w:p w14:paraId="32E82355" w14:textId="3187001B" w:rsidR="0052582E" w:rsidRPr="0052582E" w:rsidRDefault="0052582E" w:rsidP="00320B9F">
      <w:pPr>
        <w:spacing w:before="120" w:after="0" w:line="240" w:lineRule="auto"/>
        <w:rPr>
          <w:rFonts w:ascii="Calibri" w:hAnsi="Calibri" w:cs="Calibri"/>
          <w:iCs/>
          <w:sz w:val="24"/>
          <w:szCs w:val="24"/>
        </w:rPr>
      </w:pPr>
      <w:r w:rsidRPr="0052582E">
        <w:rPr>
          <w:rFonts w:ascii="Calibri" w:hAnsi="Calibri" w:cs="Calibri"/>
          <w:b/>
          <w:bCs/>
          <w:iCs/>
          <w:sz w:val="24"/>
          <w:szCs w:val="24"/>
        </w:rPr>
        <w:t>Time in</w:t>
      </w:r>
      <w:r w:rsidR="0002539B">
        <w:rPr>
          <w:rFonts w:ascii="Calibri" w:hAnsi="Calibri" w:cs="Calibri"/>
          <w:b/>
          <w:bCs/>
          <w:iCs/>
          <w:sz w:val="24"/>
          <w:szCs w:val="24"/>
        </w:rPr>
        <w:t xml:space="preserve"> </w:t>
      </w:r>
      <w:r w:rsidR="004C0461">
        <w:rPr>
          <w:rFonts w:ascii="Calibri" w:hAnsi="Calibri" w:cs="Calibri"/>
          <w:b/>
          <w:bCs/>
          <w:iCs/>
          <w:sz w:val="24"/>
          <w:szCs w:val="24"/>
        </w:rPr>
        <w:t>V</w:t>
      </w:r>
      <w:r w:rsidRPr="0052582E">
        <w:rPr>
          <w:rFonts w:ascii="Calibri" w:hAnsi="Calibri" w:cs="Calibri"/>
          <w:b/>
          <w:bCs/>
          <w:iCs/>
          <w:sz w:val="24"/>
          <w:szCs w:val="24"/>
        </w:rPr>
        <w:t>ideo</w:t>
      </w:r>
      <w:r w:rsidRPr="0052582E">
        <w:rPr>
          <w:rFonts w:ascii="Calibri" w:hAnsi="Calibri" w:cs="Calibri"/>
          <w:iCs/>
          <w:sz w:val="24"/>
          <w:szCs w:val="24"/>
        </w:rPr>
        <w:t>: 2:25 – 2:32</w:t>
      </w:r>
    </w:p>
    <w:p w14:paraId="0EA055BD" w14:textId="28B4D03B" w:rsidR="0052582E" w:rsidRPr="0052582E" w:rsidRDefault="0052582E" w:rsidP="00320B9F">
      <w:pPr>
        <w:spacing w:before="120" w:after="0" w:line="240" w:lineRule="auto"/>
        <w:rPr>
          <w:rFonts w:ascii="Calibri" w:hAnsi="Calibri" w:cs="Calibri"/>
          <w:iCs/>
          <w:sz w:val="24"/>
          <w:szCs w:val="24"/>
        </w:rPr>
      </w:pPr>
      <w:r w:rsidRPr="0052582E">
        <w:rPr>
          <w:rFonts w:ascii="Calibri" w:hAnsi="Calibri" w:cs="Calibri"/>
          <w:b/>
          <w:bCs/>
          <w:iCs/>
          <w:sz w:val="24"/>
          <w:szCs w:val="24"/>
        </w:rPr>
        <w:t>Comment:</w:t>
      </w:r>
      <w:r w:rsidRPr="0052582E">
        <w:rPr>
          <w:rFonts w:ascii="Calibri" w:hAnsi="Calibri" w:cs="Calibri"/>
          <w:iCs/>
          <w:sz w:val="24"/>
          <w:szCs w:val="24"/>
        </w:rPr>
        <w:t xml:space="preserve"> The ureter is cut, and urine is allowed to drain into the peritoneum.  If this is for a survival procedure (mentioned sporadically throughout the paper portion), this would not be </w:t>
      </w:r>
      <w:r w:rsidR="00CA497C">
        <w:rPr>
          <w:rFonts w:ascii="Calibri" w:hAnsi="Calibri" w:cs="Calibri"/>
          <w:iCs/>
          <w:sz w:val="24"/>
          <w:szCs w:val="24"/>
        </w:rPr>
        <w:t xml:space="preserve">an </w:t>
      </w:r>
      <w:r w:rsidRPr="0052582E">
        <w:rPr>
          <w:rFonts w:ascii="Calibri" w:hAnsi="Calibri" w:cs="Calibri"/>
          <w:iCs/>
          <w:sz w:val="24"/>
          <w:szCs w:val="24"/>
        </w:rPr>
        <w:t xml:space="preserve">adequate veterinary standard of care. The urine should be collected on a gauze, or the ureter </w:t>
      </w:r>
      <w:r w:rsidR="00CA497C">
        <w:rPr>
          <w:rFonts w:ascii="Calibri" w:hAnsi="Calibri" w:cs="Calibri"/>
          <w:iCs/>
          <w:sz w:val="24"/>
          <w:szCs w:val="24"/>
        </w:rPr>
        <w:t xml:space="preserve">should be </w:t>
      </w:r>
      <w:r w:rsidRPr="0052582E">
        <w:rPr>
          <w:rFonts w:ascii="Calibri" w:hAnsi="Calibri" w:cs="Calibri"/>
          <w:iCs/>
          <w:sz w:val="24"/>
          <w:szCs w:val="24"/>
        </w:rPr>
        <w:t xml:space="preserve">temporarily ligated until the kidney is no longer in the body cavity.  </w:t>
      </w:r>
    </w:p>
    <w:p w14:paraId="3805EFAE" w14:textId="27FF2896" w:rsidR="0052582E" w:rsidRPr="0052582E" w:rsidRDefault="0052582E" w:rsidP="00320B9F">
      <w:pPr>
        <w:spacing w:before="120" w:after="0" w:line="240" w:lineRule="auto"/>
        <w:rPr>
          <w:rFonts w:ascii="Calibri" w:hAnsi="Calibri" w:cs="Calibri"/>
          <w:iCs/>
          <w:sz w:val="24"/>
          <w:szCs w:val="24"/>
        </w:rPr>
      </w:pPr>
      <w:r w:rsidRPr="0052582E">
        <w:rPr>
          <w:rFonts w:ascii="Calibri" w:hAnsi="Calibri" w:cs="Calibri"/>
          <w:b/>
          <w:bCs/>
          <w:iCs/>
          <w:sz w:val="24"/>
          <w:szCs w:val="24"/>
        </w:rPr>
        <w:t>Suggested change:</w:t>
      </w:r>
      <w:r w:rsidRPr="0052582E">
        <w:rPr>
          <w:rFonts w:ascii="Calibri" w:hAnsi="Calibri" w:cs="Calibri"/>
          <w:iCs/>
          <w:sz w:val="24"/>
          <w:szCs w:val="24"/>
        </w:rPr>
        <w:t xml:space="preserve"> Remove paper mention of a survival </w:t>
      </w:r>
      <w:r w:rsidR="00CA497C" w:rsidRPr="0052582E">
        <w:rPr>
          <w:rFonts w:ascii="Calibri" w:hAnsi="Calibri" w:cs="Calibri"/>
          <w:iCs/>
          <w:sz w:val="24"/>
          <w:szCs w:val="24"/>
        </w:rPr>
        <w:t>procedure or</w:t>
      </w:r>
      <w:r w:rsidRPr="0052582E">
        <w:rPr>
          <w:rFonts w:ascii="Calibri" w:hAnsi="Calibri" w:cs="Calibri"/>
          <w:iCs/>
          <w:sz w:val="24"/>
          <w:szCs w:val="24"/>
        </w:rPr>
        <w:t xml:space="preserve"> clarify the differences depending on the procedure (survival vs non-survival). Flushing of the peritoneal cavity with sterile saline prior to closure (peritoneal lavage) should also be part of a procedure where fluids have leaked intraoperatively.</w:t>
      </w:r>
    </w:p>
    <w:p w14:paraId="0000000F" w14:textId="77777777" w:rsidR="00C74D7E" w:rsidRPr="0052582E" w:rsidRDefault="00C74D7E" w:rsidP="00320B9F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6D31D5CC" w14:textId="0438F359" w:rsidR="0052582E" w:rsidRPr="0052582E" w:rsidRDefault="0052582E" w:rsidP="00320B9F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2582E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181976">
        <w:rPr>
          <w:rFonts w:ascii="Calibri" w:hAnsi="Calibri" w:cs="Calibri"/>
          <w:b/>
          <w:bCs/>
          <w:sz w:val="24"/>
          <w:szCs w:val="24"/>
        </w:rPr>
        <w:t>T</w:t>
      </w:r>
      <w:r w:rsidRPr="0052582E">
        <w:rPr>
          <w:rFonts w:ascii="Calibri" w:hAnsi="Calibri" w:cs="Calibri"/>
          <w:b/>
          <w:bCs/>
          <w:sz w:val="24"/>
          <w:szCs w:val="24"/>
        </w:rPr>
        <w:t>ext</w:t>
      </w:r>
      <w:r w:rsidRPr="0052582E">
        <w:rPr>
          <w:rFonts w:ascii="Calibri" w:hAnsi="Calibri" w:cs="Calibri"/>
          <w:sz w:val="24"/>
          <w:szCs w:val="24"/>
        </w:rPr>
        <w:t>: 1.</w:t>
      </w:r>
      <w:r w:rsidR="00181976">
        <w:rPr>
          <w:rFonts w:ascii="Calibri" w:hAnsi="Calibri" w:cs="Calibri"/>
          <w:sz w:val="24"/>
          <w:szCs w:val="24"/>
        </w:rPr>
        <w:t>2</w:t>
      </w:r>
    </w:p>
    <w:p w14:paraId="2BE3ECDF" w14:textId="77777777" w:rsidR="0052582E" w:rsidRPr="0052582E" w:rsidRDefault="0052582E" w:rsidP="00320B9F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2582E">
        <w:rPr>
          <w:rFonts w:ascii="Calibri" w:hAnsi="Calibri" w:cs="Calibri"/>
          <w:b/>
          <w:bCs/>
          <w:sz w:val="24"/>
          <w:szCs w:val="24"/>
        </w:rPr>
        <w:t>Comment</w:t>
      </w:r>
      <w:r w:rsidRPr="0052582E">
        <w:rPr>
          <w:rFonts w:ascii="Calibri" w:hAnsi="Calibri" w:cs="Calibri"/>
          <w:sz w:val="24"/>
          <w:szCs w:val="24"/>
        </w:rPr>
        <w:t xml:space="preserve">: This comment is likely related to the housing used at this </w:t>
      </w:r>
      <w:proofErr w:type="gramStart"/>
      <w:r w:rsidRPr="0052582E">
        <w:rPr>
          <w:rFonts w:ascii="Calibri" w:hAnsi="Calibri" w:cs="Calibri"/>
          <w:sz w:val="24"/>
          <w:szCs w:val="24"/>
        </w:rPr>
        <w:t>facility,</w:t>
      </w:r>
      <w:proofErr w:type="gramEnd"/>
      <w:r w:rsidRPr="0052582E">
        <w:rPr>
          <w:rFonts w:ascii="Calibri" w:hAnsi="Calibri" w:cs="Calibri"/>
          <w:sz w:val="24"/>
          <w:szCs w:val="24"/>
        </w:rPr>
        <w:t xml:space="preserve"> however other standard housing conditions (e.g. elevated grated floor kennels or floor pens with appropriate non-slip flooring) could also be appropriate.  </w:t>
      </w:r>
    </w:p>
    <w:p w14:paraId="6202E0EE" w14:textId="77777777" w:rsidR="0052582E" w:rsidRPr="0052582E" w:rsidRDefault="0052582E" w:rsidP="00320B9F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2582E">
        <w:rPr>
          <w:rFonts w:ascii="Calibri" w:hAnsi="Calibri" w:cs="Calibri"/>
          <w:b/>
          <w:bCs/>
          <w:sz w:val="24"/>
          <w:szCs w:val="24"/>
        </w:rPr>
        <w:t>Suggested change</w:t>
      </w:r>
      <w:r w:rsidRPr="0052582E">
        <w:rPr>
          <w:rFonts w:ascii="Calibri" w:hAnsi="Calibri" w:cs="Calibri"/>
          <w:sz w:val="24"/>
          <w:szCs w:val="24"/>
        </w:rPr>
        <w:t xml:space="preserve">: Recommend wording </w:t>
      </w:r>
      <w:proofErr w:type="gramStart"/>
      <w:r w:rsidRPr="0052582E">
        <w:rPr>
          <w:rFonts w:ascii="Calibri" w:hAnsi="Calibri" w:cs="Calibri"/>
          <w:sz w:val="24"/>
          <w:szCs w:val="24"/>
        </w:rPr>
        <w:t>similar to</w:t>
      </w:r>
      <w:proofErr w:type="gramEnd"/>
      <w:r w:rsidRPr="0052582E">
        <w:rPr>
          <w:rFonts w:ascii="Calibri" w:hAnsi="Calibri" w:cs="Calibri"/>
          <w:sz w:val="24"/>
          <w:szCs w:val="24"/>
        </w:rPr>
        <w:t xml:space="preserve"> 1.1, which indicates “or comparable” for the housing.  It may be appropriate to state “or other species-appropriate housing”</w:t>
      </w:r>
    </w:p>
    <w:p w14:paraId="237BF3F6" w14:textId="77777777" w:rsidR="0052582E" w:rsidRPr="0052582E" w:rsidRDefault="0052582E" w:rsidP="00320B9F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54553C02" w14:textId="77777777" w:rsidR="00181976" w:rsidRDefault="0052582E" w:rsidP="00320B9F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2582E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181976">
        <w:rPr>
          <w:rFonts w:ascii="Calibri" w:hAnsi="Calibri" w:cs="Calibri"/>
          <w:b/>
          <w:bCs/>
          <w:sz w:val="24"/>
          <w:szCs w:val="24"/>
        </w:rPr>
        <w:t>T</w:t>
      </w:r>
      <w:r w:rsidRPr="0052582E">
        <w:rPr>
          <w:rFonts w:ascii="Calibri" w:hAnsi="Calibri" w:cs="Calibri"/>
          <w:b/>
          <w:bCs/>
          <w:sz w:val="24"/>
          <w:szCs w:val="24"/>
        </w:rPr>
        <w:t>ext</w:t>
      </w:r>
      <w:r w:rsidRPr="0052582E">
        <w:rPr>
          <w:rFonts w:ascii="Calibri" w:hAnsi="Calibri" w:cs="Calibri"/>
          <w:sz w:val="24"/>
          <w:szCs w:val="24"/>
        </w:rPr>
        <w:t>: 2.</w:t>
      </w:r>
      <w:r w:rsidR="00181976">
        <w:rPr>
          <w:rFonts w:ascii="Calibri" w:hAnsi="Calibri" w:cs="Calibri"/>
          <w:sz w:val="24"/>
          <w:szCs w:val="24"/>
        </w:rPr>
        <w:t>4</w:t>
      </w:r>
    </w:p>
    <w:p w14:paraId="4AB9537B" w14:textId="55645894" w:rsidR="0052582E" w:rsidRPr="0052582E" w:rsidRDefault="0052582E" w:rsidP="00320B9F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2582E">
        <w:rPr>
          <w:rFonts w:ascii="Calibri" w:hAnsi="Calibri" w:cs="Calibri"/>
          <w:b/>
          <w:bCs/>
          <w:sz w:val="24"/>
          <w:szCs w:val="24"/>
        </w:rPr>
        <w:t>Comment</w:t>
      </w:r>
      <w:r w:rsidRPr="0052582E">
        <w:rPr>
          <w:rFonts w:ascii="Calibri" w:hAnsi="Calibri" w:cs="Calibri"/>
          <w:sz w:val="24"/>
          <w:szCs w:val="24"/>
        </w:rPr>
        <w:t xml:space="preserve">: The wording indicates “Administer 3-10 mg/kg/h of 0.9% saline or Lactated Ringer's solution throughout the procedure”.  This is likely a typo (should read </w:t>
      </w:r>
      <w:r w:rsidRPr="00181976">
        <w:rPr>
          <w:rFonts w:ascii="Calibri" w:hAnsi="Calibri" w:cs="Calibri"/>
          <w:b/>
          <w:bCs/>
          <w:sz w:val="24"/>
          <w:szCs w:val="24"/>
        </w:rPr>
        <w:t>mL</w:t>
      </w:r>
      <w:r w:rsidRPr="0052582E">
        <w:rPr>
          <w:rFonts w:ascii="Calibri" w:hAnsi="Calibri" w:cs="Calibri"/>
          <w:sz w:val="24"/>
          <w:szCs w:val="24"/>
        </w:rPr>
        <w:t xml:space="preserve">/kg/h) as fluid rates are not often provided in mg/kg. </w:t>
      </w:r>
    </w:p>
    <w:p w14:paraId="42C480AE" w14:textId="21FEE113" w:rsidR="0052582E" w:rsidRPr="0052582E" w:rsidRDefault="0052582E" w:rsidP="00320B9F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2582E">
        <w:rPr>
          <w:rFonts w:ascii="Calibri" w:hAnsi="Calibri" w:cs="Calibri"/>
          <w:b/>
          <w:bCs/>
          <w:sz w:val="24"/>
          <w:szCs w:val="24"/>
        </w:rPr>
        <w:t>Suggested change</w:t>
      </w:r>
      <w:r w:rsidRPr="0052582E">
        <w:rPr>
          <w:rFonts w:ascii="Calibri" w:hAnsi="Calibri" w:cs="Calibri"/>
          <w:sz w:val="24"/>
          <w:szCs w:val="24"/>
        </w:rPr>
        <w:t>: Correct units</w:t>
      </w:r>
      <w:r w:rsidR="00181976">
        <w:rPr>
          <w:rFonts w:ascii="Calibri" w:hAnsi="Calibri" w:cs="Calibri"/>
          <w:sz w:val="24"/>
          <w:szCs w:val="24"/>
        </w:rPr>
        <w:t>.</w:t>
      </w:r>
    </w:p>
    <w:p w14:paraId="745D8766" w14:textId="2C3E11F8" w:rsidR="0052582E" w:rsidRPr="0052582E" w:rsidRDefault="0052582E" w:rsidP="00320B9F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2582E">
        <w:rPr>
          <w:rFonts w:ascii="Calibri" w:hAnsi="Calibri" w:cs="Calibri"/>
          <w:b/>
          <w:bCs/>
          <w:sz w:val="24"/>
          <w:szCs w:val="24"/>
        </w:rPr>
        <w:lastRenderedPageBreak/>
        <w:t xml:space="preserve">Location in </w:t>
      </w:r>
      <w:r w:rsidR="00181976">
        <w:rPr>
          <w:rFonts w:ascii="Calibri" w:hAnsi="Calibri" w:cs="Calibri"/>
          <w:b/>
          <w:bCs/>
          <w:sz w:val="24"/>
          <w:szCs w:val="24"/>
        </w:rPr>
        <w:t>T</w:t>
      </w:r>
      <w:r w:rsidRPr="0052582E">
        <w:rPr>
          <w:rFonts w:ascii="Calibri" w:hAnsi="Calibri" w:cs="Calibri"/>
          <w:b/>
          <w:bCs/>
          <w:sz w:val="24"/>
          <w:szCs w:val="24"/>
        </w:rPr>
        <w:t>ext</w:t>
      </w:r>
      <w:r w:rsidRPr="0052582E">
        <w:rPr>
          <w:rFonts w:ascii="Calibri" w:hAnsi="Calibri" w:cs="Calibri"/>
          <w:sz w:val="24"/>
          <w:szCs w:val="24"/>
        </w:rPr>
        <w:t>: 4.</w:t>
      </w:r>
      <w:r w:rsidR="00181976">
        <w:rPr>
          <w:rFonts w:ascii="Calibri" w:hAnsi="Calibri" w:cs="Calibri"/>
          <w:sz w:val="24"/>
          <w:szCs w:val="24"/>
        </w:rPr>
        <w:t>5</w:t>
      </w:r>
    </w:p>
    <w:p w14:paraId="432041FA" w14:textId="77777777" w:rsidR="0052582E" w:rsidRPr="0052582E" w:rsidRDefault="0052582E" w:rsidP="00320B9F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2582E">
        <w:rPr>
          <w:rFonts w:ascii="Calibri" w:hAnsi="Calibri" w:cs="Calibri"/>
          <w:b/>
          <w:bCs/>
          <w:sz w:val="24"/>
          <w:szCs w:val="24"/>
        </w:rPr>
        <w:t>Comment</w:t>
      </w:r>
      <w:r w:rsidRPr="0052582E">
        <w:rPr>
          <w:rFonts w:ascii="Calibri" w:hAnsi="Calibri" w:cs="Calibri"/>
          <w:sz w:val="24"/>
          <w:szCs w:val="24"/>
        </w:rPr>
        <w:t xml:space="preserve">: Use of the word “sacrificed” can be controversial.  </w:t>
      </w:r>
    </w:p>
    <w:p w14:paraId="478FD947" w14:textId="77777777" w:rsidR="0052582E" w:rsidRPr="0052582E" w:rsidRDefault="0052582E" w:rsidP="00320B9F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2582E">
        <w:rPr>
          <w:rFonts w:ascii="Calibri" w:hAnsi="Calibri" w:cs="Calibri"/>
          <w:b/>
          <w:bCs/>
          <w:sz w:val="24"/>
          <w:szCs w:val="24"/>
        </w:rPr>
        <w:t>Suggested change</w:t>
      </w:r>
      <w:r w:rsidRPr="0052582E">
        <w:rPr>
          <w:rFonts w:ascii="Calibri" w:hAnsi="Calibri" w:cs="Calibri"/>
          <w:sz w:val="24"/>
          <w:szCs w:val="24"/>
        </w:rPr>
        <w:t>: Recommended terminology is “euthanized”</w:t>
      </w:r>
    </w:p>
    <w:p w14:paraId="748F613D" w14:textId="77777777" w:rsidR="0052582E" w:rsidRPr="0052582E" w:rsidRDefault="0052582E" w:rsidP="00320B9F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403914E3" w14:textId="77777777" w:rsidR="0052582E" w:rsidRPr="0052582E" w:rsidRDefault="0052582E" w:rsidP="00320B9F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1D59C9A6" w14:textId="4506BF90" w:rsidR="009005AE" w:rsidRPr="0052582E" w:rsidRDefault="00000000" w:rsidP="00320B9F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52582E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00000012" w14:textId="07A896FC" w:rsidR="00C74D7E" w:rsidRPr="00484844" w:rsidRDefault="00484844" w:rsidP="00320B9F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484844">
        <w:rPr>
          <w:rFonts w:ascii="Calibri" w:hAnsi="Calibri" w:cs="Calibri"/>
          <w:sz w:val="24"/>
          <w:szCs w:val="24"/>
        </w:rPr>
        <w:t>No comments on the text and video.</w:t>
      </w:r>
    </w:p>
    <w:sectPr w:rsidR="00C74D7E" w:rsidRPr="0048484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1C0B124-3173-4DE6-8898-2B5619E328C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BD12867F-985A-4DBF-82F5-21F0FD0A0EF1}"/>
    <w:embedBold r:id="rId3" w:fontKey="{4D8B533D-1A17-4B57-B34D-7A2C26B0827C}"/>
    <w:embedItalic r:id="rId4" w:fontKey="{A650455F-908C-44E9-B802-1DD18A48615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0091A1D8-5EBD-4C7D-A0FC-404DF57D56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A0D5F0B-B72D-4122-B3ED-1ABE0D88B7DA}"/>
    <w:embedBold r:id="rId7" w:fontKey="{357F5CD2-8FD9-4FF6-89CF-22F88EB0603C}"/>
    <w:embedItalic r:id="rId8" w:fontKey="{8E49CFE6-CE37-4A81-962C-E0AB837C80D8}"/>
    <w:embedBoldItalic r:id="rId9" w:fontKey="{F7E96D54-12BE-4A2B-9B47-6DDB54A639B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1248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ca1AP5wUEAsAAAA"/>
  </w:docVars>
  <w:rsids>
    <w:rsidRoot w:val="00C74D7E"/>
    <w:rsid w:val="0002539B"/>
    <w:rsid w:val="00181976"/>
    <w:rsid w:val="002F17FB"/>
    <w:rsid w:val="00320B9F"/>
    <w:rsid w:val="00325025"/>
    <w:rsid w:val="00325F33"/>
    <w:rsid w:val="003760AF"/>
    <w:rsid w:val="00413DA0"/>
    <w:rsid w:val="00464BB6"/>
    <w:rsid w:val="00484844"/>
    <w:rsid w:val="004C0461"/>
    <w:rsid w:val="0052582E"/>
    <w:rsid w:val="00542BFA"/>
    <w:rsid w:val="006411A0"/>
    <w:rsid w:val="006714B7"/>
    <w:rsid w:val="006B0646"/>
    <w:rsid w:val="00744D7E"/>
    <w:rsid w:val="007D3FB3"/>
    <w:rsid w:val="00882B75"/>
    <w:rsid w:val="009005AE"/>
    <w:rsid w:val="00C74D7E"/>
    <w:rsid w:val="00CA497C"/>
    <w:rsid w:val="00D118E8"/>
    <w:rsid w:val="00DC6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7835?status=a69841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7835?status=a69841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19</cp:revision>
  <dcterms:created xsi:type="dcterms:W3CDTF">2024-11-12T12:06:00Z</dcterms:created>
  <dcterms:modified xsi:type="dcterms:W3CDTF">2026-01-02T11:33:00Z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