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6C6A2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51F9" w:rsidRPr="002651F9">
        <w:rPr>
          <w:rFonts w:eastAsia="Times New Roman" w:cstheme="minorHAnsi"/>
          <w:b/>
        </w:rPr>
        <w:t>67677</w:t>
      </w:r>
    </w:p>
    <w:p w14:paraId="2F6924E5" w14:textId="27C15F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51F9">
        <w:rPr>
          <w:rFonts w:eastAsia="Times New Roman" w:cstheme="minorHAnsi"/>
          <w:b/>
        </w:rPr>
        <w:t>Sritama Bose</w:t>
      </w:r>
    </w:p>
    <w:p w14:paraId="6FB9233B" w14:textId="3D2E5B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02337" w:rsidRPr="00702337">
          <w:rPr>
            <w:rStyle w:val="Hyperlink"/>
            <w:rFonts w:eastAsia="Times New Roman" w:cstheme="minorHAnsi"/>
            <w:b/>
          </w:rPr>
          <w:t>https://review.jove.com/account/file-uploader?src=20641533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BB4FD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02337" w:rsidRPr="00702337">
        <w:rPr>
          <w:rStyle w:val="ArticleTitle"/>
          <w:rFonts w:cstheme="minorHAnsi"/>
        </w:rPr>
        <w:t>Laparoscopic Left Approach Resection of the Caudate Lobe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A3B2B73" w14:textId="32ED8130" w:rsidR="00702337" w:rsidRPr="00081953" w:rsidRDefault="00702337" w:rsidP="00702337">
      <w:pPr>
        <w:rPr>
          <w:b/>
          <w:bCs/>
          <w:sz w:val="28"/>
          <w:szCs w:val="28"/>
          <w:vertAlign w:val="superscript"/>
          <w:lang w:eastAsia="zh-CN"/>
        </w:rPr>
      </w:pPr>
      <w:proofErr w:type="spellStart"/>
      <w:r w:rsidRPr="00081953">
        <w:rPr>
          <w:b/>
          <w:bCs/>
          <w:sz w:val="28"/>
          <w:szCs w:val="28"/>
          <w:lang w:eastAsia="zh-CN"/>
        </w:rPr>
        <w:t>Zhoubin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Feng</w:t>
      </w:r>
      <w:r w:rsidRPr="00081953">
        <w:rPr>
          <w:rFonts w:hint="eastAsia"/>
          <w:b/>
          <w:bCs/>
          <w:sz w:val="28"/>
          <w:szCs w:val="28"/>
          <w:vertAlign w:val="superscript"/>
          <w:lang w:eastAsia="zh-CN"/>
        </w:rPr>
        <w:t>*</w:t>
      </w:r>
      <w:r w:rsidRPr="00081953">
        <w:rPr>
          <w:b/>
          <w:bCs/>
          <w:sz w:val="28"/>
          <w:szCs w:val="28"/>
          <w:lang w:eastAsia="zh-CN"/>
        </w:rPr>
        <w:t>,</w:t>
      </w:r>
      <w:r w:rsidRPr="00081953">
        <w:rPr>
          <w:b/>
          <w:bCs/>
          <w:sz w:val="28"/>
          <w:szCs w:val="28"/>
        </w:rPr>
        <w:t xml:space="preserve"> </w:t>
      </w:r>
      <w:r w:rsidRPr="00081953">
        <w:rPr>
          <w:rFonts w:hint="eastAsia"/>
          <w:b/>
          <w:bCs/>
          <w:sz w:val="28"/>
          <w:szCs w:val="28"/>
          <w:lang w:eastAsia="zh-CN"/>
        </w:rPr>
        <w:t>Lei</w:t>
      </w:r>
      <w:r w:rsidRPr="00081953">
        <w:rPr>
          <w:b/>
          <w:bCs/>
          <w:sz w:val="28"/>
          <w:szCs w:val="28"/>
          <w:lang w:eastAsia="zh-CN"/>
        </w:rPr>
        <w:t xml:space="preserve"> Cai</w:t>
      </w:r>
      <w:r w:rsidRPr="00081953">
        <w:rPr>
          <w:rFonts w:hint="eastAsia"/>
          <w:b/>
          <w:bCs/>
          <w:sz w:val="28"/>
          <w:szCs w:val="28"/>
          <w:vertAlign w:val="superscript"/>
          <w:lang w:eastAsia="zh-CN"/>
        </w:rPr>
        <w:t>*</w:t>
      </w:r>
      <w:r w:rsidRPr="00081953">
        <w:rPr>
          <w:b/>
          <w:bCs/>
          <w:sz w:val="28"/>
          <w:szCs w:val="28"/>
          <w:lang w:eastAsia="zh-CN"/>
        </w:rPr>
        <w:t xml:space="preserve">, </w:t>
      </w:r>
      <w:proofErr w:type="spellStart"/>
      <w:r w:rsidRPr="00081953">
        <w:rPr>
          <w:b/>
          <w:bCs/>
          <w:sz w:val="28"/>
          <w:szCs w:val="28"/>
          <w:lang w:eastAsia="zh-CN"/>
        </w:rPr>
        <w:t>Jianan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Feng, Cheng Zhang, Yuyan Xu, </w:t>
      </w:r>
      <w:proofErr w:type="spellStart"/>
      <w:r w:rsidRPr="00081953">
        <w:rPr>
          <w:b/>
          <w:bCs/>
          <w:sz w:val="28"/>
          <w:szCs w:val="28"/>
          <w:lang w:eastAsia="zh-CN"/>
        </w:rPr>
        <w:t>Yaohong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Wen, </w:t>
      </w:r>
      <w:proofErr w:type="spellStart"/>
      <w:r w:rsidRPr="00081953">
        <w:rPr>
          <w:b/>
          <w:bCs/>
          <w:sz w:val="28"/>
          <w:szCs w:val="28"/>
          <w:lang w:eastAsia="zh-CN"/>
        </w:rPr>
        <w:t>Hongkun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Tan, </w:t>
      </w:r>
      <w:proofErr w:type="spellStart"/>
      <w:r w:rsidRPr="00081953">
        <w:rPr>
          <w:b/>
          <w:bCs/>
          <w:sz w:val="28"/>
          <w:szCs w:val="28"/>
          <w:lang w:eastAsia="zh-CN"/>
        </w:rPr>
        <w:t>Chunming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Wang, </w:t>
      </w:r>
      <w:proofErr w:type="spellStart"/>
      <w:r w:rsidRPr="00081953">
        <w:rPr>
          <w:b/>
          <w:bCs/>
          <w:sz w:val="28"/>
          <w:szCs w:val="28"/>
          <w:lang w:eastAsia="zh-CN"/>
        </w:rPr>
        <w:t>Wenxuan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Liu, </w:t>
      </w:r>
      <w:proofErr w:type="spellStart"/>
      <w:r w:rsidRPr="00081953">
        <w:rPr>
          <w:b/>
          <w:bCs/>
          <w:sz w:val="28"/>
          <w:szCs w:val="28"/>
          <w:lang w:eastAsia="zh-CN"/>
        </w:rPr>
        <w:t>Guolin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He, </w:t>
      </w:r>
      <w:proofErr w:type="spellStart"/>
      <w:r w:rsidRPr="00081953">
        <w:rPr>
          <w:b/>
          <w:bCs/>
          <w:sz w:val="28"/>
          <w:szCs w:val="28"/>
          <w:lang w:eastAsia="zh-CN"/>
        </w:rPr>
        <w:t>Mingxin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Pan, </w:t>
      </w:r>
      <w:proofErr w:type="spellStart"/>
      <w:r w:rsidRPr="00081953">
        <w:rPr>
          <w:b/>
          <w:bCs/>
          <w:sz w:val="28"/>
          <w:szCs w:val="28"/>
          <w:lang w:eastAsia="zh-CN"/>
        </w:rPr>
        <w:t>Shunjun</w:t>
      </w:r>
      <w:proofErr w:type="spellEnd"/>
      <w:r w:rsidRPr="00081953">
        <w:rPr>
          <w:b/>
          <w:bCs/>
          <w:sz w:val="28"/>
          <w:szCs w:val="28"/>
          <w:lang w:eastAsia="zh-CN"/>
        </w:rPr>
        <w:t xml:space="preserve"> Fu</w:t>
      </w:r>
    </w:p>
    <w:p w14:paraId="5AFEBFDB" w14:textId="77777777" w:rsidR="00702337" w:rsidRPr="00081953" w:rsidRDefault="00702337" w:rsidP="00702337">
      <w:pPr>
        <w:rPr>
          <w:sz w:val="28"/>
          <w:szCs w:val="28"/>
          <w:lang w:eastAsia="zh-CN"/>
        </w:rPr>
      </w:pPr>
    </w:p>
    <w:p w14:paraId="7A130FAB" w14:textId="167A783E" w:rsidR="00702337" w:rsidRPr="00081953" w:rsidRDefault="00702337" w:rsidP="00702337">
      <w:pPr>
        <w:rPr>
          <w:sz w:val="28"/>
          <w:szCs w:val="28"/>
          <w:lang w:eastAsia="zh-CN"/>
        </w:rPr>
      </w:pPr>
      <w:r w:rsidRPr="00081953">
        <w:rPr>
          <w:sz w:val="28"/>
          <w:szCs w:val="28"/>
          <w:lang w:eastAsia="zh-CN"/>
        </w:rPr>
        <w:t xml:space="preserve">Department of Hepatobiliary Surgery II, </w:t>
      </w:r>
      <w:proofErr w:type="spellStart"/>
      <w:r w:rsidRPr="00081953">
        <w:rPr>
          <w:sz w:val="28"/>
          <w:szCs w:val="28"/>
          <w:lang w:eastAsia="zh-CN"/>
        </w:rPr>
        <w:t>Zhujiang</w:t>
      </w:r>
      <w:proofErr w:type="spellEnd"/>
      <w:r w:rsidRPr="00081953">
        <w:rPr>
          <w:sz w:val="28"/>
          <w:szCs w:val="28"/>
          <w:lang w:eastAsia="zh-CN"/>
        </w:rPr>
        <w:t xml:space="preserve"> Hospital, Southern Medical University</w:t>
      </w:r>
    </w:p>
    <w:p w14:paraId="484D0E87" w14:textId="77777777" w:rsidR="00702337" w:rsidRPr="00BF313F" w:rsidRDefault="00702337" w:rsidP="00702337">
      <w:pPr>
        <w:rPr>
          <w:lang w:eastAsia="zh-CN"/>
        </w:rPr>
      </w:pPr>
    </w:p>
    <w:p w14:paraId="4F33312D" w14:textId="4B4FE232" w:rsidR="00702337" w:rsidRPr="00BF313F" w:rsidRDefault="00081953" w:rsidP="00702337">
      <w:pPr>
        <w:rPr>
          <w:lang w:eastAsia="zh-CN"/>
        </w:rPr>
      </w:pPr>
      <w:r w:rsidRPr="00BF313F">
        <w:rPr>
          <w:rFonts w:hint="eastAsia"/>
          <w:vertAlign w:val="superscript"/>
          <w:lang w:eastAsia="zh-CN"/>
        </w:rPr>
        <w:t>*</w:t>
      </w:r>
      <w:r w:rsidR="00702337">
        <w:rPr>
          <w:lang w:eastAsia="zh-CN"/>
        </w:rPr>
        <w:t>These authors c</w:t>
      </w:r>
      <w:r w:rsidR="00702337" w:rsidRPr="00BF313F">
        <w:rPr>
          <w:rFonts w:hint="eastAsia"/>
          <w:lang w:eastAsia="zh-CN"/>
        </w:rPr>
        <w:t>ontributed equall</w:t>
      </w:r>
      <w:r w:rsidR="00702337">
        <w:rPr>
          <w:lang w:eastAsia="zh-CN"/>
        </w:rPr>
        <w:t>y.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A81D216" w14:textId="77777777" w:rsidR="00081953" w:rsidRDefault="00081953" w:rsidP="00081953">
      <w:pPr>
        <w:rPr>
          <w:vertAlign w:val="superscript"/>
          <w:lang w:eastAsia="zh-CN"/>
        </w:rPr>
      </w:pPr>
      <w:proofErr w:type="spellStart"/>
      <w:r w:rsidRPr="00BF313F">
        <w:rPr>
          <w:lang w:eastAsia="zh-CN"/>
        </w:rPr>
        <w:t>Mingxin</w:t>
      </w:r>
      <w:proofErr w:type="spellEnd"/>
      <w:r w:rsidRPr="00BF313F">
        <w:rPr>
          <w:lang w:eastAsia="zh-CN"/>
        </w:rPr>
        <w:t xml:space="preserve"> Pan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404A5">
        <w:rPr>
          <w:rFonts w:hint="eastAsia"/>
          <w:lang w:eastAsia="zh-CN"/>
        </w:rPr>
        <w:t>p</w:t>
      </w:r>
      <w:r w:rsidRPr="00E404A5">
        <w:rPr>
          <w:lang w:eastAsia="zh-CN"/>
        </w:rPr>
        <w:t>mxwxy@sohu.com</w:t>
      </w:r>
      <w:r>
        <w:rPr>
          <w:lang w:eastAsia="zh-CN"/>
        </w:rPr>
        <w:t>)</w:t>
      </w:r>
    </w:p>
    <w:p w14:paraId="21657A2C" w14:textId="77777777" w:rsidR="00081953" w:rsidRPr="00BF313F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Shunjun</w:t>
      </w:r>
      <w:proofErr w:type="spellEnd"/>
      <w:r w:rsidRPr="00BF313F">
        <w:rPr>
          <w:lang w:eastAsia="zh-CN"/>
        </w:rPr>
        <w:t xml:space="preserve"> Fu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404A5">
        <w:rPr>
          <w:lang w:eastAsia="zh-CN"/>
        </w:rPr>
        <w:t>Fsj103@163.com</w:t>
      </w:r>
      <w:r>
        <w:rPr>
          <w:lang w:eastAsia="zh-CN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B0A524C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Zhoubin</w:t>
      </w:r>
      <w:proofErr w:type="spellEnd"/>
      <w:r w:rsidRPr="00BF313F">
        <w:rPr>
          <w:lang w:eastAsia="zh-CN"/>
        </w:rPr>
        <w:t xml:space="preserve"> Feng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C6F21">
        <w:rPr>
          <w:lang w:eastAsia="zh-CN"/>
        </w:rPr>
        <w:t>Fzbin1001@163.com</w:t>
      </w:r>
      <w:r>
        <w:rPr>
          <w:lang w:eastAsia="zh-CN"/>
        </w:rPr>
        <w:t>)</w:t>
      </w:r>
    </w:p>
    <w:p w14:paraId="4603FD2F" w14:textId="77777777" w:rsidR="00081953" w:rsidRDefault="00081953" w:rsidP="00081953">
      <w:pPr>
        <w:rPr>
          <w:lang w:eastAsia="zh-CN"/>
        </w:rPr>
      </w:pPr>
      <w:r w:rsidRPr="00BF313F">
        <w:rPr>
          <w:rFonts w:hint="eastAsia"/>
          <w:lang w:eastAsia="zh-CN"/>
        </w:rPr>
        <w:t>Lei</w:t>
      </w:r>
      <w:r w:rsidRPr="00BF313F">
        <w:rPr>
          <w:lang w:eastAsia="zh-CN"/>
        </w:rPr>
        <w:t xml:space="preserve"> Cai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(cailei_427@163.com)</w:t>
      </w:r>
    </w:p>
    <w:p w14:paraId="2214CA2B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Jianan</w:t>
      </w:r>
      <w:proofErr w:type="spellEnd"/>
      <w:r w:rsidRPr="00BF313F">
        <w:rPr>
          <w:lang w:eastAsia="zh-CN"/>
        </w:rPr>
        <w:t xml:space="preserve"> Feng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(972929217@qq.com)</w:t>
      </w:r>
    </w:p>
    <w:p w14:paraId="129CA226" w14:textId="77777777" w:rsidR="00081953" w:rsidRDefault="00081953" w:rsidP="00081953">
      <w:pPr>
        <w:rPr>
          <w:lang w:eastAsia="zh-CN"/>
        </w:rPr>
      </w:pPr>
      <w:r w:rsidRPr="00BF313F">
        <w:rPr>
          <w:lang w:eastAsia="zh-CN"/>
        </w:rPr>
        <w:t>Cheng Zhang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(754167410@qq.com)</w:t>
      </w:r>
    </w:p>
    <w:p w14:paraId="1E054D12" w14:textId="77777777" w:rsidR="00081953" w:rsidRDefault="00081953" w:rsidP="00081953">
      <w:pPr>
        <w:rPr>
          <w:lang w:eastAsia="zh-CN"/>
        </w:rPr>
      </w:pPr>
      <w:r w:rsidRPr="00BF313F">
        <w:rPr>
          <w:lang w:eastAsia="zh-CN"/>
        </w:rPr>
        <w:t>Yuyan Xu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(240976846@qq.com)</w:t>
      </w:r>
    </w:p>
    <w:p w14:paraId="4C6A6708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Yaohong</w:t>
      </w:r>
      <w:proofErr w:type="spellEnd"/>
      <w:r w:rsidRPr="00BF313F">
        <w:rPr>
          <w:lang w:eastAsia="zh-CN"/>
        </w:rPr>
        <w:t xml:space="preserve"> Wen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(1240219972@qq.com)</w:t>
      </w:r>
    </w:p>
    <w:p w14:paraId="28FF804A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Hongkun</w:t>
      </w:r>
      <w:proofErr w:type="spellEnd"/>
      <w:r w:rsidRPr="00BF313F">
        <w:rPr>
          <w:lang w:eastAsia="zh-CN"/>
        </w:rPr>
        <w:t xml:space="preserve"> Tan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(971638372@qq.com)</w:t>
      </w:r>
    </w:p>
    <w:p w14:paraId="6CE95D50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Chunming</w:t>
      </w:r>
      <w:proofErr w:type="spellEnd"/>
      <w:r w:rsidRPr="00BF313F">
        <w:rPr>
          <w:lang w:eastAsia="zh-CN"/>
        </w:rPr>
        <w:t xml:space="preserve"> Wang</w:t>
      </w:r>
      <w:r>
        <w:rPr>
          <w:lang w:eastAsia="zh-CN"/>
        </w:rPr>
        <w:tab/>
      </w:r>
      <w:r>
        <w:rPr>
          <w:lang w:eastAsia="zh-CN"/>
        </w:rPr>
        <w:tab/>
        <w:t>(1776016020@qq.com)</w:t>
      </w:r>
    </w:p>
    <w:p w14:paraId="4FADBC60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Wenxuan</w:t>
      </w:r>
      <w:proofErr w:type="spellEnd"/>
      <w:r w:rsidRPr="00BF313F">
        <w:rPr>
          <w:lang w:eastAsia="zh-CN"/>
        </w:rPr>
        <w:t xml:space="preserve"> Liu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C6F21">
        <w:rPr>
          <w:lang w:eastAsia="zh-CN"/>
        </w:rPr>
        <w:t>L1009915128@163.com</w:t>
      </w:r>
      <w:r>
        <w:rPr>
          <w:lang w:eastAsia="zh-CN"/>
        </w:rPr>
        <w:t>)</w:t>
      </w:r>
    </w:p>
    <w:p w14:paraId="57208185" w14:textId="77777777" w:rsidR="00081953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Guolin</w:t>
      </w:r>
      <w:proofErr w:type="spellEnd"/>
      <w:r w:rsidRPr="00BF313F">
        <w:rPr>
          <w:lang w:eastAsia="zh-CN"/>
        </w:rPr>
        <w:t xml:space="preserve"> He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C6F21">
        <w:rPr>
          <w:lang w:eastAsia="zh-CN"/>
        </w:rPr>
        <w:t>dwtou@126.com</w:t>
      </w:r>
      <w:r>
        <w:rPr>
          <w:lang w:eastAsia="zh-CN"/>
        </w:rPr>
        <w:t>)</w:t>
      </w:r>
    </w:p>
    <w:p w14:paraId="1DD52607" w14:textId="77777777" w:rsidR="00081953" w:rsidRDefault="00081953" w:rsidP="00081953">
      <w:pPr>
        <w:rPr>
          <w:vertAlign w:val="superscript"/>
          <w:lang w:eastAsia="zh-CN"/>
        </w:rPr>
      </w:pPr>
      <w:proofErr w:type="spellStart"/>
      <w:r w:rsidRPr="00BF313F">
        <w:rPr>
          <w:lang w:eastAsia="zh-CN"/>
        </w:rPr>
        <w:t>Mingxin</w:t>
      </w:r>
      <w:proofErr w:type="spellEnd"/>
      <w:r w:rsidRPr="00BF313F">
        <w:rPr>
          <w:lang w:eastAsia="zh-CN"/>
        </w:rPr>
        <w:t xml:space="preserve"> Pan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404A5">
        <w:rPr>
          <w:rFonts w:hint="eastAsia"/>
          <w:lang w:eastAsia="zh-CN"/>
        </w:rPr>
        <w:t>p</w:t>
      </w:r>
      <w:r w:rsidRPr="00E404A5">
        <w:rPr>
          <w:lang w:eastAsia="zh-CN"/>
        </w:rPr>
        <w:t>mxwxy@sohu.com</w:t>
      </w:r>
      <w:r>
        <w:rPr>
          <w:lang w:eastAsia="zh-CN"/>
        </w:rPr>
        <w:t>)</w:t>
      </w:r>
    </w:p>
    <w:p w14:paraId="152092E4" w14:textId="77777777" w:rsidR="00081953" w:rsidRPr="00BF313F" w:rsidRDefault="00081953" w:rsidP="00081953">
      <w:pPr>
        <w:rPr>
          <w:lang w:eastAsia="zh-CN"/>
        </w:rPr>
      </w:pPr>
      <w:proofErr w:type="spellStart"/>
      <w:r w:rsidRPr="00BF313F">
        <w:rPr>
          <w:lang w:eastAsia="zh-CN"/>
        </w:rPr>
        <w:t>Shunjun</w:t>
      </w:r>
      <w:proofErr w:type="spellEnd"/>
      <w:r w:rsidRPr="00BF313F">
        <w:rPr>
          <w:lang w:eastAsia="zh-CN"/>
        </w:rPr>
        <w:t xml:space="preserve"> Fu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</w:t>
      </w:r>
      <w:r w:rsidRPr="00E404A5">
        <w:rPr>
          <w:lang w:eastAsia="zh-CN"/>
        </w:rPr>
        <w:t>Fsj103@163.com</w:t>
      </w:r>
      <w:r>
        <w:rPr>
          <w:lang w:eastAsia="zh-CN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lastRenderedPageBreak/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757123D4" w14:textId="6398BDD1" w:rsidR="00361E81" w:rsidRPr="00361E81" w:rsidRDefault="00361E81" w:rsidP="005162F4">
      <w:pPr>
        <w:spacing w:before="120"/>
        <w:ind w:left="720"/>
        <w:rPr>
          <w:rFonts w:asciiTheme="majorHAnsi" w:eastAsia="Times New Roman" w:hAnsiTheme="majorHAnsi" w:cstheme="majorHAnsi"/>
          <w:bCs/>
        </w:rPr>
      </w:pPr>
      <w:r w:rsidRPr="00361E81">
        <w:rPr>
          <w:rFonts w:asciiTheme="majorHAnsi" w:eastAsia="Times New Roman" w:hAnsiTheme="majorHAnsi" w:cstheme="majorHAnsi"/>
          <w:b/>
          <w:highlight w:val="yellow"/>
        </w:rPr>
        <w:t>Authors</w:t>
      </w:r>
      <w:r w:rsidRPr="00361E81">
        <w:rPr>
          <w:rFonts w:asciiTheme="majorHAnsi" w:eastAsia="Times New Roman" w:hAnsiTheme="majorHAnsi" w:cstheme="majorHAnsi"/>
          <w:bCs/>
          <w:highlight w:val="yellow"/>
        </w:rPr>
        <w:t xml:space="preserve">: If you are recording the SCOPE shots using the laparoscope please mention those </w:t>
      </w:r>
      <w:r>
        <w:rPr>
          <w:rFonts w:asciiTheme="majorHAnsi" w:eastAsia="Times New Roman" w:hAnsiTheme="majorHAnsi" w:cstheme="majorHAnsi"/>
          <w:bCs/>
          <w:highlight w:val="yellow"/>
        </w:rPr>
        <w:t>above</w:t>
      </w:r>
      <w:r w:rsidRPr="00361E81">
        <w:rPr>
          <w:rFonts w:asciiTheme="majorHAnsi" w:eastAsia="Times New Roman" w:hAnsiTheme="majorHAnsi" w:cstheme="majorHAnsi"/>
          <w:bCs/>
          <w:highlight w:val="yellow"/>
        </w:rPr>
        <w:t>.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015005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16B9F">
        <w:rPr>
          <w:rFonts w:cstheme="minorHAnsi"/>
          <w:bCs/>
          <w:sz w:val="22"/>
          <w:szCs w:val="22"/>
        </w:rPr>
        <w:t>14</w:t>
      </w:r>
    </w:p>
    <w:p w14:paraId="5AAC9C6C" w14:textId="7331E9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16B9F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B629FE0" w14:textId="7D0DFE9D" w:rsidR="00C2427E" w:rsidRDefault="001E0433" w:rsidP="00C2427E">
      <w:pPr>
        <w:pStyle w:val="ListParagraph"/>
        <w:spacing w:before="120" w:after="240"/>
        <w:ind w:left="360"/>
        <w:contextualSpacing w:val="0"/>
        <w:rPr>
          <w:lang w:eastAsia="zh-CN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proofErr w:type="spellStart"/>
      <w:r w:rsidR="00C2427E" w:rsidRPr="00BF313F">
        <w:rPr>
          <w:lang w:eastAsia="zh-CN"/>
        </w:rPr>
        <w:t>the</w:t>
      </w:r>
      <w:proofErr w:type="spellEnd"/>
      <w:r w:rsidR="00C2427E" w:rsidRPr="00BF313F">
        <w:rPr>
          <w:lang w:eastAsia="zh-CN"/>
        </w:rPr>
        <w:t xml:space="preserve"> Ethics Committee at </w:t>
      </w:r>
      <w:proofErr w:type="spellStart"/>
      <w:r w:rsidR="00C2427E" w:rsidRPr="00BF313F">
        <w:rPr>
          <w:lang w:eastAsia="zh-CN"/>
        </w:rPr>
        <w:t>Zhujiang</w:t>
      </w:r>
      <w:proofErr w:type="spellEnd"/>
      <w:r w:rsidR="00C2427E" w:rsidRPr="00BF313F">
        <w:rPr>
          <w:lang w:eastAsia="zh-CN"/>
        </w:rPr>
        <w:t xml:space="preserve"> Hospital, Southern Medical University. </w:t>
      </w:r>
      <w:r w:rsidR="004963FC">
        <w:rPr>
          <w:lang w:eastAsia="zh-CN"/>
        </w:rPr>
        <w:t>T</w:t>
      </w:r>
      <w:r w:rsidR="004963FC" w:rsidRPr="00BF313F">
        <w:rPr>
          <w:lang w:eastAsia="zh-CN"/>
        </w:rPr>
        <w:t xml:space="preserve">he patient and her family provided informed consent for </w:t>
      </w:r>
      <w:r w:rsidR="004963FC">
        <w:rPr>
          <w:lang w:eastAsia="zh-CN"/>
        </w:rPr>
        <w:t>publicly sharing</w:t>
      </w:r>
      <w:r w:rsidR="004963FC" w:rsidRPr="00BF313F">
        <w:rPr>
          <w:lang w:eastAsia="zh-CN"/>
        </w:rPr>
        <w:t xml:space="preserve"> information and data pertinent to the treatment process.</w:t>
      </w:r>
    </w:p>
    <w:p w14:paraId="66D538A0" w14:textId="10893929" w:rsidR="001016BD" w:rsidRPr="00000E22" w:rsidRDefault="001016BD" w:rsidP="00C2427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66EFF9E" w:rsidR="00CE10F2" w:rsidRDefault="00653C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</w:t>
      </w:r>
      <w:r w:rsidR="00D852E8">
        <w:rPr>
          <w:rFonts w:cstheme="minorHAnsi"/>
          <w:b/>
          <w:bCs/>
        </w:rPr>
        <w:t xml:space="preserve">Technique for </w:t>
      </w:r>
      <w:r w:rsidR="00262555">
        <w:rPr>
          <w:rFonts w:cstheme="minorHAnsi"/>
          <w:b/>
          <w:bCs/>
        </w:rPr>
        <w:t>L</w:t>
      </w:r>
      <w:r w:rsidR="00262555" w:rsidRPr="00262555">
        <w:rPr>
          <w:rFonts w:cstheme="minorHAnsi"/>
          <w:b/>
          <w:bCs/>
        </w:rPr>
        <w:t xml:space="preserve">aparoscopic </w:t>
      </w:r>
      <w:r w:rsidR="00262555">
        <w:rPr>
          <w:rFonts w:cstheme="minorHAnsi"/>
          <w:b/>
          <w:bCs/>
        </w:rPr>
        <w:t>C</w:t>
      </w:r>
      <w:r w:rsidR="00262555" w:rsidRPr="00262555">
        <w:rPr>
          <w:rFonts w:cstheme="minorHAnsi"/>
          <w:b/>
          <w:bCs/>
        </w:rPr>
        <w:t xml:space="preserve">audate </w:t>
      </w:r>
      <w:r w:rsidR="00262555">
        <w:rPr>
          <w:rFonts w:cstheme="minorHAnsi"/>
          <w:b/>
          <w:bCs/>
        </w:rPr>
        <w:t>L</w:t>
      </w:r>
      <w:r w:rsidR="00262555" w:rsidRPr="00262555">
        <w:rPr>
          <w:rFonts w:cstheme="minorHAnsi"/>
          <w:b/>
          <w:bCs/>
        </w:rPr>
        <w:t xml:space="preserve">obectomy </w:t>
      </w:r>
      <w:r w:rsidR="00262555">
        <w:rPr>
          <w:rFonts w:cstheme="minorHAnsi"/>
          <w:b/>
          <w:bCs/>
        </w:rPr>
        <w:t>U</w:t>
      </w:r>
      <w:r w:rsidR="00262555" w:rsidRPr="00262555">
        <w:rPr>
          <w:rFonts w:cstheme="minorHAnsi"/>
          <w:b/>
          <w:bCs/>
        </w:rPr>
        <w:t xml:space="preserve">sing </w:t>
      </w:r>
      <w:r w:rsidR="00094417">
        <w:rPr>
          <w:rFonts w:cstheme="minorHAnsi"/>
          <w:b/>
          <w:bCs/>
        </w:rPr>
        <w:t>a</w:t>
      </w:r>
      <w:r w:rsidR="00262555" w:rsidRPr="00262555">
        <w:rPr>
          <w:rFonts w:cstheme="minorHAnsi"/>
          <w:b/>
          <w:bCs/>
        </w:rPr>
        <w:t xml:space="preserve"> </w:t>
      </w:r>
      <w:r w:rsidR="00094417">
        <w:rPr>
          <w:rFonts w:cstheme="minorHAnsi"/>
          <w:b/>
          <w:bCs/>
        </w:rPr>
        <w:t>L</w:t>
      </w:r>
      <w:r w:rsidR="00262555" w:rsidRPr="00262555">
        <w:rPr>
          <w:rFonts w:cstheme="minorHAnsi"/>
          <w:b/>
          <w:bCs/>
        </w:rPr>
        <w:t>eft-</w:t>
      </w:r>
      <w:r w:rsidR="00094417">
        <w:rPr>
          <w:rFonts w:cstheme="minorHAnsi"/>
          <w:b/>
          <w:bCs/>
        </w:rPr>
        <w:t>S</w:t>
      </w:r>
      <w:r w:rsidR="00262555" w:rsidRPr="00262555">
        <w:rPr>
          <w:rFonts w:cstheme="minorHAnsi"/>
          <w:b/>
          <w:bCs/>
        </w:rPr>
        <w:t xml:space="preserve">ided </w:t>
      </w:r>
      <w:r w:rsidR="00094417">
        <w:rPr>
          <w:rFonts w:cstheme="minorHAnsi"/>
          <w:b/>
          <w:bCs/>
        </w:rPr>
        <w:t>A</w:t>
      </w:r>
      <w:r w:rsidR="00262555" w:rsidRPr="00262555">
        <w:rPr>
          <w:rFonts w:cstheme="minorHAnsi"/>
          <w:b/>
          <w:bCs/>
        </w:rPr>
        <w:t>pproach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C728F7C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To begin the surgery on the patient after administering general anesthesia </w:t>
      </w:r>
      <w:r>
        <w:rPr>
          <w:b/>
          <w:bCs/>
        </w:rPr>
        <w:t>[1]</w:t>
      </w:r>
      <w:r w:rsidRPr="005A3598">
        <w:t>,</w:t>
      </w:r>
      <w:r>
        <w:rPr>
          <w:b/>
          <w:bCs/>
        </w:rPr>
        <w:t xml:space="preserve"> </w:t>
      </w:r>
      <w:r>
        <w:t xml:space="preserve">perform endotracheal intubation </w:t>
      </w:r>
      <w:r>
        <w:rPr>
          <w:b/>
          <w:bCs/>
        </w:rPr>
        <w:t>[2]</w:t>
      </w:r>
      <w:r>
        <w:t xml:space="preserve">. Then, using iodine tincture, disinfect the surgical area from the nipples to the pubic symphysis and the upper third of the thighs extending to the mid-axillary line </w:t>
      </w:r>
      <w:r>
        <w:rPr>
          <w:b/>
        </w:rPr>
        <w:t>[3-TXT]</w:t>
      </w:r>
      <w:r>
        <w:t>.</w:t>
      </w:r>
    </w:p>
    <w:p w14:paraId="51F78D45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 xml:space="preserve">WIDE: Talent standing </w:t>
      </w:r>
      <w:proofErr w:type="spellStart"/>
      <w:r>
        <w:t>infront</w:t>
      </w:r>
      <w:proofErr w:type="spellEnd"/>
      <w:r>
        <w:t xml:space="preserve"> of the anesthetized patient ready to begin the surgery.</w:t>
      </w:r>
    </w:p>
    <w:p w14:paraId="20F36869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Shot of the patient with endotracheal intubation.</w:t>
      </w:r>
    </w:p>
    <w:p w14:paraId="34F93D8A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 xml:space="preserve">Talent disinfecting the mentioned surgical area with iodine tincture. </w:t>
      </w:r>
      <w:r>
        <w:rPr>
          <w:b/>
          <w:bCs/>
        </w:rPr>
        <w:t>TXT: Perform disinfection 3x</w:t>
      </w:r>
    </w:p>
    <w:p w14:paraId="58BAB637" w14:textId="77777777" w:rsidR="00653CBF" w:rsidRDefault="00653CBF" w:rsidP="00653CBF"/>
    <w:p w14:paraId="0DED4914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Next, place the patient in the supine position with legs apart, and head elevated with a 15-degree tilt to the right </w:t>
      </w:r>
      <w:r>
        <w:rPr>
          <w:b/>
        </w:rPr>
        <w:t>[1]</w:t>
      </w:r>
      <w:r>
        <w:t xml:space="preserve">. Establish pneumoperitoneum with a Veress needle </w:t>
      </w:r>
      <w:r>
        <w:rPr>
          <w:b/>
          <w:bCs/>
        </w:rPr>
        <w:t>[2].</w:t>
      </w:r>
      <w:r>
        <w:t xml:space="preserve"> Set the pneumoperitoneum pressure between 12 to 14 millimeters of mercury </w:t>
      </w:r>
      <w:r>
        <w:rPr>
          <w:b/>
        </w:rPr>
        <w:t>[3]</w:t>
      </w:r>
      <w:r>
        <w:t xml:space="preserve">.  </w:t>
      </w:r>
    </w:p>
    <w:p w14:paraId="631949B9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Shot of the patient positioned properly on the table.</w:t>
      </w:r>
    </w:p>
    <w:p w14:paraId="5C2E26A8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inserting the Veress needle.</w:t>
      </w:r>
    </w:p>
    <w:p w14:paraId="718DDCCF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lastRenderedPageBreak/>
        <w:t>Talent adjusting the pneumoperitoneum pressure on the monitor.</w:t>
      </w:r>
    </w:p>
    <w:p w14:paraId="6A5CF2F9" w14:textId="77777777" w:rsidR="00653CBF" w:rsidRDefault="00653CBF" w:rsidP="00653CBF"/>
    <w:p w14:paraId="0AE22B61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Using a number 10 surgical scalpel blade, make a 1-centimeter incision at the umbilical edge for an observation port </w:t>
      </w:r>
      <w:r>
        <w:rPr>
          <w:b/>
          <w:bCs/>
        </w:rPr>
        <w:t>[1]</w:t>
      </w:r>
      <w:r>
        <w:t xml:space="preserve">, and insert a 10-millimeter trocar </w:t>
      </w:r>
      <w:r>
        <w:rPr>
          <w:b/>
        </w:rPr>
        <w:t>[2]</w:t>
      </w:r>
      <w:r>
        <w:t xml:space="preserve">.  </w:t>
      </w:r>
    </w:p>
    <w:p w14:paraId="21A6D173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making the incision at the umbilical edge with a scalpel.</w:t>
      </w:r>
    </w:p>
    <w:p w14:paraId="17BDFEDF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inserting the trocar into the umbilical edge.</w:t>
      </w:r>
    </w:p>
    <w:p w14:paraId="6EE77F89" w14:textId="77777777" w:rsidR="00653CBF" w:rsidRDefault="00653CBF" w:rsidP="00653CBF"/>
    <w:p w14:paraId="42149265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Insert 5-millimeter and 10-millimeter trocars, at specific anatomical landmarks </w:t>
      </w:r>
      <w:r>
        <w:rPr>
          <w:b/>
          <w:bCs/>
        </w:rPr>
        <w:t>[1]</w:t>
      </w:r>
      <w:r>
        <w:t xml:space="preserve"> - 2 centimeters below the rib edge along the right anterior axillary line </w:t>
      </w:r>
      <w:r>
        <w:rPr>
          <w:b/>
          <w:bCs/>
        </w:rPr>
        <w:t>[2]</w:t>
      </w:r>
      <w:r>
        <w:t xml:space="preserve">, 8 centimeters below the rib edge along the right midclavicular line </w:t>
      </w:r>
      <w:r>
        <w:rPr>
          <w:b/>
          <w:bCs/>
        </w:rPr>
        <w:t>[3]</w:t>
      </w:r>
      <w:r>
        <w:t xml:space="preserve">, and 2 centimeters and 6 centimeters below the rib edge along the left midclavicular line </w:t>
      </w:r>
      <w:r>
        <w:rPr>
          <w:b/>
        </w:rPr>
        <w:t>[4]</w:t>
      </w:r>
      <w:r>
        <w:t xml:space="preserve">.  </w:t>
      </w:r>
    </w:p>
    <w:p w14:paraId="2A410EA0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placing a trocar at a specific anatomical location.</w:t>
      </w:r>
    </w:p>
    <w:p w14:paraId="1CDAD31D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pointing at the 5 mm trocar inserted 2 centimeters below the rib edge along the right anterior axillary line.</w:t>
      </w:r>
    </w:p>
    <w:p w14:paraId="11E1C1DA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pointing at the 10 mm trocar inserted 8 centimeters below the rib edge along the right anterior axillary line.</w:t>
      </w:r>
    </w:p>
    <w:p w14:paraId="1CD67228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sequentially pointing at trocars inserted 2 centimeters and 6 centimeters below the rib edge along the left midclavicular line.</w:t>
      </w:r>
    </w:p>
    <w:p w14:paraId="69E63794" w14:textId="77777777" w:rsidR="00653CBF" w:rsidRDefault="00653CBF" w:rsidP="00653CBF"/>
    <w:p w14:paraId="3FEF1ACF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Perform the initial laparoscopic assessment to determine the feasibility of a left-sided approach to caudate lobe resection </w:t>
      </w:r>
      <w:r>
        <w:rPr>
          <w:b/>
        </w:rPr>
        <w:t>[1]</w:t>
      </w:r>
      <w:r>
        <w:t xml:space="preserve">. Observe the degree of intraperitoneal adhesion of the </w:t>
      </w:r>
      <w:proofErr w:type="spellStart"/>
      <w:r>
        <w:t>omentum</w:t>
      </w:r>
      <w:proofErr w:type="spellEnd"/>
      <w:r>
        <w:t xml:space="preserve">, the liver’s surface texture, and the position of the left and right triangular ligaments and falciform ligaments </w:t>
      </w:r>
      <w:r>
        <w:rPr>
          <w:b/>
        </w:rPr>
        <w:t>[2]</w:t>
      </w:r>
      <w:r>
        <w:t xml:space="preserve">.  </w:t>
      </w:r>
    </w:p>
    <w:p w14:paraId="52E43C35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 xml:space="preserve">: Laparoscopic view to assess the feasibility of a left-sided approach to caudate lobe resection.  </w:t>
      </w:r>
    </w:p>
    <w:p w14:paraId="028B66B3" w14:textId="26CD4B8A" w:rsidR="00A64C59" w:rsidRPr="00A64C59" w:rsidRDefault="00A64C59" w:rsidP="00A64C59">
      <w:pPr>
        <w:pStyle w:val="ShotDescription"/>
        <w:ind w:firstLine="0"/>
        <w:rPr>
          <w:b/>
          <w:bCs/>
        </w:rPr>
      </w:pPr>
      <w:r w:rsidRPr="00715F01">
        <w:rPr>
          <w:b/>
          <w:bCs/>
          <w:highlight w:val="yellow"/>
        </w:rPr>
        <w:t xml:space="preserve">Authors: </w:t>
      </w:r>
      <w:r w:rsidRPr="00715F01">
        <w:rPr>
          <w:highlight w:val="yellow"/>
        </w:rPr>
        <w:t>The shots labeled as SCOPE will be visualized using the laparoscope.</w:t>
      </w:r>
      <w:r w:rsidR="00715F01" w:rsidRPr="00715F01">
        <w:rPr>
          <w:highlight w:val="yellow"/>
        </w:rPr>
        <w:t xml:space="preserve"> Please check if all the shots labeled as SCOPE are correctly labeled. Let us know if you can record those and upload </w:t>
      </w:r>
      <w:r w:rsidR="00715F01">
        <w:rPr>
          <w:highlight w:val="yellow"/>
        </w:rPr>
        <w:t xml:space="preserve">them </w:t>
      </w:r>
      <w:r w:rsidR="00715F01" w:rsidRPr="00715F01">
        <w:rPr>
          <w:highlight w:val="yellow"/>
        </w:rPr>
        <w:t>to your project page.</w:t>
      </w:r>
    </w:p>
    <w:p w14:paraId="18E6A243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Close-up of liver surface and ligament positions.</w:t>
      </w:r>
    </w:p>
    <w:p w14:paraId="62EB921F" w14:textId="77777777" w:rsidR="00653CBF" w:rsidRDefault="00653CBF" w:rsidP="00653CBF"/>
    <w:p w14:paraId="0251886E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Using the ultrasonic scalpel, transect the falciform ligament to reveal the gallbladder triangle </w:t>
      </w:r>
      <w:r>
        <w:rPr>
          <w:b/>
        </w:rPr>
        <w:t>[1]</w:t>
      </w:r>
      <w:r>
        <w:t xml:space="preserve">. Subsequently, ligate the cystic duct and dissect the gallbladder </w:t>
      </w:r>
      <w:r>
        <w:rPr>
          <w:b/>
        </w:rPr>
        <w:t>[2]</w:t>
      </w:r>
      <w:r>
        <w:t xml:space="preserve">.  </w:t>
      </w:r>
    </w:p>
    <w:p w14:paraId="0CEB9D49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Transection of the falciform ligament using the ultrasonic scalpel to reveal the gallbladder triangle.</w:t>
      </w:r>
    </w:p>
    <w:p w14:paraId="45FDAB46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Ligation of the cystic duct and dissection of the gallbladder.</w:t>
      </w:r>
    </w:p>
    <w:p w14:paraId="2FA07E47" w14:textId="77777777" w:rsidR="00653CBF" w:rsidRDefault="00653CBF" w:rsidP="00653CBF"/>
    <w:p w14:paraId="3B193CE4" w14:textId="77777777" w:rsidR="00653CBF" w:rsidRDefault="00653CBF" w:rsidP="00653CBF">
      <w:pPr>
        <w:pStyle w:val="Narration"/>
        <w:numPr>
          <w:ilvl w:val="1"/>
          <w:numId w:val="3"/>
        </w:numPr>
      </w:pPr>
      <w:r>
        <w:lastRenderedPageBreak/>
        <w:t xml:space="preserve">Next, use the ultrasonic scalpel to clear the small omental foramen </w:t>
      </w:r>
      <w:r>
        <w:rPr>
          <w:b/>
          <w:bCs/>
        </w:rPr>
        <w:t>[1]</w:t>
      </w:r>
      <w:r>
        <w:t xml:space="preserve">, expose the hepatic hilum, and establish a hepatic hilar occlusion tape </w:t>
      </w:r>
      <w:r>
        <w:rPr>
          <w:b/>
        </w:rPr>
        <w:t>[2]</w:t>
      </w:r>
      <w:r>
        <w:t xml:space="preserve">.  </w:t>
      </w:r>
    </w:p>
    <w:p w14:paraId="5241BB29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Clearing the omental foramen with scalpel.</w:t>
      </w:r>
    </w:p>
    <w:p w14:paraId="3EB606E9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Exposing hepatic hilum and placing the occlusion tape at the hepatic hilum.</w:t>
      </w:r>
    </w:p>
    <w:p w14:paraId="6833EB83" w14:textId="77777777" w:rsidR="00653CBF" w:rsidRDefault="00653CBF" w:rsidP="00653CBF"/>
    <w:p w14:paraId="2ADEFCBF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Flip the right liver lobe to expose the inferior vena cava </w:t>
      </w:r>
      <w:r>
        <w:rPr>
          <w:b/>
          <w:bCs/>
        </w:rPr>
        <w:t>[1]</w:t>
      </w:r>
      <w:r>
        <w:t xml:space="preserve">, then ligate and transect the hepatic short veins with 3-0 </w:t>
      </w:r>
      <w:r w:rsidRPr="00185340">
        <w:rPr>
          <w:i/>
          <w:iCs/>
          <w:color w:val="FF0000"/>
        </w:rPr>
        <w:t>(three-zero)</w:t>
      </w:r>
      <w:r>
        <w:t xml:space="preserve"> Hem-o-</w:t>
      </w:r>
      <w:proofErr w:type="spellStart"/>
      <w:r>
        <w:t>lok</w:t>
      </w:r>
      <w:proofErr w:type="spellEnd"/>
      <w:r>
        <w:t xml:space="preserve"> </w:t>
      </w:r>
      <w:r>
        <w:rPr>
          <w:b/>
        </w:rPr>
        <w:t>[2]</w:t>
      </w:r>
      <w:r>
        <w:t xml:space="preserve">.  </w:t>
      </w:r>
    </w:p>
    <w:p w14:paraId="47930467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 xml:space="preserve">: Exposing the inferior vena cava </w:t>
      </w:r>
    </w:p>
    <w:p w14:paraId="6E1CB52A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Ligating and transecting the hepatic short veins.</w:t>
      </w:r>
    </w:p>
    <w:p w14:paraId="5E5EEC9D" w14:textId="77777777" w:rsidR="00653CBF" w:rsidRDefault="00653CBF" w:rsidP="00653CBF"/>
    <w:p w14:paraId="7AA833A6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Expose the Spiegel area of the caudate lobe, and perform hepatic hilar occlusion </w:t>
      </w:r>
      <w:r>
        <w:rPr>
          <w:b/>
          <w:bCs/>
        </w:rPr>
        <w:t>[1]</w:t>
      </w:r>
      <w:r>
        <w:t xml:space="preserve">. Using the ultrasonic scalpel, transect the liver parenchyma along the caudate lobe notch </w:t>
      </w:r>
      <w:r>
        <w:rPr>
          <w:b/>
        </w:rPr>
        <w:t>[2]</w:t>
      </w:r>
      <w:r>
        <w:t xml:space="preserve">. Then, use the scalpel and operating forceps to </w:t>
      </w:r>
      <w:proofErr w:type="spellStart"/>
      <w:r>
        <w:t>resect</w:t>
      </w:r>
      <w:proofErr w:type="spellEnd"/>
      <w:r>
        <w:t xml:space="preserve"> the liver parenchyma, exposing the tumor adjacent to the inferior vena cava </w:t>
      </w:r>
      <w:r>
        <w:rPr>
          <w:b/>
        </w:rPr>
        <w:t>[3]</w:t>
      </w:r>
      <w:r>
        <w:t xml:space="preserve">.  </w:t>
      </w:r>
    </w:p>
    <w:p w14:paraId="21D267BC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Exposing the Spiegel area and performing hepatic hilar occlusion.</w:t>
      </w:r>
    </w:p>
    <w:p w14:paraId="1FE257AA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Transecting the liver parenchyma.</w:t>
      </w:r>
    </w:p>
    <w:p w14:paraId="4949C95B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Resecting liver parenchyma and revealing the tumor near the inferior vena cava.</w:t>
      </w:r>
    </w:p>
    <w:p w14:paraId="2EBE9588" w14:textId="77777777" w:rsidR="00653CBF" w:rsidRDefault="00653CBF" w:rsidP="00653CBF"/>
    <w:p w14:paraId="607B4457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Carefully dissect the tumor, using the ultrasonic scalpel with freeze gear to coagulate small veins, and expose the middle hepatic vein </w:t>
      </w:r>
      <w:r>
        <w:rPr>
          <w:b/>
        </w:rPr>
        <w:t>[1]</w:t>
      </w:r>
      <w:r>
        <w:t>. Expose and ligate the portal vein to the right caudate lobe with 3-0 Hem-o-</w:t>
      </w:r>
      <w:proofErr w:type="spellStart"/>
      <w:r>
        <w:t>lok</w:t>
      </w:r>
      <w:proofErr w:type="spellEnd"/>
      <w:r>
        <w:t xml:space="preserve"> </w:t>
      </w:r>
      <w:r>
        <w:rPr>
          <w:b/>
          <w:bCs/>
        </w:rPr>
        <w:t>[2]</w:t>
      </w:r>
      <w:r>
        <w:t xml:space="preserve">, followed by tumor mobilization </w:t>
      </w:r>
      <w:r>
        <w:rPr>
          <w:b/>
        </w:rPr>
        <w:t>[3]</w:t>
      </w:r>
      <w:r>
        <w:t>.</w:t>
      </w:r>
    </w:p>
    <w:p w14:paraId="73F9B7D0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Tumor dissection and coagulation of veins, exposing the middle hepatic vein.</w:t>
      </w:r>
    </w:p>
    <w:p w14:paraId="4E0D8A37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 xml:space="preserve">: Exposing and ligating the portal vein to the right caudate lobe </w:t>
      </w:r>
    </w:p>
    <w:p w14:paraId="787C504B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Mobilizing the tumor.</w:t>
      </w:r>
    </w:p>
    <w:p w14:paraId="5421582A" w14:textId="77777777" w:rsidR="00653CBF" w:rsidRDefault="00653CBF" w:rsidP="00653CBF"/>
    <w:p w14:paraId="1E40141C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Use bipolar electrocoagulation for hemostasis, and retrieve the specimen </w:t>
      </w:r>
      <w:r>
        <w:rPr>
          <w:b/>
          <w:bCs/>
        </w:rPr>
        <w:t>[1].</w:t>
      </w:r>
      <w:r>
        <w:t xml:space="preserve"> Irrigate the abdominal cavity with 800 milliliters of 0.9% sodium chloride solution </w:t>
      </w:r>
      <w:r>
        <w:rPr>
          <w:b/>
        </w:rPr>
        <w:t>[2]</w:t>
      </w:r>
      <w:r>
        <w:t xml:space="preserve">. Place the drainage tube inside the abdominal cavity </w:t>
      </w:r>
      <w:r>
        <w:rPr>
          <w:b/>
        </w:rPr>
        <w:t>[3]</w:t>
      </w:r>
      <w:r>
        <w:t xml:space="preserve">. Close the wound layer by layer using non-absorbable suture material </w:t>
      </w:r>
      <w:r>
        <w:rPr>
          <w:b/>
        </w:rPr>
        <w:t>[4]</w:t>
      </w:r>
      <w:r>
        <w:t xml:space="preserve">.  </w:t>
      </w:r>
    </w:p>
    <w:p w14:paraId="1B502947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Performing hemostasis and retrieving the specimen.</w:t>
      </w:r>
    </w:p>
    <w:p w14:paraId="6D4C379F" w14:textId="77777777" w:rsidR="00653CBF" w:rsidRDefault="00653CBF" w:rsidP="00653CBF">
      <w:pPr>
        <w:pStyle w:val="ShotDescription"/>
        <w:numPr>
          <w:ilvl w:val="2"/>
          <w:numId w:val="3"/>
        </w:numPr>
      </w:pPr>
      <w:r w:rsidRPr="00DC332A">
        <w:rPr>
          <w:highlight w:val="yellow"/>
        </w:rPr>
        <w:t>SCOPE</w:t>
      </w:r>
      <w:r>
        <w:t>: Irrigating the abdominal cavity with saline.</w:t>
      </w:r>
    </w:p>
    <w:p w14:paraId="1FFEBCC2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placing the drainage tube inside the abdominal cavity.</w:t>
      </w:r>
    </w:p>
    <w:p w14:paraId="0A9C2AD5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lastRenderedPageBreak/>
        <w:t>Talent suturing the wound.</w:t>
      </w:r>
    </w:p>
    <w:p w14:paraId="23B59DA2" w14:textId="77777777" w:rsidR="00094417" w:rsidRDefault="00094417" w:rsidP="00094417">
      <w:pPr>
        <w:pStyle w:val="ShotDescription"/>
        <w:ind w:left="0" w:firstLine="0"/>
      </w:pPr>
    </w:p>
    <w:p w14:paraId="55AC14CC" w14:textId="2EE8F398" w:rsidR="00094417" w:rsidRPr="00094417" w:rsidRDefault="00094417" w:rsidP="0009441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94417">
        <w:rPr>
          <w:rFonts w:cstheme="minorHAnsi"/>
          <w:b/>
          <w:bCs/>
        </w:rPr>
        <w:t xml:space="preserve">Postoperative </w:t>
      </w:r>
      <w:r>
        <w:rPr>
          <w:rFonts w:cstheme="minorHAnsi"/>
          <w:b/>
          <w:bCs/>
        </w:rPr>
        <w:t>N</w:t>
      </w:r>
      <w:r w:rsidRPr="00094417">
        <w:rPr>
          <w:rFonts w:cstheme="minorHAnsi"/>
          <w:b/>
          <w:bCs/>
        </w:rPr>
        <w:t xml:space="preserve">ursing and </w:t>
      </w:r>
      <w:r>
        <w:rPr>
          <w:rFonts w:cstheme="minorHAnsi"/>
          <w:b/>
          <w:bCs/>
        </w:rPr>
        <w:t>M</w:t>
      </w:r>
      <w:r w:rsidRPr="00094417">
        <w:rPr>
          <w:rFonts w:cstheme="minorHAnsi"/>
          <w:b/>
          <w:bCs/>
        </w:rPr>
        <w:t>onitoring</w:t>
      </w:r>
      <w:r>
        <w:rPr>
          <w:rFonts w:cstheme="minorHAnsi"/>
          <w:b/>
          <w:bCs/>
        </w:rPr>
        <w:t xml:space="preserve"> </w:t>
      </w:r>
      <w:r w:rsidR="00DC332A">
        <w:rPr>
          <w:rFonts w:cstheme="minorHAnsi"/>
          <w:b/>
          <w:bCs/>
        </w:rPr>
        <w:t xml:space="preserve">After </w:t>
      </w:r>
      <w:r w:rsidRPr="00094417">
        <w:rPr>
          <w:rFonts w:cstheme="minorHAnsi"/>
          <w:b/>
          <w:bCs/>
        </w:rPr>
        <w:t>Laparoscopic Left Approach Resection of the Caudate Lobe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F94D502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Within the first 24 hours post-surgery, perform cardiac monitoring </w:t>
      </w:r>
      <w:r>
        <w:rPr>
          <w:b/>
          <w:bCs/>
        </w:rPr>
        <w:t>[1]</w:t>
      </w:r>
      <w:r>
        <w:t xml:space="preserve"> and provide continuous low-flow oxygen therapy at 3 liters per minute while closely monitoring vital signs </w:t>
      </w:r>
      <w:r>
        <w:rPr>
          <w:b/>
        </w:rPr>
        <w:t>[2]</w:t>
      </w:r>
      <w:r>
        <w:t xml:space="preserve">.  </w:t>
      </w:r>
    </w:p>
    <w:p w14:paraId="5BBC652C" w14:textId="2339126E" w:rsidR="00653CBF" w:rsidRDefault="00653CBF" w:rsidP="00653CBF">
      <w:pPr>
        <w:pStyle w:val="ShotDescription"/>
        <w:numPr>
          <w:ilvl w:val="2"/>
          <w:numId w:val="3"/>
        </w:numPr>
      </w:pPr>
      <w:r>
        <w:t>Cardiac monitor displaying patient’s heart rate and oxygen levels.</w:t>
      </w:r>
    </w:p>
    <w:p w14:paraId="658232B5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Shot of oxygen therapy being given to patient.</w:t>
      </w:r>
    </w:p>
    <w:p w14:paraId="4EE02EE8" w14:textId="77777777" w:rsidR="00653CBF" w:rsidRDefault="00653CBF" w:rsidP="00653CBF"/>
    <w:p w14:paraId="09745C5E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On the first postoperative day, give the patient a semi-solid diet and instruct them to perform turning and in-bed exercises </w:t>
      </w:r>
      <w:r>
        <w:rPr>
          <w:b/>
        </w:rPr>
        <w:t>[1]</w:t>
      </w:r>
      <w:r>
        <w:t xml:space="preserve">.  </w:t>
      </w:r>
    </w:p>
    <w:p w14:paraId="50082CB5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>Talent assisting patient with in-bed exercises.</w:t>
      </w:r>
    </w:p>
    <w:p w14:paraId="64A7FC2F" w14:textId="77777777" w:rsidR="00653CBF" w:rsidRDefault="00653CBF" w:rsidP="00653CBF"/>
    <w:p w14:paraId="1B828E83" w14:textId="77777777" w:rsidR="00653CBF" w:rsidRDefault="00653CBF" w:rsidP="00653CBF">
      <w:pPr>
        <w:pStyle w:val="Narration"/>
        <w:numPr>
          <w:ilvl w:val="1"/>
          <w:numId w:val="3"/>
        </w:numPr>
      </w:pPr>
      <w:r>
        <w:t xml:space="preserve">Monitor the drainage tubes for color, volume, and changes in bilirubin levels </w:t>
      </w:r>
      <w:r>
        <w:rPr>
          <w:b/>
        </w:rPr>
        <w:t>[1]</w:t>
      </w:r>
      <w:r>
        <w:t xml:space="preserve">. Remove the drainage tube once bilirubin levels return to normal and drainage is less than 50 milliliters </w:t>
      </w:r>
      <w:r>
        <w:rPr>
          <w:b/>
        </w:rPr>
        <w:t>[2]</w:t>
      </w:r>
      <w:r>
        <w:t xml:space="preserve">.  </w:t>
      </w:r>
    </w:p>
    <w:p w14:paraId="7AA1FF98" w14:textId="77777777" w:rsidR="00653CBF" w:rsidRDefault="00653CBF" w:rsidP="00653CBF">
      <w:pPr>
        <w:pStyle w:val="ShotDescription"/>
        <w:numPr>
          <w:ilvl w:val="2"/>
          <w:numId w:val="3"/>
        </w:numPr>
      </w:pPr>
      <w:r>
        <w:t xml:space="preserve">Talent checking the drainage tube for fluid characteristics.  </w:t>
      </w:r>
    </w:p>
    <w:p w14:paraId="33D7596A" w14:textId="04B3F5BB" w:rsidR="00653CBF" w:rsidRDefault="00653CBF" w:rsidP="00653CBF">
      <w:pPr>
        <w:pStyle w:val="ShotDescription"/>
        <w:numPr>
          <w:ilvl w:val="2"/>
          <w:numId w:val="3"/>
        </w:numPr>
      </w:pPr>
      <w:r>
        <w:t>Talent removing the drainage tube.</w:t>
      </w:r>
    </w:p>
    <w:p w14:paraId="06E6BDA3" w14:textId="77777777" w:rsidR="00653CBF" w:rsidRDefault="00653CBF">
      <w:pPr>
        <w:rPr>
          <w:rFonts w:ascii="Calibri" w:hAnsi="Calibri" w:cs="Calibri"/>
          <w:iCs w:val="0"/>
        </w:rPr>
      </w:pPr>
      <w:r>
        <w:br w:type="page"/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E024D12" w14:textId="42E5BAC8" w:rsidR="00BB4D13" w:rsidRDefault="00BB4D13" w:rsidP="00BB4D1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B4D13">
        <w:rPr>
          <w:rFonts w:cstheme="minorHAnsi"/>
        </w:rPr>
        <w:t xml:space="preserve">The surgery lasted for 372 minutes with a blood loss of 300 milliliters, and no blood transfusion was required </w:t>
      </w:r>
      <w:r w:rsidRPr="00322708">
        <w:rPr>
          <w:rFonts w:cstheme="minorHAnsi"/>
          <w:b/>
          <w:bCs/>
        </w:rPr>
        <w:t>[1]</w:t>
      </w:r>
      <w:r w:rsidRPr="00BB4D13">
        <w:rPr>
          <w:rFonts w:cstheme="minorHAnsi"/>
        </w:rPr>
        <w:t xml:space="preserve">. There were five instances of hepatic portal occlusion totaling 70 minutes </w:t>
      </w:r>
      <w:r w:rsidRPr="00322708">
        <w:rPr>
          <w:rFonts w:cstheme="minorHAnsi"/>
          <w:b/>
          <w:bCs/>
        </w:rPr>
        <w:t>[2]</w:t>
      </w:r>
      <w:r w:rsidRPr="00BB4D13">
        <w:rPr>
          <w:rFonts w:cstheme="minorHAnsi"/>
        </w:rPr>
        <w:t xml:space="preserve">. The patient experienced no postoperative complications and stayed in the hospital for 8 days post-surgery </w:t>
      </w:r>
      <w:r w:rsidRPr="00AF7E60">
        <w:rPr>
          <w:rFonts w:cstheme="minorHAnsi"/>
          <w:b/>
          <w:bCs/>
        </w:rPr>
        <w:t>[3]</w:t>
      </w:r>
      <w:r w:rsidRPr="00BB4D13">
        <w:rPr>
          <w:rFonts w:cstheme="minorHAnsi"/>
        </w:rPr>
        <w:t>.</w:t>
      </w:r>
    </w:p>
    <w:p w14:paraId="4748F9FE" w14:textId="3B187A8E" w:rsidR="006F6F0F" w:rsidRPr="006F6F0F" w:rsidRDefault="006F6F0F" w:rsidP="006F6F0F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70C0"/>
        </w:rPr>
      </w:pPr>
      <w:r w:rsidRPr="006F6F0F">
        <w:rPr>
          <w:rFonts w:cstheme="minorHAnsi"/>
        </w:rPr>
        <w:t>LAB MEDIA:</w:t>
      </w:r>
      <w:r w:rsidRPr="006F6F0F">
        <w:rPr>
          <w:rFonts w:cstheme="minorHAnsi"/>
        </w:rPr>
        <w:t xml:space="preserve"> </w:t>
      </w:r>
      <w:r w:rsidRPr="006F6F0F">
        <w:rPr>
          <w:rFonts w:cstheme="minorHAnsi"/>
        </w:rPr>
        <w:t xml:space="preserve">Table 1. </w:t>
      </w:r>
      <w:r w:rsidRPr="006F6F0F">
        <w:rPr>
          <w:rFonts w:cstheme="minorHAnsi"/>
          <w:i/>
          <w:iCs w:val="0"/>
          <w:color w:val="0070C0"/>
        </w:rPr>
        <w:t xml:space="preserve">Video editor: </w:t>
      </w:r>
      <w:r w:rsidR="001C0FBC">
        <w:rPr>
          <w:rFonts w:cstheme="minorHAnsi"/>
          <w:i/>
          <w:iCs w:val="0"/>
          <w:color w:val="0070C0"/>
        </w:rPr>
        <w:t>Emphasize</w:t>
      </w:r>
      <w:r w:rsidRPr="006F6F0F">
        <w:rPr>
          <w:rFonts w:cstheme="minorHAnsi"/>
          <w:i/>
          <w:iCs w:val="0"/>
          <w:color w:val="0070C0"/>
        </w:rPr>
        <w:t xml:space="preserve"> the row</w:t>
      </w:r>
      <w:r>
        <w:rPr>
          <w:rFonts w:cstheme="minorHAnsi"/>
          <w:i/>
          <w:iCs w:val="0"/>
          <w:color w:val="0070C0"/>
        </w:rPr>
        <w:t>s</w:t>
      </w:r>
      <w:r w:rsidRPr="006F6F0F">
        <w:rPr>
          <w:rFonts w:cstheme="minorHAnsi"/>
          <w:i/>
          <w:iCs w:val="0"/>
          <w:color w:val="0070C0"/>
        </w:rPr>
        <w:t xml:space="preserve"> that show "Operation time (min): 372", "Intraoperative bleeding volume (mL): 300", and "Blood transfusion volume (mL): 0".</w:t>
      </w:r>
    </w:p>
    <w:p w14:paraId="5E17A835" w14:textId="4A786DFE" w:rsidR="006F6F0F" w:rsidRPr="006804ED" w:rsidRDefault="001C0FBC" w:rsidP="006F6F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F6F0F">
        <w:rPr>
          <w:rFonts w:cstheme="minorHAnsi"/>
        </w:rPr>
        <w:t xml:space="preserve">LAB MEDIA: Table 1. </w:t>
      </w:r>
      <w:r w:rsidRPr="001C0FBC">
        <w:rPr>
          <w:rFonts w:cstheme="minorHAnsi"/>
          <w:i/>
          <w:iCs w:val="0"/>
          <w:color w:val="0070C0"/>
        </w:rPr>
        <w:t xml:space="preserve">Video editor: </w:t>
      </w:r>
      <w:r>
        <w:rPr>
          <w:rFonts w:cstheme="minorHAnsi"/>
          <w:i/>
          <w:iCs w:val="0"/>
          <w:color w:val="0070C0"/>
        </w:rPr>
        <w:t>Emphasize</w:t>
      </w:r>
      <w:r w:rsidRPr="001C0FBC">
        <w:rPr>
          <w:rFonts w:cstheme="minorHAnsi"/>
          <w:i/>
          <w:iCs w:val="0"/>
          <w:color w:val="0070C0"/>
        </w:rPr>
        <w:t xml:space="preserve"> the </w:t>
      </w:r>
      <w:r>
        <w:rPr>
          <w:rFonts w:cstheme="minorHAnsi"/>
          <w:i/>
          <w:iCs w:val="0"/>
          <w:color w:val="0070C0"/>
        </w:rPr>
        <w:t>rows</w:t>
      </w:r>
      <w:r w:rsidRPr="001C0FBC">
        <w:rPr>
          <w:rFonts w:cstheme="minorHAnsi"/>
          <w:i/>
          <w:iCs w:val="0"/>
          <w:color w:val="0070C0"/>
        </w:rPr>
        <w:t xml:space="preserve"> </w:t>
      </w:r>
      <w:r>
        <w:rPr>
          <w:rFonts w:cstheme="minorHAnsi"/>
          <w:i/>
          <w:iCs w:val="0"/>
          <w:color w:val="0070C0"/>
        </w:rPr>
        <w:t>showing</w:t>
      </w:r>
      <w:r w:rsidR="00E76E53">
        <w:rPr>
          <w:rFonts w:cstheme="minorHAnsi"/>
          <w:i/>
          <w:iCs w:val="0"/>
          <w:color w:val="0070C0"/>
        </w:rPr>
        <w:t xml:space="preserve"> </w:t>
      </w:r>
      <w:r w:rsidRPr="001C0FBC">
        <w:rPr>
          <w:rFonts w:cstheme="minorHAnsi"/>
          <w:i/>
          <w:iCs w:val="0"/>
          <w:color w:val="0070C0"/>
        </w:rPr>
        <w:t>"</w:t>
      </w:r>
      <w:r w:rsidR="00E76E53">
        <w:rPr>
          <w:rFonts w:cstheme="minorHAnsi"/>
          <w:i/>
          <w:iCs w:val="0"/>
          <w:color w:val="0070C0"/>
        </w:rPr>
        <w:t xml:space="preserve">Number of </w:t>
      </w:r>
      <w:r w:rsidRPr="001C0FBC">
        <w:rPr>
          <w:rFonts w:cstheme="minorHAnsi"/>
          <w:i/>
          <w:iCs w:val="0"/>
          <w:color w:val="0070C0"/>
        </w:rPr>
        <w:t>Hepatic portal occlusion: 5</w:t>
      </w:r>
      <w:r w:rsidR="00E76E53">
        <w:rPr>
          <w:rFonts w:cstheme="minorHAnsi"/>
          <w:i/>
          <w:iCs w:val="0"/>
          <w:color w:val="0070C0"/>
        </w:rPr>
        <w:t>” and “</w:t>
      </w:r>
      <w:r w:rsidR="00AF7E60">
        <w:rPr>
          <w:rFonts w:cstheme="minorHAnsi"/>
          <w:i/>
          <w:iCs w:val="0"/>
          <w:color w:val="0070C0"/>
        </w:rPr>
        <w:t>Hepatic portal occlusion time:</w:t>
      </w:r>
      <w:r w:rsidRPr="001C0FBC">
        <w:rPr>
          <w:rFonts w:cstheme="minorHAnsi"/>
          <w:i/>
          <w:iCs w:val="0"/>
          <w:color w:val="0070C0"/>
        </w:rPr>
        <w:t xml:space="preserve"> 70".</w:t>
      </w:r>
    </w:p>
    <w:p w14:paraId="66FDA98F" w14:textId="1FDCB3F3" w:rsidR="006804ED" w:rsidRPr="006804ED" w:rsidRDefault="006804ED" w:rsidP="006F6F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 w:val="0"/>
          <w:color w:val="0070C0"/>
        </w:rPr>
      </w:pPr>
      <w:r w:rsidRPr="006F6F0F">
        <w:rPr>
          <w:rFonts w:cstheme="minorHAnsi"/>
        </w:rPr>
        <w:t xml:space="preserve">LAB MEDIA: Table 1. </w:t>
      </w:r>
      <w:r w:rsidRPr="006804ED">
        <w:rPr>
          <w:rFonts w:cstheme="minorHAnsi"/>
          <w:i/>
          <w:iCs w:val="0"/>
          <w:color w:val="0070C0"/>
        </w:rPr>
        <w:t xml:space="preserve">Video editor: </w:t>
      </w:r>
      <w:r>
        <w:rPr>
          <w:rFonts w:cstheme="minorHAnsi"/>
          <w:i/>
          <w:iCs w:val="0"/>
          <w:color w:val="0070C0"/>
        </w:rPr>
        <w:t>Emphasize</w:t>
      </w:r>
      <w:r w:rsidRPr="006804ED">
        <w:rPr>
          <w:rFonts w:cstheme="minorHAnsi"/>
          <w:i/>
          <w:iCs w:val="0"/>
          <w:color w:val="0070C0"/>
        </w:rPr>
        <w:t xml:space="preserve"> the row</w:t>
      </w:r>
      <w:r w:rsidR="00C777C1">
        <w:rPr>
          <w:rFonts w:cstheme="minorHAnsi"/>
          <w:i/>
          <w:iCs w:val="0"/>
          <w:color w:val="0070C0"/>
        </w:rPr>
        <w:t>s</w:t>
      </w:r>
      <w:r w:rsidRPr="006804ED">
        <w:rPr>
          <w:rFonts w:cstheme="minorHAnsi"/>
          <w:i/>
          <w:iCs w:val="0"/>
          <w:color w:val="0070C0"/>
        </w:rPr>
        <w:t xml:space="preserve"> showing "</w:t>
      </w:r>
      <w:r w:rsidR="00C777C1">
        <w:rPr>
          <w:rFonts w:cstheme="minorHAnsi"/>
          <w:i/>
          <w:iCs w:val="0"/>
          <w:color w:val="0070C0"/>
        </w:rPr>
        <w:t>Postoperative complication</w:t>
      </w:r>
      <w:r w:rsidRPr="006804ED">
        <w:rPr>
          <w:rFonts w:cstheme="minorHAnsi"/>
          <w:i/>
          <w:iCs w:val="0"/>
          <w:color w:val="0070C0"/>
        </w:rPr>
        <w:t>:</w:t>
      </w:r>
      <w:r w:rsidR="00084EA7">
        <w:rPr>
          <w:rFonts w:cstheme="minorHAnsi"/>
          <w:i/>
          <w:iCs w:val="0"/>
          <w:color w:val="0070C0"/>
        </w:rPr>
        <w:t xml:space="preserve"> None” and “Postoperative hospital stay (day):</w:t>
      </w:r>
      <w:r w:rsidRPr="006804ED">
        <w:rPr>
          <w:rFonts w:cstheme="minorHAnsi"/>
          <w:i/>
          <w:iCs w:val="0"/>
          <w:color w:val="0070C0"/>
        </w:rPr>
        <w:t xml:space="preserve"> 8"</w:t>
      </w:r>
    </w:p>
    <w:p w14:paraId="28684DB4" w14:textId="127B8C3B" w:rsidR="001E0433" w:rsidRPr="00B07A3B" w:rsidRDefault="00810D8F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bilirubin level in the drainage fluid decreased from 30.1 micromoles per liter on the third postoperative day </w:t>
      </w:r>
      <w:r w:rsidR="00B2099E">
        <w:rPr>
          <w:b/>
          <w:bCs/>
        </w:rPr>
        <w:t>[1]</w:t>
      </w:r>
      <w:r w:rsidR="00B2099E">
        <w:t xml:space="preserve"> </w:t>
      </w:r>
      <w:r>
        <w:t>to 21.4 micromoles per liter on the fifth postoperative day</w:t>
      </w:r>
      <w:r w:rsidR="00B2099E">
        <w:t xml:space="preserve"> </w:t>
      </w:r>
      <w:r w:rsidR="00B2099E">
        <w:rPr>
          <w:b/>
          <w:bCs/>
        </w:rPr>
        <w:t>[2]</w:t>
      </w:r>
      <w:r w:rsidR="00B2099E">
        <w:t xml:space="preserve">. </w:t>
      </w:r>
    </w:p>
    <w:p w14:paraId="627CAB47" w14:textId="19CB66F6" w:rsidR="00B2099E" w:rsidRDefault="00B2099E" w:rsidP="00B209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 w:val="0"/>
          <w:color w:val="0070C0"/>
        </w:rPr>
      </w:pPr>
      <w:r w:rsidRPr="006F6F0F">
        <w:rPr>
          <w:rFonts w:cstheme="minorHAnsi"/>
        </w:rPr>
        <w:t xml:space="preserve">LAB MEDIA: Table 1. </w:t>
      </w:r>
      <w:r w:rsidRPr="006804ED">
        <w:rPr>
          <w:rFonts w:cstheme="minorHAnsi"/>
          <w:i/>
          <w:iCs w:val="0"/>
          <w:color w:val="0070C0"/>
        </w:rPr>
        <w:t xml:space="preserve">Video editor: </w:t>
      </w:r>
      <w:r>
        <w:rPr>
          <w:rFonts w:cstheme="minorHAnsi"/>
          <w:i/>
          <w:iCs w:val="0"/>
          <w:color w:val="0070C0"/>
        </w:rPr>
        <w:t>Emphasize</w:t>
      </w:r>
      <w:r w:rsidRPr="006804ED">
        <w:rPr>
          <w:rFonts w:cstheme="minorHAnsi"/>
          <w:i/>
          <w:iCs w:val="0"/>
          <w:color w:val="0070C0"/>
        </w:rPr>
        <w:t xml:space="preserve"> the </w:t>
      </w:r>
      <w:r w:rsidR="00192FB0">
        <w:rPr>
          <w:rFonts w:cstheme="minorHAnsi"/>
          <w:i/>
          <w:iCs w:val="0"/>
          <w:color w:val="0070C0"/>
        </w:rPr>
        <w:t>second last row.</w:t>
      </w:r>
    </w:p>
    <w:p w14:paraId="27570023" w14:textId="532CFA2E" w:rsidR="00192FB0" w:rsidRDefault="00192FB0" w:rsidP="00192F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 w:val="0"/>
          <w:color w:val="0070C0"/>
        </w:rPr>
      </w:pPr>
      <w:r w:rsidRPr="006F6F0F">
        <w:rPr>
          <w:rFonts w:cstheme="minorHAnsi"/>
        </w:rPr>
        <w:t xml:space="preserve">LAB MEDIA: Table 1. </w:t>
      </w:r>
      <w:r w:rsidRPr="006804ED">
        <w:rPr>
          <w:rFonts w:cstheme="minorHAnsi"/>
          <w:i/>
          <w:iCs w:val="0"/>
          <w:color w:val="0070C0"/>
        </w:rPr>
        <w:t xml:space="preserve">Video editor: </w:t>
      </w:r>
      <w:r>
        <w:rPr>
          <w:rFonts w:cstheme="minorHAnsi"/>
          <w:i/>
          <w:iCs w:val="0"/>
          <w:color w:val="0070C0"/>
        </w:rPr>
        <w:t>Emphasize</w:t>
      </w:r>
      <w:r w:rsidRPr="006804ED">
        <w:rPr>
          <w:rFonts w:cstheme="minorHAnsi"/>
          <w:i/>
          <w:iCs w:val="0"/>
          <w:color w:val="0070C0"/>
        </w:rPr>
        <w:t xml:space="preserve"> the </w:t>
      </w:r>
      <w:r>
        <w:rPr>
          <w:rFonts w:cstheme="minorHAnsi"/>
          <w:i/>
          <w:iCs w:val="0"/>
          <w:color w:val="0070C0"/>
        </w:rPr>
        <w:t>last row.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1E0433" w:rsidRPr="00B07A3B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24F" w14:textId="77777777" w:rsidR="00B45556" w:rsidRDefault="00B45556">
      <w:r>
        <w:separator/>
      </w:r>
    </w:p>
    <w:p w14:paraId="7238ABA1" w14:textId="77777777" w:rsidR="00B45556" w:rsidRDefault="00B45556"/>
  </w:endnote>
  <w:endnote w:type="continuationSeparator" w:id="0">
    <w:p w14:paraId="149715AC" w14:textId="77777777" w:rsidR="00B45556" w:rsidRDefault="00B45556">
      <w:r>
        <w:continuationSeparator/>
      </w:r>
    </w:p>
    <w:p w14:paraId="0327315F" w14:textId="77777777" w:rsidR="00B45556" w:rsidRDefault="00B45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A50F01" w:rsidR="00ED23F4" w:rsidRPr="00790E8C" w:rsidRDefault="00336C61" w:rsidP="00653CBF">
    <w:pPr>
      <w:pStyle w:val="Footer"/>
      <w:tabs>
        <w:tab w:val="clear" w:pos="8640"/>
        <w:tab w:val="left" w:pos="5145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651F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653CBF">
      <w:rPr>
        <w:rFonts w:cstheme="minorHAnsi"/>
      </w:rPr>
      <w:t>February 13, 2025</w:t>
    </w:r>
    <w:r w:rsidR="00653CB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C910" w14:textId="77777777" w:rsidR="00B45556" w:rsidRDefault="00B45556">
      <w:r>
        <w:separator/>
      </w:r>
    </w:p>
    <w:p w14:paraId="79D92C39" w14:textId="77777777" w:rsidR="00B45556" w:rsidRDefault="00B45556"/>
  </w:footnote>
  <w:footnote w:type="continuationSeparator" w:id="0">
    <w:p w14:paraId="7708FDB7" w14:textId="77777777" w:rsidR="00B45556" w:rsidRDefault="00B45556">
      <w:r>
        <w:continuationSeparator/>
      </w:r>
    </w:p>
    <w:p w14:paraId="2EFA40EE" w14:textId="77777777" w:rsidR="00B45556" w:rsidRDefault="00B45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DD0E82"/>
    <w:multiLevelType w:val="hybridMultilevel"/>
    <w:tmpl w:val="181A00B4"/>
    <w:lvl w:ilvl="0" w:tplc="77321CC6">
      <w:numFmt w:val="bullet"/>
      <w:lvlText w:val=""/>
      <w:lvlJc w:val="left"/>
      <w:pPr>
        <w:ind w:left="720" w:hanging="360"/>
      </w:pPr>
      <w:rPr>
        <w:rFonts w:ascii="Symbol" w:eastAsia="Times" w:hAnsi="Symbol" w:cs="Calibri (Body)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D472B4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2026974655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4B38"/>
    <w:rsid w:val="00074929"/>
    <w:rsid w:val="00081953"/>
    <w:rsid w:val="00083792"/>
    <w:rsid w:val="00084EA7"/>
    <w:rsid w:val="00085F90"/>
    <w:rsid w:val="0008613B"/>
    <w:rsid w:val="00090BAC"/>
    <w:rsid w:val="00094417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47452"/>
    <w:rsid w:val="00151824"/>
    <w:rsid w:val="001528A5"/>
    <w:rsid w:val="00162D51"/>
    <w:rsid w:val="00176D6F"/>
    <w:rsid w:val="00177B33"/>
    <w:rsid w:val="001819E3"/>
    <w:rsid w:val="00184EF9"/>
    <w:rsid w:val="00191A77"/>
    <w:rsid w:val="00192FB0"/>
    <w:rsid w:val="001A7997"/>
    <w:rsid w:val="001B1537"/>
    <w:rsid w:val="001B3024"/>
    <w:rsid w:val="001B38A7"/>
    <w:rsid w:val="001B5C46"/>
    <w:rsid w:val="001C0FBC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555"/>
    <w:rsid w:val="00262E38"/>
    <w:rsid w:val="00264483"/>
    <w:rsid w:val="00264B3C"/>
    <w:rsid w:val="002651F9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708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1E81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63FC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16B9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33B9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DD1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3CBF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4ED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F0F"/>
    <w:rsid w:val="00702337"/>
    <w:rsid w:val="00710EA3"/>
    <w:rsid w:val="0071156C"/>
    <w:rsid w:val="0071294C"/>
    <w:rsid w:val="00715F01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0D8F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0C09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4C59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AF7E60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099E"/>
    <w:rsid w:val="00B340A8"/>
    <w:rsid w:val="00B3428E"/>
    <w:rsid w:val="00B36993"/>
    <w:rsid w:val="00B40E12"/>
    <w:rsid w:val="00B435B8"/>
    <w:rsid w:val="00B4499C"/>
    <w:rsid w:val="00B45556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4D13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27E"/>
    <w:rsid w:val="00C247B0"/>
    <w:rsid w:val="00C2620F"/>
    <w:rsid w:val="00C33F30"/>
    <w:rsid w:val="00C34F4C"/>
    <w:rsid w:val="00C602B2"/>
    <w:rsid w:val="00C70C90"/>
    <w:rsid w:val="00C729CB"/>
    <w:rsid w:val="00C7374B"/>
    <w:rsid w:val="00C777C1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52E8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332A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E53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53CB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53CBF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653CB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3CB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53CB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53CB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15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F5127" w:rsidP="009F5127">
          <w:pPr>
            <w:pStyle w:val="88FE67F0035D4E5B89056B72FD6616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3DD1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94C55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2336</Words>
  <Characters>12898</Characters>
  <Application>Microsoft Office Word</Application>
  <DocSecurity>0</DocSecurity>
  <Lines>299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Sritama  Bose</cp:lastModifiedBy>
  <cp:revision>61</cp:revision>
  <dcterms:created xsi:type="dcterms:W3CDTF">2023-06-29T06:34:00Z</dcterms:created>
  <dcterms:modified xsi:type="dcterms:W3CDTF">2025-02-13T20:21:00Z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