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B108" w14:textId="77777777" w:rsidR="00251FA2" w:rsidRPr="000564D0" w:rsidRDefault="00251FA2" w:rsidP="00251FA2">
      <w:r w:rsidRPr="000564D0">
        <w:t>Optimization of Breast Biopsy and Mastectomy Sample Collection Procedures for Biobanking, Personalized Medicine, and Research Applications</w:t>
      </w:r>
    </w:p>
    <w:p w14:paraId="264D8A80" w14:textId="77777777" w:rsidR="00872D06" w:rsidRDefault="00872D06"/>
    <w:p w14:paraId="69E219A0" w14:textId="1C4FA050" w:rsidR="00251FA2" w:rsidRPr="00251FA2" w:rsidRDefault="00251FA2" w:rsidP="00251FA2">
      <w:pPr>
        <w:numPr>
          <w:ilvl w:val="0"/>
          <w:numId w:val="1"/>
        </w:numPr>
        <w:pBdr>
          <w:top w:val="nil"/>
          <w:left w:val="nil"/>
          <w:bottom w:val="nil"/>
          <w:right w:val="nil"/>
          <w:between w:val="nil"/>
        </w:pBdr>
        <w:ind w:left="0" w:firstLine="0"/>
        <w:rPr>
          <w:b/>
          <w:color w:val="000000"/>
        </w:rPr>
      </w:pPr>
      <w:r w:rsidRPr="000564D0">
        <w:rPr>
          <w:b/>
          <w:color w:val="000000"/>
        </w:rPr>
        <w:t>Breast biopsy sample collection procedure</w:t>
      </w:r>
      <w:r w:rsidRPr="000564D0">
        <w:t xml:space="preserve">   </w:t>
      </w:r>
    </w:p>
    <w:p w14:paraId="607DD760" w14:textId="77777777" w:rsidR="00251FA2" w:rsidRDefault="00251FA2"/>
    <w:p w14:paraId="549A95F9" w14:textId="7CB4266E" w:rsidR="00251FA2" w:rsidRPr="00251FA2" w:rsidRDefault="00251FA2" w:rsidP="00251FA2">
      <w:pPr>
        <w:numPr>
          <w:ilvl w:val="1"/>
          <w:numId w:val="1"/>
        </w:numPr>
        <w:pBdr>
          <w:top w:val="nil"/>
          <w:left w:val="nil"/>
          <w:bottom w:val="nil"/>
          <w:right w:val="nil"/>
          <w:between w:val="nil"/>
        </w:pBdr>
        <w:ind w:left="0" w:firstLine="0"/>
        <w:rPr>
          <w:highlight w:val="yellow"/>
        </w:rPr>
      </w:pPr>
      <w:r w:rsidRPr="000564D0">
        <w:rPr>
          <w:highlight w:val="yellow"/>
        </w:rPr>
        <w:t xml:space="preserve">Obtain up to nine tissue cores using a 14 G core needle biopsy gun under ultrasound guidance, in an outpatient clinic, operating room, or other aseptic environment. </w:t>
      </w:r>
    </w:p>
    <w:p w14:paraId="0F863414" w14:textId="77777777" w:rsidR="00251FA2" w:rsidRDefault="00251FA2" w:rsidP="00251FA2">
      <w:pPr>
        <w:numPr>
          <w:ilvl w:val="3"/>
          <w:numId w:val="1"/>
        </w:numPr>
        <w:pBdr>
          <w:top w:val="nil"/>
          <w:left w:val="nil"/>
          <w:bottom w:val="nil"/>
          <w:right w:val="nil"/>
          <w:between w:val="nil"/>
        </w:pBdr>
        <w:rPr>
          <w:highlight w:val="yellow"/>
        </w:rPr>
      </w:pPr>
      <w:r w:rsidRPr="000564D0">
        <w:rPr>
          <w:highlight w:val="yellow"/>
        </w:rPr>
        <w:t xml:space="preserve">For each core, obtain a breast sample approximately 2 cm in length at the </w:t>
      </w:r>
      <w:r w:rsidRPr="00B63467">
        <w:rPr>
          <w:rFonts w:eastAsia="Arial"/>
          <w:highlight w:val="yellow"/>
        </w:rPr>
        <w:t>center of the tumor and 1 cm away from the tumor for adjacent normal tissue</w:t>
      </w:r>
      <w:r w:rsidRPr="000564D0">
        <w:rPr>
          <w:highlight w:val="yellow"/>
        </w:rPr>
        <w:t xml:space="preserve">. Collect two types of specimens from each participant: tumor tissue and normal tissue. </w:t>
      </w:r>
    </w:p>
    <w:p w14:paraId="058F99C0" w14:textId="358A6CD4" w:rsidR="00251FA2" w:rsidRPr="00251FA2" w:rsidRDefault="00251FA2" w:rsidP="00251FA2">
      <w:pPr>
        <w:numPr>
          <w:ilvl w:val="3"/>
          <w:numId w:val="1"/>
        </w:numPr>
        <w:pBdr>
          <w:top w:val="nil"/>
          <w:left w:val="nil"/>
          <w:bottom w:val="nil"/>
          <w:right w:val="nil"/>
          <w:between w:val="nil"/>
        </w:pBdr>
        <w:rPr>
          <w:highlight w:val="yellow"/>
        </w:rPr>
      </w:pPr>
      <w:r w:rsidRPr="00251FA2">
        <w:rPr>
          <w:highlight w:val="yellow"/>
        </w:rPr>
        <w:t>Hand each sample to the URA for placement into a petri dish containing phosphate-buffered saline (PBS) solution.</w:t>
      </w:r>
    </w:p>
    <w:p w14:paraId="3F5D87C0" w14:textId="49496AFE" w:rsidR="00251FA2" w:rsidRPr="000564D0" w:rsidRDefault="00251FA2" w:rsidP="00251FA2">
      <w:pPr>
        <w:numPr>
          <w:ilvl w:val="1"/>
          <w:numId w:val="1"/>
        </w:numPr>
        <w:pBdr>
          <w:top w:val="nil"/>
          <w:left w:val="nil"/>
          <w:bottom w:val="nil"/>
          <w:right w:val="nil"/>
          <w:between w:val="nil"/>
        </w:pBdr>
        <w:ind w:left="0" w:firstLine="0"/>
      </w:pPr>
      <w:r w:rsidRPr="000564D0">
        <w:rPr>
          <w:highlight w:val="yellow"/>
        </w:rPr>
        <w:t xml:space="preserve">Cut the biopsy specimens in half to distribute evenly between the study and histopathological analysis. </w:t>
      </w:r>
    </w:p>
    <w:p w14:paraId="2DDC2A2F" w14:textId="1AE62F1C" w:rsidR="00251FA2" w:rsidRPr="00251FA2" w:rsidRDefault="00251FA2" w:rsidP="00251FA2">
      <w:pPr>
        <w:numPr>
          <w:ilvl w:val="3"/>
          <w:numId w:val="1"/>
        </w:numPr>
        <w:pBdr>
          <w:top w:val="nil"/>
          <w:left w:val="nil"/>
          <w:bottom w:val="nil"/>
          <w:right w:val="nil"/>
          <w:between w:val="nil"/>
        </w:pBdr>
        <w:rPr>
          <w:rFonts w:eastAsia="Arial"/>
          <w:color w:val="000000"/>
        </w:rPr>
      </w:pPr>
      <w:r w:rsidRPr="000564D0">
        <w:rPr>
          <w:highlight w:val="yellow"/>
        </w:rPr>
        <w:t xml:space="preserve">For tumor tissue, obtain up to 9 cores per study patient using a 14 G needle. </w:t>
      </w:r>
    </w:p>
    <w:p w14:paraId="44A5AFC6" w14:textId="4309D183" w:rsidR="00251FA2" w:rsidRPr="000564D0" w:rsidRDefault="00251FA2" w:rsidP="00251FA2">
      <w:pPr>
        <w:numPr>
          <w:ilvl w:val="3"/>
          <w:numId w:val="1"/>
        </w:numPr>
        <w:pBdr>
          <w:top w:val="nil"/>
          <w:left w:val="nil"/>
          <w:bottom w:val="nil"/>
          <w:right w:val="nil"/>
          <w:between w:val="nil"/>
        </w:pBdr>
      </w:pPr>
      <w:r w:rsidRPr="000564D0">
        <w:rPr>
          <w:highlight w:val="yellow"/>
        </w:rPr>
        <w:t>Separate the tumor cores obtained into 2 groups in the Petri dish: samples for RNA analysis (6 cores) and samples for biobanking (3 cores).</w:t>
      </w:r>
    </w:p>
    <w:p w14:paraId="67AAFDCF" w14:textId="5F36DDE6" w:rsidR="00251FA2" w:rsidRPr="00251FA2" w:rsidRDefault="00251FA2" w:rsidP="00251FA2">
      <w:pPr>
        <w:numPr>
          <w:ilvl w:val="3"/>
          <w:numId w:val="1"/>
        </w:numPr>
        <w:pBdr>
          <w:top w:val="nil"/>
          <w:left w:val="nil"/>
          <w:bottom w:val="nil"/>
          <w:right w:val="nil"/>
          <w:between w:val="nil"/>
        </w:pBdr>
      </w:pPr>
      <w:r w:rsidRPr="000564D0">
        <w:rPr>
          <w:highlight w:val="yellow"/>
        </w:rPr>
        <w:t>Cut each core into 2 lengthwise, but in cases where it is difficult to do this, cut the cores into 2 crosswise. Use a sterile blade to cut the cores. Send half of the tissue core for RNA analysis or store for biobanking. Send the other half of the tissue core to Pathology for routine histopathological analysis.</w:t>
      </w:r>
    </w:p>
    <w:p w14:paraId="2A4F130E" w14:textId="211F9A25" w:rsidR="00251FA2" w:rsidRDefault="00251FA2" w:rsidP="00251FA2">
      <w:pPr>
        <w:numPr>
          <w:ilvl w:val="3"/>
          <w:numId w:val="1"/>
        </w:numPr>
        <w:pBdr>
          <w:top w:val="nil"/>
          <w:left w:val="nil"/>
          <w:bottom w:val="nil"/>
          <w:right w:val="nil"/>
          <w:between w:val="nil"/>
        </w:pBdr>
      </w:pPr>
      <w:r w:rsidRPr="00251FA2">
        <w:rPr>
          <w:highlight w:val="yellow"/>
        </w:rPr>
        <w:t>For normal tissue, obtain up to 3 cores per study patient using a 14 G needle.</w:t>
      </w:r>
    </w:p>
    <w:p w14:paraId="52513202" w14:textId="701B26DC" w:rsidR="00251FA2" w:rsidRPr="00251FA2" w:rsidRDefault="00251FA2" w:rsidP="00251FA2">
      <w:pPr>
        <w:numPr>
          <w:ilvl w:val="3"/>
          <w:numId w:val="1"/>
        </w:numPr>
        <w:pBdr>
          <w:top w:val="nil"/>
          <w:left w:val="nil"/>
          <w:bottom w:val="nil"/>
          <w:right w:val="nil"/>
          <w:between w:val="nil"/>
        </w:pBdr>
      </w:pPr>
      <w:r w:rsidRPr="000564D0">
        <w:rPr>
          <w:highlight w:val="yellow"/>
        </w:rPr>
        <w:t xml:space="preserve">Place each normal tissue obtained in a Petri dish </w:t>
      </w:r>
      <w:proofErr w:type="gramStart"/>
      <w:r w:rsidRPr="000564D0">
        <w:rPr>
          <w:highlight w:val="yellow"/>
        </w:rPr>
        <w:t>similar to</w:t>
      </w:r>
      <w:proofErr w:type="gramEnd"/>
      <w:r w:rsidRPr="000564D0">
        <w:rPr>
          <w:highlight w:val="yellow"/>
        </w:rPr>
        <w:t xml:space="preserve"> what was done with the tumor </w:t>
      </w:r>
      <w:r w:rsidRPr="000564D0">
        <w:rPr>
          <w:highlight w:val="yellow"/>
        </w:rPr>
        <w:t>tissues and</w:t>
      </w:r>
      <w:r w:rsidRPr="000564D0">
        <w:rPr>
          <w:highlight w:val="yellow"/>
        </w:rPr>
        <w:t xml:space="preserve"> cut the cores in half. Distribute the samples for the study and to the Pathology Department for the histopathological analysis. </w:t>
      </w:r>
    </w:p>
    <w:p w14:paraId="4FD9F5D9" w14:textId="77777777" w:rsidR="00251FA2" w:rsidRDefault="00251FA2" w:rsidP="00251FA2">
      <w:pPr>
        <w:numPr>
          <w:ilvl w:val="1"/>
          <w:numId w:val="1"/>
        </w:numPr>
        <w:pBdr>
          <w:top w:val="nil"/>
          <w:left w:val="nil"/>
          <w:bottom w:val="nil"/>
          <w:right w:val="nil"/>
          <w:between w:val="nil"/>
        </w:pBdr>
        <w:ind w:left="0" w:firstLine="0"/>
      </w:pPr>
      <w:r w:rsidRPr="000564D0">
        <w:rPr>
          <w:highlight w:val="yellow"/>
        </w:rPr>
        <w:t xml:space="preserve">After sample collection, distribute the samples among the tubes, following a manner and order of priority. </w:t>
      </w:r>
    </w:p>
    <w:p w14:paraId="1E2748CD" w14:textId="13D43AA1" w:rsidR="00251FA2" w:rsidRDefault="00251FA2" w:rsidP="00CB0F62">
      <w:pPr>
        <w:numPr>
          <w:ilvl w:val="2"/>
          <w:numId w:val="1"/>
        </w:numPr>
        <w:pBdr>
          <w:top w:val="nil"/>
          <w:left w:val="nil"/>
          <w:bottom w:val="nil"/>
          <w:right w:val="nil"/>
          <w:between w:val="nil"/>
        </w:pBdr>
      </w:pPr>
      <w:r w:rsidRPr="00251FA2">
        <w:rPr>
          <w:highlight w:val="yellow"/>
        </w:rPr>
        <w:t>Place half of the cores in the designated 5 mL cryovial pre-filled with 1.25 mL of RNA stabilization solution</w:t>
      </w:r>
      <w:r>
        <w:t xml:space="preserve"> </w:t>
      </w:r>
      <w:r w:rsidRPr="00251FA2">
        <w:rPr>
          <w:highlight w:val="yellow"/>
        </w:rPr>
        <w:t>and place the corresponding halves of these cores in ordinary specimen vial/tube and fixed with 10% neutral buffered formalin (10% NBF), for histopathological analysis.</w:t>
      </w:r>
    </w:p>
    <w:p w14:paraId="422B043B" w14:textId="77777777" w:rsidR="00251FA2" w:rsidRPr="000564D0" w:rsidRDefault="00251FA2" w:rsidP="00251FA2">
      <w:pPr>
        <w:numPr>
          <w:ilvl w:val="1"/>
          <w:numId w:val="1"/>
        </w:numPr>
        <w:pBdr>
          <w:top w:val="nil"/>
          <w:left w:val="nil"/>
          <w:bottom w:val="nil"/>
          <w:right w:val="nil"/>
          <w:between w:val="nil"/>
        </w:pBdr>
        <w:ind w:left="0" w:firstLine="0"/>
      </w:pPr>
      <w:r w:rsidRPr="000564D0">
        <w:rPr>
          <w:highlight w:val="yellow"/>
        </w:rPr>
        <w:t>Complete the surgical pathology forms. Together with the forms, submit the Pathology specimens fixed with formalin to Pathology for routine histopathology.</w:t>
      </w:r>
    </w:p>
    <w:p w14:paraId="30DA4F90" w14:textId="77777777" w:rsidR="00251FA2" w:rsidRDefault="00251FA2" w:rsidP="00251FA2">
      <w:pPr>
        <w:pBdr>
          <w:top w:val="nil"/>
          <w:left w:val="nil"/>
          <w:bottom w:val="nil"/>
          <w:right w:val="nil"/>
          <w:between w:val="nil"/>
        </w:pBdr>
      </w:pPr>
    </w:p>
    <w:p w14:paraId="47F7A77F" w14:textId="75A5005F" w:rsidR="00251FA2" w:rsidRPr="00251FA2" w:rsidRDefault="00251FA2" w:rsidP="00251FA2">
      <w:pPr>
        <w:pStyle w:val="ListParagraph"/>
        <w:numPr>
          <w:ilvl w:val="0"/>
          <w:numId w:val="1"/>
        </w:numPr>
        <w:pBdr>
          <w:top w:val="nil"/>
          <w:left w:val="nil"/>
          <w:bottom w:val="nil"/>
          <w:right w:val="nil"/>
          <w:between w:val="nil"/>
        </w:pBdr>
      </w:pPr>
      <w:r w:rsidRPr="00251FA2">
        <w:rPr>
          <w:b/>
          <w:bCs/>
          <w:color w:val="000000"/>
        </w:rPr>
        <w:t>Breast mastectomy sample collection procedure</w:t>
      </w:r>
    </w:p>
    <w:p w14:paraId="0441CD03" w14:textId="6B62A69B" w:rsidR="00251FA2" w:rsidRPr="00B63467" w:rsidRDefault="00251FA2" w:rsidP="00251FA2">
      <w:pPr>
        <w:pBdr>
          <w:top w:val="nil"/>
          <w:left w:val="nil"/>
          <w:bottom w:val="nil"/>
          <w:right w:val="nil"/>
          <w:between w:val="nil"/>
        </w:pBdr>
      </w:pPr>
      <w:r>
        <w:rPr>
          <w:b/>
          <w:bCs/>
          <w:color w:val="000000"/>
        </w:rPr>
        <w:br/>
      </w:r>
      <w:r>
        <w:rPr>
          <w:highlight w:val="yellow"/>
        </w:rPr>
        <w:t xml:space="preserve">2.1 </w:t>
      </w:r>
      <w:r w:rsidRPr="000564D0">
        <w:rPr>
          <w:highlight w:val="yellow"/>
        </w:rPr>
        <w:t>Place the specimen in a clean plastic/specimen bag right after removal and documentation of the breast specimen.</w:t>
      </w:r>
      <w:r w:rsidRPr="00B63467">
        <w:rPr>
          <w:highlight w:val="yellow"/>
        </w:rPr>
        <w:t xml:space="preserve"> Ensure </w:t>
      </w:r>
      <w:r w:rsidRPr="000564D0">
        <w:rPr>
          <w:highlight w:val="yellow"/>
        </w:rPr>
        <w:t xml:space="preserve">the mastectomy specimen is immediately brought to the Pathology department for grossing to minimize the cold ischemic time. Do not place the specimen in formalin upon submission. </w:t>
      </w:r>
    </w:p>
    <w:p w14:paraId="7E87FDB6" w14:textId="298449AD" w:rsidR="00251FA2" w:rsidRPr="000564D0" w:rsidRDefault="00251FA2" w:rsidP="00251FA2">
      <w:pPr>
        <w:pBdr>
          <w:top w:val="nil"/>
          <w:left w:val="nil"/>
          <w:bottom w:val="nil"/>
          <w:right w:val="nil"/>
          <w:between w:val="nil"/>
        </w:pBdr>
      </w:pPr>
      <w:r>
        <w:rPr>
          <w:highlight w:val="yellow"/>
        </w:rPr>
        <w:t xml:space="preserve">2.2 </w:t>
      </w:r>
      <w:r w:rsidRPr="000564D0">
        <w:rPr>
          <w:highlight w:val="yellow"/>
        </w:rPr>
        <w:t xml:space="preserve">Obtain two types of samples from each specimen upon grossing: tumor tissue and normal </w:t>
      </w:r>
      <w:r w:rsidRPr="000564D0">
        <w:rPr>
          <w:highlight w:val="yellow"/>
        </w:rPr>
        <w:lastRenderedPageBreak/>
        <w:t xml:space="preserve">tissue. </w:t>
      </w:r>
    </w:p>
    <w:p w14:paraId="421D39CF" w14:textId="77777777" w:rsidR="00251FA2" w:rsidRPr="000564D0" w:rsidRDefault="00251FA2" w:rsidP="00251FA2">
      <w:pPr>
        <w:pBdr>
          <w:top w:val="nil"/>
          <w:left w:val="nil"/>
          <w:bottom w:val="nil"/>
          <w:right w:val="nil"/>
          <w:between w:val="nil"/>
        </w:pBdr>
      </w:pPr>
    </w:p>
    <w:p w14:paraId="549958C1" w14:textId="24C3713A" w:rsidR="00CB0F62" w:rsidRPr="00CB0F62" w:rsidRDefault="00CB0F62" w:rsidP="00CB0F62">
      <w:pPr>
        <w:pStyle w:val="ListParagraph"/>
        <w:numPr>
          <w:ilvl w:val="1"/>
          <w:numId w:val="2"/>
        </w:numPr>
        <w:pBdr>
          <w:top w:val="nil"/>
          <w:left w:val="nil"/>
          <w:bottom w:val="nil"/>
          <w:right w:val="nil"/>
          <w:between w:val="nil"/>
        </w:pBdr>
        <w:rPr>
          <w:b/>
          <w:bCs/>
          <w:iCs/>
        </w:rPr>
      </w:pPr>
      <w:r w:rsidRPr="00CB0F62">
        <w:rPr>
          <w:b/>
          <w:bCs/>
          <w:highlight w:val="yellow"/>
        </w:rPr>
        <w:t>TUMOR TISSUE</w:t>
      </w:r>
    </w:p>
    <w:p w14:paraId="7EFE01B8" w14:textId="77777777" w:rsidR="00CB0F62" w:rsidRPr="00CB0F62" w:rsidRDefault="00251FA2" w:rsidP="00CB0F62">
      <w:pPr>
        <w:pStyle w:val="ListParagraph"/>
        <w:numPr>
          <w:ilvl w:val="2"/>
          <w:numId w:val="2"/>
        </w:numPr>
        <w:pBdr>
          <w:top w:val="nil"/>
          <w:left w:val="nil"/>
          <w:bottom w:val="nil"/>
          <w:right w:val="nil"/>
          <w:between w:val="nil"/>
        </w:pBdr>
        <w:ind w:left="1134"/>
        <w:rPr>
          <w:iCs/>
        </w:rPr>
      </w:pPr>
      <w:r w:rsidRPr="00CB0F62">
        <w:rPr>
          <w:highlight w:val="yellow"/>
        </w:rPr>
        <w:t xml:space="preserve">Obtain a minimum of one block (preferably more) measuring 1 cm </w:t>
      </w:r>
      <w:r w:rsidRPr="000564D0">
        <w:rPr>
          <w:highlight w:val="yellow"/>
        </w:rPr>
        <w:sym w:font="Symbol" w:char="F0B4"/>
      </w:r>
      <w:r w:rsidRPr="00CB0F62">
        <w:rPr>
          <w:highlight w:val="yellow"/>
        </w:rPr>
        <w:t xml:space="preserve"> 1 cm </w:t>
      </w:r>
      <w:r w:rsidRPr="000564D0">
        <w:rPr>
          <w:highlight w:val="yellow"/>
        </w:rPr>
        <w:sym w:font="Symbol" w:char="F0B4"/>
      </w:r>
      <w:r w:rsidRPr="00CB0F62">
        <w:rPr>
          <w:highlight w:val="yellow"/>
        </w:rPr>
        <w:t xml:space="preserve"> 1 cm of tumor tissue per specimen.</w:t>
      </w:r>
    </w:p>
    <w:p w14:paraId="63F1143E" w14:textId="77777777" w:rsidR="00CB0F62" w:rsidRPr="00CB0F62" w:rsidRDefault="00251FA2" w:rsidP="00CB0F62">
      <w:pPr>
        <w:pStyle w:val="ListParagraph"/>
        <w:numPr>
          <w:ilvl w:val="2"/>
          <w:numId w:val="2"/>
        </w:numPr>
        <w:pBdr>
          <w:top w:val="nil"/>
          <w:left w:val="nil"/>
          <w:bottom w:val="nil"/>
          <w:right w:val="nil"/>
          <w:between w:val="nil"/>
        </w:pBdr>
        <w:ind w:left="1134"/>
        <w:rPr>
          <w:iCs/>
        </w:rPr>
      </w:pPr>
      <w:r w:rsidRPr="00CB0F62">
        <w:rPr>
          <w:highlight w:val="yellow"/>
        </w:rPr>
        <w:t xml:space="preserve">Cut the obtained tissue block further into two parts, with each half block measuring 1 cm </w:t>
      </w:r>
      <w:r w:rsidRPr="000564D0">
        <w:rPr>
          <w:highlight w:val="yellow"/>
        </w:rPr>
        <w:sym w:font="Symbol" w:char="F0B4"/>
      </w:r>
      <w:r w:rsidRPr="00CB0F62">
        <w:rPr>
          <w:highlight w:val="yellow"/>
        </w:rPr>
        <w:t xml:space="preserve"> 0.5 cm </w:t>
      </w:r>
      <w:r w:rsidRPr="000564D0">
        <w:rPr>
          <w:highlight w:val="yellow"/>
        </w:rPr>
        <w:sym w:font="Symbol" w:char="F0B4"/>
      </w:r>
      <w:r w:rsidRPr="00CB0F62">
        <w:rPr>
          <w:highlight w:val="yellow"/>
        </w:rPr>
        <w:t xml:space="preserve"> 0.5 cm. Hand over half of the tissue block to the URA for biobanking and </w:t>
      </w:r>
      <w:proofErr w:type="gramStart"/>
      <w:r w:rsidRPr="00CB0F62">
        <w:rPr>
          <w:highlight w:val="yellow"/>
        </w:rPr>
        <w:t>analysis, and</w:t>
      </w:r>
      <w:proofErr w:type="gramEnd"/>
      <w:r w:rsidRPr="00CB0F62">
        <w:rPr>
          <w:highlight w:val="yellow"/>
        </w:rPr>
        <w:t xml:space="preserve"> then fix the other half in formalin for routine histopathology. </w:t>
      </w:r>
    </w:p>
    <w:p w14:paraId="7F9E8AA9" w14:textId="77777777" w:rsidR="00CB0F62" w:rsidRPr="00CB0F62" w:rsidRDefault="00251FA2" w:rsidP="00CB0F62">
      <w:pPr>
        <w:pStyle w:val="ListParagraph"/>
        <w:numPr>
          <w:ilvl w:val="2"/>
          <w:numId w:val="2"/>
        </w:numPr>
        <w:pBdr>
          <w:top w:val="nil"/>
          <w:left w:val="nil"/>
          <w:bottom w:val="nil"/>
          <w:right w:val="nil"/>
          <w:between w:val="nil"/>
        </w:pBdr>
        <w:ind w:left="1134"/>
        <w:rPr>
          <w:iCs/>
        </w:rPr>
      </w:pPr>
      <w:r w:rsidRPr="00CB0F62">
        <w:rPr>
          <w:highlight w:val="yellow"/>
        </w:rPr>
        <w:t>Evenly trisect the half block of fresh tissue. This will be intended for RNA sequencing, biobanking, and organoid culture</w:t>
      </w:r>
      <w:r>
        <w:t>.</w:t>
      </w:r>
    </w:p>
    <w:p w14:paraId="7469E910" w14:textId="77777777" w:rsidR="00CB0F62" w:rsidRPr="00CB0F62" w:rsidRDefault="00251FA2" w:rsidP="00CB0F62">
      <w:pPr>
        <w:pStyle w:val="ListParagraph"/>
        <w:numPr>
          <w:ilvl w:val="2"/>
          <w:numId w:val="2"/>
        </w:numPr>
        <w:pBdr>
          <w:top w:val="nil"/>
          <w:left w:val="nil"/>
          <w:bottom w:val="nil"/>
          <w:right w:val="nil"/>
          <w:between w:val="nil"/>
        </w:pBdr>
        <w:ind w:left="1134"/>
        <w:rPr>
          <w:iCs/>
        </w:rPr>
      </w:pPr>
      <w:r w:rsidRPr="00CB0F62">
        <w:rPr>
          <w:highlight w:val="yellow"/>
        </w:rPr>
        <w:t xml:space="preserve">For RNA sequencing: Immediately place in pre-chilled, pre-labeled, and pre-filled 2.5 mL cryovials with RNA stabilization solution (not exceeding 30 min, must be </w:t>
      </w:r>
      <w:proofErr w:type="gramStart"/>
      <w:r w:rsidRPr="00CB0F62">
        <w:rPr>
          <w:highlight w:val="yellow"/>
        </w:rPr>
        <w:t>kept cold at all times</w:t>
      </w:r>
      <w:proofErr w:type="gramEnd"/>
      <w:r w:rsidRPr="00CB0F62">
        <w:rPr>
          <w:highlight w:val="yellow"/>
        </w:rPr>
        <w:t>)</w:t>
      </w:r>
      <w:r w:rsidRPr="000564D0">
        <w:t>.</w:t>
      </w:r>
    </w:p>
    <w:p w14:paraId="63DE3AE1" w14:textId="77777777" w:rsidR="00CB0F62" w:rsidRPr="00CB0F62" w:rsidRDefault="00251FA2" w:rsidP="00CB0F62">
      <w:pPr>
        <w:pStyle w:val="ListParagraph"/>
        <w:numPr>
          <w:ilvl w:val="2"/>
          <w:numId w:val="2"/>
        </w:numPr>
        <w:pBdr>
          <w:top w:val="nil"/>
          <w:left w:val="nil"/>
          <w:bottom w:val="nil"/>
          <w:right w:val="nil"/>
          <w:between w:val="nil"/>
        </w:pBdr>
        <w:ind w:left="1134"/>
        <w:rPr>
          <w:iCs/>
        </w:rPr>
      </w:pPr>
      <w:r w:rsidRPr="00CB0F62">
        <w:rPr>
          <w:highlight w:val="yellow"/>
        </w:rPr>
        <w:t xml:space="preserve">For biobanking: Immediately place in pre-chilled, pre-labeled, and pre-filled 5 mL cryovials with RNA stabilization solution (not exceeding 30 min, must be </w:t>
      </w:r>
      <w:proofErr w:type="gramStart"/>
      <w:r w:rsidRPr="00CB0F62">
        <w:rPr>
          <w:highlight w:val="yellow"/>
        </w:rPr>
        <w:t>kept cold at all times</w:t>
      </w:r>
      <w:proofErr w:type="gramEnd"/>
      <w:r w:rsidRPr="00CB0F62">
        <w:rPr>
          <w:highlight w:val="yellow"/>
        </w:rPr>
        <w:t>)</w:t>
      </w:r>
      <w:r w:rsidRPr="000564D0">
        <w:t>.</w:t>
      </w:r>
    </w:p>
    <w:p w14:paraId="0F7BC647" w14:textId="48F115CD" w:rsidR="00251FA2" w:rsidRPr="00CB0F62" w:rsidRDefault="00251FA2" w:rsidP="00CB0F62">
      <w:pPr>
        <w:pStyle w:val="ListParagraph"/>
        <w:numPr>
          <w:ilvl w:val="2"/>
          <w:numId w:val="2"/>
        </w:numPr>
        <w:pBdr>
          <w:top w:val="nil"/>
          <w:left w:val="nil"/>
          <w:bottom w:val="nil"/>
          <w:right w:val="nil"/>
          <w:between w:val="nil"/>
        </w:pBdr>
        <w:ind w:left="1134"/>
        <w:rPr>
          <w:iCs/>
        </w:rPr>
      </w:pPr>
      <w:r w:rsidRPr="00CB0F62">
        <w:rPr>
          <w:highlight w:val="yellow"/>
        </w:rPr>
        <w:t xml:space="preserve">For organoid culture: Immediately place in pre-chilled, pre-labeled, and pre-filled 15 mL conical vials with 5 mL of tissue storage solution and 0.01 mL </w:t>
      </w:r>
      <w:proofErr w:type="spellStart"/>
      <w:r w:rsidRPr="00CB0F62">
        <w:rPr>
          <w:highlight w:val="yellow"/>
        </w:rPr>
        <w:t>Primocin</w:t>
      </w:r>
      <w:proofErr w:type="spellEnd"/>
      <w:r w:rsidRPr="00CB0F62">
        <w:rPr>
          <w:highlight w:val="yellow"/>
        </w:rPr>
        <w:t xml:space="preserve"> (not exceeding 30 min, must be </w:t>
      </w:r>
      <w:r w:rsidRPr="00CB0F62">
        <w:rPr>
          <w:highlight w:val="yellow"/>
        </w:rPr>
        <w:t>always kept cold</w:t>
      </w:r>
      <w:r w:rsidRPr="00CB0F62">
        <w:rPr>
          <w:highlight w:val="yellow"/>
        </w:rPr>
        <w:t>). Pool together in one conical tube one-third of all the tumor blocks obtained from different sections of the specimen.</w:t>
      </w:r>
    </w:p>
    <w:p w14:paraId="1A723815" w14:textId="77777777" w:rsidR="00251FA2" w:rsidRPr="000564D0" w:rsidRDefault="00251FA2" w:rsidP="00251FA2">
      <w:pPr>
        <w:rPr>
          <w:i/>
          <w:highlight w:val="yellow"/>
        </w:rPr>
      </w:pPr>
    </w:p>
    <w:p w14:paraId="2ADE5080" w14:textId="40789B9E" w:rsidR="00251FA2" w:rsidRPr="00CB0F62" w:rsidRDefault="00251FA2" w:rsidP="00CB0F62">
      <w:pPr>
        <w:pStyle w:val="ListParagraph"/>
        <w:numPr>
          <w:ilvl w:val="1"/>
          <w:numId w:val="2"/>
        </w:numPr>
        <w:pBdr>
          <w:top w:val="nil"/>
          <w:left w:val="nil"/>
          <w:bottom w:val="nil"/>
          <w:right w:val="nil"/>
          <w:between w:val="nil"/>
        </w:pBdr>
        <w:rPr>
          <w:iCs/>
        </w:rPr>
      </w:pPr>
      <w:r w:rsidRPr="00CB0F62">
        <w:rPr>
          <w:iCs/>
          <w:highlight w:val="yellow"/>
        </w:rPr>
        <w:t>Normal tissue</w:t>
      </w:r>
    </w:p>
    <w:p w14:paraId="2DC3144B" w14:textId="77777777" w:rsidR="00251FA2" w:rsidRPr="000564D0" w:rsidRDefault="00251FA2" w:rsidP="00251FA2">
      <w:pPr>
        <w:rPr>
          <w:i/>
        </w:rPr>
      </w:pPr>
    </w:p>
    <w:p w14:paraId="232A2247" w14:textId="77777777" w:rsidR="00CB0F62" w:rsidRDefault="00251FA2" w:rsidP="00CB0F62">
      <w:pPr>
        <w:pStyle w:val="ListParagraph"/>
        <w:numPr>
          <w:ilvl w:val="2"/>
          <w:numId w:val="2"/>
        </w:numPr>
        <w:pBdr>
          <w:top w:val="nil"/>
          <w:left w:val="nil"/>
          <w:bottom w:val="nil"/>
          <w:right w:val="nil"/>
          <w:between w:val="nil"/>
        </w:pBdr>
        <w:ind w:left="1134"/>
        <w:rPr>
          <w:highlight w:val="yellow"/>
        </w:rPr>
      </w:pPr>
      <w:r w:rsidRPr="00CB0F62">
        <w:rPr>
          <w:highlight w:val="yellow"/>
        </w:rPr>
        <w:t xml:space="preserve">Obtain a minimum of one block (preferably more) measuring 1 cm </w:t>
      </w:r>
      <w:r w:rsidRPr="000564D0">
        <w:rPr>
          <w:highlight w:val="yellow"/>
        </w:rPr>
        <w:sym w:font="Symbol" w:char="F0B4"/>
      </w:r>
      <w:r w:rsidRPr="00CB0F62">
        <w:rPr>
          <w:highlight w:val="yellow"/>
        </w:rPr>
        <w:t xml:space="preserve"> 1 cm </w:t>
      </w:r>
      <w:r w:rsidRPr="000564D0">
        <w:rPr>
          <w:highlight w:val="yellow"/>
        </w:rPr>
        <w:sym w:font="Symbol" w:char="F0B4"/>
      </w:r>
      <w:r w:rsidRPr="00CB0F62">
        <w:rPr>
          <w:highlight w:val="yellow"/>
        </w:rPr>
        <w:t xml:space="preserve"> 1 cm of normal breast tissue per specimen.</w:t>
      </w:r>
    </w:p>
    <w:p w14:paraId="14B9C974" w14:textId="77777777" w:rsidR="00CB0F62" w:rsidRDefault="00251FA2" w:rsidP="00CB0F62">
      <w:pPr>
        <w:pStyle w:val="ListParagraph"/>
        <w:numPr>
          <w:ilvl w:val="2"/>
          <w:numId w:val="2"/>
        </w:numPr>
        <w:pBdr>
          <w:top w:val="nil"/>
          <w:left w:val="nil"/>
          <w:bottom w:val="nil"/>
          <w:right w:val="nil"/>
          <w:between w:val="nil"/>
        </w:pBdr>
        <w:ind w:left="1134"/>
        <w:rPr>
          <w:highlight w:val="yellow"/>
        </w:rPr>
      </w:pPr>
      <w:r w:rsidRPr="00CB0F62">
        <w:rPr>
          <w:highlight w:val="yellow"/>
        </w:rPr>
        <w:t xml:space="preserve">Cut the obtained tissue block further into two parts, with each half block measuring 1 cm </w:t>
      </w:r>
      <w:r w:rsidRPr="000564D0">
        <w:rPr>
          <w:highlight w:val="yellow"/>
        </w:rPr>
        <w:sym w:font="Symbol" w:char="F0B4"/>
      </w:r>
      <w:r w:rsidRPr="00CB0F62">
        <w:rPr>
          <w:highlight w:val="yellow"/>
        </w:rPr>
        <w:t xml:space="preserve"> 1 cm </w:t>
      </w:r>
      <w:r w:rsidRPr="000564D0">
        <w:rPr>
          <w:highlight w:val="yellow"/>
        </w:rPr>
        <w:sym w:font="Symbol" w:char="F0B4"/>
      </w:r>
      <w:r w:rsidRPr="00CB0F62">
        <w:rPr>
          <w:highlight w:val="yellow"/>
        </w:rPr>
        <w:t xml:space="preserve"> 0.5 cm. Hand over half of the tissue block to the URA for biobanking and </w:t>
      </w:r>
      <w:proofErr w:type="gramStart"/>
      <w:r w:rsidRPr="00CB0F62">
        <w:rPr>
          <w:highlight w:val="yellow"/>
        </w:rPr>
        <w:t>analysis, and</w:t>
      </w:r>
      <w:proofErr w:type="gramEnd"/>
      <w:r w:rsidRPr="00CB0F62">
        <w:rPr>
          <w:highlight w:val="yellow"/>
        </w:rPr>
        <w:t xml:space="preserve"> then fix the other half in formalin for routine histopathology.</w:t>
      </w:r>
    </w:p>
    <w:p w14:paraId="2A62820B" w14:textId="77777777" w:rsidR="00CB0F62" w:rsidRPr="00CB0F62" w:rsidRDefault="00251FA2" w:rsidP="00CB0F62">
      <w:pPr>
        <w:pStyle w:val="ListParagraph"/>
        <w:numPr>
          <w:ilvl w:val="2"/>
          <w:numId w:val="2"/>
        </w:numPr>
        <w:pBdr>
          <w:top w:val="nil"/>
          <w:left w:val="nil"/>
          <w:bottom w:val="nil"/>
          <w:right w:val="nil"/>
          <w:between w:val="nil"/>
        </w:pBdr>
        <w:ind w:left="1134"/>
        <w:rPr>
          <w:highlight w:val="yellow"/>
        </w:rPr>
      </w:pPr>
      <w:r w:rsidRPr="00CB0F62">
        <w:rPr>
          <w:highlight w:val="yellow"/>
        </w:rPr>
        <w:t>Cut the tissue block equally into two for the study. These will be intended for RNA sequencing and biobanking</w:t>
      </w:r>
      <w:r w:rsidRPr="00CB0F62" w:rsidDel="000564D0">
        <w:rPr>
          <w:highlight w:val="yellow"/>
        </w:rPr>
        <w:t xml:space="preserve"> </w:t>
      </w:r>
      <w:r w:rsidRPr="00CB0F62">
        <w:rPr>
          <w:highlight w:val="yellow"/>
        </w:rPr>
        <w:t>as described in 3.6.2.4–3.6.2.5.</w:t>
      </w:r>
    </w:p>
    <w:p w14:paraId="644ABA9D" w14:textId="77777777" w:rsidR="00CB0F62" w:rsidRPr="00CB0F62" w:rsidRDefault="00251FA2" w:rsidP="00CB0F62">
      <w:pPr>
        <w:pStyle w:val="ListParagraph"/>
        <w:numPr>
          <w:ilvl w:val="2"/>
          <w:numId w:val="2"/>
        </w:numPr>
        <w:pBdr>
          <w:top w:val="nil"/>
          <w:left w:val="nil"/>
          <w:bottom w:val="nil"/>
          <w:right w:val="nil"/>
          <w:between w:val="nil"/>
        </w:pBdr>
        <w:ind w:left="1134"/>
        <w:rPr>
          <w:highlight w:val="yellow"/>
        </w:rPr>
      </w:pPr>
      <w:r w:rsidRPr="000564D0">
        <w:t xml:space="preserve"> </w:t>
      </w:r>
      <w:r w:rsidRPr="00CB0F62">
        <w:rPr>
          <w:highlight w:val="yellow"/>
        </w:rPr>
        <w:t xml:space="preserve">For RNA sequencing: Immediately place in pre-chilled, pre-labeled, and pre-filled 2.5 mL cryovials with RNA stabilization solution (not exceeding 30 min, </w:t>
      </w:r>
      <w:proofErr w:type="gramStart"/>
      <w:r w:rsidRPr="00CB0F62">
        <w:rPr>
          <w:highlight w:val="yellow"/>
        </w:rPr>
        <w:t>maintain at cold temperature at all times</w:t>
      </w:r>
      <w:proofErr w:type="gramEnd"/>
      <w:r w:rsidRPr="00CB0F62">
        <w:rPr>
          <w:highlight w:val="yellow"/>
        </w:rPr>
        <w:t>)</w:t>
      </w:r>
      <w:r w:rsidRPr="000564D0">
        <w:t>.</w:t>
      </w:r>
    </w:p>
    <w:p w14:paraId="7874BD7B" w14:textId="26E6189B" w:rsidR="00251FA2" w:rsidRPr="00CB0F62" w:rsidRDefault="00251FA2" w:rsidP="00CB0F62">
      <w:pPr>
        <w:pStyle w:val="ListParagraph"/>
        <w:numPr>
          <w:ilvl w:val="2"/>
          <w:numId w:val="2"/>
        </w:numPr>
        <w:pBdr>
          <w:top w:val="nil"/>
          <w:left w:val="nil"/>
          <w:bottom w:val="nil"/>
          <w:right w:val="nil"/>
          <w:between w:val="nil"/>
        </w:pBdr>
        <w:ind w:left="1134"/>
        <w:rPr>
          <w:highlight w:val="yellow"/>
        </w:rPr>
      </w:pPr>
      <w:r w:rsidRPr="00CB0F62">
        <w:rPr>
          <w:highlight w:val="yellow"/>
        </w:rPr>
        <w:t xml:space="preserve">For biobanking, immediately place in pre-chilled, pre-labeled, and pre-filled 2.5 mL cryovials with RNA stabilization solution (not exceeding 30 min, </w:t>
      </w:r>
      <w:proofErr w:type="gramStart"/>
      <w:r w:rsidRPr="00CB0F62">
        <w:rPr>
          <w:highlight w:val="yellow"/>
        </w:rPr>
        <w:t>maintain at cold temperature at all times</w:t>
      </w:r>
      <w:proofErr w:type="gramEnd"/>
      <w:r w:rsidRPr="00CB0F62">
        <w:rPr>
          <w:highlight w:val="yellow"/>
        </w:rPr>
        <w:t>)</w:t>
      </w:r>
      <w:r w:rsidRPr="000564D0">
        <w:t>.</w:t>
      </w:r>
    </w:p>
    <w:p w14:paraId="146A4C6B" w14:textId="77777777" w:rsidR="00251FA2" w:rsidRDefault="00251FA2" w:rsidP="00251FA2">
      <w:pPr>
        <w:pBdr>
          <w:top w:val="nil"/>
          <w:left w:val="nil"/>
          <w:bottom w:val="nil"/>
          <w:right w:val="nil"/>
          <w:between w:val="nil"/>
        </w:pBdr>
      </w:pPr>
    </w:p>
    <w:p w14:paraId="528191C2" w14:textId="3F097CE5" w:rsidR="00251FA2" w:rsidRPr="00CB0F62" w:rsidRDefault="00251FA2" w:rsidP="00CB0F62">
      <w:pPr>
        <w:pStyle w:val="ListParagraph"/>
        <w:numPr>
          <w:ilvl w:val="0"/>
          <w:numId w:val="1"/>
        </w:numPr>
        <w:pBdr>
          <w:top w:val="nil"/>
          <w:left w:val="nil"/>
          <w:bottom w:val="nil"/>
          <w:right w:val="nil"/>
          <w:between w:val="nil"/>
        </w:pBdr>
        <w:rPr>
          <w:rFonts w:eastAsia="Arial"/>
          <w:color w:val="000000"/>
        </w:rPr>
      </w:pPr>
      <w:r w:rsidRPr="00CB0F62">
        <w:rPr>
          <w:b/>
          <w:color w:val="000000"/>
        </w:rPr>
        <w:t>Storage, packing, and transport of specimens</w:t>
      </w:r>
    </w:p>
    <w:p w14:paraId="4FC1975E" w14:textId="77777777" w:rsidR="00251FA2" w:rsidRPr="000564D0" w:rsidRDefault="00251FA2" w:rsidP="00251FA2">
      <w:pPr>
        <w:pBdr>
          <w:top w:val="nil"/>
          <w:left w:val="nil"/>
          <w:bottom w:val="nil"/>
          <w:right w:val="nil"/>
          <w:between w:val="nil"/>
        </w:pBdr>
        <w:rPr>
          <w:b/>
          <w:color w:val="000000"/>
        </w:rPr>
      </w:pPr>
    </w:p>
    <w:p w14:paraId="605C313B" w14:textId="0642C720" w:rsidR="00251FA2" w:rsidRPr="00FD4A43" w:rsidRDefault="00251FA2" w:rsidP="00CB0F62">
      <w:pPr>
        <w:numPr>
          <w:ilvl w:val="1"/>
          <w:numId w:val="1"/>
        </w:numPr>
        <w:pBdr>
          <w:top w:val="nil"/>
          <w:left w:val="nil"/>
          <w:bottom w:val="nil"/>
          <w:right w:val="nil"/>
          <w:between w:val="nil"/>
        </w:pBdr>
        <w:ind w:left="0" w:firstLine="0"/>
      </w:pPr>
      <w:r w:rsidRPr="000564D0">
        <w:rPr>
          <w:highlight w:val="yellow"/>
        </w:rPr>
        <w:t xml:space="preserve">Immediately seal with parafilm all cryovials containing the tumor and normal tissues and store these at 4 °C for 24 h. After 24 h, transfer the tubes to -20 °C for around 2–4 h and then eventually transfer them to -80 °C indefinitely, for long-term storage until transport. </w:t>
      </w:r>
    </w:p>
    <w:p w14:paraId="4BD99580" w14:textId="77777777" w:rsidR="00251FA2" w:rsidRPr="00FD4A43" w:rsidRDefault="00251FA2" w:rsidP="00CB0F62">
      <w:pPr>
        <w:numPr>
          <w:ilvl w:val="1"/>
          <w:numId w:val="1"/>
        </w:numPr>
        <w:pBdr>
          <w:top w:val="nil"/>
          <w:left w:val="nil"/>
          <w:bottom w:val="nil"/>
          <w:right w:val="nil"/>
          <w:between w:val="nil"/>
        </w:pBdr>
        <w:ind w:left="0" w:firstLine="0"/>
      </w:pPr>
      <w:r w:rsidRPr="00FD4A43">
        <w:rPr>
          <w:highlight w:val="yellow"/>
        </w:rPr>
        <w:t xml:space="preserve">Accomplish a </w:t>
      </w:r>
      <w:r w:rsidRPr="00FD4A43">
        <w:rPr>
          <w:iCs/>
          <w:highlight w:val="yellow"/>
        </w:rPr>
        <w:t>transportation manifest for each</w:t>
      </w:r>
      <w:r w:rsidRPr="00FD4A43">
        <w:rPr>
          <w:highlight w:val="yellow"/>
        </w:rPr>
        <w:t xml:space="preserve"> sample, prior to transport. Ensure that the packing process is quick and the tubes containing the samples are not left at room temperature </w:t>
      </w:r>
      <w:r w:rsidRPr="00FD4A43">
        <w:rPr>
          <w:highlight w:val="yellow"/>
        </w:rPr>
        <w:lastRenderedPageBreak/>
        <w:t>(RT) for a prolonged period.</w:t>
      </w:r>
    </w:p>
    <w:p w14:paraId="75492D02" w14:textId="77777777" w:rsidR="00251FA2" w:rsidRPr="00FD4A43" w:rsidRDefault="00251FA2" w:rsidP="00251FA2"/>
    <w:p w14:paraId="135099F2" w14:textId="77777777" w:rsidR="00251FA2" w:rsidRPr="00FD4A43" w:rsidRDefault="00251FA2" w:rsidP="00CB0F62">
      <w:pPr>
        <w:numPr>
          <w:ilvl w:val="2"/>
          <w:numId w:val="1"/>
        </w:numPr>
        <w:pBdr>
          <w:top w:val="nil"/>
          <w:left w:val="nil"/>
          <w:bottom w:val="nil"/>
          <w:right w:val="nil"/>
          <w:between w:val="nil"/>
        </w:pBdr>
        <w:ind w:left="720" w:firstLine="0"/>
      </w:pPr>
      <w:r w:rsidRPr="00FD4A43">
        <w:rPr>
          <w:highlight w:val="yellow"/>
        </w:rPr>
        <w:t xml:space="preserve">Seal with parafilm all cryovial caps to prevent leakage. </w:t>
      </w:r>
    </w:p>
    <w:p w14:paraId="162E81E7" w14:textId="77777777" w:rsidR="00251FA2" w:rsidRPr="00FD4A43" w:rsidRDefault="00251FA2" w:rsidP="00CB0F62">
      <w:pPr>
        <w:ind w:left="720"/>
      </w:pPr>
    </w:p>
    <w:p w14:paraId="113A3C1C" w14:textId="77777777" w:rsidR="00251FA2" w:rsidRPr="00FD4A43" w:rsidRDefault="00251FA2" w:rsidP="00CB0F62">
      <w:pPr>
        <w:numPr>
          <w:ilvl w:val="2"/>
          <w:numId w:val="1"/>
        </w:numPr>
        <w:pBdr>
          <w:top w:val="nil"/>
          <w:left w:val="nil"/>
          <w:bottom w:val="nil"/>
          <w:right w:val="nil"/>
          <w:between w:val="nil"/>
        </w:pBdr>
        <w:ind w:left="720" w:firstLine="0"/>
      </w:pPr>
      <w:r w:rsidRPr="00FD4A43">
        <w:rPr>
          <w:highlight w:val="yellow"/>
        </w:rPr>
        <w:t>Place all the tubes in a test tube rack.</w:t>
      </w:r>
    </w:p>
    <w:p w14:paraId="0220B2B3" w14:textId="77777777" w:rsidR="00251FA2" w:rsidRPr="00FD4A43" w:rsidRDefault="00251FA2" w:rsidP="00CB0F62">
      <w:pPr>
        <w:ind w:left="720"/>
      </w:pPr>
    </w:p>
    <w:p w14:paraId="3B743D2B" w14:textId="77777777" w:rsidR="00251FA2" w:rsidRPr="00FD4A43" w:rsidRDefault="00251FA2" w:rsidP="00CB0F62">
      <w:pPr>
        <w:numPr>
          <w:ilvl w:val="2"/>
          <w:numId w:val="1"/>
        </w:numPr>
        <w:pBdr>
          <w:top w:val="nil"/>
          <w:left w:val="nil"/>
          <w:bottom w:val="nil"/>
          <w:right w:val="nil"/>
          <w:between w:val="nil"/>
        </w:pBdr>
        <w:ind w:left="720" w:firstLine="0"/>
      </w:pPr>
      <w:r w:rsidRPr="00FD4A43">
        <w:rPr>
          <w:highlight w:val="yellow"/>
        </w:rPr>
        <w:t xml:space="preserve">Set the temperature logger and place it over the rack alongside the tubes for transport. </w:t>
      </w:r>
    </w:p>
    <w:p w14:paraId="755B60AE" w14:textId="77777777" w:rsidR="00251FA2" w:rsidRPr="00FD4A43" w:rsidRDefault="00251FA2" w:rsidP="00CB0F62">
      <w:pPr>
        <w:ind w:left="720"/>
      </w:pPr>
    </w:p>
    <w:p w14:paraId="4D98DDAF" w14:textId="77777777" w:rsidR="00251FA2" w:rsidRPr="00FD4A43" w:rsidRDefault="00251FA2" w:rsidP="00CB0F62">
      <w:pPr>
        <w:numPr>
          <w:ilvl w:val="2"/>
          <w:numId w:val="1"/>
        </w:numPr>
        <w:pBdr>
          <w:top w:val="nil"/>
          <w:left w:val="nil"/>
          <w:bottom w:val="nil"/>
          <w:right w:val="nil"/>
          <w:between w:val="nil"/>
        </w:pBdr>
        <w:ind w:left="720" w:firstLine="0"/>
      </w:pPr>
      <w:r w:rsidRPr="00FD4A43">
        <w:rPr>
          <w:highlight w:val="yellow"/>
        </w:rPr>
        <w:t>Wrap the tubes with absorbent material, then with bubble wrap, and place the items inside the resealable bag. Ensure that the temperature logger is recording temperature and that the tubes are intact and positioned upright before sealing the items inside the bag.</w:t>
      </w:r>
    </w:p>
    <w:p w14:paraId="7C7D60C1" w14:textId="77777777" w:rsidR="00251FA2" w:rsidRPr="00FD4A43" w:rsidRDefault="00251FA2" w:rsidP="00CB0F62">
      <w:pPr>
        <w:ind w:left="720"/>
      </w:pPr>
    </w:p>
    <w:p w14:paraId="70F5D8AD" w14:textId="77777777" w:rsidR="00251FA2" w:rsidRPr="00FD4A43" w:rsidRDefault="00251FA2" w:rsidP="00CB0F62">
      <w:pPr>
        <w:numPr>
          <w:ilvl w:val="2"/>
          <w:numId w:val="1"/>
        </w:numPr>
        <w:pBdr>
          <w:top w:val="nil"/>
          <w:left w:val="nil"/>
          <w:bottom w:val="nil"/>
          <w:right w:val="nil"/>
          <w:between w:val="nil"/>
        </w:pBdr>
        <w:ind w:left="720" w:firstLine="0"/>
      </w:pPr>
      <w:r w:rsidRPr="00FD4A43">
        <w:rPr>
          <w:highlight w:val="yellow"/>
        </w:rPr>
        <w:t xml:space="preserve">Place the gel packs on the bottom of the </w:t>
      </w:r>
      <w:r w:rsidRPr="00B63467">
        <w:rPr>
          <w:highlight w:val="yellow"/>
        </w:rPr>
        <w:t>polystyrene</w:t>
      </w:r>
      <w:r w:rsidRPr="00FD4A43">
        <w:rPr>
          <w:highlight w:val="yellow"/>
        </w:rPr>
        <w:t xml:space="preserve"> shipping box, then set the resealable bag containing the tubes on top of the gel packs. Put another layer of gel packs on top of the bag. Make sure the tubes are sandwiched between gel packs to ensure the specimens will be kept cold during transport.</w:t>
      </w:r>
    </w:p>
    <w:p w14:paraId="22865BC3" w14:textId="77777777" w:rsidR="00251FA2" w:rsidRPr="00FD4A43" w:rsidRDefault="00251FA2" w:rsidP="00CB0F62">
      <w:pPr>
        <w:ind w:left="720"/>
      </w:pPr>
    </w:p>
    <w:p w14:paraId="177B0582" w14:textId="2CE377EF" w:rsidR="00251FA2" w:rsidRPr="00FD4A43" w:rsidRDefault="00251FA2" w:rsidP="00CB0F62">
      <w:pPr>
        <w:numPr>
          <w:ilvl w:val="2"/>
          <w:numId w:val="1"/>
        </w:numPr>
        <w:pBdr>
          <w:top w:val="nil"/>
          <w:left w:val="nil"/>
          <w:bottom w:val="nil"/>
          <w:right w:val="nil"/>
          <w:between w:val="nil"/>
        </w:pBdr>
        <w:ind w:left="720" w:firstLine="0"/>
      </w:pPr>
      <w:r w:rsidRPr="00FD4A43">
        <w:rPr>
          <w:highlight w:val="yellow"/>
        </w:rPr>
        <w:t xml:space="preserve">Close the polystyrene box and put it inside a cardboard shipping box. If there is no large cardboard box available, use a larger polystyrene box. Place the completed transportation manifest inside a </w:t>
      </w:r>
      <w:proofErr w:type="spellStart"/>
      <w:r w:rsidRPr="00FD4A43">
        <w:rPr>
          <w:highlight w:val="yellow"/>
        </w:rPr>
        <w:t>ziplock</w:t>
      </w:r>
      <w:proofErr w:type="spellEnd"/>
      <w:r w:rsidRPr="00FD4A43">
        <w:rPr>
          <w:highlight w:val="yellow"/>
        </w:rPr>
        <w:t xml:space="preserve"> bag and put it inside the box. </w:t>
      </w:r>
    </w:p>
    <w:p w14:paraId="658F1282" w14:textId="77777777" w:rsidR="00251FA2" w:rsidRPr="00FD4A43" w:rsidRDefault="00251FA2" w:rsidP="00CB0F62">
      <w:pPr>
        <w:ind w:left="720"/>
      </w:pPr>
    </w:p>
    <w:p w14:paraId="3CC5ED9A" w14:textId="77777777" w:rsidR="00251FA2" w:rsidRPr="00FD4A43" w:rsidRDefault="00251FA2" w:rsidP="00CB0F62">
      <w:pPr>
        <w:numPr>
          <w:ilvl w:val="2"/>
          <w:numId w:val="1"/>
        </w:numPr>
        <w:pBdr>
          <w:top w:val="nil"/>
          <w:left w:val="nil"/>
          <w:bottom w:val="nil"/>
          <w:right w:val="nil"/>
          <w:between w:val="nil"/>
        </w:pBdr>
        <w:ind w:left="720" w:firstLine="0"/>
      </w:pPr>
      <w:r w:rsidRPr="00FD4A43">
        <w:rPr>
          <w:highlight w:val="yellow"/>
        </w:rPr>
        <w:t>Seal the cardboard box and place the appropriate shipping label outside the box.</w:t>
      </w:r>
    </w:p>
    <w:p w14:paraId="103907C3" w14:textId="77777777" w:rsidR="00251FA2" w:rsidRPr="00FD4A43" w:rsidRDefault="00251FA2" w:rsidP="00251FA2">
      <w:pPr>
        <w:rPr>
          <w:highlight w:val="yellow"/>
        </w:rPr>
      </w:pPr>
    </w:p>
    <w:p w14:paraId="76EB7D02" w14:textId="77777777" w:rsidR="00251FA2" w:rsidRPr="00FD4A43" w:rsidRDefault="00251FA2" w:rsidP="00CB0F62">
      <w:pPr>
        <w:numPr>
          <w:ilvl w:val="1"/>
          <w:numId w:val="1"/>
        </w:numPr>
        <w:pBdr>
          <w:top w:val="nil"/>
          <w:left w:val="nil"/>
          <w:bottom w:val="nil"/>
          <w:right w:val="nil"/>
          <w:between w:val="nil"/>
        </w:pBdr>
        <w:ind w:left="0" w:firstLine="0"/>
      </w:pPr>
      <w:r w:rsidRPr="00FD4A43">
        <w:rPr>
          <w:highlight w:val="yellow"/>
        </w:rPr>
        <w:t xml:space="preserve">Inform the recipient of the specimen collection schedule and when the target sending of samples will be. </w:t>
      </w:r>
    </w:p>
    <w:p w14:paraId="4327A645" w14:textId="77777777" w:rsidR="00251FA2" w:rsidRPr="00FD4A43" w:rsidRDefault="00251FA2" w:rsidP="00251FA2"/>
    <w:p w14:paraId="1F31F65C" w14:textId="77777777" w:rsidR="00CB0F62" w:rsidRDefault="00251FA2" w:rsidP="00CB0F62">
      <w:pPr>
        <w:pStyle w:val="ListParagraph"/>
        <w:numPr>
          <w:ilvl w:val="2"/>
          <w:numId w:val="3"/>
        </w:numPr>
        <w:pBdr>
          <w:top w:val="nil"/>
          <w:left w:val="nil"/>
          <w:bottom w:val="nil"/>
          <w:right w:val="nil"/>
          <w:between w:val="nil"/>
        </w:pBdr>
        <w:ind w:left="1418"/>
        <w:rPr>
          <w:highlight w:val="white"/>
        </w:rPr>
      </w:pPr>
      <w:r w:rsidRPr="00CB0F62">
        <w:rPr>
          <w:highlight w:val="yellow"/>
        </w:rPr>
        <w:t>Once the samples are packed and the box is sealed, quickly book a courier to transport them.</w:t>
      </w:r>
      <w:r w:rsidRPr="00CB0F62">
        <w:rPr>
          <w:highlight w:val="white"/>
        </w:rPr>
        <w:t xml:space="preserve"> </w:t>
      </w:r>
    </w:p>
    <w:p w14:paraId="6F740F73" w14:textId="5460C352" w:rsidR="00251FA2" w:rsidRPr="00CB0F62" w:rsidRDefault="00251FA2" w:rsidP="00CB0F62">
      <w:pPr>
        <w:pStyle w:val="ListParagraph"/>
        <w:numPr>
          <w:ilvl w:val="2"/>
          <w:numId w:val="3"/>
        </w:numPr>
        <w:pBdr>
          <w:top w:val="nil"/>
          <w:left w:val="nil"/>
          <w:bottom w:val="nil"/>
          <w:right w:val="nil"/>
          <w:between w:val="nil"/>
        </w:pBdr>
        <w:ind w:left="1418"/>
        <w:rPr>
          <w:highlight w:val="white"/>
        </w:rPr>
      </w:pPr>
      <w:r w:rsidRPr="00CB0F62">
        <w:rPr>
          <w:highlight w:val="yellow"/>
        </w:rPr>
        <w:t>Prior to handing off to the courier, take note of the number of vials/tubes shipped and the time the courier left the Biobank.</w:t>
      </w:r>
    </w:p>
    <w:sectPr w:rsidR="00251FA2" w:rsidRPr="00CB0F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107"/>
    <w:multiLevelType w:val="multilevel"/>
    <w:tmpl w:val="24A2A320"/>
    <w:lvl w:ilvl="0">
      <w:start w:val="3"/>
      <w:numFmt w:val="decimal"/>
      <w:lvlText w:val="%1"/>
      <w:lvlJc w:val="left"/>
      <w:pPr>
        <w:ind w:left="500" w:hanging="500"/>
      </w:pPr>
      <w:rPr>
        <w:rFonts w:hint="default"/>
      </w:rPr>
    </w:lvl>
    <w:lvl w:ilvl="1">
      <w:start w:val="3"/>
      <w:numFmt w:val="decimal"/>
      <w:lvlText w:val="%1.%2"/>
      <w:lvlJc w:val="left"/>
      <w:pPr>
        <w:ind w:left="1364" w:hanging="50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1" w15:restartNumberingAfterBreak="0">
    <w:nsid w:val="45453855"/>
    <w:multiLevelType w:val="multilevel"/>
    <w:tmpl w:val="396EA78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A9396F"/>
    <w:multiLevelType w:val="multilevel"/>
    <w:tmpl w:val="274615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445091">
    <w:abstractNumId w:val="1"/>
  </w:num>
  <w:num w:numId="2" w16cid:durableId="578171253">
    <w:abstractNumId w:val="2"/>
  </w:num>
  <w:num w:numId="3" w16cid:durableId="126780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A2"/>
    <w:rsid w:val="00192795"/>
    <w:rsid w:val="001C0B94"/>
    <w:rsid w:val="00251FA2"/>
    <w:rsid w:val="00435DC2"/>
    <w:rsid w:val="006F4170"/>
    <w:rsid w:val="00872D06"/>
    <w:rsid w:val="00CB0F62"/>
    <w:rsid w:val="00D34A02"/>
    <w:rsid w:val="00EB3D0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011B4074"/>
  <w15:chartTrackingRefBased/>
  <w15:docId w15:val="{5A837491-99EE-7A42-B66B-F36A9698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FA2"/>
    <w:pPr>
      <w:widowControl w:val="0"/>
      <w:spacing w:after="0" w:line="240" w:lineRule="auto"/>
      <w:jc w:val="both"/>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251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F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F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F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F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FA2"/>
    <w:rPr>
      <w:rFonts w:eastAsiaTheme="majorEastAsia" w:cstheme="majorBidi"/>
      <w:color w:val="272727" w:themeColor="text1" w:themeTint="D8"/>
    </w:rPr>
  </w:style>
  <w:style w:type="paragraph" w:styleId="Title">
    <w:name w:val="Title"/>
    <w:basedOn w:val="Normal"/>
    <w:next w:val="Normal"/>
    <w:link w:val="TitleChar"/>
    <w:uiPriority w:val="10"/>
    <w:qFormat/>
    <w:rsid w:val="00251F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FA2"/>
    <w:pPr>
      <w:spacing w:before="160"/>
      <w:jc w:val="center"/>
    </w:pPr>
    <w:rPr>
      <w:i/>
      <w:iCs/>
      <w:color w:val="404040" w:themeColor="text1" w:themeTint="BF"/>
    </w:rPr>
  </w:style>
  <w:style w:type="character" w:customStyle="1" w:styleId="QuoteChar">
    <w:name w:val="Quote Char"/>
    <w:basedOn w:val="DefaultParagraphFont"/>
    <w:link w:val="Quote"/>
    <w:uiPriority w:val="29"/>
    <w:rsid w:val="00251FA2"/>
    <w:rPr>
      <w:i/>
      <w:iCs/>
      <w:color w:val="404040" w:themeColor="text1" w:themeTint="BF"/>
    </w:rPr>
  </w:style>
  <w:style w:type="paragraph" w:styleId="ListParagraph">
    <w:name w:val="List Paragraph"/>
    <w:basedOn w:val="Normal"/>
    <w:uiPriority w:val="34"/>
    <w:qFormat/>
    <w:rsid w:val="00251FA2"/>
    <w:pPr>
      <w:ind w:left="720"/>
      <w:contextualSpacing/>
    </w:pPr>
  </w:style>
  <w:style w:type="character" w:styleId="IntenseEmphasis">
    <w:name w:val="Intense Emphasis"/>
    <w:basedOn w:val="DefaultParagraphFont"/>
    <w:uiPriority w:val="21"/>
    <w:qFormat/>
    <w:rsid w:val="00251FA2"/>
    <w:rPr>
      <w:i/>
      <w:iCs/>
      <w:color w:val="0F4761" w:themeColor="accent1" w:themeShade="BF"/>
    </w:rPr>
  </w:style>
  <w:style w:type="paragraph" w:styleId="IntenseQuote">
    <w:name w:val="Intense Quote"/>
    <w:basedOn w:val="Normal"/>
    <w:next w:val="Normal"/>
    <w:link w:val="IntenseQuoteChar"/>
    <w:uiPriority w:val="30"/>
    <w:qFormat/>
    <w:rsid w:val="00251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FA2"/>
    <w:rPr>
      <w:i/>
      <w:iCs/>
      <w:color w:val="0F4761" w:themeColor="accent1" w:themeShade="BF"/>
    </w:rPr>
  </w:style>
  <w:style w:type="character" w:styleId="IntenseReference">
    <w:name w:val="Intense Reference"/>
    <w:basedOn w:val="DefaultParagraphFont"/>
    <w:uiPriority w:val="32"/>
    <w:qFormat/>
    <w:rsid w:val="00251F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Easter Joy Sajo</dc:creator>
  <cp:keywords/>
  <dc:description/>
  <cp:lastModifiedBy>Ma Easter Joy Sajo</cp:lastModifiedBy>
  <cp:revision>2</cp:revision>
  <dcterms:created xsi:type="dcterms:W3CDTF">2025-05-19T02:09:00Z</dcterms:created>
  <dcterms:modified xsi:type="dcterms:W3CDTF">2025-05-19T02:32:00Z</dcterms:modified>
</cp:coreProperties>
</file>