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3DE35A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437C3">
        <w:rPr>
          <w:rFonts w:eastAsia="Times New Roman" w:cstheme="minorHAnsi"/>
          <w:b/>
        </w:rPr>
        <w:t>66923</w:t>
      </w:r>
    </w:p>
    <w:p w14:paraId="2F6924E5" w14:textId="1D24ACD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437C3">
        <w:rPr>
          <w:rFonts w:eastAsia="Times New Roman" w:cstheme="minorHAnsi"/>
          <w:b/>
        </w:rPr>
        <w:t>Debopriya Sadhukhan</w:t>
      </w:r>
    </w:p>
    <w:p w14:paraId="6FB9233B" w14:textId="71A082E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437C3" w:rsidRPr="004615D0">
          <w:rPr>
            <w:rStyle w:val="Hyperlink"/>
            <w:rFonts w:eastAsia="Times New Roman" w:cstheme="minorHAnsi"/>
            <w:b/>
          </w:rPr>
          <w:t>https://review.jove.com/account/file-uploader?src=20411563</w:t>
        </w:r>
      </w:hyperlink>
      <w:r w:rsidR="00E437C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78F842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437C3" w:rsidRPr="00E437C3">
        <w:rPr>
          <w:rFonts w:ascii="Calibri" w:hAnsi="Calibri" w:cs="Calibri"/>
          <w:b/>
          <w:bCs/>
          <w:sz w:val="32"/>
          <w:szCs w:val="32"/>
        </w:rPr>
        <w:t xml:space="preserve">Mechanistic Insights into Salidroside’s Mitochondrial Protection </w:t>
      </w:r>
      <w:r w:rsidR="00E437C3" w:rsidRPr="00E437C3">
        <w:rPr>
          <w:rFonts w:ascii="Calibri" w:hAnsi="Calibri" w:cs="Calibri"/>
          <w:b/>
          <w:bCs/>
          <w:i/>
          <w:iCs/>
          <w:sz w:val="32"/>
          <w:szCs w:val="32"/>
        </w:rPr>
        <w:t>via</w:t>
      </w:r>
      <w:r w:rsidR="00E437C3" w:rsidRPr="00E437C3">
        <w:rPr>
          <w:rFonts w:ascii="Calibri" w:hAnsi="Calibri" w:cs="Calibri"/>
          <w:b/>
          <w:bCs/>
          <w:sz w:val="32"/>
          <w:szCs w:val="32"/>
        </w:rPr>
        <w:t xml:space="preserve"> </w:t>
      </w:r>
      <w:bookmarkStart w:id="0" w:name="OLE_LINK22"/>
      <w:bookmarkStart w:id="1" w:name="OLE_LINK20"/>
      <w:r w:rsidR="00E437C3" w:rsidRPr="00E437C3">
        <w:rPr>
          <w:rFonts w:ascii="Calibri" w:hAnsi="Calibri" w:cs="Calibri"/>
          <w:b/>
          <w:bCs/>
          <w:sz w:val="32"/>
          <w:szCs w:val="32"/>
        </w:rPr>
        <w:t>AMPK/Sirt1/HIF-1α</w:t>
      </w:r>
      <w:bookmarkEnd w:id="0"/>
      <w:r w:rsidR="00E437C3" w:rsidRPr="00E437C3">
        <w:rPr>
          <w:rFonts w:ascii="Calibri" w:hAnsi="Calibri" w:cs="Calibri"/>
          <w:b/>
          <w:bCs/>
          <w:sz w:val="32"/>
          <w:szCs w:val="32"/>
        </w:rPr>
        <w:t xml:space="preserve"> Pathway</w:t>
      </w:r>
      <w:bookmarkEnd w:id="1"/>
      <w:r w:rsidR="00E437C3" w:rsidRPr="00E437C3">
        <w:rPr>
          <w:rFonts w:ascii="Calibri" w:hAnsi="Calibri" w:cs="Calibri"/>
          <w:b/>
          <w:bCs/>
          <w:sz w:val="32"/>
          <w:szCs w:val="32"/>
        </w:rPr>
        <w:t xml:space="preserve"> in Hypoxic HT22 Cells</w:t>
      </w:r>
    </w:p>
    <w:p w14:paraId="4A0C5B67" w14:textId="23814C1E" w:rsidR="004E0C5A" w:rsidRDefault="004E0C5A" w:rsidP="004E0C5A">
      <w:pPr>
        <w:outlineLvl w:val="0"/>
        <w:rPr>
          <w:rFonts w:eastAsia="Times New Roman" w:cstheme="minorHAnsi"/>
          <w:b/>
        </w:rPr>
      </w:pPr>
    </w:p>
    <w:p w14:paraId="571B4839" w14:textId="2A554374" w:rsidR="00EC3C46" w:rsidRPr="00001E1A" w:rsidRDefault="00EC3C46" w:rsidP="00EC3C46">
      <w:pPr>
        <w:outlineLvl w:val="0"/>
        <w:rPr>
          <w:rFonts w:cstheme="minorHAnsi"/>
          <w:b/>
          <w:sz w:val="28"/>
          <w:szCs w:val="28"/>
          <w:lang w:eastAsia="zh-CN"/>
        </w:rPr>
      </w:pPr>
      <w:r w:rsidRPr="00B07A3B">
        <w:rPr>
          <w:rFonts w:eastAsia="Times New Roman" w:cstheme="minorHAnsi"/>
          <w:b/>
          <w:sz w:val="28"/>
          <w:szCs w:val="28"/>
        </w:rPr>
        <w:t>Authors and Affiliations:</w:t>
      </w:r>
    </w:p>
    <w:p w14:paraId="1E1EDB52" w14:textId="77777777" w:rsidR="00E437C3" w:rsidRDefault="00E437C3" w:rsidP="00E437C3">
      <w:pPr>
        <w:rPr>
          <w:rFonts w:ascii="Calibri" w:hAnsi="Calibri" w:cs="Calibri"/>
        </w:rPr>
      </w:pPr>
    </w:p>
    <w:p w14:paraId="5C93D417" w14:textId="3CBF680A" w:rsidR="00E437C3" w:rsidRPr="00ED0199" w:rsidRDefault="00E437C3" w:rsidP="00E437C3">
      <w:pPr>
        <w:rPr>
          <w:rFonts w:ascii="Calibri" w:hAnsi="Calibri" w:cs="Calibri"/>
        </w:rPr>
      </w:pPr>
      <w:r w:rsidRPr="00ED0199">
        <w:rPr>
          <w:rFonts w:ascii="Calibri" w:hAnsi="Calibri" w:cs="Calibri"/>
        </w:rPr>
        <w:t>Xiaobo Wang</w:t>
      </w:r>
      <w:r w:rsidRPr="00ED0199">
        <w:rPr>
          <w:rFonts w:ascii="Calibri" w:hAnsi="Calibri" w:cs="Calibri"/>
          <w:vertAlign w:val="superscript"/>
        </w:rPr>
        <w:t>1,2,3</w:t>
      </w:r>
      <w:r w:rsidRPr="00ED0199">
        <w:rPr>
          <w:rFonts w:ascii="Calibri" w:hAnsi="Calibri" w:cs="Calibri"/>
        </w:rPr>
        <w:t>, Yating Zhang</w:t>
      </w:r>
      <w:r w:rsidRPr="00ED0199">
        <w:rPr>
          <w:rFonts w:ascii="Calibri" w:hAnsi="Calibri" w:cs="Calibri"/>
          <w:vertAlign w:val="superscript"/>
        </w:rPr>
        <w:t>1</w:t>
      </w:r>
      <w:r w:rsidRPr="00ED0199">
        <w:rPr>
          <w:rFonts w:ascii="Calibri" w:hAnsi="Calibri" w:cs="Calibri"/>
        </w:rPr>
        <w:t>, Ya Hou</w:t>
      </w:r>
      <w:r w:rsidRPr="00ED0199">
        <w:rPr>
          <w:rFonts w:ascii="Calibri" w:hAnsi="Calibri" w:cs="Calibri"/>
          <w:vertAlign w:val="superscript"/>
        </w:rPr>
        <w:t>1</w:t>
      </w:r>
      <w:r w:rsidRPr="00ED0199">
        <w:rPr>
          <w:rFonts w:ascii="Calibri" w:hAnsi="Calibri" w:cs="Calibri"/>
        </w:rPr>
        <w:t>, Hong Jiang</w:t>
      </w:r>
      <w:r w:rsidRPr="00ED0199">
        <w:rPr>
          <w:rFonts w:ascii="Calibri" w:hAnsi="Calibri" w:cs="Calibri"/>
          <w:vertAlign w:val="superscript"/>
        </w:rPr>
        <w:t>1</w:t>
      </w:r>
      <w:r w:rsidRPr="00ED0199">
        <w:rPr>
          <w:rFonts w:ascii="Calibri" w:hAnsi="Calibri" w:cs="Calibri"/>
        </w:rPr>
        <w:t>, Tingting Kuang</w:t>
      </w:r>
      <w:r w:rsidRPr="00ED0199">
        <w:rPr>
          <w:rFonts w:ascii="Calibri" w:hAnsi="Calibri" w:cs="Calibri"/>
          <w:vertAlign w:val="superscript"/>
        </w:rPr>
        <w:t>1</w:t>
      </w:r>
      <w:r w:rsidRPr="00ED0199">
        <w:rPr>
          <w:rFonts w:ascii="Calibri" w:hAnsi="Calibri" w:cs="Calibri"/>
        </w:rPr>
        <w:t>, Rui Li</w:t>
      </w:r>
      <w:r w:rsidRPr="00ED0199">
        <w:rPr>
          <w:rFonts w:ascii="Calibri" w:hAnsi="Calibri" w:cs="Calibri"/>
          <w:vertAlign w:val="superscript"/>
        </w:rPr>
        <w:t>3</w:t>
      </w:r>
      <w:r w:rsidRPr="00ED0199">
        <w:rPr>
          <w:rFonts w:ascii="Calibri" w:hAnsi="Calibri" w:cs="Calibri"/>
        </w:rPr>
        <w:t xml:space="preserve">, </w:t>
      </w:r>
      <w:proofErr w:type="spellStart"/>
      <w:r w:rsidRPr="00ED0199">
        <w:rPr>
          <w:rFonts w:ascii="Calibri" w:hAnsi="Calibri" w:cs="Calibri"/>
        </w:rPr>
        <w:t>Xianli</w:t>
      </w:r>
      <w:proofErr w:type="spellEnd"/>
      <w:r w:rsidRPr="00ED0199">
        <w:rPr>
          <w:rFonts w:ascii="Calibri" w:hAnsi="Calibri" w:cs="Calibri"/>
        </w:rPr>
        <w:t xml:space="preserve"> Meng</w:t>
      </w:r>
      <w:r w:rsidRPr="00ED0199">
        <w:rPr>
          <w:rFonts w:ascii="Calibri" w:hAnsi="Calibri" w:cs="Calibri"/>
          <w:vertAlign w:val="superscript"/>
        </w:rPr>
        <w:t>1,2,3</w:t>
      </w:r>
    </w:p>
    <w:p w14:paraId="2E3C6207" w14:textId="77777777" w:rsidR="00E437C3" w:rsidRPr="00ED0199" w:rsidRDefault="00E437C3" w:rsidP="00E437C3">
      <w:pPr>
        <w:rPr>
          <w:rFonts w:ascii="Calibri" w:hAnsi="Calibri" w:cs="Calibri"/>
        </w:rPr>
      </w:pPr>
    </w:p>
    <w:p w14:paraId="5D89810E" w14:textId="2E1AED6F" w:rsidR="00E437C3" w:rsidRPr="00ED0199" w:rsidRDefault="00E437C3" w:rsidP="00E437C3">
      <w:pPr>
        <w:rPr>
          <w:rFonts w:ascii="Calibri" w:hAnsi="Calibri" w:cs="Calibri"/>
        </w:rPr>
      </w:pPr>
      <w:r w:rsidRPr="00ED0199">
        <w:rPr>
          <w:rFonts w:ascii="Calibri" w:hAnsi="Calibri" w:cs="Calibri"/>
          <w:vertAlign w:val="superscript"/>
        </w:rPr>
        <w:t>1</w:t>
      </w:r>
      <w:r w:rsidRPr="00ED0199">
        <w:rPr>
          <w:rFonts w:ascii="Calibri" w:hAnsi="Calibri" w:cs="Calibri"/>
        </w:rPr>
        <w:t>School of Pharmacy/School of Modern Chinese Medicine Industry, Chengdu University of Traditional Chinese Medicine</w:t>
      </w:r>
    </w:p>
    <w:p w14:paraId="7F28E01B" w14:textId="331EF19A" w:rsidR="00E437C3" w:rsidRPr="00ED0199" w:rsidRDefault="00E437C3" w:rsidP="00E437C3">
      <w:pPr>
        <w:rPr>
          <w:rFonts w:ascii="Calibri" w:hAnsi="Calibri" w:cs="Calibri"/>
        </w:rPr>
      </w:pPr>
      <w:r w:rsidRPr="00ED0199">
        <w:rPr>
          <w:rFonts w:ascii="Calibri" w:hAnsi="Calibri" w:cs="Calibri"/>
          <w:vertAlign w:val="superscript"/>
        </w:rPr>
        <w:t>2</w:t>
      </w:r>
      <w:r w:rsidRPr="00ED0199">
        <w:rPr>
          <w:rFonts w:ascii="Calibri" w:hAnsi="Calibri" w:cs="Calibri"/>
        </w:rPr>
        <w:t xml:space="preserve">Innovative Institute of Chinese Medicine and Pharmacy/Academy for </w:t>
      </w:r>
      <w:proofErr w:type="spellStart"/>
      <w:r w:rsidRPr="00ED0199">
        <w:rPr>
          <w:rFonts w:ascii="Calibri" w:hAnsi="Calibri" w:cs="Calibri"/>
        </w:rPr>
        <w:t>Interdiscipline</w:t>
      </w:r>
      <w:proofErr w:type="spellEnd"/>
      <w:r w:rsidRPr="00ED0199">
        <w:rPr>
          <w:rFonts w:ascii="Calibri" w:hAnsi="Calibri" w:cs="Calibri"/>
        </w:rPr>
        <w:t>, Chengdu University of Traditional Chinese Medicine</w:t>
      </w:r>
    </w:p>
    <w:p w14:paraId="33CD999C" w14:textId="1B63B479" w:rsidR="00D6314B" w:rsidRDefault="00E437C3" w:rsidP="00E437C3">
      <w:pPr>
        <w:outlineLvl w:val="0"/>
        <w:rPr>
          <w:rFonts w:eastAsia="Times New Roman" w:cstheme="minorHAnsi"/>
          <w:b/>
          <w:sz w:val="28"/>
          <w:szCs w:val="28"/>
        </w:rPr>
      </w:pPr>
      <w:r w:rsidRPr="00ED0199">
        <w:rPr>
          <w:rFonts w:ascii="Calibri" w:hAnsi="Calibri" w:cs="Calibri"/>
          <w:vertAlign w:val="superscript"/>
        </w:rPr>
        <w:t>3</w:t>
      </w:r>
      <w:r w:rsidRPr="00ED0199">
        <w:rPr>
          <w:rFonts w:ascii="Calibri" w:hAnsi="Calibri" w:cs="Calibri"/>
        </w:rPr>
        <w:t>Research Service Office, Traditional Chinese Medicine Hospital of Meishan</w:t>
      </w:r>
    </w:p>
    <w:p w14:paraId="74A3CDA1" w14:textId="77777777" w:rsidR="00D6314B" w:rsidRPr="00B07A3B" w:rsidRDefault="00D6314B" w:rsidP="00EC3C46">
      <w:pPr>
        <w:outlineLvl w:val="0"/>
        <w:rPr>
          <w:rFonts w:eastAsia="Times New Roman" w:cstheme="minorHAnsi"/>
          <w:b/>
          <w:sz w:val="28"/>
          <w:szCs w:val="28"/>
        </w:rPr>
      </w:pPr>
    </w:p>
    <w:p w14:paraId="0CF5E19E" w14:textId="31BDEB7E" w:rsidR="004E0C5A" w:rsidRPr="00195D5F" w:rsidRDefault="004E0C5A" w:rsidP="004E0C5A">
      <w:pPr>
        <w:widowControl w:val="0"/>
        <w:autoSpaceDE w:val="0"/>
        <w:autoSpaceDN w:val="0"/>
        <w:adjustRightInd w:val="0"/>
        <w:rPr>
          <w:rFonts w:cstheme="minorHAnsi"/>
          <w:color w:val="FF0000"/>
          <w:lang w:eastAsia="zh-CN"/>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2" w:name="_Hlk25233958"/>
    </w:p>
    <w:p w14:paraId="5381F895" w14:textId="77777777" w:rsidR="00E437C3" w:rsidRPr="00ED0199" w:rsidRDefault="00E437C3" w:rsidP="00E437C3">
      <w:pPr>
        <w:rPr>
          <w:rFonts w:ascii="Calibri" w:hAnsi="Calibri" w:cs="Calibri"/>
        </w:rPr>
      </w:pPr>
      <w:r w:rsidRPr="00ED0199">
        <w:rPr>
          <w:rFonts w:ascii="Calibri" w:hAnsi="Calibri" w:cs="Calibri"/>
        </w:rPr>
        <w:t>Rui Li</w:t>
      </w:r>
      <w:r w:rsidRPr="00ED0199">
        <w:rPr>
          <w:rFonts w:ascii="Calibri" w:hAnsi="Calibri" w:cs="Calibri"/>
        </w:rPr>
        <w:tab/>
      </w:r>
      <w:r w:rsidRPr="00ED0199">
        <w:rPr>
          <w:rFonts w:ascii="Calibri" w:hAnsi="Calibri" w:cs="Calibri"/>
        </w:rPr>
        <w:tab/>
      </w:r>
      <w:r w:rsidRPr="00ED0199">
        <w:rPr>
          <w:rFonts w:ascii="Calibri" w:hAnsi="Calibri" w:cs="Calibri"/>
        </w:rPr>
        <w:tab/>
        <w:t>(</w:t>
      </w:r>
      <w:r w:rsidRPr="00ED0199">
        <w:rPr>
          <w:rStyle w:val="15"/>
          <w:rFonts w:ascii="Calibri" w:hAnsi="Calibri" w:cs="Calibri" w:hint="default"/>
        </w:rPr>
        <w:t>ruilee@cdutcm.edu.cn</w:t>
      </w:r>
      <w:r w:rsidRPr="00ED0199">
        <w:rPr>
          <w:rFonts w:ascii="Calibri" w:hAnsi="Calibri" w:cs="Calibri"/>
        </w:rPr>
        <w:t>)</w:t>
      </w:r>
    </w:p>
    <w:p w14:paraId="3C2A4239" w14:textId="1D13829E" w:rsidR="00E437C3" w:rsidRPr="00ED0199" w:rsidRDefault="00E437C3" w:rsidP="00E437C3">
      <w:pPr>
        <w:rPr>
          <w:rFonts w:ascii="Calibri" w:hAnsi="Calibri" w:cs="Calibri"/>
        </w:rPr>
      </w:pPr>
      <w:bookmarkStart w:id="3" w:name="_Hlk186283663"/>
      <w:proofErr w:type="spellStart"/>
      <w:r w:rsidRPr="00ED0199">
        <w:rPr>
          <w:rFonts w:ascii="Calibri" w:hAnsi="Calibri" w:cs="Calibri"/>
        </w:rPr>
        <w:t>Xianli</w:t>
      </w:r>
      <w:proofErr w:type="spellEnd"/>
      <w:r w:rsidRPr="00ED0199">
        <w:rPr>
          <w:rFonts w:ascii="Calibri" w:hAnsi="Calibri" w:cs="Calibri"/>
        </w:rPr>
        <w:t xml:space="preserve"> Meng</w:t>
      </w:r>
      <w:r w:rsidRPr="00ED0199">
        <w:rPr>
          <w:rFonts w:ascii="Calibri" w:hAnsi="Calibri" w:cs="Calibri"/>
        </w:rPr>
        <w:tab/>
      </w:r>
      <w:r w:rsidRPr="00ED0199">
        <w:rPr>
          <w:rFonts w:ascii="Calibri" w:hAnsi="Calibri" w:cs="Calibri"/>
        </w:rPr>
        <w:tab/>
        <w:t>(</w:t>
      </w:r>
      <w:r w:rsidRPr="00ED0199">
        <w:rPr>
          <w:rStyle w:val="15"/>
          <w:rFonts w:ascii="Calibri" w:hAnsi="Calibri" w:cs="Calibri" w:hint="default"/>
        </w:rPr>
        <w:t>xlm999@cdutcm.edu.cn</w:t>
      </w:r>
      <w:r w:rsidRPr="00ED0199">
        <w:rPr>
          <w:rFonts w:ascii="Calibri" w:hAnsi="Calibri" w:cs="Calibri"/>
        </w:rPr>
        <w:t>)</w:t>
      </w:r>
    </w:p>
    <w:bookmarkEnd w:id="3"/>
    <w:p w14:paraId="3C3B533C" w14:textId="77777777" w:rsidR="00E437C3" w:rsidRPr="00ED0199" w:rsidRDefault="00E437C3" w:rsidP="00E437C3">
      <w:pPr>
        <w:rPr>
          <w:rFonts w:ascii="Calibri" w:hAnsi="Calibri" w:cs="Calibri"/>
        </w:rPr>
      </w:pPr>
      <w:r w:rsidRPr="00ED0199">
        <w:rPr>
          <w:rFonts w:ascii="Calibri" w:hAnsi="Calibri" w:cs="Calibri"/>
        </w:rPr>
        <w:t>Xiaobo Wang</w:t>
      </w:r>
      <w:r w:rsidRPr="00ED0199">
        <w:rPr>
          <w:rFonts w:ascii="Calibri" w:hAnsi="Calibri" w:cs="Calibri"/>
        </w:rPr>
        <w:tab/>
        <w:t>(</w:t>
      </w:r>
      <w:hyperlink r:id="rId8" w:history="1">
        <w:r w:rsidRPr="00ED0199">
          <w:rPr>
            <w:rStyle w:val="15"/>
            <w:rFonts w:ascii="Calibri" w:hAnsi="Calibri" w:cs="Calibri" w:hint="default"/>
          </w:rPr>
          <w:t>Vitadrwang@cdutcm.edu.cn</w:t>
        </w:r>
      </w:hyperlink>
      <w:r w:rsidRPr="00ED0199">
        <w:rPr>
          <w:rFonts w:ascii="Calibri" w:hAnsi="Calibri" w:cs="Calibri"/>
        </w:rPr>
        <w:t>)</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2916965" w14:textId="77777777" w:rsidR="003B5E26" w:rsidRPr="00B07A3B" w:rsidRDefault="003B5E26" w:rsidP="009A0E7C">
      <w:pPr>
        <w:outlineLvl w:val="0"/>
        <w:rPr>
          <w:rFonts w:cstheme="minorHAnsi"/>
          <w:b/>
          <w:sz w:val="22"/>
          <w:szCs w:val="22"/>
        </w:rPr>
      </w:pPr>
    </w:p>
    <w:p w14:paraId="6F84F159" w14:textId="5D30F171" w:rsidR="003B5E26" w:rsidRPr="00B07A3B" w:rsidRDefault="00E437C3" w:rsidP="009A0E7C">
      <w:pPr>
        <w:outlineLvl w:val="0"/>
        <w:rPr>
          <w:rFonts w:cstheme="minorHAnsi"/>
          <w:b/>
          <w:sz w:val="22"/>
          <w:szCs w:val="22"/>
        </w:rPr>
      </w:pPr>
      <w:r w:rsidRPr="00ED0199">
        <w:rPr>
          <w:rFonts w:ascii="Calibri" w:hAnsi="Calibri" w:cs="Calibri"/>
        </w:rPr>
        <w:t>Xiaobo Wang</w:t>
      </w:r>
      <w:r w:rsidRPr="00ED0199">
        <w:rPr>
          <w:rFonts w:ascii="Calibri" w:hAnsi="Calibri" w:cs="Calibri"/>
        </w:rPr>
        <w:tab/>
        <w:t>(</w:t>
      </w:r>
      <w:hyperlink r:id="rId9" w:history="1">
        <w:r w:rsidRPr="00ED0199">
          <w:rPr>
            <w:rStyle w:val="15"/>
            <w:rFonts w:ascii="Calibri" w:hAnsi="Calibri" w:cs="Calibri" w:hint="default"/>
          </w:rPr>
          <w:t>Vitadrwang@cdutcm.edu.cn</w:t>
        </w:r>
      </w:hyperlink>
      <w:r w:rsidRPr="00ED0199">
        <w:rPr>
          <w:rFonts w:ascii="Calibri" w:hAnsi="Calibri" w:cs="Calibri"/>
        </w:rPr>
        <w:t>)</w:t>
      </w:r>
    </w:p>
    <w:p w14:paraId="0B8B6AC7" w14:textId="77777777" w:rsidR="00E437C3" w:rsidRPr="00ED0199" w:rsidRDefault="00E437C3" w:rsidP="00E437C3">
      <w:pPr>
        <w:rPr>
          <w:rFonts w:ascii="Calibri" w:hAnsi="Calibri" w:cs="Calibri"/>
        </w:rPr>
      </w:pPr>
      <w:r w:rsidRPr="00ED0199">
        <w:rPr>
          <w:rFonts w:ascii="Calibri" w:hAnsi="Calibri" w:cs="Calibri"/>
        </w:rPr>
        <w:t>Yating Zhang</w:t>
      </w:r>
      <w:r w:rsidRPr="00ED0199">
        <w:rPr>
          <w:rFonts w:ascii="Calibri" w:hAnsi="Calibri" w:cs="Calibri"/>
        </w:rPr>
        <w:tab/>
      </w:r>
      <w:r w:rsidRPr="00ED0199">
        <w:rPr>
          <w:rFonts w:ascii="Calibri" w:hAnsi="Calibri" w:cs="Calibri"/>
        </w:rPr>
        <w:tab/>
        <w:t>(</w:t>
      </w:r>
      <w:hyperlink r:id="rId10" w:history="1">
        <w:r w:rsidRPr="00ED0199">
          <w:rPr>
            <w:rStyle w:val="Hyperlink"/>
            <w:rFonts w:ascii="Calibri" w:hAnsi="Calibri" w:cs="Calibri"/>
          </w:rPr>
          <w:t>zhangyating@stu.cdutcm.edu.cn</w:t>
        </w:r>
      </w:hyperlink>
      <w:r w:rsidRPr="00ED0199">
        <w:rPr>
          <w:rStyle w:val="15"/>
          <w:rFonts w:ascii="Calibri" w:hAnsi="Calibri" w:cs="Calibri" w:hint="default"/>
        </w:rPr>
        <w:t>)</w:t>
      </w:r>
    </w:p>
    <w:p w14:paraId="7E8C145A" w14:textId="77777777" w:rsidR="00E437C3" w:rsidRPr="00ED0199" w:rsidRDefault="00E437C3" w:rsidP="00E437C3">
      <w:pPr>
        <w:rPr>
          <w:rStyle w:val="15"/>
          <w:rFonts w:ascii="Calibri" w:hAnsi="Calibri" w:cs="Calibri" w:hint="default"/>
        </w:rPr>
      </w:pPr>
      <w:r w:rsidRPr="00ED0199">
        <w:rPr>
          <w:rFonts w:ascii="Calibri" w:hAnsi="Calibri" w:cs="Calibri"/>
        </w:rPr>
        <w:t>Ya Hou</w:t>
      </w:r>
      <w:r w:rsidRPr="00ED0199">
        <w:rPr>
          <w:rFonts w:ascii="Calibri" w:hAnsi="Calibri" w:cs="Calibri"/>
        </w:rPr>
        <w:tab/>
      </w:r>
      <w:r w:rsidRPr="00ED0199">
        <w:rPr>
          <w:rFonts w:ascii="Calibri" w:hAnsi="Calibri" w:cs="Calibri"/>
        </w:rPr>
        <w:tab/>
      </w:r>
      <w:r w:rsidRPr="00ED0199">
        <w:rPr>
          <w:rFonts w:ascii="Calibri" w:hAnsi="Calibri" w:cs="Calibri"/>
        </w:rPr>
        <w:tab/>
        <w:t>(</w:t>
      </w:r>
      <w:hyperlink r:id="rId11" w:history="1">
        <w:r w:rsidRPr="00ED0199">
          <w:rPr>
            <w:rStyle w:val="Hyperlink"/>
            <w:rFonts w:ascii="Calibri" w:hAnsi="Calibri" w:cs="Calibri"/>
          </w:rPr>
          <w:t>yahou@cdutcm.edu.cn</w:t>
        </w:r>
      </w:hyperlink>
      <w:r w:rsidRPr="00ED0199">
        <w:rPr>
          <w:rStyle w:val="Hyperlink"/>
          <w:rFonts w:ascii="Calibri" w:hAnsi="Calibri" w:cs="Calibri"/>
        </w:rPr>
        <w:t>)</w:t>
      </w:r>
    </w:p>
    <w:p w14:paraId="5EF5CC83" w14:textId="77777777" w:rsidR="00E437C3" w:rsidRPr="00ED0199" w:rsidRDefault="00E437C3" w:rsidP="00E437C3">
      <w:pPr>
        <w:rPr>
          <w:rStyle w:val="15"/>
          <w:rFonts w:ascii="Calibri" w:hAnsi="Calibri" w:cs="Calibri" w:hint="default"/>
        </w:rPr>
      </w:pPr>
      <w:r w:rsidRPr="00ED0199">
        <w:rPr>
          <w:rFonts w:ascii="Calibri" w:hAnsi="Calibri" w:cs="Calibri"/>
        </w:rPr>
        <w:t>Hong Jiang</w:t>
      </w:r>
      <w:r w:rsidRPr="00ED0199">
        <w:rPr>
          <w:rFonts w:ascii="Calibri" w:hAnsi="Calibri" w:cs="Calibri"/>
        </w:rPr>
        <w:tab/>
      </w:r>
      <w:r w:rsidRPr="00ED0199">
        <w:rPr>
          <w:rFonts w:ascii="Calibri" w:hAnsi="Calibri" w:cs="Calibri"/>
        </w:rPr>
        <w:tab/>
        <w:t>(</w:t>
      </w:r>
      <w:hyperlink r:id="rId12" w:history="1">
        <w:r w:rsidRPr="00ED0199">
          <w:rPr>
            <w:rStyle w:val="15"/>
            <w:rFonts w:ascii="Calibri" w:hAnsi="Calibri" w:cs="Calibri" w:hint="default"/>
          </w:rPr>
          <w:t>jianghong@stu.cdutcm.edu.cn</w:t>
        </w:r>
      </w:hyperlink>
      <w:r w:rsidRPr="00ED0199">
        <w:rPr>
          <w:rStyle w:val="15"/>
          <w:rFonts w:ascii="Calibri" w:hAnsi="Calibri" w:cs="Calibri" w:hint="default"/>
        </w:rPr>
        <w:t>)</w:t>
      </w:r>
    </w:p>
    <w:p w14:paraId="5A2BE33C" w14:textId="16B39555" w:rsidR="001E230F" w:rsidRPr="00B07A3B" w:rsidRDefault="00E437C3" w:rsidP="00E437C3">
      <w:pPr>
        <w:outlineLvl w:val="0"/>
        <w:rPr>
          <w:rFonts w:cstheme="minorHAnsi"/>
          <w:b/>
          <w:sz w:val="22"/>
          <w:szCs w:val="22"/>
        </w:rPr>
      </w:pPr>
      <w:r w:rsidRPr="00ED0199">
        <w:rPr>
          <w:rFonts w:ascii="Calibri" w:hAnsi="Calibri" w:cs="Calibri"/>
        </w:rPr>
        <w:t xml:space="preserve">Tingting Kuang   </w:t>
      </w:r>
      <w:r w:rsidRPr="00ED0199">
        <w:rPr>
          <w:rFonts w:ascii="Calibri" w:hAnsi="Calibri" w:cs="Calibri"/>
        </w:rPr>
        <w:tab/>
        <w:t>(</w:t>
      </w:r>
      <w:r w:rsidRPr="00ED0199">
        <w:rPr>
          <w:rStyle w:val="15"/>
          <w:rFonts w:ascii="Calibri" w:hAnsi="Calibri" w:cs="Calibri" w:hint="default"/>
        </w:rPr>
        <w:t>kuangtingting@cdutcm.edu.cn)</w:t>
      </w:r>
    </w:p>
    <w:p w14:paraId="12E3F48C" w14:textId="77777777" w:rsidR="00E437C3" w:rsidRPr="00ED0199" w:rsidRDefault="00E437C3" w:rsidP="00E437C3">
      <w:pPr>
        <w:rPr>
          <w:rFonts w:ascii="Calibri" w:hAnsi="Calibri" w:cs="Calibri"/>
        </w:rPr>
      </w:pPr>
      <w:r w:rsidRPr="00ED0199">
        <w:rPr>
          <w:rFonts w:ascii="Calibri" w:hAnsi="Calibri" w:cs="Calibri"/>
        </w:rPr>
        <w:t>Rui Li</w:t>
      </w:r>
      <w:r w:rsidRPr="00ED0199">
        <w:rPr>
          <w:rFonts w:ascii="Calibri" w:hAnsi="Calibri" w:cs="Calibri"/>
        </w:rPr>
        <w:tab/>
      </w:r>
      <w:r w:rsidRPr="00ED0199">
        <w:rPr>
          <w:rFonts w:ascii="Calibri" w:hAnsi="Calibri" w:cs="Calibri"/>
        </w:rPr>
        <w:tab/>
      </w:r>
      <w:r w:rsidRPr="00ED0199">
        <w:rPr>
          <w:rFonts w:ascii="Calibri" w:hAnsi="Calibri" w:cs="Calibri"/>
        </w:rPr>
        <w:tab/>
        <w:t>(</w:t>
      </w:r>
      <w:r w:rsidRPr="00ED0199">
        <w:rPr>
          <w:rStyle w:val="15"/>
          <w:rFonts w:ascii="Calibri" w:hAnsi="Calibri" w:cs="Calibri" w:hint="default"/>
        </w:rPr>
        <w:t>ruilee@cdutcm.edu.cn</w:t>
      </w:r>
      <w:r w:rsidRPr="00ED0199">
        <w:rPr>
          <w:rFonts w:ascii="Calibri" w:hAnsi="Calibri" w:cs="Calibri"/>
        </w:rPr>
        <w:t>)</w:t>
      </w:r>
    </w:p>
    <w:p w14:paraId="60B95108" w14:textId="4E29685D" w:rsidR="00C70C90" w:rsidRPr="00B07A3B" w:rsidRDefault="00E437C3" w:rsidP="00E437C3">
      <w:pPr>
        <w:rPr>
          <w:rFonts w:cstheme="minorHAnsi"/>
          <w:b/>
          <w:sz w:val="22"/>
          <w:szCs w:val="22"/>
        </w:rPr>
      </w:pPr>
      <w:proofErr w:type="spellStart"/>
      <w:r w:rsidRPr="00ED0199">
        <w:rPr>
          <w:rFonts w:ascii="Calibri" w:hAnsi="Calibri" w:cs="Calibri"/>
        </w:rPr>
        <w:t>Xianli</w:t>
      </w:r>
      <w:proofErr w:type="spellEnd"/>
      <w:r w:rsidRPr="00ED0199">
        <w:rPr>
          <w:rFonts w:ascii="Calibri" w:hAnsi="Calibri" w:cs="Calibri"/>
        </w:rPr>
        <w:t xml:space="preserve"> Meng </w:t>
      </w:r>
      <w:r w:rsidRPr="00ED0199">
        <w:rPr>
          <w:rFonts w:ascii="Calibri" w:hAnsi="Calibri" w:cs="Calibri"/>
        </w:rPr>
        <w:tab/>
      </w:r>
      <w:r w:rsidRPr="00ED0199">
        <w:rPr>
          <w:rFonts w:ascii="Calibri" w:hAnsi="Calibri" w:cs="Calibri"/>
        </w:rPr>
        <w:tab/>
        <w:t>(</w:t>
      </w:r>
      <w:r w:rsidRPr="00ED0199">
        <w:rPr>
          <w:rStyle w:val="15"/>
          <w:rFonts w:ascii="Calibri" w:hAnsi="Calibri" w:cs="Calibri" w:hint="default"/>
        </w:rPr>
        <w:t>xlm999@cdutcm.edu.cn</w:t>
      </w:r>
      <w:r w:rsidRPr="00ED0199">
        <w:rPr>
          <w:rFonts w:ascii="Calibri" w:hAnsi="Calibri" w:cs="Calibri"/>
        </w:rPr>
        <w:t>)</w:t>
      </w:r>
      <w:r w:rsidR="00C70C90"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42B5B8A"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80DE2">
        <w:rPr>
          <w:rFonts w:eastAsia="Times New Roman" w:cstheme="minorHAnsi"/>
          <w:b/>
        </w:rPr>
        <w:t>NO</w:t>
      </w:r>
      <w:r w:rsidRPr="00B07A3B">
        <w:rPr>
          <w:rFonts w:eastAsia="Times New Roman" w:cstheme="minorHAnsi"/>
        </w:rPr>
        <w:t xml:space="preserve">  </w:t>
      </w:r>
    </w:p>
    <w:p w14:paraId="181DD27E" w14:textId="4BABEADA"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99EED8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80DE2">
        <w:rPr>
          <w:rFonts w:eastAsia="Times New Roman" w:cstheme="minorHAnsi"/>
          <w:b/>
        </w:rPr>
        <w:t>YES</w:t>
      </w:r>
    </w:p>
    <w:p w14:paraId="76D16C59" w14:textId="653F82BF" w:rsidR="001331E3" w:rsidRDefault="00680DE2" w:rsidP="001331E3">
      <w:pPr>
        <w:spacing w:before="120"/>
        <w:ind w:left="720"/>
        <w:rPr>
          <w:rFonts w:cstheme="minorHAnsi"/>
        </w:rPr>
      </w:pPr>
      <w:r>
        <w:rPr>
          <w:rFonts w:cstheme="minorHAnsi"/>
        </w:rPr>
        <w:t>W</w:t>
      </w:r>
      <w:r w:rsidR="001331E3">
        <w:rPr>
          <w:rFonts w:cstheme="minorHAnsi"/>
        </w:rPr>
        <w:t>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4" w:history="1">
        <w:r w:rsidR="0009624C" w:rsidRPr="001B6DEE">
          <w:rPr>
            <w:rStyle w:val="Hyperlink"/>
            <w:rFonts w:cstheme="minorHAnsi"/>
          </w:rPr>
          <w:t>https://review.jove.com/v/5848/screen-capture-instructions-for-authors?status=a7854k</w:t>
        </w:r>
      </w:hyperlink>
    </w:p>
    <w:p w14:paraId="3073BEE2" w14:textId="1E0DCA26" w:rsidR="001331E3" w:rsidRDefault="00680DE2" w:rsidP="001331E3">
      <w:pPr>
        <w:spacing w:before="120"/>
        <w:ind w:left="720"/>
        <w:rPr>
          <w:rFonts w:eastAsia="Times New Roman" w:cstheme="minorHAnsi"/>
        </w:rPr>
      </w:pPr>
      <w:r>
        <w:rPr>
          <w:rFonts w:cstheme="minorHAnsi"/>
          <w:highlight w:val="yellow"/>
        </w:rPr>
        <w:t>Pl</w:t>
      </w:r>
      <w:r w:rsidR="001331E3">
        <w:rPr>
          <w:rFonts w:cstheme="minorHAnsi"/>
          <w:highlight w:val="yellow"/>
        </w:rPr>
        <w:t xml:space="preserve">ease upload all </w:t>
      </w:r>
      <w:r w:rsidR="00A13CC3">
        <w:rPr>
          <w:rFonts w:cstheme="minorHAnsi"/>
          <w:highlight w:val="yellow"/>
        </w:rPr>
        <w:t>screen-captured</w:t>
      </w:r>
      <w:r w:rsidR="001331E3">
        <w:rPr>
          <w:rFonts w:cstheme="minorHAnsi"/>
          <w:highlight w:val="yellow"/>
        </w:rPr>
        <w:t xml:space="preserve"> video files to your project page as soon as possible</w:t>
      </w:r>
      <w:r w:rsidR="001331E3">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0F3D9C7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w:t>
      </w:r>
      <w:r w:rsidR="00680DE2">
        <w:rPr>
          <w:rFonts w:eastAsia="Times New Roman" w:cstheme="minorHAnsi"/>
        </w:rPr>
        <w:t xml:space="preserve"> </w:t>
      </w:r>
      <w:r w:rsidR="00680DE2" w:rsidRPr="00680DE2">
        <w:rPr>
          <w:rFonts w:eastAsia="Times New Roman" w:cstheme="minorHAnsi"/>
          <w:b/>
          <w:bCs/>
        </w:rPr>
        <w:t>NO</w:t>
      </w:r>
    </w:p>
    <w:p w14:paraId="67386C83" w14:textId="77777777" w:rsidR="005F1ADF" w:rsidRDefault="005F1ADF" w:rsidP="005F1ADF">
      <w:pPr>
        <w:rPr>
          <w:rFonts w:eastAsia="Times New Roman" w:cstheme="minorHAnsi"/>
        </w:rPr>
      </w:pPr>
    </w:p>
    <w:p w14:paraId="57798231" w14:textId="77777777" w:rsidR="00680DE2" w:rsidRDefault="00680DE2"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ACAD92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542FD">
        <w:rPr>
          <w:rFonts w:cstheme="minorHAnsi"/>
          <w:bCs/>
          <w:sz w:val="22"/>
          <w:szCs w:val="22"/>
        </w:rPr>
        <w:t>20</w:t>
      </w:r>
    </w:p>
    <w:p w14:paraId="5AAC9C6C" w14:textId="73314D7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9542FD">
        <w:rPr>
          <w:rFonts w:cstheme="minorHAnsi"/>
          <w:bCs/>
          <w:sz w:val="22"/>
          <w:szCs w:val="22"/>
        </w:rPr>
        <w:t>33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711342C8" w:rsidR="007D61A8" w:rsidRPr="002966BF" w:rsidRDefault="00195D5F" w:rsidP="00B807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Ya Hou</w:t>
      </w:r>
      <w:r w:rsidR="00927B12">
        <w:rPr>
          <w:rStyle w:val="AuthorName"/>
          <w:rFonts w:asciiTheme="minorHAnsi" w:eastAsia="Times" w:hAnsiTheme="minorHAnsi" w:cstheme="minorHAnsi"/>
        </w:rPr>
        <w:t>:</w:t>
      </w:r>
      <w:r w:rsidR="005A33C6" w:rsidRPr="005A33C6">
        <w:rPr>
          <w:rFonts w:cstheme="minorHAnsi"/>
        </w:rPr>
        <w:t xml:space="preserve"> </w:t>
      </w:r>
      <w:r w:rsidR="002966BF">
        <w:rPr>
          <w:rFonts w:cstheme="minorHAnsi"/>
        </w:rPr>
        <w:t>This research focuses on</w:t>
      </w:r>
      <w:r w:rsidR="001D48F9" w:rsidRPr="001D48F9">
        <w:rPr>
          <w:rFonts w:cstheme="minorHAnsi"/>
        </w:rPr>
        <w:t xml:space="preserve"> the prevention and treatment of high</w:t>
      </w:r>
      <w:r w:rsidR="0018044B">
        <w:rPr>
          <w:rFonts w:cstheme="minorHAnsi"/>
        </w:rPr>
        <w:t>-</w:t>
      </w:r>
      <w:r w:rsidR="001D48F9" w:rsidRPr="001D48F9">
        <w:rPr>
          <w:rFonts w:cstheme="minorHAnsi"/>
        </w:rPr>
        <w:t xml:space="preserve">altitude hypoxia-induced brain damage with traditional Chinese medicine, </w:t>
      </w:r>
      <w:r w:rsidR="000D148C" w:rsidRPr="000D148C">
        <w:rPr>
          <w:rFonts w:cstheme="minorHAnsi"/>
        </w:rPr>
        <w:t>aiming to uncover its active components and the mechanisms underlying mitochondrial protection</w:t>
      </w:r>
      <w:r w:rsidR="001D48F9" w:rsidRPr="001D48F9">
        <w:rPr>
          <w:rFonts w:cstheme="minorHAnsi"/>
        </w:rPr>
        <w:t>.</w:t>
      </w:r>
    </w:p>
    <w:p w14:paraId="5D2563E4" w14:textId="49817700" w:rsidR="002966BF" w:rsidRPr="002966BF" w:rsidRDefault="002966BF" w:rsidP="002966BF">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680DE2">
        <w:rPr>
          <w:rStyle w:val="AuthorName"/>
          <w:rFonts w:asciiTheme="minorHAnsi" w:eastAsia="Times" w:hAnsiTheme="minorHAnsi" w:cstheme="minorHAnsi"/>
          <w:b w:val="0"/>
          <w:bCs/>
          <w:u w:val="none"/>
        </w:rPr>
        <w:t xml:space="preserve"> </w:t>
      </w:r>
      <w:r w:rsidR="00680DE2" w:rsidRPr="00680DE2">
        <w:rPr>
          <w:rStyle w:val="AuthorName"/>
          <w:rFonts w:asciiTheme="minorHAnsi" w:eastAsia="Times" w:hAnsiTheme="minorHAnsi" w:cstheme="minorHAnsi"/>
          <w:b w:val="0"/>
          <w:bCs/>
          <w:i/>
          <w:iCs/>
          <w:color w:val="3333CC"/>
          <w:u w:val="none"/>
        </w:rPr>
        <w:t>Suggested B-roll: LAB MEDIA: Figure 1J-1L.</w:t>
      </w:r>
    </w:p>
    <w:p w14:paraId="2258D52E" w14:textId="77777777" w:rsidR="002966BF" w:rsidRPr="00B07A3B" w:rsidRDefault="002966BF" w:rsidP="002966BF">
      <w:pPr>
        <w:pStyle w:val="ListParagraph"/>
        <w:spacing w:before="120"/>
        <w:ind w:left="1627"/>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5F64BF02" w:rsidR="007D61A8" w:rsidRPr="002966BF" w:rsidRDefault="00CD35FE" w:rsidP="00D75084">
      <w:pPr>
        <w:pStyle w:val="ListParagraph"/>
        <w:numPr>
          <w:ilvl w:val="1"/>
          <w:numId w:val="3"/>
        </w:numPr>
        <w:spacing w:before="120" w:after="240"/>
        <w:contextualSpacing w:val="0"/>
        <w:rPr>
          <w:rFonts w:eastAsia="Times New Roman" w:cstheme="minorHAnsi"/>
        </w:rPr>
      </w:pPr>
      <w:r>
        <w:rPr>
          <w:rStyle w:val="AuthorName"/>
          <w:rFonts w:asciiTheme="minorHAnsi" w:eastAsia="SimSun" w:hAnsiTheme="minorHAnsi" w:cstheme="minorHAnsi" w:hint="eastAsia"/>
          <w:lang w:eastAsia="zh-CN"/>
        </w:rPr>
        <w:t>Ya Hou</w:t>
      </w:r>
      <w:r w:rsidR="007D61A8" w:rsidRPr="00B07A3B">
        <w:rPr>
          <w:rFonts w:eastAsia="Times New Roman" w:cstheme="minorHAnsi"/>
          <w:b/>
          <w:bCs/>
          <w:u w:val="single"/>
        </w:rPr>
        <w:t>:</w:t>
      </w:r>
      <w:r w:rsidR="007D61A8" w:rsidRPr="00B07A3B">
        <w:rPr>
          <w:rFonts w:eastAsia="Times New Roman" w:cstheme="minorHAnsi"/>
        </w:rPr>
        <w:t xml:space="preserve"> </w:t>
      </w:r>
      <w:r w:rsidRPr="00CD35FE">
        <w:rPr>
          <w:rFonts w:cstheme="minorHAnsi"/>
        </w:rPr>
        <w:t xml:space="preserve">Increasing </w:t>
      </w:r>
      <w:r w:rsidR="002966BF">
        <w:rPr>
          <w:rFonts w:cstheme="minorHAnsi"/>
        </w:rPr>
        <w:t xml:space="preserve">the </w:t>
      </w:r>
      <w:r w:rsidRPr="00CD35FE">
        <w:rPr>
          <w:rFonts w:cstheme="minorHAnsi"/>
        </w:rPr>
        <w:t xml:space="preserve">energy supply of neurons by promoting mitochondrial transfer is a novel strategy of traditional Chinese medicine to prevent and treat </w:t>
      </w:r>
      <w:r w:rsidRPr="001D48F9">
        <w:rPr>
          <w:rFonts w:cstheme="minorHAnsi"/>
        </w:rPr>
        <w:t>high</w:t>
      </w:r>
      <w:r w:rsidR="002966BF">
        <w:rPr>
          <w:rFonts w:cstheme="minorHAnsi"/>
        </w:rPr>
        <w:t>-</w:t>
      </w:r>
      <w:r w:rsidRPr="001D48F9">
        <w:rPr>
          <w:rFonts w:cstheme="minorHAnsi"/>
        </w:rPr>
        <w:t>altitude hypoxia-induced brain damage</w:t>
      </w:r>
      <w:r w:rsidRPr="00CD35FE">
        <w:rPr>
          <w:rFonts w:cstheme="minorHAnsi"/>
        </w:rPr>
        <w:t>.</w:t>
      </w:r>
    </w:p>
    <w:p w14:paraId="3D3BC46C" w14:textId="77C44C8B" w:rsidR="002966BF" w:rsidRPr="002966BF" w:rsidRDefault="002966BF" w:rsidP="002966BF">
      <w:pPr>
        <w:pStyle w:val="ListParagraph"/>
        <w:numPr>
          <w:ilvl w:val="2"/>
          <w:numId w:val="3"/>
        </w:numPr>
        <w:spacing w:before="120" w:after="24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680DE2">
        <w:rPr>
          <w:rStyle w:val="AuthorName"/>
          <w:rFonts w:asciiTheme="minorHAnsi" w:eastAsia="Times" w:hAnsiTheme="minorHAnsi" w:cstheme="minorHAnsi"/>
          <w:b w:val="0"/>
          <w:bCs/>
          <w:u w:val="none"/>
        </w:rPr>
        <w:t xml:space="preserve"> </w:t>
      </w:r>
    </w:p>
    <w:p w14:paraId="6B73BFE9" w14:textId="77777777" w:rsidR="002966BF" w:rsidRPr="00D75084" w:rsidRDefault="002966BF" w:rsidP="002966BF">
      <w:pPr>
        <w:pStyle w:val="ListParagraph"/>
        <w:spacing w:before="120" w:after="240"/>
        <w:ind w:left="1627"/>
        <w:contextualSpacing w:val="0"/>
        <w:rPr>
          <w:rFonts w:eastAsia="Times New Roman" w:cstheme="minorHAnsi"/>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5D06A725" w:rsidR="00D75084" w:rsidRPr="002966BF" w:rsidRDefault="00A530BE" w:rsidP="00D75084">
      <w:pPr>
        <w:pStyle w:val="ListParagraph"/>
        <w:numPr>
          <w:ilvl w:val="1"/>
          <w:numId w:val="3"/>
        </w:numPr>
        <w:spacing w:before="120" w:after="240"/>
        <w:contextualSpacing w:val="0"/>
        <w:rPr>
          <w:rFonts w:eastAsia="Times New Roman" w:cstheme="minorHAnsi"/>
        </w:rPr>
      </w:pPr>
      <w:r>
        <w:rPr>
          <w:rStyle w:val="AuthorName"/>
          <w:rFonts w:asciiTheme="minorHAnsi" w:eastAsia="SimSun" w:hAnsiTheme="minorHAnsi" w:cstheme="minorHAnsi" w:hint="eastAsia"/>
          <w:lang w:eastAsia="zh-CN"/>
        </w:rPr>
        <w:t>Ya Hou</w:t>
      </w:r>
      <w:r w:rsidR="00D75084" w:rsidRPr="00B07A3B">
        <w:rPr>
          <w:rFonts w:eastAsia="Times New Roman" w:cstheme="minorHAnsi"/>
          <w:b/>
          <w:bCs/>
          <w:u w:val="single"/>
        </w:rPr>
        <w:t>:</w:t>
      </w:r>
      <w:r w:rsidR="00D75084" w:rsidRPr="00B07A3B">
        <w:rPr>
          <w:rFonts w:eastAsia="Times New Roman" w:cstheme="minorHAnsi"/>
        </w:rPr>
        <w:t xml:space="preserve"> </w:t>
      </w:r>
      <w:r w:rsidR="00F34172" w:rsidRPr="00F34172">
        <w:rPr>
          <w:rFonts w:cstheme="minorHAnsi"/>
        </w:rPr>
        <w:t>Microfluidic organoid chips</w:t>
      </w:r>
      <w:r w:rsidR="00F34172">
        <w:rPr>
          <w:rFonts w:cstheme="minorHAnsi" w:hint="eastAsia"/>
          <w:lang w:eastAsia="zh-CN"/>
        </w:rPr>
        <w:t xml:space="preserve"> and</w:t>
      </w:r>
      <w:r w:rsidR="00F34172" w:rsidRPr="00F34172">
        <w:rPr>
          <w:rFonts w:cstheme="minorHAnsi"/>
        </w:rPr>
        <w:t xml:space="preserve"> the second near-infrared region </w:t>
      </w:r>
      <w:r w:rsidR="00F94503" w:rsidRPr="00F34172">
        <w:rPr>
          <w:rFonts w:cstheme="minorHAnsi"/>
        </w:rPr>
        <w:t>imaging</w:t>
      </w:r>
      <w:r w:rsidR="00F94503">
        <w:rPr>
          <w:rFonts w:cstheme="minorHAnsi" w:hint="eastAsia"/>
          <w:lang w:eastAsia="zh-CN"/>
        </w:rPr>
        <w:t xml:space="preserve"> </w:t>
      </w:r>
      <w:r w:rsidR="00F34172">
        <w:rPr>
          <w:rFonts w:cstheme="minorHAnsi" w:hint="eastAsia"/>
          <w:lang w:eastAsia="zh-CN"/>
        </w:rPr>
        <w:t>are</w:t>
      </w:r>
      <w:r w:rsidR="00F34172" w:rsidRPr="00F34172">
        <w:rPr>
          <w:rFonts w:cstheme="minorHAnsi"/>
        </w:rPr>
        <w:t xml:space="preserve"> employed to explain active substances and mechanisms of </w:t>
      </w:r>
      <w:r w:rsidR="00F34172" w:rsidRPr="00CD35FE">
        <w:rPr>
          <w:rFonts w:cstheme="minorHAnsi"/>
        </w:rPr>
        <w:t>traditional</w:t>
      </w:r>
      <w:r w:rsidR="00F34172" w:rsidRPr="00F34172">
        <w:rPr>
          <w:rFonts w:cstheme="minorHAnsi"/>
        </w:rPr>
        <w:t xml:space="preserve"> Chinese medicine in preventing and treating hypoxic brain damage.</w:t>
      </w:r>
    </w:p>
    <w:p w14:paraId="5662C2D3" w14:textId="37065C96" w:rsidR="002966BF" w:rsidRPr="00D75084" w:rsidRDefault="002966BF" w:rsidP="002966BF">
      <w:pPr>
        <w:pStyle w:val="ListParagraph"/>
        <w:numPr>
          <w:ilvl w:val="2"/>
          <w:numId w:val="3"/>
        </w:numPr>
        <w:spacing w:before="120" w:after="24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680DE2">
        <w:rPr>
          <w:rStyle w:val="AuthorName"/>
          <w:rFonts w:asciiTheme="minorHAnsi" w:eastAsia="Times" w:hAnsiTheme="minorHAnsi" w:cstheme="minorHAnsi"/>
          <w:b w:val="0"/>
          <w:bCs/>
          <w:u w:val="none"/>
        </w:rPr>
        <w:t xml:space="preserve"> </w:t>
      </w:r>
      <w:r w:rsidR="00680DE2" w:rsidRPr="00680DE2">
        <w:rPr>
          <w:rStyle w:val="AuthorName"/>
          <w:rFonts w:asciiTheme="minorHAnsi" w:eastAsia="Times" w:hAnsiTheme="minorHAnsi" w:cstheme="minorHAnsi"/>
          <w:b w:val="0"/>
          <w:bCs/>
          <w:i/>
          <w:iCs/>
          <w:color w:val="3333CC"/>
          <w:u w:val="none"/>
        </w:rPr>
        <w:t>Suggested B-roll: 3.8.1.</w:t>
      </w:r>
    </w:p>
    <w:p w14:paraId="7D53E431" w14:textId="77777777" w:rsidR="0071156C" w:rsidRPr="00AF3977" w:rsidRDefault="0071156C" w:rsidP="007D61A8">
      <w:pPr>
        <w:rPr>
          <w:rFonts w:eastAsia="Times New Roman" w:cstheme="minorHAnsi"/>
          <w:b/>
          <w:bCs/>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6B444841" w:rsidR="00FF25E5" w:rsidRPr="00E437C3" w:rsidRDefault="00FF25E5" w:rsidP="002966BF">
      <w:pPr>
        <w:contextualSpacing/>
        <w:outlineLvl w:val="0"/>
        <w:rPr>
          <w:rFonts w:cstheme="minorHAnsi"/>
        </w:rPr>
      </w:pPr>
      <w:r>
        <w:rPr>
          <w:rFonts w:eastAsia="Times New Roman" w:cstheme="minorHAnsi"/>
          <w:b/>
        </w:rPr>
        <w:br w:type="page"/>
      </w:r>
    </w:p>
    <w:p w14:paraId="2A467797" w14:textId="55729E08" w:rsidR="00992857" w:rsidRPr="00B07A3B" w:rsidRDefault="00DC2504" w:rsidP="000A4528">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740A13BD" w:rsidR="00CE10F2" w:rsidRPr="009542FD" w:rsidRDefault="009542FD" w:rsidP="00A13CC3">
      <w:pPr>
        <w:pStyle w:val="ListParagraph"/>
        <w:numPr>
          <w:ilvl w:val="0"/>
          <w:numId w:val="3"/>
        </w:numPr>
        <w:spacing w:before="120"/>
        <w:contextualSpacing w:val="0"/>
        <w:rPr>
          <w:rFonts w:cstheme="minorHAnsi"/>
          <w:b/>
          <w:bCs/>
        </w:rPr>
      </w:pPr>
      <w:bookmarkStart w:id="4" w:name="OLE_LINK18"/>
      <w:r w:rsidRPr="009542FD">
        <w:rPr>
          <w:rFonts w:ascii="Calibri" w:hAnsi="Calibri" w:cs="Calibri"/>
          <w:b/>
          <w:bCs/>
        </w:rPr>
        <w:t>Nucleotide</w:t>
      </w:r>
      <w:bookmarkEnd w:id="4"/>
      <w:r w:rsidRPr="009542FD">
        <w:rPr>
          <w:rFonts w:ascii="Calibri" w:hAnsi="Calibri" w:cs="Calibri"/>
          <w:b/>
          <w:bCs/>
        </w:rPr>
        <w:t xml:space="preserve"> (ATP, ADP, and AMP) </w:t>
      </w:r>
      <w:r>
        <w:rPr>
          <w:rFonts w:ascii="Calibri" w:hAnsi="Calibri" w:cs="Calibri"/>
          <w:b/>
          <w:bCs/>
        </w:rPr>
        <w:t>C</w:t>
      </w:r>
      <w:r w:rsidRPr="009542FD">
        <w:rPr>
          <w:rFonts w:ascii="Calibri" w:hAnsi="Calibri" w:cs="Calibri"/>
          <w:b/>
          <w:bCs/>
        </w:rPr>
        <w:t xml:space="preserve">ontent </w:t>
      </w:r>
      <w:r>
        <w:rPr>
          <w:rFonts w:ascii="Calibri" w:hAnsi="Calibri" w:cs="Calibri"/>
          <w:b/>
          <w:bCs/>
        </w:rPr>
        <w:t>A</w:t>
      </w:r>
      <w:r w:rsidRPr="009542FD">
        <w:rPr>
          <w:rFonts w:ascii="Calibri" w:hAnsi="Calibri" w:cs="Calibri"/>
          <w:b/>
          <w:bCs/>
        </w:rPr>
        <w:t>ssay</w:t>
      </w:r>
    </w:p>
    <w:p w14:paraId="314C5FBA" w14:textId="75330E8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1A79A8" w:rsidRPr="001D4F47">
        <w:rPr>
          <w:rFonts w:cstheme="minorHAnsi" w:hint="eastAsia"/>
          <w:color w:val="auto"/>
          <w:lang w:eastAsia="zh-CN"/>
        </w:rPr>
        <w:t>Ya Hou</w:t>
      </w:r>
    </w:p>
    <w:p w14:paraId="6FE16670" w14:textId="77777777" w:rsidR="00985FE6" w:rsidRPr="000A4528" w:rsidRDefault="00985FE6" w:rsidP="000A4528">
      <w:pPr>
        <w:spacing w:before="120"/>
        <w:rPr>
          <w:rFonts w:cstheme="minorHAnsi"/>
        </w:rPr>
      </w:pPr>
    </w:p>
    <w:p w14:paraId="63668792" w14:textId="7DD1FD13" w:rsidR="00CD4393" w:rsidRDefault="00CD4393" w:rsidP="00CD4393">
      <w:pPr>
        <w:pStyle w:val="Narration"/>
        <w:numPr>
          <w:ilvl w:val="1"/>
          <w:numId w:val="3"/>
        </w:numPr>
      </w:pPr>
      <w:r>
        <w:t>To begin, add 1 milliliter of extraction reagent I</w:t>
      </w:r>
      <w:r w:rsidR="0045444D">
        <w:t xml:space="preserve"> </w:t>
      </w:r>
      <w:r w:rsidR="0045444D" w:rsidRPr="0045444D">
        <w:rPr>
          <w:i/>
          <w:iCs/>
          <w:color w:val="FF0000"/>
        </w:rPr>
        <w:t>(one)</w:t>
      </w:r>
      <w:r w:rsidRPr="0045444D">
        <w:rPr>
          <w:color w:val="FF0000"/>
        </w:rPr>
        <w:t xml:space="preserve"> </w:t>
      </w:r>
      <w:r>
        <w:t xml:space="preserve">to each well </w:t>
      </w:r>
      <w:r w:rsidR="0045444D">
        <w:t>of a</w:t>
      </w:r>
      <w:r>
        <w:t xml:space="preserve"> 6-well plate </w:t>
      </w:r>
      <w:r>
        <w:rPr>
          <w:b/>
        </w:rPr>
        <w:t>[1]</w:t>
      </w:r>
      <w:r>
        <w:t xml:space="preserve">. Lyse the cells by sonicating </w:t>
      </w:r>
      <w:r w:rsidR="0045444D">
        <w:t xml:space="preserve">them </w:t>
      </w:r>
      <w:r>
        <w:t xml:space="preserve">on an ice bath using an ultrasonic cell disruption apparatus </w:t>
      </w:r>
      <w:r>
        <w:rPr>
          <w:b/>
        </w:rPr>
        <w:t>[2</w:t>
      </w:r>
      <w:r w:rsidR="0045444D">
        <w:rPr>
          <w:b/>
        </w:rPr>
        <w:t>-TXT</w:t>
      </w:r>
      <w:r>
        <w:rPr>
          <w:b/>
        </w:rPr>
        <w:t>]</w:t>
      </w:r>
      <w:r>
        <w:t xml:space="preserve">.  </w:t>
      </w:r>
    </w:p>
    <w:p w14:paraId="6F6BDEC0" w14:textId="77777777" w:rsidR="00CD4393" w:rsidRDefault="00CD4393" w:rsidP="00CD4393">
      <w:pPr>
        <w:pStyle w:val="ShotDescription"/>
        <w:numPr>
          <w:ilvl w:val="2"/>
          <w:numId w:val="3"/>
        </w:numPr>
      </w:pPr>
      <w:r>
        <w:t xml:space="preserve">WIDE: Talent adding extraction reagent I into the wells of a 6-well plate using a pipette.  </w:t>
      </w:r>
    </w:p>
    <w:p w14:paraId="184D6F7A" w14:textId="3F73CEE4" w:rsidR="00CD4393" w:rsidRDefault="00CD4393" w:rsidP="00CD4393">
      <w:pPr>
        <w:pStyle w:val="ShotDescription"/>
        <w:numPr>
          <w:ilvl w:val="2"/>
          <w:numId w:val="3"/>
        </w:numPr>
      </w:pPr>
      <w:r>
        <w:t xml:space="preserve">Talent sonicating the 6-well plate on an ice bath using an ultrasonic cell disruption apparatus. </w:t>
      </w:r>
      <w:r w:rsidR="0045444D" w:rsidRPr="0045444D">
        <w:rPr>
          <w:b/>
          <w:bCs/>
        </w:rPr>
        <w:t>TXT: Power: 300 W; Ultrasonic waves: 3 s; Interval: 7 s; Total time: 3 min</w:t>
      </w:r>
    </w:p>
    <w:p w14:paraId="6DBA5B62" w14:textId="77777777" w:rsidR="00CD4393" w:rsidRDefault="00CD4393" w:rsidP="00CD4393"/>
    <w:p w14:paraId="2150A40F" w14:textId="5F756BE5" w:rsidR="00CD4393" w:rsidRDefault="0045444D" w:rsidP="00CD4393">
      <w:pPr>
        <w:pStyle w:val="Narration"/>
        <w:numPr>
          <w:ilvl w:val="1"/>
          <w:numId w:val="3"/>
        </w:numPr>
      </w:pPr>
      <w:r>
        <w:t>Now, p</w:t>
      </w:r>
      <w:r w:rsidR="00CD4393">
        <w:t xml:space="preserve">lace the lysed cells into a high-speed refrigerated centrifuge and </w:t>
      </w:r>
      <w:r w:rsidR="00C4172F">
        <w:t>spin</w:t>
      </w:r>
      <w:r w:rsidR="00CD4393">
        <w:t xml:space="preserve"> at 10,304</w:t>
      </w:r>
      <w:r>
        <w:t xml:space="preserve"> </w:t>
      </w:r>
      <w:r w:rsidR="00CD4393" w:rsidRPr="0045444D">
        <w:rPr>
          <w:i/>
          <w:iCs/>
        </w:rPr>
        <w:t xml:space="preserve">g </w:t>
      </w:r>
      <w:r w:rsidR="00CD4393">
        <w:t xml:space="preserve">for 10 minutes at 4 degrees Celsius </w:t>
      </w:r>
      <w:r w:rsidR="00CD4393">
        <w:rPr>
          <w:b/>
        </w:rPr>
        <w:t>[1]</w:t>
      </w:r>
      <w:r w:rsidR="00CD4393">
        <w:t xml:space="preserve">.  </w:t>
      </w:r>
    </w:p>
    <w:p w14:paraId="2DB284D4" w14:textId="4A227DAA" w:rsidR="00CD4393" w:rsidRDefault="00CD4393" w:rsidP="00CD4393">
      <w:pPr>
        <w:pStyle w:val="ShotDescription"/>
        <w:numPr>
          <w:ilvl w:val="2"/>
          <w:numId w:val="3"/>
        </w:numPr>
      </w:pPr>
      <w:r>
        <w:t>Talent placing the sample tubes</w:t>
      </w:r>
      <w:r w:rsidR="0045444D">
        <w:t xml:space="preserve"> or plate</w:t>
      </w:r>
      <w:r>
        <w:t xml:space="preserve"> into a high-speed refrigerated centrifuge and initiating the spin.</w:t>
      </w:r>
    </w:p>
    <w:p w14:paraId="349E8764" w14:textId="77777777" w:rsidR="00CD4393" w:rsidRDefault="00CD4393" w:rsidP="00CD4393"/>
    <w:p w14:paraId="40BCE104" w14:textId="11D35508" w:rsidR="00CD4393" w:rsidRDefault="00CD4393" w:rsidP="00CD4393">
      <w:pPr>
        <w:pStyle w:val="Narration"/>
        <w:numPr>
          <w:ilvl w:val="1"/>
          <w:numId w:val="3"/>
        </w:numPr>
      </w:pPr>
      <w:r>
        <w:t>Transfer 0.75 milliliters of the supernatant</w:t>
      </w:r>
      <w:r w:rsidR="0045444D">
        <w:t xml:space="preserve"> </w:t>
      </w:r>
      <w:r>
        <w:t xml:space="preserve">into a </w:t>
      </w:r>
      <w:r w:rsidR="0045444D">
        <w:t>2-milliliter</w:t>
      </w:r>
      <w:r>
        <w:t xml:space="preserve"> tube </w:t>
      </w:r>
      <w:r>
        <w:rPr>
          <w:b/>
        </w:rPr>
        <w:t>[1]</w:t>
      </w:r>
      <w:r>
        <w:t>. Add 0.75 milliliters of extraction reagent II</w:t>
      </w:r>
      <w:r w:rsidR="0045444D">
        <w:t xml:space="preserve"> </w:t>
      </w:r>
      <w:r w:rsidR="0045444D" w:rsidRPr="0045444D">
        <w:rPr>
          <w:i/>
          <w:iCs/>
          <w:color w:val="FF0000"/>
        </w:rPr>
        <w:t>(two)</w:t>
      </w:r>
      <w:r>
        <w:t xml:space="preserve"> </w:t>
      </w:r>
      <w:r>
        <w:rPr>
          <w:b/>
        </w:rPr>
        <w:t>[2]</w:t>
      </w:r>
      <w:r>
        <w:t xml:space="preserve">, mix by shaking with a vortex mixer </w:t>
      </w:r>
      <w:r>
        <w:rPr>
          <w:b/>
        </w:rPr>
        <w:t>[3]</w:t>
      </w:r>
      <w:r>
        <w:t>, and centrifuge</w:t>
      </w:r>
      <w:r w:rsidR="0045444D">
        <w:t xml:space="preserve"> again</w:t>
      </w:r>
      <w:r>
        <w:t xml:space="preserve"> at 10,304 </w:t>
      </w:r>
      <w:r w:rsidRPr="0045444D">
        <w:rPr>
          <w:i/>
          <w:iCs/>
        </w:rPr>
        <w:t>g</w:t>
      </w:r>
      <w:r>
        <w:t xml:space="preserve"> for 10 minutes at 4 degrees Celsius </w:t>
      </w:r>
      <w:r>
        <w:rPr>
          <w:b/>
        </w:rPr>
        <w:t>[4]</w:t>
      </w:r>
      <w:r>
        <w:t xml:space="preserve">.  </w:t>
      </w:r>
    </w:p>
    <w:p w14:paraId="2911408E" w14:textId="77777777" w:rsidR="00CD4393" w:rsidRDefault="00CD4393" w:rsidP="00CD4393">
      <w:pPr>
        <w:pStyle w:val="ShotDescription"/>
        <w:numPr>
          <w:ilvl w:val="2"/>
          <w:numId w:val="3"/>
        </w:numPr>
      </w:pPr>
      <w:r>
        <w:t xml:space="preserve">Talent pipetting supernatant into a new 2.0 milliliter tube.  </w:t>
      </w:r>
    </w:p>
    <w:p w14:paraId="15E642DB" w14:textId="77777777" w:rsidR="00CD4393" w:rsidRDefault="00CD4393" w:rsidP="00CD4393">
      <w:pPr>
        <w:pStyle w:val="ShotDescription"/>
        <w:numPr>
          <w:ilvl w:val="2"/>
          <w:numId w:val="3"/>
        </w:numPr>
      </w:pPr>
      <w:r>
        <w:t xml:space="preserve">Talent adding extraction reagent II to the tube.  </w:t>
      </w:r>
    </w:p>
    <w:p w14:paraId="3D9F9909" w14:textId="77777777" w:rsidR="00CD4393" w:rsidRDefault="00CD4393" w:rsidP="00CD4393">
      <w:pPr>
        <w:pStyle w:val="ShotDescription"/>
        <w:numPr>
          <w:ilvl w:val="2"/>
          <w:numId w:val="3"/>
        </w:numPr>
      </w:pPr>
      <w:r>
        <w:t xml:space="preserve">Talent mixing the contents using a vortex mixer.  </w:t>
      </w:r>
    </w:p>
    <w:p w14:paraId="2EBEC111" w14:textId="77777777" w:rsidR="00CD4393" w:rsidRDefault="00CD4393" w:rsidP="00CD4393">
      <w:pPr>
        <w:pStyle w:val="ShotDescription"/>
        <w:numPr>
          <w:ilvl w:val="2"/>
          <w:numId w:val="3"/>
        </w:numPr>
      </w:pPr>
      <w:r>
        <w:t>Talent placing the tube into a refrigerated centrifuge.</w:t>
      </w:r>
    </w:p>
    <w:p w14:paraId="67017800" w14:textId="77777777" w:rsidR="00CD4393" w:rsidRDefault="00CD4393" w:rsidP="00CD4393"/>
    <w:p w14:paraId="3E657523" w14:textId="1BBA9DF5" w:rsidR="00CD4393" w:rsidRDefault="00CD4393" w:rsidP="00CD4393">
      <w:pPr>
        <w:pStyle w:val="Narration"/>
        <w:numPr>
          <w:ilvl w:val="1"/>
          <w:numId w:val="3"/>
        </w:numPr>
      </w:pPr>
      <w:r>
        <w:t xml:space="preserve">Pipette the supernatant </w:t>
      </w:r>
      <w:r w:rsidR="0045444D" w:rsidRPr="0045444D">
        <w:rPr>
          <w:b/>
          <w:bCs/>
        </w:rPr>
        <w:t>[1]</w:t>
      </w:r>
      <w:r>
        <w:t xml:space="preserve"> and filter it through a </w:t>
      </w:r>
      <w:r w:rsidR="0045444D">
        <w:t>0.22-micrometer</w:t>
      </w:r>
      <w:r>
        <w:t xml:space="preserve"> needle-type microporous filter membrane into a brown vial </w:t>
      </w:r>
      <w:r>
        <w:rPr>
          <w:b/>
        </w:rPr>
        <w:t>[</w:t>
      </w:r>
      <w:r w:rsidR="0045444D">
        <w:rPr>
          <w:b/>
        </w:rPr>
        <w:t>2</w:t>
      </w:r>
      <w:r>
        <w:rPr>
          <w:b/>
        </w:rPr>
        <w:t>]</w:t>
      </w:r>
      <w:r>
        <w:t xml:space="preserve">.  </w:t>
      </w:r>
    </w:p>
    <w:p w14:paraId="02551F3E" w14:textId="396A62B1" w:rsidR="0045444D" w:rsidRDefault="0045444D" w:rsidP="00CD4393">
      <w:pPr>
        <w:pStyle w:val="ShotDescription"/>
        <w:numPr>
          <w:ilvl w:val="2"/>
          <w:numId w:val="3"/>
        </w:numPr>
      </w:pPr>
      <w:r>
        <w:t>Talent pipetting the supernatant.</w:t>
      </w:r>
    </w:p>
    <w:p w14:paraId="554B9116" w14:textId="614A8174" w:rsidR="00CD4393" w:rsidRDefault="00CD4393" w:rsidP="00CD4393">
      <w:pPr>
        <w:pStyle w:val="ShotDescription"/>
        <w:numPr>
          <w:ilvl w:val="2"/>
          <w:numId w:val="3"/>
        </w:numPr>
      </w:pPr>
      <w:r>
        <w:t>Talent filtering the supernatant through the microporous membrane into a brown vial.</w:t>
      </w:r>
    </w:p>
    <w:p w14:paraId="4F09DCDF" w14:textId="77777777" w:rsidR="00CD4393" w:rsidRDefault="00CD4393" w:rsidP="00CD4393"/>
    <w:p w14:paraId="486B35B9" w14:textId="5929A451" w:rsidR="00CD4393" w:rsidRDefault="00CD4393" w:rsidP="00CD4393">
      <w:pPr>
        <w:pStyle w:val="Narration"/>
        <w:numPr>
          <w:ilvl w:val="1"/>
          <w:numId w:val="3"/>
        </w:numPr>
      </w:pPr>
      <w:r>
        <w:t>Open the chromatography software</w:t>
      </w:r>
      <w:r w:rsidR="00DF0CD3">
        <w:t xml:space="preserve"> </w:t>
      </w:r>
      <w:r w:rsidR="00DF0CD3" w:rsidRPr="00DF0CD3">
        <w:rPr>
          <w:b/>
          <w:bCs/>
        </w:rPr>
        <w:t>[1]</w:t>
      </w:r>
      <w:r>
        <w:t xml:space="preserve"> and set the injection volume to 10 microliters, column temperature to 27 degrees Celsius, flow rate to 0.8 milliliters per minute, detection wavelength to 254 nanometers, and detection duration to 70 minutes </w:t>
      </w:r>
      <w:r>
        <w:rPr>
          <w:b/>
        </w:rPr>
        <w:t>[</w:t>
      </w:r>
      <w:r w:rsidR="001D4F47">
        <w:rPr>
          <w:b/>
        </w:rPr>
        <w:t>2</w:t>
      </w:r>
      <w:r>
        <w:rPr>
          <w:b/>
        </w:rPr>
        <w:t>]</w:t>
      </w:r>
      <w:r>
        <w:t>. Set the gradient elution procedure according to the details provided</w:t>
      </w:r>
      <w:r w:rsidR="00DF0CD3">
        <w:t xml:space="preserve"> in</w:t>
      </w:r>
      <w:r>
        <w:t xml:space="preserve"> </w:t>
      </w:r>
      <w:r w:rsidR="00DF0CD3">
        <w:t>this</w:t>
      </w:r>
      <w:r>
        <w:t xml:space="preserve"> Table </w:t>
      </w:r>
      <w:r>
        <w:rPr>
          <w:b/>
        </w:rPr>
        <w:t>[</w:t>
      </w:r>
      <w:r w:rsidR="001D4F47">
        <w:rPr>
          <w:b/>
        </w:rPr>
        <w:t>3</w:t>
      </w:r>
      <w:r>
        <w:rPr>
          <w:b/>
        </w:rPr>
        <w:t>]</w:t>
      </w:r>
      <w:r>
        <w:t xml:space="preserve">.  </w:t>
      </w:r>
    </w:p>
    <w:p w14:paraId="0F181D35" w14:textId="5ADE60C6" w:rsidR="00DF0CD3" w:rsidRDefault="00C4172F" w:rsidP="00CD4393">
      <w:pPr>
        <w:pStyle w:val="ShotDescription"/>
        <w:numPr>
          <w:ilvl w:val="2"/>
          <w:numId w:val="3"/>
        </w:numPr>
      </w:pPr>
      <w:r>
        <w:t xml:space="preserve">A talent at </w:t>
      </w:r>
      <w:proofErr w:type="gramStart"/>
      <w:r>
        <w:t>the computer</w:t>
      </w:r>
      <w:proofErr w:type="gramEnd"/>
      <w:r>
        <w:t xml:space="preserve"> opening </w:t>
      </w:r>
      <w:proofErr w:type="gramStart"/>
      <w:r>
        <w:t>t</w:t>
      </w:r>
      <w:r w:rsidR="00DF0CD3">
        <w:t>he chromatography</w:t>
      </w:r>
      <w:proofErr w:type="gramEnd"/>
      <w:r w:rsidR="00DF0CD3">
        <w:t xml:space="preserve"> software. </w:t>
      </w:r>
      <w:r w:rsidR="00DF0CD3" w:rsidRPr="00DF0CD3">
        <w:rPr>
          <w:i/>
          <w:iCs/>
          <w:color w:val="3333CC"/>
        </w:rPr>
        <w:t>Videographer: Please make sure the computer screen is clearly visible in the frame.</w:t>
      </w:r>
    </w:p>
    <w:p w14:paraId="53F8C476" w14:textId="37E0C070" w:rsidR="00CD4393" w:rsidRDefault="00CD4393" w:rsidP="00CD4393">
      <w:pPr>
        <w:pStyle w:val="ShotDescription"/>
        <w:numPr>
          <w:ilvl w:val="2"/>
          <w:numId w:val="3"/>
        </w:numPr>
      </w:pPr>
      <w:r>
        <w:t>SCREEN:</w:t>
      </w:r>
      <w:r w:rsidR="00DF0CD3">
        <w:t xml:space="preserve"> </w:t>
      </w:r>
      <w:r w:rsidR="00DF0CD3" w:rsidRPr="00DF0CD3">
        <w:rPr>
          <w:highlight w:val="yellow"/>
        </w:rPr>
        <w:t>To be provided by authors:</w:t>
      </w:r>
      <w:r>
        <w:t xml:space="preserve"> Software interface showing setting of injection volume, column temperature, flow rate, detection wavelength, and duration.  </w:t>
      </w:r>
    </w:p>
    <w:p w14:paraId="0995BCEF" w14:textId="3007A322" w:rsidR="00CD4393" w:rsidRDefault="00DF0CD3" w:rsidP="00CD4393">
      <w:pPr>
        <w:pStyle w:val="ShotDescription"/>
        <w:numPr>
          <w:ilvl w:val="2"/>
          <w:numId w:val="3"/>
        </w:numPr>
      </w:pPr>
      <w:r>
        <w:t>LAB MEDIA: Table 1.</w:t>
      </w:r>
    </w:p>
    <w:p w14:paraId="20BC75DB" w14:textId="3120B8A3" w:rsidR="00E437C3" w:rsidRPr="004A409A" w:rsidRDefault="00E437C3" w:rsidP="00E437C3">
      <w:pPr>
        <w:pStyle w:val="ShotDescription"/>
        <w:ind w:left="907" w:firstLine="0"/>
        <w:rPr>
          <w:b/>
          <w:bCs/>
        </w:rPr>
      </w:pPr>
      <w:r w:rsidRPr="004A409A">
        <w:rPr>
          <w:b/>
          <w:bCs/>
          <w:highlight w:val="yellow"/>
        </w:rPr>
        <w:t xml:space="preserve">Authors: Please record the screen for all the SCREEN shots following our guidelines and upload them along with a summary to your project page: </w:t>
      </w:r>
      <w:hyperlink r:id="rId15" w:history="1">
        <w:r w:rsidR="004A409A" w:rsidRPr="004A409A">
          <w:rPr>
            <w:rStyle w:val="Hyperlink"/>
            <w:b/>
            <w:bCs/>
            <w:highlight w:val="yellow"/>
          </w:rPr>
          <w:t>https://review.jove.com/account/file-uploader?src=20411563</w:t>
        </w:r>
      </w:hyperlink>
      <w:r w:rsidR="004A409A" w:rsidRPr="004A409A">
        <w:rPr>
          <w:b/>
          <w:bCs/>
        </w:rPr>
        <w:t xml:space="preserve"> </w:t>
      </w:r>
    </w:p>
    <w:p w14:paraId="507DDD09" w14:textId="77777777" w:rsidR="00CD4393" w:rsidRDefault="00CD4393" w:rsidP="00CD4393"/>
    <w:p w14:paraId="079595AA" w14:textId="5442A36D" w:rsidR="00CD4393" w:rsidRDefault="00CD4393" w:rsidP="00CD4393">
      <w:pPr>
        <w:pStyle w:val="Narration"/>
        <w:numPr>
          <w:ilvl w:val="1"/>
          <w:numId w:val="3"/>
        </w:numPr>
      </w:pPr>
      <w:r>
        <w:t xml:space="preserve">Click the </w:t>
      </w:r>
      <w:r>
        <w:rPr>
          <w:b/>
        </w:rPr>
        <w:t>Execute</w:t>
      </w:r>
      <w:r>
        <w:t xml:space="preserve"> button to automatically inject the sample and detect the content of </w:t>
      </w:r>
      <w:r w:rsidR="00DF0CD3">
        <w:t>ATP</w:t>
      </w:r>
      <w:r>
        <w:t xml:space="preserve">, </w:t>
      </w:r>
      <w:r w:rsidR="00DF0CD3">
        <w:t>ADP</w:t>
      </w:r>
      <w:r>
        <w:t xml:space="preserve">, and </w:t>
      </w:r>
      <w:r w:rsidR="00DF0CD3">
        <w:t>AMP</w:t>
      </w:r>
      <w:r>
        <w:t xml:space="preserve"> in the serial standard solutions and sample solutions, according to the program</w:t>
      </w:r>
      <w:r w:rsidR="00DF0CD3">
        <w:t xml:space="preserve"> </w:t>
      </w:r>
      <w:r>
        <w:t>set</w:t>
      </w:r>
      <w:r w:rsidR="00DF0CD3">
        <w:t xml:space="preserve"> previously</w:t>
      </w:r>
      <w:r>
        <w:t xml:space="preserve"> </w:t>
      </w:r>
      <w:r>
        <w:rPr>
          <w:b/>
        </w:rPr>
        <w:t>[1]</w:t>
      </w:r>
      <w:r>
        <w:t xml:space="preserve">.  </w:t>
      </w:r>
    </w:p>
    <w:p w14:paraId="2F82B793" w14:textId="675CE597" w:rsidR="00CD4393" w:rsidRDefault="00CD4393" w:rsidP="00CD4393">
      <w:pPr>
        <w:pStyle w:val="ShotDescription"/>
        <w:numPr>
          <w:ilvl w:val="2"/>
          <w:numId w:val="3"/>
        </w:numPr>
      </w:pPr>
      <w:r>
        <w:t xml:space="preserve">SCREEN: </w:t>
      </w:r>
      <w:r w:rsidR="00DF0CD3" w:rsidRPr="00DF0CD3">
        <w:rPr>
          <w:highlight w:val="yellow"/>
        </w:rPr>
        <w:t>To be provided by authors:</w:t>
      </w:r>
      <w:r w:rsidR="00DF0CD3">
        <w:t xml:space="preserve"> </w:t>
      </w:r>
      <w:r>
        <w:t xml:space="preserve">Clicking the </w:t>
      </w:r>
      <w:r>
        <w:rPr>
          <w:b/>
        </w:rPr>
        <w:t>Execute</w:t>
      </w:r>
      <w:r>
        <w:t xml:space="preserve"> button and observing </w:t>
      </w:r>
      <w:r w:rsidR="00DF0CD3">
        <w:t>the detection of the content of ATP, ADP, and AMP in the serial standard solutions and sample solutions.</w:t>
      </w:r>
    </w:p>
    <w:p w14:paraId="0197E53F" w14:textId="77777777" w:rsidR="00DF0CD3" w:rsidRDefault="00DF0CD3" w:rsidP="00DF0CD3">
      <w:pPr>
        <w:pStyle w:val="ShotDescription"/>
        <w:ind w:firstLine="0"/>
      </w:pPr>
    </w:p>
    <w:p w14:paraId="13ACA4A9" w14:textId="1D2FE9D5" w:rsidR="009542FD" w:rsidRPr="000A4528" w:rsidRDefault="00DF0CD3" w:rsidP="000A4528">
      <w:pPr>
        <w:pStyle w:val="ShotDescription"/>
        <w:numPr>
          <w:ilvl w:val="0"/>
          <w:numId w:val="3"/>
        </w:numPr>
      </w:pPr>
      <w:r w:rsidRPr="00DF0CD3">
        <w:rPr>
          <w:b/>
          <w:bCs/>
        </w:rPr>
        <w:t xml:space="preserve">Cellular </w:t>
      </w:r>
      <w:proofErr w:type="spellStart"/>
      <w:r>
        <w:rPr>
          <w:b/>
          <w:bCs/>
        </w:rPr>
        <w:t>T</w:t>
      </w:r>
      <w:r w:rsidRPr="00DF0CD3">
        <w:rPr>
          <w:b/>
          <w:bCs/>
        </w:rPr>
        <w:t>ermal</w:t>
      </w:r>
      <w:proofErr w:type="spellEnd"/>
      <w:r w:rsidRPr="00DF0CD3">
        <w:rPr>
          <w:b/>
          <w:bCs/>
        </w:rPr>
        <w:t xml:space="preserve"> </w:t>
      </w:r>
      <w:r>
        <w:rPr>
          <w:b/>
          <w:bCs/>
        </w:rPr>
        <w:t>S</w:t>
      </w:r>
      <w:r w:rsidRPr="00DF0CD3">
        <w:rPr>
          <w:b/>
          <w:bCs/>
        </w:rPr>
        <w:t xml:space="preserve">hift </w:t>
      </w:r>
      <w:r>
        <w:rPr>
          <w:b/>
          <w:bCs/>
        </w:rPr>
        <w:t>A</w:t>
      </w:r>
      <w:r w:rsidRPr="00DF0CD3">
        <w:rPr>
          <w:b/>
          <w:bCs/>
        </w:rPr>
        <w:t>ssay (CETSA)</w:t>
      </w:r>
    </w:p>
    <w:p w14:paraId="42BF62B6" w14:textId="77777777" w:rsidR="009542FD" w:rsidRDefault="009542FD" w:rsidP="009542FD">
      <w:pPr>
        <w:pStyle w:val="ShotDescription"/>
        <w:ind w:left="360" w:firstLine="0"/>
      </w:pPr>
    </w:p>
    <w:p w14:paraId="44C95D4A" w14:textId="54574D91" w:rsidR="00CD4393" w:rsidRDefault="00CD4393" w:rsidP="00CD4393">
      <w:pPr>
        <w:pStyle w:val="Narration"/>
        <w:numPr>
          <w:ilvl w:val="1"/>
          <w:numId w:val="3"/>
        </w:numPr>
      </w:pPr>
      <w:r>
        <w:t>Lyse normal HT22</w:t>
      </w:r>
      <w:r w:rsidR="00DF0CD3">
        <w:t xml:space="preserve"> </w:t>
      </w:r>
      <w:r w:rsidR="00DF0CD3" w:rsidRPr="00DF0CD3">
        <w:rPr>
          <w:i/>
          <w:iCs/>
          <w:color w:val="FF0000"/>
        </w:rPr>
        <w:t>(H-T-twenty-two)</w:t>
      </w:r>
      <w:r>
        <w:t xml:space="preserve"> cells in a Petri dish for 20 minutes by repeatedly pipetting the cells </w:t>
      </w:r>
      <w:r>
        <w:rPr>
          <w:b/>
        </w:rPr>
        <w:t>[1</w:t>
      </w:r>
      <w:r w:rsidR="00C4172F">
        <w:rPr>
          <w:b/>
        </w:rPr>
        <w:t>-TXT</w:t>
      </w:r>
      <w:r>
        <w:rPr>
          <w:b/>
        </w:rPr>
        <w:t>]</w:t>
      </w:r>
      <w:r>
        <w:t xml:space="preserve">.  </w:t>
      </w:r>
    </w:p>
    <w:p w14:paraId="7C0CC662" w14:textId="2BB9CE9D" w:rsidR="00CD4393" w:rsidRDefault="00CD4393" w:rsidP="00CD4393">
      <w:pPr>
        <w:pStyle w:val="ShotDescription"/>
        <w:numPr>
          <w:ilvl w:val="2"/>
          <w:numId w:val="3"/>
        </w:numPr>
      </w:pPr>
      <w:r>
        <w:t>Talent pipetting HT22 cells in a Petri dish with protease inhibitor-containing lysate.</w:t>
      </w:r>
      <w:r w:rsidR="00C4172F">
        <w:t xml:space="preserve"> </w:t>
      </w:r>
      <w:r w:rsidR="00C4172F" w:rsidRPr="00C4172F">
        <w:rPr>
          <w:b/>
          <w:bCs/>
        </w:rPr>
        <w:t>TXT:</w:t>
      </w:r>
      <w:r w:rsidR="00C4172F">
        <w:t xml:space="preserve"> </w:t>
      </w:r>
      <w:r w:rsidR="00C4172F" w:rsidRPr="00C4172F">
        <w:rPr>
          <w:b/>
          <w:bCs/>
        </w:rPr>
        <w:t>Use protease inhibitor-containing lysate at 100:1 ratio for lysis</w:t>
      </w:r>
    </w:p>
    <w:p w14:paraId="11238A07" w14:textId="77777777" w:rsidR="00CD4393" w:rsidRDefault="00CD4393" w:rsidP="00CD4393"/>
    <w:p w14:paraId="1B72DBBA" w14:textId="199EAFE5" w:rsidR="00CD4393" w:rsidRDefault="00CD4393" w:rsidP="00CD4393">
      <w:pPr>
        <w:pStyle w:val="Narration"/>
        <w:numPr>
          <w:ilvl w:val="1"/>
          <w:numId w:val="3"/>
        </w:numPr>
      </w:pPr>
      <w:r>
        <w:t>Collect the lysate</w:t>
      </w:r>
      <w:r w:rsidR="00F542E1">
        <w:t xml:space="preserve"> </w:t>
      </w:r>
      <w:r w:rsidR="00F542E1" w:rsidRPr="00F542E1">
        <w:rPr>
          <w:b/>
          <w:bCs/>
        </w:rPr>
        <w:t>[1]</w:t>
      </w:r>
      <w:r>
        <w:t xml:space="preserve"> and sonicate on an ice bath using an ultrasonic cell disruption apparatus </w:t>
      </w:r>
      <w:r>
        <w:rPr>
          <w:b/>
        </w:rPr>
        <w:t>[</w:t>
      </w:r>
      <w:r w:rsidR="00F542E1">
        <w:rPr>
          <w:b/>
        </w:rPr>
        <w:t>2-TXT</w:t>
      </w:r>
      <w:r>
        <w:rPr>
          <w:b/>
        </w:rPr>
        <w:t>]</w:t>
      </w:r>
      <w:r>
        <w:t xml:space="preserve">. </w:t>
      </w:r>
      <w:r w:rsidR="00F542E1">
        <w:t>Then, c</w:t>
      </w:r>
      <w:r>
        <w:t xml:space="preserve">entrifuge at 10,304 </w:t>
      </w:r>
      <w:r w:rsidRPr="00F542E1">
        <w:rPr>
          <w:i/>
          <w:iCs/>
        </w:rPr>
        <w:t>g</w:t>
      </w:r>
      <w:r>
        <w:t xml:space="preserve"> for 20 minutes at 4 degrees Celsius</w:t>
      </w:r>
      <w:r w:rsidR="00F542E1">
        <w:t xml:space="preserve"> </w:t>
      </w:r>
      <w:r w:rsidR="00F542E1" w:rsidRPr="00F542E1">
        <w:rPr>
          <w:b/>
          <w:bCs/>
        </w:rPr>
        <w:t>[3]</w:t>
      </w:r>
      <w:r>
        <w:t xml:space="preserve"> and collect the supernatant </w:t>
      </w:r>
      <w:r>
        <w:rPr>
          <w:b/>
        </w:rPr>
        <w:t>[</w:t>
      </w:r>
      <w:r w:rsidR="00F542E1">
        <w:rPr>
          <w:b/>
        </w:rPr>
        <w:t>4</w:t>
      </w:r>
      <w:r>
        <w:rPr>
          <w:b/>
        </w:rPr>
        <w:t>]</w:t>
      </w:r>
      <w:r>
        <w:t xml:space="preserve">.  </w:t>
      </w:r>
    </w:p>
    <w:p w14:paraId="4053B8C9" w14:textId="2507F348" w:rsidR="00F542E1" w:rsidRDefault="00F542E1" w:rsidP="00CD4393">
      <w:pPr>
        <w:pStyle w:val="ShotDescription"/>
        <w:numPr>
          <w:ilvl w:val="2"/>
          <w:numId w:val="3"/>
        </w:numPr>
      </w:pPr>
      <w:r>
        <w:t>Talent collecting the lysate.</w:t>
      </w:r>
    </w:p>
    <w:p w14:paraId="2064365B" w14:textId="32CA5F71" w:rsidR="00CD4393" w:rsidRDefault="00CD4393" w:rsidP="00CD4393">
      <w:pPr>
        <w:pStyle w:val="ShotDescription"/>
        <w:numPr>
          <w:ilvl w:val="2"/>
          <w:numId w:val="3"/>
        </w:numPr>
      </w:pPr>
      <w:r>
        <w:t xml:space="preserve">Talent sonicating the lysate tube on an ice bath using ultrasonic apparatus. </w:t>
      </w:r>
      <w:r w:rsidR="00F542E1" w:rsidRPr="0045444D">
        <w:rPr>
          <w:b/>
          <w:bCs/>
        </w:rPr>
        <w:t>TXT: Power: 300 W; Ultrasonic waves: 3 s; Interval: 7 s; Total time: 3 min</w:t>
      </w:r>
      <w:r w:rsidR="00F542E1">
        <w:t xml:space="preserve"> </w:t>
      </w:r>
      <w:r>
        <w:t xml:space="preserve"> </w:t>
      </w:r>
    </w:p>
    <w:p w14:paraId="16AE6D79" w14:textId="77777777" w:rsidR="00F542E1" w:rsidRDefault="00CD4393" w:rsidP="00CD4393">
      <w:pPr>
        <w:pStyle w:val="ShotDescription"/>
        <w:numPr>
          <w:ilvl w:val="2"/>
          <w:numId w:val="3"/>
        </w:numPr>
      </w:pPr>
      <w:r>
        <w:t>Talent centrifuging the tube</w:t>
      </w:r>
      <w:r w:rsidR="00F542E1">
        <w:t>.</w:t>
      </w:r>
    </w:p>
    <w:p w14:paraId="3F85F4FC" w14:textId="230364E2" w:rsidR="00CD4393" w:rsidRDefault="00F542E1" w:rsidP="00CD4393">
      <w:pPr>
        <w:pStyle w:val="ShotDescription"/>
        <w:numPr>
          <w:ilvl w:val="2"/>
          <w:numId w:val="3"/>
        </w:numPr>
      </w:pPr>
      <w:r>
        <w:t>Talent</w:t>
      </w:r>
      <w:r w:rsidR="00CD4393">
        <w:t xml:space="preserve"> pipetting out the supernatant.</w:t>
      </w:r>
    </w:p>
    <w:p w14:paraId="11143CAB" w14:textId="77777777" w:rsidR="00CD4393" w:rsidRDefault="00CD4393" w:rsidP="00CD4393"/>
    <w:p w14:paraId="50682CC9" w14:textId="26178DC7" w:rsidR="00CD4393" w:rsidRDefault="00C4172F" w:rsidP="00CD4393">
      <w:pPr>
        <w:pStyle w:val="Narration"/>
        <w:numPr>
          <w:ilvl w:val="1"/>
          <w:numId w:val="3"/>
        </w:numPr>
      </w:pPr>
      <w:r w:rsidRPr="00C4172F">
        <w:t xml:space="preserve">Divide the supernatant into 7 control and 7 Sal-treated groups and incubate them </w:t>
      </w:r>
      <w:r w:rsidR="00CD4393">
        <w:t xml:space="preserve">at room temperature for 30 minutes </w:t>
      </w:r>
      <w:r w:rsidR="00CD4393">
        <w:rPr>
          <w:b/>
        </w:rPr>
        <w:t>[1]</w:t>
      </w:r>
      <w:r w:rsidR="00CD4393">
        <w:t>, then further incubate at</w:t>
      </w:r>
      <w:r w:rsidR="005C4BB1">
        <w:t xml:space="preserve"> increasing temperature </w:t>
      </w:r>
      <w:r w:rsidR="00CD4393">
        <w:t xml:space="preserve">for 3 minutes using a metal heating temperature control instrument </w:t>
      </w:r>
      <w:r w:rsidR="00CD4393">
        <w:rPr>
          <w:b/>
        </w:rPr>
        <w:t>[2]</w:t>
      </w:r>
      <w:r w:rsidR="00CD4393">
        <w:t xml:space="preserve">.  </w:t>
      </w:r>
    </w:p>
    <w:p w14:paraId="478AEB7E" w14:textId="41912FC9" w:rsidR="00CD4393" w:rsidRDefault="00C4172F" w:rsidP="00CD4393">
      <w:pPr>
        <w:pStyle w:val="ShotDescription"/>
        <w:numPr>
          <w:ilvl w:val="2"/>
          <w:numId w:val="3"/>
        </w:numPr>
      </w:pPr>
      <w:r>
        <w:t>A s</w:t>
      </w:r>
      <w:r w:rsidRPr="00C4172F">
        <w:t xml:space="preserve">hot of 7 control and 7 </w:t>
      </w:r>
      <w:proofErr w:type="spellStart"/>
      <w:r w:rsidRPr="00C4172F">
        <w:t>sal</w:t>
      </w:r>
      <w:proofErr w:type="spellEnd"/>
      <w:r w:rsidRPr="00C4172F">
        <w:t>-treated tubes</w:t>
      </w:r>
      <w:r w:rsidR="00CD4393">
        <w:t xml:space="preserve">.  </w:t>
      </w:r>
    </w:p>
    <w:p w14:paraId="37791DC3" w14:textId="14EAF1F6" w:rsidR="00CD4393" w:rsidRDefault="00CD4393" w:rsidP="00CD4393">
      <w:pPr>
        <w:pStyle w:val="ShotDescription"/>
        <w:numPr>
          <w:ilvl w:val="2"/>
          <w:numId w:val="3"/>
        </w:numPr>
      </w:pPr>
      <w:r>
        <w:t>Talent using a metal heating device to incubate tubes at the designated temperatures.</w:t>
      </w:r>
      <w:r w:rsidR="005C4BB1">
        <w:t xml:space="preserve"> </w:t>
      </w:r>
      <w:r w:rsidR="005C4BB1" w:rsidRPr="005C4BB1">
        <w:rPr>
          <w:b/>
          <w:bCs/>
        </w:rPr>
        <w:t>TXT: Incubation temperature: 37 °C, 42 °C, 47 °C, 52 °C, 57 °C, 62 °C, and 67 °C</w:t>
      </w:r>
      <w:r w:rsidR="005C4BB1" w:rsidRPr="005C4BB1">
        <w:t xml:space="preserve"> </w:t>
      </w:r>
    </w:p>
    <w:p w14:paraId="3C778547" w14:textId="77777777" w:rsidR="00CD4393" w:rsidRDefault="00CD4393" w:rsidP="00CD4393"/>
    <w:p w14:paraId="7C81DE6B" w14:textId="71BAEBF4" w:rsidR="00CD4393" w:rsidRDefault="00F542E1" w:rsidP="00CD4393">
      <w:pPr>
        <w:pStyle w:val="Narration"/>
        <w:numPr>
          <w:ilvl w:val="1"/>
          <w:numId w:val="3"/>
        </w:numPr>
      </w:pPr>
      <w:r>
        <w:t>After centrifuging the samples again, m</w:t>
      </w:r>
      <w:r w:rsidR="00CD4393">
        <w:t xml:space="preserve">easure the total protein concentration of the collected supernatant using a bicinchoninic acid protein concentration assay kit, following the manufacturer’s instructions </w:t>
      </w:r>
      <w:r w:rsidR="00CD4393">
        <w:rPr>
          <w:b/>
        </w:rPr>
        <w:t>[1]</w:t>
      </w:r>
      <w:r w:rsidR="00CD4393">
        <w:t xml:space="preserve">.  </w:t>
      </w:r>
    </w:p>
    <w:p w14:paraId="1D3EB811" w14:textId="267AECBD" w:rsidR="00CD4393" w:rsidRDefault="00CD4393" w:rsidP="00CD4393">
      <w:pPr>
        <w:pStyle w:val="ShotDescription"/>
        <w:numPr>
          <w:ilvl w:val="2"/>
          <w:numId w:val="3"/>
        </w:numPr>
      </w:pPr>
      <w:r>
        <w:t xml:space="preserve">Talent </w:t>
      </w:r>
      <w:r w:rsidR="005C4BB1">
        <w:t>adding</w:t>
      </w:r>
      <w:r>
        <w:t xml:space="preserve"> supernatant</w:t>
      </w:r>
      <w:r w:rsidR="005C4BB1">
        <w:t>, followed by a reagent from the BCA kit into a tube</w:t>
      </w:r>
      <w:r>
        <w:t>.</w:t>
      </w:r>
    </w:p>
    <w:p w14:paraId="0A282E22" w14:textId="77777777" w:rsidR="00CD4393" w:rsidRDefault="00CD4393" w:rsidP="00CD4393"/>
    <w:p w14:paraId="427E8C8B" w14:textId="655C9BF5" w:rsidR="00CD4393" w:rsidRDefault="00580538" w:rsidP="00CD4393">
      <w:pPr>
        <w:pStyle w:val="Narration"/>
        <w:numPr>
          <w:ilvl w:val="1"/>
          <w:numId w:val="3"/>
        </w:numPr>
      </w:pPr>
      <w:r>
        <w:t>Now, p</w:t>
      </w:r>
      <w:r w:rsidR="00CD4393">
        <w:t xml:space="preserve">repare 10 percent separation gel using a </w:t>
      </w:r>
      <w:r>
        <w:t xml:space="preserve">PAGE </w:t>
      </w:r>
      <w:r w:rsidRPr="00580538">
        <w:rPr>
          <w:i/>
          <w:iCs/>
          <w:color w:val="FF0000"/>
        </w:rPr>
        <w:t>(Page)</w:t>
      </w:r>
      <w:r>
        <w:t xml:space="preserve"> gel</w:t>
      </w:r>
      <w:r w:rsidR="00CD4393">
        <w:t xml:space="preserve"> rapid preparation kit by following the manufacturer’s instructions </w:t>
      </w:r>
      <w:r w:rsidR="00CD4393">
        <w:rPr>
          <w:b/>
        </w:rPr>
        <w:t>[1]</w:t>
      </w:r>
      <w:r w:rsidR="00CD4393">
        <w:t xml:space="preserve">.  </w:t>
      </w:r>
    </w:p>
    <w:p w14:paraId="0BE28133" w14:textId="77777777" w:rsidR="00CD4393" w:rsidRDefault="00CD4393" w:rsidP="00CD4393">
      <w:pPr>
        <w:pStyle w:val="ShotDescription"/>
        <w:numPr>
          <w:ilvl w:val="2"/>
          <w:numId w:val="3"/>
        </w:numPr>
      </w:pPr>
      <w:r>
        <w:t>Talent preparing separation gel using the components from the rapid preparation kit.</w:t>
      </w:r>
    </w:p>
    <w:p w14:paraId="0B8326B2" w14:textId="77777777" w:rsidR="00CD4393" w:rsidRDefault="00CD4393" w:rsidP="00CD4393"/>
    <w:p w14:paraId="417031BD" w14:textId="32FEBCF7" w:rsidR="00CD4393" w:rsidRDefault="00CD4393" w:rsidP="00CD4393">
      <w:pPr>
        <w:pStyle w:val="Narration"/>
        <w:numPr>
          <w:ilvl w:val="1"/>
          <w:numId w:val="3"/>
        </w:numPr>
      </w:pPr>
      <w:r>
        <w:t>Load 3 microliters of pre-stained color protein marker and 14 microliters of each sample into the wells of the</w:t>
      </w:r>
      <w:r w:rsidR="00580538">
        <w:t xml:space="preserve"> separation</w:t>
      </w:r>
      <w:r>
        <w:t xml:space="preserve"> gel, ensuring a final protein amount of 20 micrograms per well </w:t>
      </w:r>
      <w:r>
        <w:rPr>
          <w:b/>
        </w:rPr>
        <w:t>[1]</w:t>
      </w:r>
      <w:r>
        <w:t xml:space="preserve">.  </w:t>
      </w:r>
    </w:p>
    <w:p w14:paraId="0830E68C" w14:textId="77777777" w:rsidR="00CD4393" w:rsidRDefault="00CD4393" w:rsidP="00CD4393">
      <w:pPr>
        <w:pStyle w:val="ShotDescription"/>
        <w:numPr>
          <w:ilvl w:val="2"/>
          <w:numId w:val="3"/>
        </w:numPr>
      </w:pPr>
      <w:r>
        <w:t>Talent loading marker and samples into the gel wells.</w:t>
      </w:r>
    </w:p>
    <w:p w14:paraId="570935E4" w14:textId="77777777" w:rsidR="00CD4393" w:rsidRDefault="00CD4393" w:rsidP="00CD4393"/>
    <w:p w14:paraId="17654C0A" w14:textId="77777777" w:rsidR="00CD4393" w:rsidRDefault="00CD4393" w:rsidP="00CD4393">
      <w:pPr>
        <w:pStyle w:val="Narration"/>
        <w:numPr>
          <w:ilvl w:val="1"/>
          <w:numId w:val="3"/>
        </w:numPr>
      </w:pPr>
      <w:r>
        <w:t xml:space="preserve">Run the gel using electrophoresis buffer for 1 hour at 80 to 100 millivolts to separate the proteins </w:t>
      </w:r>
      <w:r>
        <w:rPr>
          <w:b/>
        </w:rPr>
        <w:t>[1]</w:t>
      </w:r>
      <w:r>
        <w:t xml:space="preserve">.  </w:t>
      </w:r>
    </w:p>
    <w:p w14:paraId="2422D7CD" w14:textId="77777777" w:rsidR="00CD4393" w:rsidRDefault="00CD4393" w:rsidP="00CD4393">
      <w:pPr>
        <w:pStyle w:val="ShotDescription"/>
        <w:numPr>
          <w:ilvl w:val="2"/>
          <w:numId w:val="3"/>
        </w:numPr>
      </w:pPr>
      <w:r>
        <w:t>Talent running the electrophoresis apparatus with the gel inserted.</w:t>
      </w:r>
    </w:p>
    <w:p w14:paraId="67BDA7D7" w14:textId="77777777" w:rsidR="00CD4393" w:rsidRDefault="00CD4393" w:rsidP="00CD4393"/>
    <w:p w14:paraId="71DCD12C" w14:textId="2F645E7C" w:rsidR="00CD4393" w:rsidRDefault="00CD4393" w:rsidP="00CD4393">
      <w:pPr>
        <w:pStyle w:val="Narration"/>
        <w:numPr>
          <w:ilvl w:val="1"/>
          <w:numId w:val="3"/>
        </w:numPr>
      </w:pPr>
      <w:r>
        <w:t xml:space="preserve">Transfer the proteins from the gel onto a </w:t>
      </w:r>
      <w:r w:rsidR="00580538">
        <w:t xml:space="preserve">PVDF </w:t>
      </w:r>
      <w:r w:rsidR="00580538" w:rsidRPr="00580538">
        <w:rPr>
          <w:i/>
          <w:iCs/>
          <w:color w:val="FF0000"/>
        </w:rPr>
        <w:t>(P-V-D-F)</w:t>
      </w:r>
      <w:r w:rsidRPr="00580538">
        <w:rPr>
          <w:color w:val="FF0000"/>
        </w:rPr>
        <w:t xml:space="preserve"> </w:t>
      </w:r>
      <w:r>
        <w:t xml:space="preserve">membrane using rapid membrane transfer solution and a sandwich structure at 400 milliamperes for 30 minutes </w:t>
      </w:r>
      <w:r>
        <w:rPr>
          <w:b/>
        </w:rPr>
        <w:t>[1</w:t>
      </w:r>
      <w:r w:rsidR="00126BC5">
        <w:rPr>
          <w:b/>
        </w:rPr>
        <w:t>-TXT</w:t>
      </w:r>
      <w:r>
        <w:rPr>
          <w:b/>
        </w:rPr>
        <w:t>]</w:t>
      </w:r>
      <w:r>
        <w:t xml:space="preserve">.  </w:t>
      </w:r>
    </w:p>
    <w:p w14:paraId="3F517EAB" w14:textId="5BAADB98" w:rsidR="00CD4393" w:rsidRDefault="00CD4393" w:rsidP="00CD4393">
      <w:pPr>
        <w:pStyle w:val="ShotDescription"/>
        <w:numPr>
          <w:ilvl w:val="2"/>
          <w:numId w:val="3"/>
        </w:numPr>
      </w:pPr>
      <w:r>
        <w:t xml:space="preserve">Talent </w:t>
      </w:r>
      <w:r w:rsidR="00580538">
        <w:t>transferring the proteins from the gel onto a PVDF membrane using rapid membrane transfer solution and a sandwich structure</w:t>
      </w:r>
      <w:r>
        <w:t>.</w:t>
      </w:r>
      <w:r w:rsidR="00126BC5">
        <w:t xml:space="preserve"> </w:t>
      </w:r>
      <w:r w:rsidR="00126BC5" w:rsidRPr="00126BC5">
        <w:rPr>
          <w:b/>
          <w:bCs/>
        </w:rPr>
        <w:t>TXT: Sandwich structure: Cotton–filter paper–PVDF membrane–protein gel–filter paper–cotton</w:t>
      </w:r>
    </w:p>
    <w:p w14:paraId="34753F5D" w14:textId="77777777" w:rsidR="00CD4393" w:rsidRDefault="00CD4393" w:rsidP="00CD4393"/>
    <w:p w14:paraId="110C9314" w14:textId="16045AF0" w:rsidR="00CD4393" w:rsidRDefault="00CD4393" w:rsidP="00CD4393">
      <w:pPr>
        <w:pStyle w:val="Narration"/>
        <w:numPr>
          <w:ilvl w:val="1"/>
          <w:numId w:val="3"/>
        </w:numPr>
      </w:pPr>
      <w:r>
        <w:t xml:space="preserve">Block the </w:t>
      </w:r>
      <w:r w:rsidR="00126BC5">
        <w:t>PVDF</w:t>
      </w:r>
      <w:r>
        <w:t xml:space="preserve"> membranes using 5 percent bovine serum albumin solution for 1 to 2 hours at room temperature </w:t>
      </w:r>
      <w:r>
        <w:rPr>
          <w:b/>
        </w:rPr>
        <w:t>[1]</w:t>
      </w:r>
      <w:r>
        <w:t xml:space="preserve">.  </w:t>
      </w:r>
    </w:p>
    <w:p w14:paraId="2A7313E6" w14:textId="77777777" w:rsidR="00CD4393" w:rsidRDefault="00CD4393" w:rsidP="00CD4393">
      <w:pPr>
        <w:pStyle w:val="ShotDescription"/>
        <w:numPr>
          <w:ilvl w:val="2"/>
          <w:numId w:val="3"/>
        </w:numPr>
      </w:pPr>
      <w:r>
        <w:t>Talent adding bovine serum albumin solution to the membrane and incubating at room temperature.</w:t>
      </w:r>
    </w:p>
    <w:p w14:paraId="021C4CE5" w14:textId="77777777" w:rsidR="00126BC5" w:rsidRPr="00EA11EB" w:rsidRDefault="00126BC5" w:rsidP="00126BC5">
      <w:pPr>
        <w:pStyle w:val="ShotDescription"/>
        <w:ind w:firstLine="0"/>
      </w:pPr>
    </w:p>
    <w:p w14:paraId="044DC346" w14:textId="71BDCE6D" w:rsidR="00126BC5" w:rsidRDefault="00126BC5" w:rsidP="00126BC5">
      <w:pPr>
        <w:pStyle w:val="Narration"/>
        <w:numPr>
          <w:ilvl w:val="1"/>
          <w:numId w:val="3"/>
        </w:numPr>
      </w:pPr>
      <w:r>
        <w:t xml:space="preserve">Then, add 5 milliliters of diluted primary antibody to the PVDF membranes </w:t>
      </w:r>
      <w:r w:rsidRPr="00126BC5">
        <w:rPr>
          <w:b/>
          <w:bCs/>
        </w:rPr>
        <w:t>[1]</w:t>
      </w:r>
      <w:r>
        <w:t xml:space="preserve"> and incubate at 4 degrees Celsius overnight </w:t>
      </w:r>
      <w:r>
        <w:rPr>
          <w:b/>
        </w:rPr>
        <w:t>[2]</w:t>
      </w:r>
      <w:r>
        <w:t xml:space="preserve">.  </w:t>
      </w:r>
    </w:p>
    <w:p w14:paraId="4AA52569" w14:textId="114E1F7F" w:rsidR="00126BC5" w:rsidRDefault="00126BC5" w:rsidP="00126BC5">
      <w:pPr>
        <w:pStyle w:val="ShotDescription"/>
        <w:numPr>
          <w:ilvl w:val="2"/>
          <w:numId w:val="3"/>
        </w:numPr>
      </w:pPr>
      <w:r>
        <w:t>Talent adding 5 milliliters of diluted primary antibody to the PVDF membranes.</w:t>
      </w:r>
    </w:p>
    <w:p w14:paraId="3648F8FF" w14:textId="20C03833" w:rsidR="00126BC5" w:rsidRDefault="00126BC5" w:rsidP="00126BC5">
      <w:pPr>
        <w:pStyle w:val="ShotDescription"/>
        <w:numPr>
          <w:ilvl w:val="2"/>
          <w:numId w:val="3"/>
        </w:numPr>
      </w:pPr>
      <w:r>
        <w:t>Talent placing the PVDF membranes with diluted primary antibody in a refrigerator.</w:t>
      </w:r>
    </w:p>
    <w:p w14:paraId="28851AB1" w14:textId="77777777" w:rsidR="00126BC5" w:rsidRDefault="00126BC5" w:rsidP="00126BC5"/>
    <w:p w14:paraId="155DB9CB" w14:textId="31E14CA3" w:rsidR="00126BC5" w:rsidRDefault="00126BC5" w:rsidP="00126BC5">
      <w:pPr>
        <w:pStyle w:val="Narration"/>
        <w:numPr>
          <w:ilvl w:val="1"/>
          <w:numId w:val="3"/>
        </w:numPr>
      </w:pPr>
      <w:r>
        <w:t xml:space="preserve">Wash the membranes three times with tris-buffered saline with Tween 20 or TBST </w:t>
      </w:r>
      <w:r w:rsidRPr="00126BC5">
        <w:rPr>
          <w:i/>
          <w:iCs/>
          <w:color w:val="FF0000"/>
        </w:rPr>
        <w:t>(T-B-S-T)</w:t>
      </w:r>
      <w:r>
        <w:t xml:space="preserve"> for 5 minutes each to remove unbound primary antibodies </w:t>
      </w:r>
      <w:r>
        <w:rPr>
          <w:b/>
        </w:rPr>
        <w:t>[1]</w:t>
      </w:r>
      <w:r>
        <w:t xml:space="preserve">.  </w:t>
      </w:r>
    </w:p>
    <w:p w14:paraId="47AD4AC8" w14:textId="653B1911" w:rsidR="00126BC5" w:rsidRDefault="00126BC5" w:rsidP="00126BC5">
      <w:pPr>
        <w:pStyle w:val="ShotDescription"/>
        <w:numPr>
          <w:ilvl w:val="2"/>
          <w:numId w:val="3"/>
        </w:numPr>
      </w:pPr>
      <w:r>
        <w:t>Talent washing membranes in TBST buffer.</w:t>
      </w:r>
    </w:p>
    <w:p w14:paraId="5E1AB0AC" w14:textId="77777777" w:rsidR="00126BC5" w:rsidRDefault="00126BC5" w:rsidP="00126BC5"/>
    <w:p w14:paraId="40F8A468" w14:textId="77777777" w:rsidR="00126BC5" w:rsidRDefault="00126BC5" w:rsidP="00126BC5">
      <w:pPr>
        <w:pStyle w:val="Narration"/>
        <w:numPr>
          <w:ilvl w:val="1"/>
          <w:numId w:val="3"/>
        </w:numPr>
      </w:pPr>
      <w:r>
        <w:t xml:space="preserve">Incubate the washed membranes with diluted horseradish peroxidase-coupled secondary antibody for 2 hours at room temperature on a decolorization shaker </w:t>
      </w:r>
      <w:r>
        <w:rPr>
          <w:b/>
        </w:rPr>
        <w:t>[1]</w:t>
      </w:r>
      <w:r>
        <w:t xml:space="preserve">.  </w:t>
      </w:r>
    </w:p>
    <w:p w14:paraId="1DC7EF2B" w14:textId="63960649" w:rsidR="00126BC5" w:rsidRDefault="00126BC5" w:rsidP="00126BC5">
      <w:pPr>
        <w:pStyle w:val="ShotDescription"/>
        <w:numPr>
          <w:ilvl w:val="2"/>
          <w:numId w:val="3"/>
        </w:numPr>
      </w:pPr>
      <w:r>
        <w:t>Talent placing the membranes on a shaker with the diluted HRP-coupled secondary antibody and allowing incubation.</w:t>
      </w:r>
    </w:p>
    <w:p w14:paraId="1A2EFFBE" w14:textId="77777777" w:rsidR="00126BC5" w:rsidRDefault="00126BC5" w:rsidP="00126BC5"/>
    <w:p w14:paraId="1815DB91" w14:textId="3A771AB5" w:rsidR="00126BC5" w:rsidRDefault="00126BC5" w:rsidP="00126BC5">
      <w:pPr>
        <w:pStyle w:val="Narration"/>
        <w:numPr>
          <w:ilvl w:val="1"/>
          <w:numId w:val="3"/>
        </w:numPr>
      </w:pPr>
      <w:r>
        <w:t xml:space="preserve">After two hours, wash the membranes three times with TBST for 5 minutes each to remove any residual secondary antibody </w:t>
      </w:r>
      <w:r>
        <w:rPr>
          <w:b/>
        </w:rPr>
        <w:t>[1]</w:t>
      </w:r>
      <w:r>
        <w:t xml:space="preserve">.  </w:t>
      </w:r>
    </w:p>
    <w:p w14:paraId="1994FE5A" w14:textId="424E1384" w:rsidR="00126BC5" w:rsidRDefault="00126BC5" w:rsidP="00126BC5">
      <w:pPr>
        <w:pStyle w:val="ShotDescription"/>
        <w:numPr>
          <w:ilvl w:val="2"/>
          <w:numId w:val="3"/>
        </w:numPr>
      </w:pPr>
      <w:r>
        <w:t>Talent performing TBST wash on the membranes.</w:t>
      </w:r>
    </w:p>
    <w:p w14:paraId="03EE90C6" w14:textId="77777777" w:rsidR="00126BC5" w:rsidRDefault="00126BC5" w:rsidP="00126BC5"/>
    <w:p w14:paraId="7234B9BE" w14:textId="7E19356F" w:rsidR="00126BC5" w:rsidRDefault="00126BC5" w:rsidP="00126BC5">
      <w:pPr>
        <w:pStyle w:val="Narration"/>
        <w:numPr>
          <w:ilvl w:val="1"/>
          <w:numId w:val="3"/>
        </w:numPr>
      </w:pPr>
      <w:r>
        <w:t xml:space="preserve">Cover the membranes with </w:t>
      </w:r>
      <w:r w:rsidR="009542FD">
        <w:t xml:space="preserve">ECL </w:t>
      </w:r>
      <w:r w:rsidR="009542FD" w:rsidRPr="009542FD">
        <w:rPr>
          <w:i/>
          <w:iCs/>
          <w:color w:val="FF0000"/>
        </w:rPr>
        <w:t>(E-C-L)</w:t>
      </w:r>
      <w:r>
        <w:t xml:space="preserve"> chemiluminescence developer </w:t>
      </w:r>
      <w:r>
        <w:rPr>
          <w:b/>
        </w:rPr>
        <w:t>[1]</w:t>
      </w:r>
      <w:r>
        <w:t xml:space="preserve">, then image the target protein signal using an imaging system </w:t>
      </w:r>
      <w:r>
        <w:rPr>
          <w:b/>
        </w:rPr>
        <w:t>[2]</w:t>
      </w:r>
      <w:r>
        <w:t xml:space="preserve">.  </w:t>
      </w:r>
    </w:p>
    <w:p w14:paraId="6BC6A89B" w14:textId="77777777" w:rsidR="00126BC5" w:rsidRDefault="00126BC5" w:rsidP="00126BC5">
      <w:pPr>
        <w:pStyle w:val="ShotDescription"/>
        <w:numPr>
          <w:ilvl w:val="2"/>
          <w:numId w:val="3"/>
        </w:numPr>
      </w:pPr>
      <w:r>
        <w:t xml:space="preserve">Talent adding ECL developer over the membranes.  </w:t>
      </w:r>
    </w:p>
    <w:p w14:paraId="1EE42691" w14:textId="596F124C" w:rsidR="00A319BE" w:rsidRPr="009542FD" w:rsidRDefault="00126BC5" w:rsidP="009542FD">
      <w:pPr>
        <w:pStyle w:val="ShotDescription"/>
        <w:numPr>
          <w:ilvl w:val="2"/>
          <w:numId w:val="3"/>
        </w:numPr>
      </w:pPr>
      <w:r>
        <w:t>Talent placing the membrane into an imaging system to capture the chemiluminescent protein signal</w:t>
      </w:r>
      <w:r w:rsidR="009542FD">
        <w:t>.</w:t>
      </w:r>
    </w:p>
    <w:p w14:paraId="476A4176" w14:textId="77777777" w:rsidR="000F326F" w:rsidRDefault="000F326F" w:rsidP="000F326F">
      <w:pPr>
        <w:pStyle w:val="ListParagraph"/>
        <w:spacing w:before="120"/>
        <w:ind w:left="1627"/>
        <w:contextualSpacing w:val="0"/>
        <w:rPr>
          <w:rFonts w:cstheme="minorHAnsi"/>
        </w:rPr>
      </w:pPr>
    </w:p>
    <w:p w14:paraId="09689C4F" w14:textId="41A422C9"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667A2CFF" w:rsidR="00495959" w:rsidRPr="00B07A3B" w:rsidRDefault="00495959" w:rsidP="000A4528">
      <w:pPr>
        <w:pStyle w:val="Heading1"/>
        <w:rPr>
          <w:rFonts w:cstheme="minorHAnsi"/>
        </w:rPr>
      </w:pPr>
      <w:r w:rsidRPr="00B07A3B">
        <w:rPr>
          <w:rFonts w:cstheme="minorHAnsi"/>
        </w:rPr>
        <w:t>Results</w:t>
      </w:r>
    </w:p>
    <w:p w14:paraId="476287CC" w14:textId="4FFB454F"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43F9851B" w:rsidR="00495959" w:rsidRDefault="009542FD" w:rsidP="009542FD">
      <w:pPr>
        <w:pStyle w:val="ListParagraph"/>
        <w:numPr>
          <w:ilvl w:val="1"/>
          <w:numId w:val="3"/>
        </w:numPr>
        <w:spacing w:before="120"/>
        <w:contextualSpacing w:val="0"/>
        <w:outlineLvl w:val="0"/>
        <w:rPr>
          <w:rFonts w:cstheme="minorHAnsi"/>
        </w:rPr>
      </w:pPr>
      <w:r>
        <w:rPr>
          <w:rFonts w:cstheme="minorHAnsi"/>
        </w:rPr>
        <w:t>This figure</w:t>
      </w:r>
      <w:r w:rsidR="00495959" w:rsidRPr="00B07A3B">
        <w:rPr>
          <w:rFonts w:cstheme="minorHAnsi"/>
        </w:rPr>
        <w:t xml:space="preserve"> </w:t>
      </w:r>
      <w:r w:rsidRPr="009542FD">
        <w:rPr>
          <w:rFonts w:cstheme="minorHAnsi"/>
        </w:rPr>
        <w:t xml:space="preserve">illustrates the effect of </w:t>
      </w:r>
      <w:r w:rsidR="00E437C3">
        <w:rPr>
          <w:rFonts w:ascii="Calibri" w:hAnsi="Calibri" w:cs="Calibri"/>
        </w:rPr>
        <w:t>s</w:t>
      </w:r>
      <w:r w:rsidR="00E437C3" w:rsidRPr="00ED0199">
        <w:rPr>
          <w:rFonts w:ascii="Calibri" w:hAnsi="Calibri" w:cs="Calibri"/>
        </w:rPr>
        <w:t>alidroside</w:t>
      </w:r>
      <w:r w:rsidRPr="009542FD">
        <w:rPr>
          <w:rFonts w:cstheme="minorHAnsi"/>
        </w:rPr>
        <w:t xml:space="preserve"> on ATP, ADP, and AMP levels in HT22 cells under hypoxic conditions induced by cobalt chloride </w:t>
      </w:r>
      <w:r w:rsidRPr="009542FD">
        <w:rPr>
          <w:rFonts w:cstheme="minorHAnsi"/>
          <w:b/>
          <w:bCs/>
        </w:rPr>
        <w:t>[1]</w:t>
      </w:r>
      <w:r w:rsidRPr="009542FD">
        <w:rPr>
          <w:rFonts w:cstheme="minorHAnsi"/>
        </w:rPr>
        <w:t>.</w:t>
      </w:r>
    </w:p>
    <w:p w14:paraId="00AE32D1" w14:textId="572D7D33" w:rsidR="009542FD" w:rsidRDefault="009542FD" w:rsidP="009542FD">
      <w:pPr>
        <w:pStyle w:val="ListParagraph"/>
        <w:numPr>
          <w:ilvl w:val="2"/>
          <w:numId w:val="3"/>
        </w:numPr>
        <w:spacing w:before="120"/>
        <w:contextualSpacing w:val="0"/>
        <w:outlineLvl w:val="0"/>
        <w:rPr>
          <w:rFonts w:cstheme="minorHAnsi"/>
        </w:rPr>
      </w:pPr>
      <w:r>
        <w:rPr>
          <w:rFonts w:cstheme="minorHAnsi"/>
        </w:rPr>
        <w:t>LAB MEDIA: Figure 1</w:t>
      </w:r>
      <w:r w:rsidR="00680DE2">
        <w:rPr>
          <w:rFonts w:cstheme="minorHAnsi"/>
        </w:rPr>
        <w:t>A-1C, 1J-1L.</w:t>
      </w:r>
    </w:p>
    <w:p w14:paraId="5A81FF3A" w14:textId="25E9D67E" w:rsidR="009542FD" w:rsidRDefault="00CC62D7" w:rsidP="009542FD">
      <w:pPr>
        <w:pStyle w:val="ListParagraph"/>
        <w:numPr>
          <w:ilvl w:val="1"/>
          <w:numId w:val="3"/>
        </w:numPr>
        <w:spacing w:before="120"/>
        <w:contextualSpacing w:val="0"/>
        <w:outlineLvl w:val="0"/>
        <w:rPr>
          <w:rFonts w:cstheme="minorHAnsi"/>
        </w:rPr>
      </w:pPr>
      <w:r w:rsidRPr="00CC62D7">
        <w:rPr>
          <w:rFonts w:cstheme="minorHAnsi"/>
        </w:rPr>
        <w:t xml:space="preserve">Standard curves for ATP, ADP, and AMP were established for quantification by high-performance liquid chromatography </w:t>
      </w:r>
      <w:r w:rsidRPr="00CC62D7">
        <w:rPr>
          <w:rFonts w:cstheme="minorHAnsi"/>
          <w:b/>
          <w:bCs/>
        </w:rPr>
        <w:t>[1]</w:t>
      </w:r>
      <w:r w:rsidRPr="00CC62D7">
        <w:rPr>
          <w:rFonts w:cstheme="minorHAnsi"/>
        </w:rPr>
        <w:t>.</w:t>
      </w:r>
    </w:p>
    <w:p w14:paraId="6C66BDA4" w14:textId="6E94E518" w:rsidR="00CC62D7" w:rsidRDefault="00CC62D7" w:rsidP="00CC62D7">
      <w:pPr>
        <w:pStyle w:val="ListParagraph"/>
        <w:numPr>
          <w:ilvl w:val="2"/>
          <w:numId w:val="3"/>
        </w:numPr>
        <w:spacing w:before="120"/>
        <w:contextualSpacing w:val="0"/>
        <w:outlineLvl w:val="0"/>
        <w:rPr>
          <w:rFonts w:cstheme="minorHAnsi"/>
        </w:rPr>
      </w:pPr>
      <w:r>
        <w:rPr>
          <w:rFonts w:cstheme="minorHAnsi"/>
        </w:rPr>
        <w:t>LAB MEDIA: Figure 1A-1C.</w:t>
      </w:r>
      <w:r w:rsidR="005C4BB1">
        <w:rPr>
          <w:rFonts w:cstheme="minorHAnsi"/>
        </w:rPr>
        <w:t xml:space="preserve"> </w:t>
      </w:r>
      <w:r w:rsidR="005C4BB1" w:rsidRPr="006E3640">
        <w:rPr>
          <w:rFonts w:cstheme="minorHAnsi"/>
          <w:i/>
          <w:iCs/>
          <w:color w:val="3333CC"/>
        </w:rPr>
        <w:t>Video Editor: Highlight A when the VO days ATP, B when the VO says ADP, and C when the VO says AMP.</w:t>
      </w:r>
    </w:p>
    <w:p w14:paraId="1ACF6BF2" w14:textId="4724BD21" w:rsidR="00CC62D7" w:rsidRDefault="00CC62D7" w:rsidP="00CC62D7">
      <w:pPr>
        <w:pStyle w:val="ListParagraph"/>
        <w:numPr>
          <w:ilvl w:val="1"/>
          <w:numId w:val="3"/>
        </w:numPr>
        <w:spacing w:before="120"/>
        <w:contextualSpacing w:val="0"/>
        <w:outlineLvl w:val="0"/>
        <w:rPr>
          <w:rFonts w:cstheme="minorHAnsi"/>
        </w:rPr>
      </w:pPr>
      <w:r w:rsidRPr="00CC62D7">
        <w:rPr>
          <w:rFonts w:cstheme="minorHAnsi"/>
        </w:rPr>
        <w:t>ATP and ADP levels were significantly decreased in cobalt chloride-treated HT22 cells</w:t>
      </w:r>
      <w:r w:rsidR="0007059E">
        <w:rPr>
          <w:rFonts w:cstheme="minorHAnsi"/>
        </w:rPr>
        <w:t xml:space="preserve"> </w:t>
      </w:r>
      <w:r w:rsidR="0007059E" w:rsidRPr="0007059E">
        <w:rPr>
          <w:rFonts w:cstheme="minorHAnsi"/>
          <w:b/>
          <w:bCs/>
        </w:rPr>
        <w:t>[1]</w:t>
      </w:r>
      <w:r w:rsidRPr="00CC62D7">
        <w:rPr>
          <w:rFonts w:cstheme="minorHAnsi"/>
        </w:rPr>
        <w:t>, and further reduced with dorsomorphin treatment</w:t>
      </w:r>
      <w:r w:rsidR="0007059E">
        <w:rPr>
          <w:rFonts w:cstheme="minorHAnsi"/>
        </w:rPr>
        <w:t xml:space="preserve"> </w:t>
      </w:r>
      <w:r w:rsidR="0007059E" w:rsidRPr="0007059E">
        <w:rPr>
          <w:rFonts w:cstheme="minorHAnsi"/>
          <w:b/>
          <w:bCs/>
        </w:rPr>
        <w:t>[2]</w:t>
      </w:r>
      <w:r w:rsidRPr="00CC62D7">
        <w:rPr>
          <w:rFonts w:cstheme="minorHAnsi"/>
        </w:rPr>
        <w:t xml:space="preserve">, while </w:t>
      </w:r>
      <w:r w:rsidR="00E437C3">
        <w:rPr>
          <w:rFonts w:ascii="Calibri" w:hAnsi="Calibri" w:cs="Calibri"/>
        </w:rPr>
        <w:t>s</w:t>
      </w:r>
      <w:r w:rsidR="00E437C3" w:rsidRPr="00ED0199">
        <w:rPr>
          <w:rFonts w:ascii="Calibri" w:hAnsi="Calibri" w:cs="Calibri"/>
        </w:rPr>
        <w:t>alidroside</w:t>
      </w:r>
      <w:r w:rsidRPr="00CC62D7">
        <w:rPr>
          <w:rFonts w:cstheme="minorHAnsi"/>
        </w:rPr>
        <w:t xml:space="preserve"> treatment restored both ATP and ADP levels </w:t>
      </w:r>
      <w:r w:rsidRPr="00CC62D7">
        <w:rPr>
          <w:rFonts w:cstheme="minorHAnsi"/>
          <w:b/>
          <w:bCs/>
        </w:rPr>
        <w:t>[</w:t>
      </w:r>
      <w:r w:rsidR="0007059E">
        <w:rPr>
          <w:rFonts w:cstheme="minorHAnsi"/>
          <w:b/>
          <w:bCs/>
        </w:rPr>
        <w:t>3</w:t>
      </w:r>
      <w:r w:rsidRPr="00CC62D7">
        <w:rPr>
          <w:rFonts w:cstheme="minorHAnsi"/>
          <w:b/>
          <w:bCs/>
        </w:rPr>
        <w:t>]</w:t>
      </w:r>
      <w:r w:rsidRPr="00CC62D7">
        <w:rPr>
          <w:rFonts w:cstheme="minorHAnsi"/>
        </w:rPr>
        <w:t>.</w:t>
      </w:r>
    </w:p>
    <w:p w14:paraId="073F1DB6" w14:textId="6284023D" w:rsidR="0007059E" w:rsidRDefault="0007059E" w:rsidP="0007059E">
      <w:pPr>
        <w:pStyle w:val="ListParagraph"/>
        <w:numPr>
          <w:ilvl w:val="2"/>
          <w:numId w:val="3"/>
        </w:numPr>
        <w:spacing w:before="120"/>
        <w:contextualSpacing w:val="0"/>
        <w:outlineLvl w:val="0"/>
        <w:rPr>
          <w:rFonts w:cstheme="minorHAnsi"/>
        </w:rPr>
      </w:pPr>
      <w:r>
        <w:rPr>
          <w:rFonts w:cstheme="minorHAnsi"/>
        </w:rPr>
        <w:t xml:space="preserve">LAB MEDIA: Figure 1J, 1K. </w:t>
      </w:r>
      <w:r w:rsidRPr="0007059E">
        <w:rPr>
          <w:rFonts w:cstheme="minorHAnsi"/>
          <w:i/>
          <w:iCs/>
          <w:color w:val="3333CC"/>
        </w:rPr>
        <w:t xml:space="preserve">Video Editor: Highlight the </w:t>
      </w:r>
      <w:r>
        <w:rPr>
          <w:rFonts w:cstheme="minorHAnsi"/>
          <w:i/>
          <w:iCs/>
          <w:color w:val="3333CC"/>
        </w:rPr>
        <w:t>red</w:t>
      </w:r>
      <w:r w:rsidRPr="0007059E">
        <w:rPr>
          <w:rFonts w:cstheme="minorHAnsi"/>
          <w:i/>
          <w:iCs/>
          <w:color w:val="3333CC"/>
        </w:rPr>
        <w:t xml:space="preserve"> bars.</w:t>
      </w:r>
    </w:p>
    <w:p w14:paraId="70BAEEBE" w14:textId="39260676" w:rsidR="0007059E" w:rsidRPr="0007059E" w:rsidRDefault="0007059E" w:rsidP="0007059E">
      <w:pPr>
        <w:pStyle w:val="ListParagraph"/>
        <w:numPr>
          <w:ilvl w:val="2"/>
          <w:numId w:val="3"/>
        </w:numPr>
        <w:spacing w:before="120"/>
        <w:contextualSpacing w:val="0"/>
        <w:outlineLvl w:val="0"/>
        <w:rPr>
          <w:rFonts w:cstheme="minorHAnsi"/>
        </w:rPr>
      </w:pPr>
      <w:r>
        <w:rPr>
          <w:rFonts w:cstheme="minorHAnsi"/>
        </w:rPr>
        <w:t xml:space="preserve">LAB MEDIA: Figure 1J, 1K. </w:t>
      </w:r>
      <w:r w:rsidRPr="0007059E">
        <w:rPr>
          <w:rFonts w:cstheme="minorHAnsi"/>
          <w:i/>
          <w:iCs/>
          <w:color w:val="3333CC"/>
        </w:rPr>
        <w:t xml:space="preserve">Video Editor: Highlight the </w:t>
      </w:r>
      <w:r>
        <w:rPr>
          <w:rFonts w:cstheme="minorHAnsi"/>
          <w:i/>
          <w:iCs/>
          <w:color w:val="3333CC"/>
        </w:rPr>
        <w:t>yellow</w:t>
      </w:r>
      <w:r w:rsidRPr="0007059E">
        <w:rPr>
          <w:rFonts w:cstheme="minorHAnsi"/>
          <w:i/>
          <w:iCs/>
          <w:color w:val="3333CC"/>
        </w:rPr>
        <w:t xml:space="preserve"> bars</w:t>
      </w:r>
      <w:r>
        <w:rPr>
          <w:rFonts w:cstheme="minorHAnsi"/>
          <w:i/>
          <w:iCs/>
          <w:color w:val="3333CC"/>
        </w:rPr>
        <w:t>.</w:t>
      </w:r>
    </w:p>
    <w:p w14:paraId="69112B6A" w14:textId="7266334E" w:rsidR="0007059E" w:rsidRPr="0007059E" w:rsidRDefault="0007059E" w:rsidP="0007059E">
      <w:pPr>
        <w:pStyle w:val="ListParagraph"/>
        <w:numPr>
          <w:ilvl w:val="2"/>
          <w:numId w:val="3"/>
        </w:numPr>
        <w:spacing w:before="120"/>
        <w:contextualSpacing w:val="0"/>
        <w:outlineLvl w:val="0"/>
        <w:rPr>
          <w:rFonts w:cstheme="minorHAnsi"/>
        </w:rPr>
      </w:pPr>
      <w:r>
        <w:rPr>
          <w:rFonts w:cstheme="minorHAnsi"/>
        </w:rPr>
        <w:t xml:space="preserve">LAB MEDIA: Figure 1J, 1K. </w:t>
      </w:r>
      <w:r w:rsidRPr="0007059E">
        <w:rPr>
          <w:rFonts w:cstheme="minorHAnsi"/>
          <w:i/>
          <w:iCs/>
          <w:color w:val="3333CC"/>
        </w:rPr>
        <w:t xml:space="preserve">Video Editor: Highlight the </w:t>
      </w:r>
      <w:r>
        <w:rPr>
          <w:rFonts w:cstheme="minorHAnsi"/>
          <w:i/>
          <w:iCs/>
          <w:color w:val="3333CC"/>
        </w:rPr>
        <w:t>pink</w:t>
      </w:r>
      <w:r w:rsidRPr="0007059E">
        <w:rPr>
          <w:rFonts w:cstheme="minorHAnsi"/>
          <w:i/>
          <w:iCs/>
          <w:color w:val="3333CC"/>
        </w:rPr>
        <w:t xml:space="preserve"> bars</w:t>
      </w:r>
      <w:r>
        <w:rPr>
          <w:rFonts w:cstheme="minorHAnsi"/>
          <w:i/>
          <w:iCs/>
          <w:color w:val="3333CC"/>
        </w:rPr>
        <w:t>.</w:t>
      </w:r>
    </w:p>
    <w:p w14:paraId="6BDFEBC3" w14:textId="020E138B" w:rsidR="0007059E" w:rsidRDefault="0007059E" w:rsidP="0007059E">
      <w:pPr>
        <w:pStyle w:val="ListParagraph"/>
        <w:numPr>
          <w:ilvl w:val="1"/>
          <w:numId w:val="3"/>
        </w:numPr>
        <w:spacing w:before="120"/>
        <w:contextualSpacing w:val="0"/>
        <w:outlineLvl w:val="0"/>
        <w:rPr>
          <w:rFonts w:cstheme="minorHAnsi"/>
        </w:rPr>
      </w:pPr>
      <w:r w:rsidRPr="0007059E">
        <w:rPr>
          <w:rFonts w:cstheme="minorHAnsi"/>
        </w:rPr>
        <w:t>AMP levels significantly increased in the cobalt chloride-treated group</w:t>
      </w:r>
      <w:r>
        <w:rPr>
          <w:rFonts w:cstheme="minorHAnsi"/>
        </w:rPr>
        <w:t xml:space="preserve"> </w:t>
      </w:r>
      <w:r w:rsidRPr="0007059E">
        <w:rPr>
          <w:rFonts w:cstheme="minorHAnsi"/>
          <w:b/>
          <w:bCs/>
        </w:rPr>
        <w:t>[1]</w:t>
      </w:r>
      <w:r w:rsidRPr="0007059E">
        <w:rPr>
          <w:rFonts w:cstheme="minorHAnsi"/>
        </w:rPr>
        <w:t xml:space="preserve"> but were reduced upon </w:t>
      </w:r>
      <w:r w:rsidR="00E437C3">
        <w:rPr>
          <w:rFonts w:ascii="Calibri" w:hAnsi="Calibri" w:cs="Calibri"/>
        </w:rPr>
        <w:t>s</w:t>
      </w:r>
      <w:r w:rsidR="00E437C3" w:rsidRPr="00ED0199">
        <w:rPr>
          <w:rFonts w:ascii="Calibri" w:hAnsi="Calibri" w:cs="Calibri"/>
        </w:rPr>
        <w:t>alidroside</w:t>
      </w:r>
      <w:r w:rsidRPr="0007059E">
        <w:rPr>
          <w:rFonts w:cstheme="minorHAnsi"/>
        </w:rPr>
        <w:t xml:space="preserve"> treatment </w:t>
      </w:r>
      <w:r w:rsidRPr="0007059E">
        <w:rPr>
          <w:rFonts w:cstheme="minorHAnsi"/>
          <w:b/>
          <w:bCs/>
        </w:rPr>
        <w:t>[</w:t>
      </w:r>
      <w:r>
        <w:rPr>
          <w:rFonts w:cstheme="minorHAnsi"/>
          <w:b/>
          <w:bCs/>
        </w:rPr>
        <w:t>2</w:t>
      </w:r>
      <w:r w:rsidRPr="0007059E">
        <w:rPr>
          <w:rFonts w:cstheme="minorHAnsi"/>
          <w:b/>
          <w:bCs/>
        </w:rPr>
        <w:t>]</w:t>
      </w:r>
      <w:r w:rsidRPr="0007059E">
        <w:rPr>
          <w:rFonts w:cstheme="minorHAnsi"/>
        </w:rPr>
        <w:t>.</w:t>
      </w:r>
    </w:p>
    <w:p w14:paraId="46C0124F" w14:textId="3F56D2A9" w:rsidR="0007059E" w:rsidRPr="0007059E" w:rsidRDefault="0007059E" w:rsidP="0007059E">
      <w:pPr>
        <w:pStyle w:val="ListParagraph"/>
        <w:numPr>
          <w:ilvl w:val="2"/>
          <w:numId w:val="3"/>
        </w:numPr>
        <w:spacing w:before="120"/>
        <w:contextualSpacing w:val="0"/>
        <w:outlineLvl w:val="0"/>
        <w:rPr>
          <w:rFonts w:cstheme="minorHAnsi"/>
        </w:rPr>
      </w:pPr>
      <w:r>
        <w:rPr>
          <w:rFonts w:cstheme="minorHAnsi"/>
        </w:rPr>
        <w:t xml:space="preserve">LAB MEDIA: Figure 1L. </w:t>
      </w:r>
      <w:r w:rsidRPr="0007059E">
        <w:rPr>
          <w:rFonts w:cstheme="minorHAnsi"/>
          <w:i/>
          <w:iCs/>
          <w:color w:val="3333CC"/>
        </w:rPr>
        <w:t xml:space="preserve">Video Editor: Highlight the </w:t>
      </w:r>
      <w:r>
        <w:rPr>
          <w:rFonts w:cstheme="minorHAnsi"/>
          <w:i/>
          <w:iCs/>
          <w:color w:val="3333CC"/>
        </w:rPr>
        <w:t>red</w:t>
      </w:r>
      <w:r w:rsidRPr="0007059E">
        <w:rPr>
          <w:rFonts w:cstheme="minorHAnsi"/>
          <w:i/>
          <w:iCs/>
          <w:color w:val="3333CC"/>
        </w:rPr>
        <w:t xml:space="preserve"> bar</w:t>
      </w:r>
      <w:r>
        <w:rPr>
          <w:rFonts w:cstheme="minorHAnsi"/>
          <w:i/>
          <w:iCs/>
          <w:color w:val="3333CC"/>
        </w:rPr>
        <w:t>.</w:t>
      </w:r>
    </w:p>
    <w:p w14:paraId="241C32E0" w14:textId="36081902" w:rsidR="0007059E" w:rsidRPr="0007059E" w:rsidRDefault="0007059E" w:rsidP="0007059E">
      <w:pPr>
        <w:pStyle w:val="ListParagraph"/>
        <w:numPr>
          <w:ilvl w:val="2"/>
          <w:numId w:val="3"/>
        </w:numPr>
        <w:spacing w:before="120"/>
        <w:contextualSpacing w:val="0"/>
        <w:outlineLvl w:val="0"/>
        <w:rPr>
          <w:rFonts w:cstheme="minorHAnsi"/>
        </w:rPr>
      </w:pPr>
      <w:r>
        <w:rPr>
          <w:rFonts w:cstheme="minorHAnsi"/>
        </w:rPr>
        <w:t xml:space="preserve">LAB MEDIA: Figure 1L. </w:t>
      </w:r>
      <w:r w:rsidRPr="0007059E">
        <w:rPr>
          <w:rFonts w:cstheme="minorHAnsi"/>
          <w:i/>
          <w:iCs/>
          <w:color w:val="3333CC"/>
        </w:rPr>
        <w:t xml:space="preserve">Video Editor: Highlight the </w:t>
      </w:r>
      <w:r>
        <w:rPr>
          <w:rFonts w:cstheme="minorHAnsi"/>
          <w:i/>
          <w:iCs/>
          <w:color w:val="3333CC"/>
        </w:rPr>
        <w:t>pink</w:t>
      </w:r>
      <w:r w:rsidRPr="0007059E">
        <w:rPr>
          <w:rFonts w:cstheme="minorHAnsi"/>
          <w:i/>
          <w:iCs/>
          <w:color w:val="3333CC"/>
        </w:rPr>
        <w:t xml:space="preserve"> bar</w:t>
      </w:r>
      <w:r>
        <w:rPr>
          <w:rFonts w:cstheme="minorHAnsi"/>
          <w:i/>
          <w:iCs/>
          <w:color w:val="3333CC"/>
        </w:rPr>
        <w:t>.</w:t>
      </w:r>
    </w:p>
    <w:p w14:paraId="70247DEE" w14:textId="559EEC5F" w:rsidR="0007059E" w:rsidRDefault="00E437C3" w:rsidP="0007059E">
      <w:pPr>
        <w:pStyle w:val="ListParagraph"/>
        <w:numPr>
          <w:ilvl w:val="1"/>
          <w:numId w:val="3"/>
        </w:numPr>
        <w:spacing w:before="120"/>
        <w:contextualSpacing w:val="0"/>
        <w:outlineLvl w:val="0"/>
        <w:rPr>
          <w:rFonts w:cstheme="minorHAnsi"/>
        </w:rPr>
      </w:pPr>
      <w:r w:rsidRPr="00ED0199">
        <w:rPr>
          <w:rFonts w:ascii="Calibri" w:hAnsi="Calibri" w:cs="Calibri"/>
        </w:rPr>
        <w:t>Salidroside</w:t>
      </w:r>
      <w:r w:rsidR="0007059E" w:rsidRPr="0007059E">
        <w:rPr>
          <w:rFonts w:cstheme="minorHAnsi"/>
        </w:rPr>
        <w:t xml:space="preserve"> treatment increased the thermal stability of AMPKα</w:t>
      </w:r>
      <w:r w:rsidR="0007059E">
        <w:rPr>
          <w:rFonts w:cstheme="minorHAnsi"/>
        </w:rPr>
        <w:t xml:space="preserve"> </w:t>
      </w:r>
      <w:r w:rsidR="0007059E" w:rsidRPr="0007059E">
        <w:rPr>
          <w:rFonts w:cstheme="minorHAnsi"/>
          <w:i/>
          <w:iCs/>
          <w:color w:val="FF0000"/>
        </w:rPr>
        <w:t>(A-M-P-K-alpha)</w:t>
      </w:r>
      <w:r w:rsidR="0007059E" w:rsidRPr="0007059E">
        <w:rPr>
          <w:rFonts w:cstheme="minorHAnsi"/>
        </w:rPr>
        <w:t>, phosphorylated-AMPKα, Sirt1</w:t>
      </w:r>
      <w:r w:rsidR="006E3640">
        <w:rPr>
          <w:rFonts w:cstheme="minorHAnsi"/>
        </w:rPr>
        <w:t xml:space="preserve"> </w:t>
      </w:r>
      <w:r w:rsidR="006E3640" w:rsidRPr="0007059E">
        <w:rPr>
          <w:rFonts w:cstheme="minorHAnsi"/>
          <w:i/>
          <w:iCs/>
          <w:color w:val="FF0000"/>
        </w:rPr>
        <w:t>(</w:t>
      </w:r>
      <w:r w:rsidR="006E3640">
        <w:rPr>
          <w:rFonts w:cstheme="minorHAnsi" w:hint="eastAsia"/>
          <w:i/>
          <w:iCs/>
          <w:color w:val="FF0000"/>
          <w:lang w:eastAsia="zh-CN"/>
        </w:rPr>
        <w:t>S</w:t>
      </w:r>
      <w:r w:rsidR="006E3640" w:rsidRPr="0007059E">
        <w:rPr>
          <w:rFonts w:cstheme="minorHAnsi"/>
          <w:i/>
          <w:iCs/>
          <w:color w:val="FF0000"/>
        </w:rPr>
        <w:t>-</w:t>
      </w:r>
      <w:r w:rsidR="006E3640">
        <w:rPr>
          <w:rFonts w:cstheme="minorHAnsi" w:hint="eastAsia"/>
          <w:i/>
          <w:iCs/>
          <w:color w:val="FF0000"/>
          <w:lang w:eastAsia="zh-CN"/>
        </w:rPr>
        <w:t>I</w:t>
      </w:r>
      <w:r w:rsidR="006E3640" w:rsidRPr="0007059E">
        <w:rPr>
          <w:rFonts w:cstheme="minorHAnsi"/>
          <w:i/>
          <w:iCs/>
          <w:color w:val="FF0000"/>
        </w:rPr>
        <w:t>-</w:t>
      </w:r>
      <w:r w:rsidR="006E3640">
        <w:rPr>
          <w:rFonts w:cstheme="minorHAnsi" w:hint="eastAsia"/>
          <w:i/>
          <w:iCs/>
          <w:color w:val="FF0000"/>
          <w:lang w:eastAsia="zh-CN"/>
        </w:rPr>
        <w:t>R</w:t>
      </w:r>
      <w:r w:rsidR="006E3640" w:rsidRPr="0007059E">
        <w:rPr>
          <w:rFonts w:cstheme="minorHAnsi"/>
          <w:i/>
          <w:iCs/>
          <w:color w:val="FF0000"/>
        </w:rPr>
        <w:t>-</w:t>
      </w:r>
      <w:r w:rsidR="006E3640">
        <w:rPr>
          <w:rFonts w:cstheme="minorHAnsi" w:hint="eastAsia"/>
          <w:i/>
          <w:iCs/>
          <w:color w:val="FF0000"/>
          <w:lang w:eastAsia="zh-CN"/>
        </w:rPr>
        <w:t>T</w:t>
      </w:r>
      <w:r w:rsidR="006E3640" w:rsidRPr="0007059E">
        <w:rPr>
          <w:rFonts w:cstheme="minorHAnsi"/>
          <w:i/>
          <w:iCs/>
          <w:color w:val="FF0000"/>
        </w:rPr>
        <w:t>-</w:t>
      </w:r>
      <w:r w:rsidR="006E3640">
        <w:rPr>
          <w:rFonts w:cstheme="minorHAnsi" w:hint="eastAsia"/>
          <w:i/>
          <w:iCs/>
          <w:color w:val="FF0000"/>
          <w:lang w:eastAsia="zh-CN"/>
        </w:rPr>
        <w:t>ONE</w:t>
      </w:r>
      <w:r w:rsidR="006E3640" w:rsidRPr="0007059E">
        <w:rPr>
          <w:rFonts w:cstheme="minorHAnsi"/>
          <w:i/>
          <w:iCs/>
          <w:color w:val="FF0000"/>
        </w:rPr>
        <w:t>)</w:t>
      </w:r>
      <w:r w:rsidR="0007059E" w:rsidRPr="0007059E">
        <w:rPr>
          <w:rFonts w:cstheme="minorHAnsi"/>
        </w:rPr>
        <w:t xml:space="preserve">, and </w:t>
      </w:r>
      <w:r w:rsidR="0018044B" w:rsidRPr="0018044B">
        <w:rPr>
          <w:rFonts w:cstheme="minorHAnsi"/>
          <w:color w:val="auto"/>
          <w:lang w:eastAsia="zh-CN"/>
        </w:rPr>
        <w:t>hypoxia inducible factor</w:t>
      </w:r>
      <w:r w:rsidR="0018044B" w:rsidRPr="0018044B">
        <w:rPr>
          <w:rFonts w:cstheme="minorHAnsi" w:hint="eastAsia"/>
          <w:color w:val="auto"/>
          <w:lang w:eastAsia="zh-CN"/>
        </w:rPr>
        <w:t xml:space="preserve"> one </w:t>
      </w:r>
      <w:r w:rsidR="0018044B" w:rsidRPr="0018044B">
        <w:rPr>
          <w:rFonts w:cstheme="minorHAnsi"/>
          <w:color w:val="auto"/>
        </w:rPr>
        <w:t>alpha</w:t>
      </w:r>
      <w:r w:rsidR="0007059E" w:rsidRPr="0007059E">
        <w:rPr>
          <w:rFonts w:cstheme="minorHAnsi"/>
        </w:rPr>
        <w:t xml:space="preserve">, indicating potential interaction with these mitochondrial proteins </w:t>
      </w:r>
      <w:r w:rsidR="0007059E" w:rsidRPr="0007059E">
        <w:rPr>
          <w:rFonts w:cstheme="minorHAnsi"/>
          <w:b/>
          <w:bCs/>
        </w:rPr>
        <w:t>[1]</w:t>
      </w:r>
      <w:r w:rsidR="0007059E" w:rsidRPr="0007059E">
        <w:rPr>
          <w:rFonts w:cstheme="minorHAnsi"/>
        </w:rPr>
        <w:t>.</w:t>
      </w:r>
    </w:p>
    <w:p w14:paraId="54AB55BE" w14:textId="760B5E1D" w:rsidR="0007059E" w:rsidRPr="009542FD" w:rsidRDefault="0007059E" w:rsidP="0007059E">
      <w:pPr>
        <w:pStyle w:val="ListParagraph"/>
        <w:numPr>
          <w:ilvl w:val="2"/>
          <w:numId w:val="3"/>
        </w:numPr>
        <w:spacing w:before="120"/>
        <w:contextualSpacing w:val="0"/>
        <w:outlineLvl w:val="0"/>
        <w:rPr>
          <w:rFonts w:cstheme="minorHAnsi"/>
        </w:rPr>
      </w:pPr>
      <w:r>
        <w:rPr>
          <w:rFonts w:cstheme="minorHAnsi"/>
        </w:rPr>
        <w:t xml:space="preserve">LAB MEDIA: Figure 2B-2E. </w:t>
      </w:r>
      <w:r w:rsidRPr="0007059E">
        <w:rPr>
          <w:rFonts w:cstheme="minorHAnsi"/>
          <w:i/>
          <w:iCs/>
          <w:color w:val="3333CC"/>
        </w:rPr>
        <w:t>Video Editor: Highlight</w:t>
      </w:r>
      <w:r>
        <w:rPr>
          <w:rFonts w:cstheme="minorHAnsi"/>
          <w:i/>
          <w:iCs/>
          <w:color w:val="3333CC"/>
        </w:rPr>
        <w:t xml:space="preserve"> the red lines </w:t>
      </w:r>
      <w:r w:rsidR="00E437C3">
        <w:rPr>
          <w:rFonts w:cstheme="minorHAnsi"/>
          <w:i/>
          <w:iCs/>
          <w:color w:val="3333CC"/>
        </w:rPr>
        <w:t>in all the graphs and emphasize B when the VO says “</w:t>
      </w:r>
      <w:r w:rsidR="00E437C3" w:rsidRPr="00E437C3">
        <w:rPr>
          <w:rFonts w:cstheme="minorHAnsi"/>
          <w:i/>
          <w:iCs/>
          <w:color w:val="3333CC"/>
        </w:rPr>
        <w:t>AMPKα</w:t>
      </w:r>
      <w:r w:rsidR="00E437C3">
        <w:rPr>
          <w:rFonts w:cstheme="minorHAnsi"/>
          <w:i/>
          <w:iCs/>
          <w:color w:val="3333CC"/>
        </w:rPr>
        <w:t>”, C when the VO says “</w:t>
      </w:r>
      <w:r w:rsidR="00E437C3" w:rsidRPr="00E437C3">
        <w:rPr>
          <w:rFonts w:cstheme="minorHAnsi"/>
          <w:i/>
          <w:iCs/>
          <w:color w:val="3333CC"/>
        </w:rPr>
        <w:t>phosphorylated-AMPKα</w:t>
      </w:r>
      <w:r w:rsidR="00E437C3">
        <w:rPr>
          <w:rFonts w:cstheme="minorHAnsi"/>
          <w:i/>
          <w:iCs/>
          <w:color w:val="3333CC"/>
        </w:rPr>
        <w:t>”, D when the VO says “</w:t>
      </w:r>
      <w:r w:rsidR="00E437C3" w:rsidRPr="00E437C3">
        <w:rPr>
          <w:rFonts w:cstheme="minorHAnsi"/>
          <w:i/>
          <w:iCs/>
          <w:color w:val="3333CC"/>
        </w:rPr>
        <w:t>Sirt1</w:t>
      </w:r>
      <w:r w:rsidR="00E437C3">
        <w:rPr>
          <w:rFonts w:cstheme="minorHAnsi"/>
          <w:i/>
          <w:iCs/>
          <w:color w:val="3333CC"/>
        </w:rPr>
        <w:t xml:space="preserve">”, and E when the VO </w:t>
      </w:r>
      <w:proofErr w:type="gramStart"/>
      <w:r w:rsidR="00E437C3">
        <w:rPr>
          <w:rFonts w:cstheme="minorHAnsi"/>
          <w:i/>
          <w:iCs/>
          <w:color w:val="3333CC"/>
        </w:rPr>
        <w:t>says</w:t>
      </w:r>
      <w:proofErr w:type="gramEnd"/>
      <w:r w:rsidR="00E437C3">
        <w:rPr>
          <w:rFonts w:cstheme="minorHAnsi"/>
          <w:i/>
          <w:iCs/>
          <w:color w:val="3333CC"/>
        </w:rPr>
        <w:t xml:space="preserve"> “</w:t>
      </w:r>
      <w:r w:rsidR="0018044B" w:rsidRPr="0018044B">
        <w:rPr>
          <w:rFonts w:cstheme="minorHAnsi"/>
          <w:i/>
          <w:iCs/>
          <w:color w:val="3333CC"/>
        </w:rPr>
        <w:t>hypoxia inducible factor one alpha</w:t>
      </w:r>
      <w:r w:rsidR="00E437C3">
        <w:rPr>
          <w:rFonts w:cstheme="minorHAnsi"/>
          <w:i/>
          <w:iCs/>
          <w:color w:val="3333CC"/>
        </w:rPr>
        <w:t>”.</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9B05" w14:textId="77777777" w:rsidR="0073112A" w:rsidRDefault="0073112A">
      <w:r>
        <w:separator/>
      </w:r>
    </w:p>
    <w:p w14:paraId="2EFCCC7C" w14:textId="77777777" w:rsidR="0073112A" w:rsidRDefault="0073112A"/>
  </w:endnote>
  <w:endnote w:type="continuationSeparator" w:id="0">
    <w:p w14:paraId="5817B9E4" w14:textId="77777777" w:rsidR="0073112A" w:rsidRDefault="0073112A">
      <w:r>
        <w:continuationSeparator/>
      </w:r>
    </w:p>
    <w:p w14:paraId="21433AA5" w14:textId="77777777" w:rsidR="0073112A" w:rsidRDefault="00731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50743F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D4F4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680DE2">
      <w:rPr>
        <w:rFonts w:cstheme="minorHAnsi"/>
      </w:rPr>
      <w:t xml:space="preserve">May 28, </w:t>
    </w:r>
    <w:proofErr w:type="gramStart"/>
    <w:r w:rsidR="00680DE2">
      <w:rPr>
        <w:rFonts w:cstheme="minorHAnsi"/>
      </w:rPr>
      <w:t>2025</w:t>
    </w:r>
    <w:proofErr w:type="gramEnd"/>
    <w:r w:rsidR="00680DE2">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6438" w14:textId="77777777" w:rsidR="0073112A" w:rsidRDefault="0073112A">
      <w:r>
        <w:separator/>
      </w:r>
    </w:p>
    <w:p w14:paraId="53EF79C1" w14:textId="77777777" w:rsidR="0073112A" w:rsidRDefault="0073112A"/>
  </w:footnote>
  <w:footnote w:type="continuationSeparator" w:id="0">
    <w:p w14:paraId="2A412E6C" w14:textId="77777777" w:rsidR="0073112A" w:rsidRDefault="0073112A">
      <w:r>
        <w:continuationSeparator/>
      </w:r>
    </w:p>
    <w:p w14:paraId="219EAC6B" w14:textId="77777777" w:rsidR="0073112A" w:rsidRDefault="00731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BF03DDE" w:rsidR="00336C61" w:rsidRPr="006D3AC7" w:rsidRDefault="00680DE2" w:rsidP="00680DE2">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1E1A"/>
    <w:rsid w:val="000033EF"/>
    <w:rsid w:val="00003438"/>
    <w:rsid w:val="00003C8B"/>
    <w:rsid w:val="000051DE"/>
    <w:rsid w:val="0000605D"/>
    <w:rsid w:val="00010DD0"/>
    <w:rsid w:val="0001266D"/>
    <w:rsid w:val="00012B08"/>
    <w:rsid w:val="00013862"/>
    <w:rsid w:val="00022314"/>
    <w:rsid w:val="00023E22"/>
    <w:rsid w:val="00024282"/>
    <w:rsid w:val="00024322"/>
    <w:rsid w:val="00025DE9"/>
    <w:rsid w:val="000326C8"/>
    <w:rsid w:val="000326F7"/>
    <w:rsid w:val="0003279B"/>
    <w:rsid w:val="00037828"/>
    <w:rsid w:val="0004142D"/>
    <w:rsid w:val="00043807"/>
    <w:rsid w:val="00045112"/>
    <w:rsid w:val="00055137"/>
    <w:rsid w:val="0007059E"/>
    <w:rsid w:val="00074929"/>
    <w:rsid w:val="00083792"/>
    <w:rsid w:val="00085F90"/>
    <w:rsid w:val="0008613B"/>
    <w:rsid w:val="00090BAC"/>
    <w:rsid w:val="0009624C"/>
    <w:rsid w:val="000A2498"/>
    <w:rsid w:val="000A4528"/>
    <w:rsid w:val="000B0B1A"/>
    <w:rsid w:val="000B2085"/>
    <w:rsid w:val="000B387A"/>
    <w:rsid w:val="000B4E9A"/>
    <w:rsid w:val="000C27AE"/>
    <w:rsid w:val="000C39AF"/>
    <w:rsid w:val="000C6AEE"/>
    <w:rsid w:val="000D065F"/>
    <w:rsid w:val="000D0D24"/>
    <w:rsid w:val="000D148C"/>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26BC5"/>
    <w:rsid w:val="001302B1"/>
    <w:rsid w:val="001331E3"/>
    <w:rsid w:val="00142D32"/>
    <w:rsid w:val="00143557"/>
    <w:rsid w:val="001469E6"/>
    <w:rsid w:val="00151824"/>
    <w:rsid w:val="001528A5"/>
    <w:rsid w:val="00162D51"/>
    <w:rsid w:val="0016471F"/>
    <w:rsid w:val="00176D6F"/>
    <w:rsid w:val="00177B33"/>
    <w:rsid w:val="0018044B"/>
    <w:rsid w:val="001819E3"/>
    <w:rsid w:val="00184EF9"/>
    <w:rsid w:val="00191A77"/>
    <w:rsid w:val="00194DBB"/>
    <w:rsid w:val="00195D5F"/>
    <w:rsid w:val="001A79A8"/>
    <w:rsid w:val="001B3024"/>
    <w:rsid w:val="001B5C46"/>
    <w:rsid w:val="001C3C85"/>
    <w:rsid w:val="001C5DB5"/>
    <w:rsid w:val="001C7BBC"/>
    <w:rsid w:val="001D48F9"/>
    <w:rsid w:val="001D4F47"/>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6E77"/>
    <w:rsid w:val="00287206"/>
    <w:rsid w:val="00292508"/>
    <w:rsid w:val="002929B8"/>
    <w:rsid w:val="00294464"/>
    <w:rsid w:val="002966BF"/>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1133"/>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444D"/>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409A"/>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33C5"/>
    <w:rsid w:val="00544E06"/>
    <w:rsid w:val="005463CB"/>
    <w:rsid w:val="00547699"/>
    <w:rsid w:val="00557116"/>
    <w:rsid w:val="0055763A"/>
    <w:rsid w:val="005611F3"/>
    <w:rsid w:val="00565757"/>
    <w:rsid w:val="00580538"/>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4BB1"/>
    <w:rsid w:val="005C6D1E"/>
    <w:rsid w:val="005D0E9C"/>
    <w:rsid w:val="005D0F8B"/>
    <w:rsid w:val="005D783F"/>
    <w:rsid w:val="005E27DD"/>
    <w:rsid w:val="005E2B7E"/>
    <w:rsid w:val="005F0509"/>
    <w:rsid w:val="005F18A3"/>
    <w:rsid w:val="005F1ADF"/>
    <w:rsid w:val="00604177"/>
    <w:rsid w:val="006137EC"/>
    <w:rsid w:val="00622BE8"/>
    <w:rsid w:val="00626AF2"/>
    <w:rsid w:val="0062754B"/>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0DE2"/>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3640"/>
    <w:rsid w:val="006F06AF"/>
    <w:rsid w:val="006F2681"/>
    <w:rsid w:val="00710EA3"/>
    <w:rsid w:val="0071156C"/>
    <w:rsid w:val="0071294C"/>
    <w:rsid w:val="00724E3B"/>
    <w:rsid w:val="00730D4A"/>
    <w:rsid w:val="0073112A"/>
    <w:rsid w:val="00731E5D"/>
    <w:rsid w:val="00736CF8"/>
    <w:rsid w:val="007458C6"/>
    <w:rsid w:val="00745D4B"/>
    <w:rsid w:val="00746865"/>
    <w:rsid w:val="007474E4"/>
    <w:rsid w:val="007548F3"/>
    <w:rsid w:val="007574EC"/>
    <w:rsid w:val="0076691B"/>
    <w:rsid w:val="0077071A"/>
    <w:rsid w:val="00772380"/>
    <w:rsid w:val="00772548"/>
    <w:rsid w:val="007735BE"/>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574E"/>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4AD"/>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2FD"/>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30BE"/>
    <w:rsid w:val="00A60320"/>
    <w:rsid w:val="00A622CC"/>
    <w:rsid w:val="00A64D8E"/>
    <w:rsid w:val="00A72FC5"/>
    <w:rsid w:val="00A730E3"/>
    <w:rsid w:val="00A775D5"/>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172F"/>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C62D7"/>
    <w:rsid w:val="00CD35FE"/>
    <w:rsid w:val="00CD4393"/>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454E"/>
    <w:rsid w:val="00D150D8"/>
    <w:rsid w:val="00D30007"/>
    <w:rsid w:val="00D300CE"/>
    <w:rsid w:val="00D37C1A"/>
    <w:rsid w:val="00D406D6"/>
    <w:rsid w:val="00D424E1"/>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0CD3"/>
    <w:rsid w:val="00DF1693"/>
    <w:rsid w:val="00DF307B"/>
    <w:rsid w:val="00DF6EE3"/>
    <w:rsid w:val="00E04EFB"/>
    <w:rsid w:val="00E072C2"/>
    <w:rsid w:val="00E24673"/>
    <w:rsid w:val="00E24898"/>
    <w:rsid w:val="00E27EF5"/>
    <w:rsid w:val="00E355EE"/>
    <w:rsid w:val="00E35FB3"/>
    <w:rsid w:val="00E437C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3515"/>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4172"/>
    <w:rsid w:val="00F35094"/>
    <w:rsid w:val="00F3618A"/>
    <w:rsid w:val="00F4412A"/>
    <w:rsid w:val="00F542E1"/>
    <w:rsid w:val="00F563AC"/>
    <w:rsid w:val="00F56A75"/>
    <w:rsid w:val="00F60B45"/>
    <w:rsid w:val="00F60C18"/>
    <w:rsid w:val="00F64FB6"/>
    <w:rsid w:val="00F728FB"/>
    <w:rsid w:val="00F734E7"/>
    <w:rsid w:val="00F7561F"/>
    <w:rsid w:val="00F76A1C"/>
    <w:rsid w:val="00F80FD0"/>
    <w:rsid w:val="00F8149F"/>
    <w:rsid w:val="00F83448"/>
    <w:rsid w:val="00F917CF"/>
    <w:rsid w:val="00F94503"/>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D4393"/>
    <w:rPr>
      <w:rFonts w:cs="Calibri"/>
    </w:rPr>
  </w:style>
  <w:style w:type="character" w:customStyle="1" w:styleId="NarrationChar">
    <w:name w:val="Narration Char"/>
    <w:basedOn w:val="DefaultParagraphFont"/>
    <w:link w:val="Narration"/>
    <w:rsid w:val="00CD4393"/>
    <w:rPr>
      <w:rFonts w:ascii="Calibri" w:hAnsi="Calibri" w:cs="Calibri"/>
    </w:rPr>
  </w:style>
  <w:style w:type="paragraph" w:customStyle="1" w:styleId="ShotDescription">
    <w:name w:val="Shot Description"/>
    <w:basedOn w:val="TemplateShot"/>
    <w:link w:val="ShotDescriptionChar"/>
    <w:qFormat/>
    <w:rsid w:val="00CD4393"/>
    <w:rPr>
      <w:rFonts w:cs="Calibri"/>
    </w:rPr>
  </w:style>
  <w:style w:type="character" w:customStyle="1" w:styleId="ShotDescriptionChar">
    <w:name w:val="Shot Description Char"/>
    <w:basedOn w:val="DefaultParagraphFont"/>
    <w:link w:val="ShotDescription"/>
    <w:rsid w:val="00CD4393"/>
    <w:rPr>
      <w:rFonts w:ascii="Calibri" w:hAnsi="Calibri" w:cs="Calibri"/>
    </w:rPr>
  </w:style>
  <w:style w:type="paragraph" w:customStyle="1" w:styleId="TemplateNarration">
    <w:name w:val="Template Narration"/>
    <w:basedOn w:val="ListParagraph"/>
    <w:rsid w:val="00CD439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D4393"/>
    <w:pPr>
      <w:widowControl w:val="0"/>
      <w:spacing w:before="120"/>
      <w:ind w:left="1627" w:hanging="720"/>
      <w:contextualSpacing w:val="0"/>
      <w:jc w:val="both"/>
    </w:pPr>
    <w:rPr>
      <w:rFonts w:ascii="Calibri" w:hAnsi="Calibri"/>
    </w:rPr>
  </w:style>
  <w:style w:type="character" w:customStyle="1" w:styleId="15">
    <w:name w:val="15"/>
    <w:basedOn w:val="DefaultParagraphFont"/>
    <w:rsid w:val="00E437C3"/>
    <w:rPr>
      <w:rFonts w:ascii="DengXian" w:eastAsia="DengXian" w:hAnsi="DengXian" w:hint="eastAsia"/>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drwang@cdutcm.edu.cn"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411563" TargetMode="External"/><Relationship Id="rId12" Type="http://schemas.openxmlformats.org/officeDocument/2006/relationships/hyperlink" Target="mailto:jianghong@stu.cdutcm.edu.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hou@cdutcm.edu.cn" TargetMode="External"/><Relationship Id="rId5" Type="http://schemas.openxmlformats.org/officeDocument/2006/relationships/footnotes" Target="footnotes.xml"/><Relationship Id="rId15" Type="http://schemas.openxmlformats.org/officeDocument/2006/relationships/hyperlink" Target="https://review.jove.com/account/file-uploader?src=20411563" TargetMode="External"/><Relationship Id="rId10" Type="http://schemas.openxmlformats.org/officeDocument/2006/relationships/hyperlink" Target="mailto:zhangyating@stu.cdutcm.edu.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tadrwang@cdutcm.edu.cn" TargetMode="External"/><Relationship Id="rId14" Type="http://schemas.openxmlformats.org/officeDocument/2006/relationships/hyperlink" Target="https://review.jove.com/v/5848/screen-capture-instructions-for-authors?status=a7854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8</Pages>
  <Words>1791</Words>
  <Characters>10346</Characters>
  <Application>Microsoft Office Word</Application>
  <DocSecurity>0</DocSecurity>
  <Lines>246</Lines>
  <Paragraphs>116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12101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33</cp:revision>
  <dcterms:created xsi:type="dcterms:W3CDTF">2025-01-20T00:16:00Z</dcterms:created>
  <dcterms:modified xsi:type="dcterms:W3CDTF">2025-05-28T15:07:00Z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