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TITLE:</w:t>
      </w:r>
      <w:r>
        <w:rPr>
          <w:rFonts w:asciiTheme="majorHAnsi" w:hAnsiTheme="majorHAnsi" w:cstheme="majorHAnsi"/>
        </w:rPr>
        <w:t> </w:t>
      </w:r>
    </w:p>
    <w:p>
      <w:pPr>
        <w:pStyle w:val="13"/>
        <w:widowControl/>
        <w:spacing w:beforeAutospacing="0" w:afterAutospacing="0"/>
        <w:jc w:val="both"/>
        <w:rPr>
          <w:rFonts w:asciiTheme="majorHAnsi" w:hAnsiTheme="majorHAnsi" w:cstheme="majorHAnsi"/>
        </w:rPr>
      </w:pPr>
      <w:r>
        <w:rPr>
          <w:rFonts w:asciiTheme="majorHAnsi" w:hAnsiTheme="majorHAnsi" w:cstheme="majorHAnsi"/>
          <w:i/>
          <w:iCs/>
        </w:rPr>
        <w:t>In Vitro</w:t>
      </w:r>
      <w:r>
        <w:rPr>
          <w:rFonts w:asciiTheme="majorHAnsi" w:hAnsiTheme="majorHAnsi" w:cstheme="majorHAnsi"/>
        </w:rPr>
        <w:t xml:space="preserve"> Modeling of Fat Deposition in Metabolic Dysfunction-associated Steatotic Liver Disease</w:t>
      </w:r>
    </w:p>
    <w:p>
      <w:pPr>
        <w:pStyle w:val="13"/>
        <w:widowControl/>
        <w:spacing w:beforeAutospacing="0" w:afterAutospacing="0"/>
        <w:jc w:val="both"/>
        <w:rPr>
          <w:rStyle w:val="18"/>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AUTHORS AND AFFILIATIONS:</w:t>
      </w:r>
    </w:p>
    <w:p>
      <w:pPr>
        <w:pStyle w:val="13"/>
        <w:widowControl/>
        <w:spacing w:beforeAutospacing="0" w:afterAutospacing="0"/>
        <w:jc w:val="both"/>
        <w:rPr>
          <w:rFonts w:asciiTheme="majorHAnsi" w:hAnsiTheme="majorHAnsi" w:cstheme="majorHAnsi"/>
        </w:rPr>
      </w:pPr>
      <w:r>
        <w:rPr>
          <w:rFonts w:asciiTheme="majorHAnsi" w:hAnsiTheme="majorHAnsi" w:cstheme="majorHAnsi"/>
        </w:rPr>
        <w:t>Qinglan Bao</w:t>
      </w:r>
      <w:r>
        <w:rPr>
          <w:rFonts w:asciiTheme="majorHAnsi" w:hAnsiTheme="majorHAnsi" w:cstheme="majorHAnsi"/>
          <w:vertAlign w:val="superscript"/>
        </w:rPr>
        <w:t>1</w:t>
      </w:r>
      <w:r>
        <w:rPr>
          <w:rFonts w:asciiTheme="majorHAnsi" w:hAnsiTheme="majorHAnsi" w:cstheme="majorHAnsi"/>
        </w:rPr>
        <w:t xml:space="preserve">, Xiaoxiao Zhang </w:t>
      </w:r>
      <w:r>
        <w:rPr>
          <w:rFonts w:asciiTheme="majorHAnsi" w:hAnsiTheme="majorHAnsi" w:cstheme="majorHAnsi"/>
          <w:vertAlign w:val="superscript"/>
        </w:rPr>
        <w:t>2</w:t>
      </w:r>
      <w:r>
        <w:rPr>
          <w:rFonts w:asciiTheme="majorHAnsi" w:hAnsiTheme="majorHAnsi" w:cstheme="majorHAnsi"/>
        </w:rPr>
        <w:t>, Tegexibaiyin Wang</w:t>
      </w:r>
      <w:r>
        <w:rPr>
          <w:rFonts w:asciiTheme="majorHAnsi" w:hAnsiTheme="majorHAnsi" w:cstheme="majorHAnsi"/>
          <w:vertAlign w:val="superscript"/>
        </w:rPr>
        <w:t>3*</w:t>
      </w:r>
      <w:r>
        <w:rPr>
          <w:rFonts w:asciiTheme="majorHAnsi" w:hAnsiTheme="majorHAnsi" w:cstheme="majorHAnsi"/>
        </w:rPr>
        <w:t>, Bateer Siqin</w:t>
      </w:r>
      <w:r>
        <w:rPr>
          <w:rFonts w:asciiTheme="majorHAnsi" w:hAnsiTheme="majorHAnsi" w:cstheme="majorHAnsi"/>
          <w:vertAlign w:val="superscript"/>
        </w:rPr>
        <w:t>4*</w:t>
      </w:r>
      <w:r>
        <w:rPr>
          <w:rFonts w:asciiTheme="majorHAnsi" w:hAnsiTheme="majorHAnsi" w:cstheme="majorHAnsi"/>
        </w:rPr>
        <w:t>, Yingsong Chen</w:t>
      </w:r>
      <w:r>
        <w:rPr>
          <w:rFonts w:asciiTheme="majorHAnsi" w:hAnsiTheme="majorHAnsi" w:cstheme="majorHAnsi"/>
          <w:vertAlign w:val="superscript"/>
        </w:rPr>
        <w:t>1,</w:t>
      </w:r>
      <w:r>
        <w:rPr>
          <w:rFonts w:eastAsia="宋体" w:asciiTheme="majorHAnsi" w:hAnsiTheme="majorHAnsi" w:cstheme="majorHAnsi"/>
          <w:vertAlign w:val="superscript"/>
        </w:rPr>
        <w:t>5,6</w:t>
      </w:r>
      <w:r>
        <w:rPr>
          <w:rFonts w:asciiTheme="majorHAnsi" w:hAnsiTheme="majorHAnsi" w:cstheme="majorHAnsi"/>
          <w:vertAlign w:val="superscript"/>
        </w:rPr>
        <w:t>*</w:t>
      </w:r>
    </w:p>
    <w:p>
      <w:pPr>
        <w:pStyle w:val="13"/>
        <w:widowControl/>
        <w:spacing w:beforeAutospacing="0" w:afterAutospacing="0"/>
        <w:jc w:val="both"/>
        <w:rPr>
          <w:rFonts w:asciiTheme="majorHAnsi" w:hAnsiTheme="majorHAnsi" w:cstheme="majorHAnsi"/>
          <w:vertAlign w:val="superscript"/>
        </w:rPr>
      </w:pPr>
    </w:p>
    <w:p>
      <w:pPr>
        <w:pStyle w:val="13"/>
        <w:widowControl/>
        <w:spacing w:beforeAutospacing="0" w:afterAutospacing="0"/>
        <w:jc w:val="both"/>
        <w:rPr>
          <w:rFonts w:asciiTheme="majorHAnsi" w:hAnsiTheme="majorHAnsi" w:cstheme="majorHAnsi"/>
        </w:rPr>
      </w:pPr>
      <w:r>
        <w:rPr>
          <w:rFonts w:eastAsia="宋体" w:asciiTheme="majorHAnsi" w:hAnsiTheme="majorHAnsi" w:cstheme="majorHAnsi"/>
        </w:rPr>
        <w:t>*</w:t>
      </w:r>
      <w:r>
        <w:rPr>
          <w:rFonts w:asciiTheme="majorHAnsi" w:hAnsiTheme="majorHAnsi" w:cstheme="majorHAnsi"/>
        </w:rPr>
        <w:t>These authors contributed equally.</w:t>
      </w:r>
    </w:p>
    <w:p>
      <w:pPr>
        <w:pStyle w:val="13"/>
        <w:widowControl/>
        <w:spacing w:beforeAutospacing="0" w:afterAutospacing="0"/>
        <w:jc w:val="both"/>
        <w:rPr>
          <w:rFonts w:asciiTheme="majorHAnsi" w:hAnsiTheme="majorHAnsi" w:cstheme="majorHAnsi"/>
          <w:vertAlign w:val="superscript"/>
        </w:rPr>
      </w:pPr>
    </w:p>
    <w:p>
      <w:pPr>
        <w:pStyle w:val="13"/>
        <w:widowControl/>
        <w:spacing w:beforeAutospacing="0" w:afterAutospacing="0"/>
        <w:jc w:val="both"/>
        <w:rPr>
          <w:rFonts w:asciiTheme="majorHAnsi" w:hAnsiTheme="majorHAnsi" w:cstheme="majorHAnsi"/>
        </w:rPr>
      </w:pPr>
      <w:r>
        <w:rPr>
          <w:rFonts w:asciiTheme="majorHAnsi" w:hAnsiTheme="majorHAnsi" w:cstheme="majorHAnsi"/>
          <w:vertAlign w:val="superscript"/>
        </w:rPr>
        <w:t>1</w:t>
      </w:r>
      <w:r>
        <w:rPr>
          <w:rFonts w:asciiTheme="majorHAnsi" w:hAnsiTheme="majorHAnsi" w:cstheme="majorHAnsi"/>
        </w:rPr>
        <w:t>Inner Mongolia Medical University,</w:t>
      </w:r>
      <w:r>
        <w:rPr>
          <w:rFonts w:eastAsia="宋体" w:asciiTheme="majorHAnsi" w:hAnsiTheme="majorHAnsi" w:cstheme="majorHAnsi"/>
        </w:rPr>
        <w:t xml:space="preserve"> </w:t>
      </w:r>
      <w:r>
        <w:rPr>
          <w:rFonts w:asciiTheme="majorHAnsi" w:hAnsiTheme="majorHAnsi" w:cstheme="majorHAnsi"/>
        </w:rPr>
        <w:t>China</w:t>
      </w:r>
    </w:p>
    <w:p>
      <w:pPr>
        <w:pStyle w:val="13"/>
        <w:widowControl/>
        <w:spacing w:beforeAutospacing="0" w:afterAutospacing="0"/>
        <w:jc w:val="both"/>
        <w:rPr>
          <w:rFonts w:asciiTheme="majorHAnsi" w:hAnsiTheme="majorHAnsi" w:cstheme="majorHAnsi"/>
        </w:rPr>
      </w:pPr>
      <w:r>
        <w:rPr>
          <w:rFonts w:asciiTheme="majorHAnsi" w:hAnsiTheme="majorHAnsi" w:cstheme="majorHAnsi"/>
          <w:vertAlign w:val="superscript"/>
        </w:rPr>
        <w:t>2</w:t>
      </w:r>
      <w:r>
        <w:rPr>
          <w:rFonts w:asciiTheme="majorHAnsi" w:hAnsiTheme="majorHAnsi" w:cstheme="majorHAnsi"/>
        </w:rPr>
        <w:t>Xilin Gol League Mongolian Medical Hospital,</w:t>
      </w:r>
      <w:r>
        <w:rPr>
          <w:rFonts w:eastAsia="宋体" w:asciiTheme="majorHAnsi" w:hAnsiTheme="majorHAnsi" w:cstheme="majorHAnsi"/>
        </w:rPr>
        <w:t xml:space="preserve"> </w:t>
      </w:r>
      <w:r>
        <w:rPr>
          <w:rFonts w:asciiTheme="majorHAnsi" w:hAnsiTheme="majorHAnsi" w:cstheme="majorHAnsi"/>
        </w:rPr>
        <w:t>China</w:t>
      </w:r>
    </w:p>
    <w:p>
      <w:pPr>
        <w:pStyle w:val="13"/>
        <w:widowControl/>
        <w:spacing w:beforeAutospacing="0" w:afterAutospacing="0"/>
        <w:jc w:val="both"/>
        <w:rPr>
          <w:rFonts w:asciiTheme="majorHAnsi" w:hAnsiTheme="majorHAnsi" w:cstheme="majorHAnsi"/>
          <w:vertAlign w:val="superscript"/>
        </w:rPr>
      </w:pPr>
      <w:r>
        <w:rPr>
          <w:rFonts w:eastAsia="宋体" w:asciiTheme="majorHAnsi" w:hAnsiTheme="majorHAnsi" w:cstheme="majorHAnsi"/>
          <w:vertAlign w:val="superscript"/>
        </w:rPr>
        <w:t>3</w:t>
      </w:r>
      <w:r>
        <w:rPr>
          <w:rFonts w:eastAsia="宋体" w:asciiTheme="majorHAnsi" w:hAnsiTheme="majorHAnsi" w:cstheme="majorHAnsi"/>
        </w:rPr>
        <w:t xml:space="preserve">Affiliated Hospital of </w:t>
      </w:r>
      <w:r>
        <w:rPr>
          <w:rFonts w:asciiTheme="majorHAnsi" w:hAnsiTheme="majorHAnsi" w:cstheme="majorHAnsi"/>
        </w:rPr>
        <w:t>Inner Mongolia Minzu University,</w:t>
      </w:r>
      <w:r>
        <w:rPr>
          <w:rFonts w:eastAsia="宋体" w:asciiTheme="majorHAnsi" w:hAnsiTheme="majorHAnsi" w:cstheme="majorHAnsi"/>
        </w:rPr>
        <w:t xml:space="preserve"> </w:t>
      </w:r>
      <w:r>
        <w:rPr>
          <w:rFonts w:asciiTheme="majorHAnsi" w:hAnsiTheme="majorHAnsi" w:cstheme="majorHAnsi"/>
        </w:rPr>
        <w:t>China</w:t>
      </w:r>
    </w:p>
    <w:p>
      <w:pPr>
        <w:pStyle w:val="13"/>
        <w:widowControl/>
        <w:spacing w:beforeAutospacing="0" w:afterAutospacing="0"/>
        <w:jc w:val="both"/>
        <w:rPr>
          <w:rFonts w:asciiTheme="majorHAnsi" w:hAnsiTheme="majorHAnsi" w:cstheme="majorHAnsi"/>
        </w:rPr>
      </w:pPr>
      <w:r>
        <w:rPr>
          <w:rFonts w:asciiTheme="majorHAnsi" w:hAnsiTheme="majorHAnsi" w:cstheme="majorHAnsi"/>
          <w:vertAlign w:val="superscript"/>
        </w:rPr>
        <w:t>4</w:t>
      </w:r>
      <w:r>
        <w:rPr>
          <w:rFonts w:asciiTheme="majorHAnsi" w:hAnsiTheme="majorHAnsi" w:cstheme="majorHAnsi"/>
        </w:rPr>
        <w:t>Traditional Chinese&amp;</w:t>
      </w:r>
      <w:r>
        <w:rPr>
          <w:rFonts w:eastAsia="宋体" w:asciiTheme="majorHAnsi" w:hAnsiTheme="majorHAnsi" w:cstheme="majorHAnsi"/>
        </w:rPr>
        <w:t xml:space="preserve"> </w:t>
      </w:r>
      <w:r>
        <w:rPr>
          <w:rFonts w:asciiTheme="majorHAnsi" w:hAnsiTheme="majorHAnsi" w:cstheme="majorHAnsi"/>
        </w:rPr>
        <w:t>Mongolian Medical Research Institute of Inner Mongolia</w:t>
      </w:r>
      <w:r>
        <w:rPr>
          <w:rFonts w:eastAsia="宋体" w:asciiTheme="majorHAnsi" w:hAnsiTheme="majorHAnsi" w:cstheme="majorHAnsi"/>
        </w:rPr>
        <w:t>,</w:t>
      </w:r>
      <w:r>
        <w:rPr>
          <w:rFonts w:asciiTheme="majorHAnsi" w:hAnsiTheme="majorHAnsi" w:cstheme="majorHAnsi"/>
        </w:rPr>
        <w:t xml:space="preserve"> China</w:t>
      </w: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vertAlign w:val="superscript"/>
        </w:rPr>
        <w:t>5</w:t>
      </w:r>
      <w:r>
        <w:rPr>
          <w:rFonts w:asciiTheme="majorHAnsi" w:hAnsiTheme="majorHAnsi" w:cstheme="majorHAnsi"/>
        </w:rPr>
        <w:t>National and local Joint Mongolian Medicine R &amp; D Engineering Center</w:t>
      </w:r>
      <w:r>
        <w:rPr>
          <w:rFonts w:eastAsia="宋体" w:asciiTheme="majorHAnsi" w:hAnsiTheme="majorHAnsi" w:cstheme="majorHAnsi"/>
        </w:rPr>
        <w:t>, China</w:t>
      </w:r>
    </w:p>
    <w:p>
      <w:pPr>
        <w:pStyle w:val="13"/>
        <w:widowControl/>
        <w:spacing w:beforeAutospacing="0" w:afterAutospacing="0"/>
        <w:jc w:val="both"/>
        <w:rPr>
          <w:rFonts w:asciiTheme="majorHAnsi" w:hAnsiTheme="majorHAnsi" w:cstheme="majorHAnsi"/>
        </w:rPr>
      </w:pPr>
      <w:r>
        <w:rPr>
          <w:rFonts w:eastAsia="宋体" w:asciiTheme="majorHAnsi" w:hAnsiTheme="majorHAnsi" w:cstheme="majorHAnsi"/>
          <w:vertAlign w:val="superscript"/>
        </w:rPr>
        <w:t>6</w:t>
      </w:r>
      <w:r>
        <w:rPr>
          <w:rFonts w:asciiTheme="majorHAnsi" w:hAnsiTheme="majorHAnsi" w:cstheme="majorHAnsi"/>
        </w:rPr>
        <w:t>Inner Mongolia Minzu University,</w:t>
      </w:r>
      <w:r>
        <w:rPr>
          <w:rFonts w:eastAsia="宋体" w:asciiTheme="majorHAnsi" w:hAnsiTheme="majorHAnsi" w:cstheme="majorHAnsi"/>
        </w:rPr>
        <w:t xml:space="preserve"> </w:t>
      </w:r>
      <w:r>
        <w:rPr>
          <w:rFonts w:asciiTheme="majorHAnsi" w:hAnsiTheme="majorHAnsi" w:cstheme="majorHAnsi"/>
        </w:rPr>
        <w:t>China</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asciiTheme="majorHAnsi" w:hAnsiTheme="majorHAnsi" w:cstheme="majorHAnsi"/>
          <w:b/>
          <w:bCs/>
        </w:rPr>
      </w:pPr>
      <w:r>
        <w:rPr>
          <w:rFonts w:asciiTheme="majorHAnsi" w:hAnsiTheme="majorHAnsi" w:cstheme="majorHAnsi"/>
          <w:b/>
          <w:bCs/>
        </w:rPr>
        <w:t>Email addresses of the co-authors:</w:t>
      </w: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Qinglan Bao                 (15754930168@163.com)</w:t>
      </w: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Xiaoxiao Zhang            (1219648418@qq.com)</w:t>
      </w:r>
    </w:p>
    <w:p>
      <w:pPr>
        <w:pStyle w:val="13"/>
        <w:widowControl/>
        <w:spacing w:beforeAutospacing="0" w:afterAutospacing="0"/>
        <w:jc w:val="both"/>
        <w:rPr>
          <w:rFonts w:asciiTheme="majorHAnsi" w:hAnsiTheme="majorHAnsi" w:cstheme="majorHAnsi"/>
          <w:b/>
          <w:bCs/>
        </w:rPr>
      </w:pPr>
    </w:p>
    <w:p>
      <w:pPr>
        <w:pStyle w:val="13"/>
        <w:widowControl/>
        <w:spacing w:beforeAutospacing="0" w:afterAutospacing="0"/>
        <w:jc w:val="both"/>
        <w:rPr>
          <w:rFonts w:asciiTheme="majorHAnsi" w:hAnsiTheme="majorHAnsi" w:cstheme="majorHAnsi"/>
        </w:rPr>
      </w:pPr>
      <w:r>
        <w:rPr>
          <w:rFonts w:asciiTheme="majorHAnsi" w:hAnsiTheme="majorHAnsi" w:cstheme="majorHAnsi"/>
          <w:b/>
          <w:bCs/>
        </w:rPr>
        <w:t>Correspond</w:t>
      </w:r>
      <w:r>
        <w:rPr>
          <w:rFonts w:eastAsia="宋体" w:asciiTheme="majorHAnsi" w:hAnsiTheme="majorHAnsi" w:cstheme="majorHAnsi"/>
          <w:b/>
          <w:bCs/>
        </w:rPr>
        <w:t>ing authors</w:t>
      </w:r>
      <w:r>
        <w:rPr>
          <w:rFonts w:asciiTheme="majorHAnsi" w:hAnsiTheme="majorHAnsi" w:cstheme="majorHAnsi"/>
          <w:b/>
          <w:bCs/>
        </w:rPr>
        <w:t>:</w:t>
      </w:r>
      <w:r>
        <w:rPr>
          <w:rFonts w:asciiTheme="majorHAnsi" w:hAnsiTheme="majorHAnsi" w:cstheme="majorHAnsi"/>
        </w:rPr>
        <w:t xml:space="preserve"> </w:t>
      </w:r>
    </w:p>
    <w:p>
      <w:pPr>
        <w:pStyle w:val="13"/>
        <w:widowControl/>
        <w:spacing w:beforeAutospacing="0" w:afterAutospacing="0"/>
        <w:jc w:val="both"/>
        <w:rPr>
          <w:rFonts w:eastAsia="宋体" w:asciiTheme="majorHAnsi" w:hAnsiTheme="majorHAnsi" w:cstheme="majorHAnsi"/>
        </w:rPr>
      </w:pPr>
      <w:r>
        <w:rPr>
          <w:rFonts w:asciiTheme="majorHAnsi" w:hAnsiTheme="majorHAnsi" w:cstheme="majorHAnsi"/>
        </w:rPr>
        <w:t>Yingsong Chen</w:t>
      </w:r>
      <w:r>
        <w:rPr>
          <w:rFonts w:eastAsia="宋体" w:asciiTheme="majorHAnsi" w:hAnsiTheme="majorHAnsi" w:cstheme="majorHAnsi"/>
        </w:rPr>
        <w:t xml:space="preserve">                </w:t>
      </w:r>
      <w:r>
        <w:rPr>
          <w:rFonts w:asciiTheme="majorHAnsi" w:hAnsiTheme="majorHAnsi" w:cstheme="majorHAnsi"/>
        </w:rPr>
        <w:t xml:space="preserve"> </w:t>
      </w:r>
      <w:r>
        <w:rPr>
          <w:rFonts w:eastAsia="宋体" w:asciiTheme="majorHAnsi" w:hAnsiTheme="majorHAnsi" w:cstheme="majorHAnsi"/>
        </w:rPr>
        <w:t xml:space="preserve"> (</w:t>
      </w:r>
      <w:r>
        <w:rPr>
          <w:rFonts w:asciiTheme="majorHAnsi" w:hAnsiTheme="majorHAnsi" w:cstheme="majorHAnsi"/>
        </w:rPr>
        <w:t>cys1979@126.com</w:t>
      </w:r>
      <w:r>
        <w:rPr>
          <w:rFonts w:eastAsia="宋体" w:asciiTheme="majorHAnsi" w:hAnsiTheme="majorHAnsi" w:cstheme="majorHAnsi"/>
        </w:rPr>
        <w:t>)</w:t>
      </w:r>
    </w:p>
    <w:p>
      <w:pPr>
        <w:pStyle w:val="13"/>
        <w:widowControl/>
        <w:spacing w:beforeAutospacing="0" w:afterAutospacing="0"/>
        <w:jc w:val="both"/>
        <w:rPr>
          <w:rFonts w:eastAsia="宋体" w:asciiTheme="majorHAnsi" w:hAnsiTheme="majorHAnsi" w:cstheme="majorHAnsi"/>
        </w:rPr>
      </w:pPr>
      <w:r>
        <w:rPr>
          <w:rFonts w:asciiTheme="majorHAnsi" w:hAnsiTheme="majorHAnsi" w:cstheme="majorHAnsi"/>
        </w:rPr>
        <w:t>Tegexibaiyin Wang</w:t>
      </w:r>
      <w:r>
        <w:rPr>
          <w:rFonts w:eastAsia="宋体" w:asciiTheme="majorHAnsi" w:hAnsiTheme="majorHAnsi" w:cstheme="majorHAnsi"/>
        </w:rPr>
        <w:t xml:space="preserve">          (</w:t>
      </w:r>
      <w:r>
        <w:rPr>
          <w:rFonts w:asciiTheme="majorHAnsi" w:hAnsiTheme="majorHAnsi" w:cstheme="majorHAnsi"/>
        </w:rPr>
        <w:t>tegexibaiyin@yeah.net</w:t>
      </w:r>
      <w:r>
        <w:rPr>
          <w:rFonts w:eastAsia="宋体" w:asciiTheme="majorHAnsi" w:hAnsiTheme="majorHAnsi" w:cstheme="majorHAnsi"/>
        </w:rPr>
        <w:t>)</w:t>
      </w:r>
    </w:p>
    <w:p>
      <w:pPr>
        <w:pStyle w:val="13"/>
        <w:widowControl/>
        <w:spacing w:beforeAutospacing="0" w:afterAutospacing="0"/>
        <w:jc w:val="both"/>
        <w:rPr>
          <w:rFonts w:asciiTheme="majorHAnsi" w:hAnsiTheme="majorHAnsi" w:cstheme="majorHAnsi"/>
        </w:rPr>
      </w:pPr>
      <w:r>
        <w:rPr>
          <w:rFonts w:asciiTheme="majorHAnsi" w:hAnsiTheme="majorHAnsi" w:cstheme="majorHAnsi"/>
        </w:rPr>
        <w:t>Bateer Siqin</w:t>
      </w:r>
      <w:r>
        <w:rPr>
          <w:rFonts w:eastAsia="宋体" w:asciiTheme="majorHAnsi" w:hAnsiTheme="majorHAnsi" w:cstheme="majorHAnsi"/>
        </w:rPr>
        <w:t xml:space="preserve">                      (</w:t>
      </w:r>
      <w:r>
        <w:rPr>
          <w:rFonts w:asciiTheme="majorHAnsi" w:hAnsiTheme="majorHAnsi" w:cstheme="majorHAnsi"/>
        </w:rPr>
        <w:t>siqin3687@163.com</w:t>
      </w:r>
      <w:r>
        <w:rPr>
          <w:rFonts w:eastAsia="宋体" w:asciiTheme="majorHAnsi" w:hAnsiTheme="majorHAnsi" w:cstheme="majorHAnsi"/>
        </w:rPr>
        <w:t>)</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SUMMARY:</w:t>
      </w:r>
      <w:r>
        <w:rPr>
          <w:rFonts w:asciiTheme="majorHAnsi" w:hAnsiTheme="majorHAnsi" w:cstheme="majorHAnsi"/>
        </w:rPr>
        <w:t> </w:t>
      </w:r>
    </w:p>
    <w:p>
      <w:pPr>
        <w:pStyle w:val="13"/>
        <w:widowControl/>
        <w:spacing w:beforeAutospacing="0" w:afterAutospacing="0"/>
        <w:jc w:val="both"/>
        <w:rPr>
          <w:rFonts w:eastAsia="宋体" w:asciiTheme="majorHAnsi" w:hAnsiTheme="majorHAnsi" w:cstheme="majorHAnsi"/>
          <w:lang w:bidi="ar"/>
        </w:rPr>
      </w:pPr>
      <w:r>
        <w:rPr>
          <w:rFonts w:eastAsia="宋体" w:asciiTheme="majorHAnsi" w:hAnsiTheme="majorHAnsi" w:cstheme="majorHAnsi"/>
          <w:lang w:bidi="ar"/>
        </w:rPr>
        <w:t xml:space="preserve">This article describes the use of oleic acid-induced HepG2 cells as a model for metabolic dysfunction-associated steatotic liver disease. </w:t>
      </w:r>
    </w:p>
    <w:p>
      <w:pPr>
        <w:pStyle w:val="13"/>
        <w:widowControl/>
        <w:spacing w:beforeAutospacing="0" w:afterAutospacing="0"/>
        <w:jc w:val="both"/>
        <w:rPr>
          <w:rStyle w:val="18"/>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ABSTRACT:</w:t>
      </w:r>
      <w:r>
        <w:rPr>
          <w:rFonts w:asciiTheme="majorHAnsi" w:hAnsiTheme="majorHAnsi" w:cstheme="majorHAnsi"/>
        </w:rPr>
        <w:t> </w:t>
      </w: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The prevalence of m</w:t>
      </w:r>
      <w:r>
        <w:rPr>
          <w:rFonts w:asciiTheme="majorHAnsi" w:hAnsiTheme="majorHAnsi" w:cstheme="majorHAnsi"/>
        </w:rPr>
        <w:t>etabolic dysfunction-associated steatotic liver disease</w:t>
      </w:r>
      <w:r>
        <w:rPr>
          <w:rFonts w:eastAsia="宋体" w:asciiTheme="majorHAnsi" w:hAnsiTheme="majorHAnsi" w:cstheme="majorHAnsi"/>
        </w:rPr>
        <w:t xml:space="preserve"> (</w:t>
      </w:r>
      <w:r>
        <w:rPr>
          <w:rFonts w:eastAsia="宋体" w:asciiTheme="majorHAnsi" w:hAnsiTheme="majorHAnsi" w:cstheme="majorHAnsi"/>
          <w:lang w:bidi="ar"/>
        </w:rPr>
        <w:t>MASLD</w:t>
      </w:r>
      <w:r>
        <w:rPr>
          <w:rFonts w:eastAsia="宋体" w:asciiTheme="majorHAnsi" w:hAnsiTheme="majorHAnsi" w:cstheme="majorHAnsi"/>
        </w:rPr>
        <w:t xml:space="preserve">) has surged due to changes in economic and lifestyle patterns, leading to significant health challenges. Previous reports have studied the establishment of animal and cellular models for </w:t>
      </w:r>
      <w:r>
        <w:rPr>
          <w:rFonts w:eastAsia="宋体" w:asciiTheme="majorHAnsi" w:hAnsiTheme="majorHAnsi" w:cstheme="majorHAnsi"/>
          <w:lang w:bidi="ar"/>
        </w:rPr>
        <w:t>MASLD</w:t>
      </w:r>
      <w:r>
        <w:rPr>
          <w:rFonts w:eastAsia="宋体" w:asciiTheme="majorHAnsi" w:hAnsiTheme="majorHAnsi" w:cstheme="majorHAnsi"/>
        </w:rPr>
        <w:t xml:space="preserve">, highlighting differences between them. In this study, a cellular model was created by inducing fat accumulation in metabolic dysfunction-associated steatotic liver disease. HepG2 cells were stimulated with the unsaturated fatty acid </w:t>
      </w:r>
      <w:r>
        <w:rPr>
          <w:rFonts w:eastAsia="宋体" w:asciiTheme="majorHAnsi" w:hAnsiTheme="majorHAnsi" w:cstheme="majorHAnsi"/>
          <w:lang w:bidi="ar"/>
        </w:rPr>
        <w:t>oleic acid</w:t>
      </w:r>
      <w:r>
        <w:rPr>
          <w:rFonts w:eastAsia="宋体" w:asciiTheme="majorHAnsi" w:hAnsiTheme="majorHAnsi" w:cstheme="majorHAnsi"/>
        </w:rPr>
        <w:t xml:space="preserve"> at various concentrations (0.125 mM, 0.25 mM, 0.5 mM, 1 mM) to emulate </w:t>
      </w:r>
      <w:r>
        <w:rPr>
          <w:rFonts w:eastAsia="宋体" w:asciiTheme="majorHAnsi" w:hAnsiTheme="majorHAnsi" w:cstheme="majorHAnsi"/>
          <w:lang w:bidi="ar"/>
        </w:rPr>
        <w:t>MASLD</w:t>
      </w:r>
      <w:r>
        <w:rPr>
          <w:rFonts w:eastAsia="宋体" w:asciiTheme="majorHAnsi" w:hAnsiTheme="majorHAnsi" w:cstheme="majorHAnsi"/>
        </w:rPr>
        <w:t xml:space="preserve">. The model’s efficacy was assessed using </w:t>
      </w:r>
      <w:r>
        <w:rPr>
          <w:rFonts w:eastAsia="宋体" w:asciiTheme="majorHAnsi" w:hAnsiTheme="majorHAnsi" w:cstheme="majorHAnsi"/>
          <w:lang w:bidi="ar"/>
        </w:rPr>
        <w:t>cell counting kit-8 assays</w:t>
      </w:r>
      <w:r>
        <w:rPr>
          <w:rFonts w:eastAsia="宋体" w:asciiTheme="majorHAnsi" w:hAnsiTheme="majorHAnsi" w:cstheme="majorHAnsi"/>
        </w:rPr>
        <w:t xml:space="preserve">, Oil Red O staining, and lipid content analysis. This study aimed to create a simple-to-operate cellular model for </w:t>
      </w:r>
      <w:r>
        <w:rPr>
          <w:rFonts w:eastAsia="宋体" w:asciiTheme="majorHAnsi" w:hAnsiTheme="majorHAnsi" w:cstheme="majorHAnsi"/>
          <w:lang w:bidi="ar"/>
        </w:rPr>
        <w:t>MASLD</w:t>
      </w:r>
      <w:r>
        <w:rPr>
          <w:rFonts w:eastAsia="宋体" w:asciiTheme="majorHAnsi" w:hAnsiTheme="majorHAnsi" w:cstheme="majorHAnsi"/>
        </w:rPr>
        <w:t xml:space="preserve"> cells. Results from the cell counting kit-8 assays showed that the survival of HepG2 cells was dependent on the concentration of </w:t>
      </w:r>
      <w:r>
        <w:rPr>
          <w:rFonts w:eastAsia="宋体" w:asciiTheme="majorHAnsi" w:hAnsiTheme="majorHAnsi" w:cstheme="majorHAnsi"/>
          <w:lang w:bidi="ar"/>
        </w:rPr>
        <w:t>oleic acid</w:t>
      </w:r>
      <w:r>
        <w:rPr>
          <w:rFonts w:eastAsia="宋体" w:asciiTheme="majorHAnsi" w:hAnsiTheme="majorHAnsi" w:cstheme="majorHAnsi"/>
        </w:rPr>
        <w:t>, with a GI</w:t>
      </w:r>
      <w:r>
        <w:rPr>
          <w:rFonts w:eastAsia="宋体" w:asciiTheme="majorHAnsi" w:hAnsiTheme="majorHAnsi" w:cstheme="majorHAnsi"/>
          <w:vertAlign w:val="subscript"/>
        </w:rPr>
        <w:t>50</w:t>
      </w:r>
      <w:r>
        <w:rPr>
          <w:rFonts w:eastAsia="宋体" w:asciiTheme="majorHAnsi" w:hAnsiTheme="majorHAnsi" w:cstheme="majorHAnsi"/>
        </w:rPr>
        <w:t xml:space="preserve"> of 1.875 mM. Cell viability in the 0.5 mM and 1 mM groups were significantly lower than those in the control group (</w:t>
      </w:r>
      <w:r>
        <w:rPr>
          <w:rFonts w:eastAsia="宋体" w:asciiTheme="majorHAnsi" w:hAnsiTheme="majorHAnsi" w:cstheme="majorHAnsi"/>
          <w:i/>
          <w:iCs/>
        </w:rPr>
        <w:t>P</w:t>
      </w:r>
      <w:r>
        <w:rPr>
          <w:rFonts w:eastAsia="宋体" w:asciiTheme="majorHAnsi" w:hAnsiTheme="majorHAnsi" w:cstheme="majorHAnsi"/>
        </w:rPr>
        <w:t xml:space="preserve"> &lt; 0.05). Furthermore, </w:t>
      </w:r>
      <w:r>
        <w:rPr>
          <w:rFonts w:eastAsia="宋体" w:asciiTheme="majorHAnsi" w:hAnsiTheme="majorHAnsi" w:cstheme="majorHAnsi"/>
          <w:lang w:bidi="ar"/>
        </w:rPr>
        <w:t>Oil Red O</w:t>
      </w:r>
      <w:r>
        <w:rPr>
          <w:rFonts w:eastAsia="宋体" w:asciiTheme="majorHAnsi" w:hAnsiTheme="majorHAnsi" w:cstheme="majorHAnsi"/>
        </w:rPr>
        <w:t xml:space="preserve"> staining and lipid content analysis examined fat deposition at varying oleic acid concentrations (0.125 mM, 0.25 mM, 0.5 mM, 1 mM) on HepG2 cells. The lipid content of the 0.25 mM, 0.5 mM, and 1 mM groups was significantly higher than that of the control group (</w:t>
      </w:r>
      <w:r>
        <w:rPr>
          <w:rFonts w:eastAsia="宋体" w:asciiTheme="majorHAnsi" w:hAnsiTheme="majorHAnsi" w:cstheme="majorHAnsi"/>
          <w:i/>
          <w:iCs/>
        </w:rPr>
        <w:t>P</w:t>
      </w:r>
      <w:r>
        <w:rPr>
          <w:rFonts w:eastAsia="宋体" w:asciiTheme="majorHAnsi" w:hAnsiTheme="majorHAnsi" w:cstheme="majorHAnsi"/>
        </w:rPr>
        <w:t xml:space="preserve"> &lt; 0.05). Additionally, triglyceride levels in the OA groups were significantly higher than those in the control group (</w:t>
      </w:r>
      <w:r>
        <w:rPr>
          <w:rFonts w:eastAsia="宋体" w:asciiTheme="majorHAnsi" w:hAnsiTheme="majorHAnsi" w:cstheme="majorHAnsi"/>
          <w:i/>
          <w:iCs/>
        </w:rPr>
        <w:t>P</w:t>
      </w:r>
      <w:r>
        <w:rPr>
          <w:rFonts w:eastAsia="宋体" w:asciiTheme="majorHAnsi" w:hAnsiTheme="majorHAnsi" w:cstheme="majorHAnsi"/>
        </w:rPr>
        <w:t xml:space="preserve"> &lt; 0.05).</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INTRODUCTION:</w:t>
      </w:r>
      <w:r>
        <w:rPr>
          <w:rFonts w:asciiTheme="majorHAnsi" w:hAnsiTheme="majorHAnsi" w:cstheme="majorHAnsi"/>
        </w:rPr>
        <w:t> </w:t>
      </w: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Metabolic dysfunction-associated steatotic liver disease (MASLD) encompasses a range of conditions, including simple steatosis, nonalcoholic steatohepatitis (NASH), cirrhosis, and hepatocellular carcinoma</w:t>
      </w:r>
      <w:r>
        <w:rPr>
          <w:rFonts w:eastAsia="宋体" w:asciiTheme="majorHAnsi" w:hAnsiTheme="majorHAnsi" w:cstheme="majorHAnsi"/>
          <w:vertAlign w:val="superscript"/>
        </w:rPr>
        <w:t>1-6</w:t>
      </w:r>
      <w:r>
        <w:rPr>
          <w:rFonts w:eastAsia="宋体" w:asciiTheme="majorHAnsi" w:hAnsiTheme="majorHAnsi" w:cstheme="majorHAnsi"/>
        </w:rPr>
        <w:t>, all attributed to factors other than alcohol consuption</w:t>
      </w:r>
      <w:r>
        <w:rPr>
          <w:rFonts w:eastAsia="宋体" w:asciiTheme="majorHAnsi" w:hAnsiTheme="majorHAnsi" w:cstheme="majorHAnsi"/>
          <w:vertAlign w:val="superscript"/>
        </w:rPr>
        <w:t>7</w:t>
      </w:r>
      <w:r>
        <w:rPr>
          <w:rFonts w:eastAsia="宋体" w:asciiTheme="majorHAnsi" w:hAnsiTheme="majorHAnsi" w:cstheme="majorHAnsi"/>
        </w:rPr>
        <w:t>. MASLD is the most prevalent liver disease caused by metabolic liver injury, affecting nearly one-quarter of the global population</w:t>
      </w:r>
      <w:r>
        <w:rPr>
          <w:rFonts w:eastAsia="宋体" w:asciiTheme="majorHAnsi" w:hAnsiTheme="majorHAnsi" w:cstheme="majorHAnsi"/>
          <w:vertAlign w:val="superscript"/>
        </w:rPr>
        <w:t>8-12</w:t>
      </w:r>
      <w:r>
        <w:rPr>
          <w:rFonts w:eastAsia="宋体" w:asciiTheme="majorHAnsi" w:hAnsiTheme="majorHAnsi" w:cstheme="majorHAnsi"/>
        </w:rPr>
        <w:t>. While the precise pathogenesis of MASLD has not yet been elucidated, various theories attempt to explain its development. One prevailing notion suggests a departure from the classic "two-hit" theory towards a "multiple-hit" model</w:t>
      </w:r>
      <w:r>
        <w:rPr>
          <w:rFonts w:eastAsia="宋体" w:asciiTheme="majorHAnsi" w:hAnsiTheme="majorHAnsi" w:cstheme="majorHAnsi"/>
          <w:vertAlign w:val="superscript"/>
        </w:rPr>
        <w:t>1</w:t>
      </w:r>
      <w:r>
        <w:rPr>
          <w:rFonts w:eastAsia="宋体" w:asciiTheme="majorHAnsi" w:hAnsiTheme="majorHAnsi" w:cstheme="majorHAnsi"/>
        </w:rPr>
        <w:t>. Central to these hypotheses is the role of insulin resistance, which is believed to be pivotal in MASLD pathogenesis</w:t>
      </w:r>
      <w:r>
        <w:rPr>
          <w:rFonts w:eastAsia="宋体" w:asciiTheme="majorHAnsi" w:hAnsiTheme="majorHAnsi" w:cstheme="majorHAnsi"/>
          <w:vertAlign w:val="superscript"/>
        </w:rPr>
        <w:t>13</w:t>
      </w:r>
      <w:r>
        <w:rPr>
          <w:rFonts w:eastAsia="宋体" w:asciiTheme="majorHAnsi" w:hAnsiTheme="majorHAnsi" w:cstheme="majorHAnsi"/>
        </w:rPr>
        <w:t>. Research indicates that insulin resistance in hepatocytes leads to increased levels of free fatty acids, subsequently forming triglycerides stored within the liver</w:t>
      </w:r>
      <w:r>
        <w:rPr>
          <w:rFonts w:eastAsia="宋体" w:asciiTheme="majorHAnsi" w:hAnsiTheme="majorHAnsi" w:cstheme="majorHAnsi"/>
          <w:vertAlign w:val="superscript"/>
        </w:rPr>
        <w:t>14,15</w:t>
      </w:r>
      <w:r>
        <w:rPr>
          <w:rFonts w:eastAsia="宋体" w:asciiTheme="majorHAnsi" w:hAnsiTheme="majorHAnsi" w:cstheme="majorHAnsi"/>
        </w:rPr>
        <w:t>.</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 xml:space="preserve">Researchers have used both </w:t>
      </w:r>
      <w:r>
        <w:rPr>
          <w:rFonts w:eastAsia="宋体" w:asciiTheme="majorHAnsi" w:hAnsiTheme="majorHAnsi" w:cstheme="majorHAnsi"/>
          <w:i/>
          <w:iCs/>
        </w:rPr>
        <w:t>in vivo</w:t>
      </w:r>
      <w:r>
        <w:rPr>
          <w:rFonts w:eastAsia="宋体" w:asciiTheme="majorHAnsi" w:hAnsiTheme="majorHAnsi" w:cstheme="majorHAnsi"/>
        </w:rPr>
        <w:t xml:space="preserve"> and </w:t>
      </w:r>
      <w:r>
        <w:rPr>
          <w:rFonts w:eastAsia="宋体" w:asciiTheme="majorHAnsi" w:hAnsiTheme="majorHAnsi" w:cstheme="majorHAnsi"/>
          <w:i/>
          <w:iCs/>
        </w:rPr>
        <w:t>in vitro</w:t>
      </w:r>
      <w:r>
        <w:rPr>
          <w:rFonts w:eastAsia="宋体" w:asciiTheme="majorHAnsi" w:hAnsiTheme="majorHAnsi" w:cstheme="majorHAnsi"/>
        </w:rPr>
        <w:t xml:space="preserve"> models to simulate fat deposition in MASLD; yet fully replicating its pathomechanism remains challenging. Despite this limitation, these models have been instrumental in studying potential therapeutic targets for MASLD. However, the development of a stable model of MASLD is crucial. While animal models are effective, they are time-consuming and expensive, thus highlighting the growing interest in </w:t>
      </w:r>
      <w:r>
        <w:rPr>
          <w:rFonts w:eastAsia="宋体" w:asciiTheme="majorHAnsi" w:hAnsiTheme="majorHAnsi" w:cstheme="majorHAnsi"/>
          <w:i/>
          <w:iCs/>
        </w:rPr>
        <w:t>in vitro</w:t>
      </w:r>
      <w:r>
        <w:rPr>
          <w:rFonts w:eastAsia="宋体" w:asciiTheme="majorHAnsi" w:hAnsiTheme="majorHAnsi" w:cstheme="majorHAnsi"/>
        </w:rPr>
        <w:t xml:space="preserve"> cellular models. These models often use single or multiple free fatty acids such as oleic acid (OA) and palmitic acid to recreate diet-induced MASLD. Among these, the human hepatoblastoma cell line HepG2 is often used to establish </w:t>
      </w:r>
      <w:r>
        <w:rPr>
          <w:rFonts w:eastAsia="宋体" w:asciiTheme="majorHAnsi" w:hAnsiTheme="majorHAnsi" w:cstheme="majorHAnsi"/>
          <w:i/>
          <w:iCs/>
        </w:rPr>
        <w:t>in vitro</w:t>
      </w:r>
      <w:r>
        <w:rPr>
          <w:rFonts w:eastAsia="宋体" w:asciiTheme="majorHAnsi" w:hAnsiTheme="majorHAnsi" w:cstheme="majorHAnsi"/>
        </w:rPr>
        <w:t xml:space="preserve"> cellular models of MASLD.</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OA induction stimulates HepG2 cells to replicate fatty deposition akin to metabolic dysfunction-associated steatotic fatty liver disease, a method with a well-established history. The aim of this study was to demonstrate the viability, Oil Red O (ORO) staining, lipid content, and triglyceride (TG) level of HepG2 cells treated with 0.25 mM OA. The objective of this experiment was to provide further evidence for the development of MAFLD modeling studies.</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PROTOCOL:</w:t>
      </w:r>
      <w:r>
        <w:rPr>
          <w:rFonts w:asciiTheme="majorHAnsi" w:hAnsiTheme="majorHAnsi" w:cstheme="majorHAnsi"/>
        </w:rPr>
        <w:t> </w:t>
      </w:r>
    </w:p>
    <w:p>
      <w:pPr>
        <w:pStyle w:val="13"/>
        <w:widowControl/>
        <w:spacing w:beforeAutospacing="0" w:afterAutospacing="0"/>
        <w:jc w:val="both"/>
        <w:rPr>
          <w:rFonts w:asciiTheme="majorHAnsi" w:hAnsiTheme="majorHAnsi" w:cstheme="majorHAnsi"/>
        </w:rPr>
      </w:pPr>
      <w:r>
        <w:rPr>
          <w:rFonts w:asciiTheme="majorHAnsi" w:hAnsiTheme="majorHAnsi" w:cstheme="majorHAnsi"/>
        </w:rPr>
        <w:t> </w:t>
      </w:r>
    </w:p>
    <w:p>
      <w:pPr>
        <w:pStyle w:val="13"/>
        <w:widowControl/>
        <w:spacing w:beforeAutospacing="0" w:afterAutospacing="0"/>
        <w:jc w:val="both"/>
        <w:rPr>
          <w:rFonts w:asciiTheme="majorHAnsi" w:hAnsiTheme="majorHAnsi" w:cstheme="majorHAnsi"/>
        </w:rPr>
      </w:pPr>
      <w:r>
        <w:rPr>
          <w:rFonts w:asciiTheme="majorHAnsi" w:hAnsiTheme="majorHAnsi" w:cstheme="majorHAnsi"/>
        </w:rPr>
        <w:t xml:space="preserve">NOTE: See the </w:t>
      </w:r>
      <w:r>
        <w:rPr>
          <w:rFonts w:asciiTheme="majorHAnsi" w:hAnsiTheme="majorHAnsi" w:cstheme="majorHAnsi"/>
          <w:b/>
          <w:bCs/>
        </w:rPr>
        <w:t>Table of Materials</w:t>
      </w:r>
      <w:r>
        <w:rPr>
          <w:rFonts w:asciiTheme="majorHAnsi" w:hAnsiTheme="majorHAnsi" w:cstheme="majorHAnsi"/>
        </w:rPr>
        <w:t xml:space="preserve"> for details related to all materials, instruments, and reagents used in this protocol. </w:t>
      </w:r>
    </w:p>
    <w:p>
      <w:pPr>
        <w:pStyle w:val="13"/>
        <w:widowControl/>
        <w:spacing w:beforeAutospacing="0" w:afterAutospacing="0"/>
        <w:jc w:val="both"/>
        <w:rPr>
          <w:rFonts w:asciiTheme="majorHAnsi" w:hAnsiTheme="majorHAnsi" w:cstheme="majorHAnsi"/>
        </w:rPr>
      </w:pPr>
    </w:p>
    <w:p>
      <w:pPr>
        <w:pStyle w:val="13"/>
        <w:widowControl/>
        <w:numPr>
          <w:ilvl w:val="0"/>
          <w:numId w:val="1"/>
        </w:numPr>
        <w:spacing w:beforeAutospacing="0" w:afterAutospacing="0"/>
        <w:ind w:left="0" w:firstLine="0"/>
        <w:jc w:val="both"/>
        <w:rPr>
          <w:rStyle w:val="18"/>
          <w:rFonts w:asciiTheme="majorHAnsi" w:hAnsiTheme="majorHAnsi" w:cstheme="majorHAnsi"/>
        </w:rPr>
      </w:pPr>
      <w:r>
        <w:rPr>
          <w:rStyle w:val="18"/>
          <w:rFonts w:asciiTheme="majorHAnsi" w:hAnsiTheme="majorHAnsi" w:cstheme="majorHAnsi"/>
        </w:rPr>
        <w:t>Cell culture</w:t>
      </w:r>
    </w:p>
    <w:p>
      <w:pPr>
        <w:pStyle w:val="13"/>
        <w:widowControl/>
        <w:spacing w:beforeAutospacing="0" w:afterAutospacing="0"/>
        <w:jc w:val="both"/>
        <w:rPr>
          <w:rFonts w:asciiTheme="majorHAnsi" w:hAnsiTheme="majorHAnsi" w:cstheme="majorHAnsi"/>
        </w:rPr>
      </w:pPr>
    </w:p>
    <w:p>
      <w:pPr>
        <w:pStyle w:val="13"/>
        <w:widowControl/>
        <w:numPr>
          <w:ilvl w:val="1"/>
          <w:numId w:val="1"/>
        </w:numPr>
        <w:spacing w:beforeAutospacing="0" w:afterAutospacing="0"/>
        <w:ind w:left="0" w:firstLine="0"/>
        <w:jc w:val="both"/>
        <w:rPr>
          <w:rFonts w:asciiTheme="majorHAnsi" w:hAnsiTheme="majorHAnsi" w:cstheme="majorHAnsi"/>
        </w:rPr>
      </w:pPr>
      <w:r>
        <w:rPr>
          <w:rFonts w:asciiTheme="majorHAnsi" w:hAnsiTheme="majorHAnsi" w:cstheme="majorHAnsi"/>
        </w:rPr>
        <w:t>Culture HepG2 cells in culture flasks containing Dulbecco's Modified Eagle Medium (DMEM) (containing 10% fetal bovine serum [FBS], 100 units/mL penicillin, and 100 μg/mL streptomycin). Maintain the culture flasks at 37 °C in a 5% CO</w:t>
      </w:r>
      <w:r>
        <w:rPr>
          <w:rFonts w:asciiTheme="majorHAnsi" w:hAnsiTheme="majorHAnsi" w:cstheme="majorHAnsi"/>
          <w:vertAlign w:val="subscript"/>
        </w:rPr>
        <w:t>2</w:t>
      </w:r>
      <w:r>
        <w:rPr>
          <w:rFonts w:asciiTheme="majorHAnsi" w:hAnsiTheme="majorHAnsi" w:cstheme="majorHAnsi"/>
        </w:rPr>
        <w:t xml:space="preserve"> incubator. </w:t>
      </w:r>
    </w:p>
    <w:p>
      <w:pPr>
        <w:pStyle w:val="13"/>
        <w:widowControl/>
        <w:spacing w:beforeAutospacing="0" w:afterAutospacing="0"/>
        <w:jc w:val="both"/>
        <w:rPr>
          <w:rFonts w:asciiTheme="majorHAnsi" w:hAnsiTheme="majorHAnsi" w:cstheme="majorHAnsi"/>
        </w:rPr>
      </w:pPr>
    </w:p>
    <w:p>
      <w:pPr>
        <w:pStyle w:val="13"/>
        <w:widowControl/>
        <w:numPr>
          <w:ilvl w:val="0"/>
          <w:numId w:val="2"/>
        </w:numPr>
        <w:tabs>
          <w:tab w:val="clear" w:pos="312"/>
        </w:tabs>
        <w:spacing w:beforeAutospacing="0" w:afterAutospacing="0"/>
        <w:jc w:val="both"/>
        <w:rPr>
          <w:rStyle w:val="18"/>
          <w:rFonts w:asciiTheme="majorHAnsi" w:hAnsiTheme="majorHAnsi" w:cstheme="majorHAnsi"/>
        </w:rPr>
      </w:pPr>
      <w:r>
        <w:rPr>
          <w:rStyle w:val="18"/>
          <w:rFonts w:asciiTheme="majorHAnsi" w:hAnsiTheme="majorHAnsi" w:cstheme="majorHAnsi"/>
        </w:rPr>
        <w:t>Effect of oleic acid on cell viability as measured by cell counting kit-8</w:t>
      </w:r>
    </w:p>
    <w:p>
      <w:pPr>
        <w:pStyle w:val="13"/>
        <w:widowControl/>
        <w:spacing w:beforeAutospacing="0" w:afterAutospacing="0"/>
        <w:jc w:val="both"/>
        <w:rPr>
          <w:rStyle w:val="18"/>
          <w:rFonts w:asciiTheme="majorHAnsi" w:hAnsiTheme="majorHAnsi" w:cstheme="majorHAnsi"/>
        </w:rPr>
      </w:pP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2.1.</w:t>
      </w:r>
      <w:r>
        <w:rPr>
          <w:rFonts w:asciiTheme="majorHAnsi" w:hAnsiTheme="majorHAnsi" w:cstheme="majorHAnsi"/>
        </w:rPr>
        <w:t xml:space="preserve"> </w:t>
      </w:r>
      <w:r>
        <w:rPr>
          <w:rFonts w:eastAsia="宋体" w:asciiTheme="majorHAnsi" w:hAnsiTheme="majorHAnsi" w:cstheme="majorHAnsi"/>
        </w:rPr>
        <w:t>Dissolve a specific volume of OA in dimethyl sulfoxide (DMSO) to achieve a concentration of 200 mM. Store the solution at -20 °C for future use.</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highlight w:val="yellow"/>
        </w:rPr>
      </w:pPr>
      <w:r>
        <w:rPr>
          <w:rFonts w:asciiTheme="majorHAnsi" w:hAnsiTheme="majorHAnsi" w:cstheme="majorHAnsi"/>
          <w:highlight w:val="yellow"/>
        </w:rPr>
        <w:t>2.2. Seed HepG2 cells in a 96-well plate at a cell density of 6 × 10</w:t>
      </w:r>
      <w:r>
        <w:rPr>
          <w:rFonts w:asciiTheme="majorHAnsi" w:hAnsiTheme="majorHAnsi" w:cstheme="majorHAnsi"/>
          <w:highlight w:val="yellow"/>
          <w:vertAlign w:val="superscript"/>
        </w:rPr>
        <w:t>3</w:t>
      </w:r>
      <w:r>
        <w:rPr>
          <w:rFonts w:asciiTheme="majorHAnsi" w:hAnsiTheme="majorHAnsi" w:cstheme="majorHAnsi"/>
          <w:highlight w:val="yellow"/>
        </w:rPr>
        <w:t xml:space="preserve"> cells per well. Add 100 μL of DMEM to each well. Incubate and culture the cells at 37 °C in a 5% CO</w:t>
      </w:r>
      <w:r>
        <w:rPr>
          <w:rFonts w:asciiTheme="majorHAnsi" w:hAnsiTheme="majorHAnsi" w:cstheme="majorHAnsi"/>
          <w:highlight w:val="yellow"/>
          <w:vertAlign w:val="subscript"/>
        </w:rPr>
        <w:t>2</w:t>
      </w:r>
      <w:r>
        <w:rPr>
          <w:rFonts w:asciiTheme="majorHAnsi" w:hAnsiTheme="majorHAnsi" w:cstheme="majorHAnsi"/>
          <w:highlight w:val="yellow"/>
        </w:rPr>
        <w:t xml:space="preserve"> incubator for 24 h. Divide the HepG2 cells into two groups: </w:t>
      </w:r>
      <w:bookmarkStart w:id="3" w:name="_GoBack"/>
      <w:bookmarkEnd w:id="3"/>
    </w:p>
    <w:p>
      <w:pPr>
        <w:pStyle w:val="13"/>
        <w:widowControl/>
        <w:spacing w:beforeAutospacing="0" w:afterAutospacing="0"/>
        <w:jc w:val="both"/>
        <w:rPr>
          <w:rFonts w:asciiTheme="majorHAnsi" w:hAnsiTheme="majorHAnsi" w:cstheme="majorHAnsi"/>
          <w:highlight w:val="yellow"/>
        </w:rPr>
      </w:pPr>
    </w:p>
    <w:p>
      <w:pPr>
        <w:pStyle w:val="13"/>
        <w:widowControl/>
        <w:spacing w:beforeAutospacing="0" w:afterAutospacing="0"/>
        <w:jc w:val="both"/>
        <w:rPr>
          <w:rFonts w:asciiTheme="majorHAnsi" w:hAnsiTheme="majorHAnsi" w:cstheme="majorHAnsi"/>
          <w:highlight w:val="yellow"/>
        </w:rPr>
      </w:pPr>
      <w:r>
        <w:rPr>
          <w:rFonts w:asciiTheme="majorHAnsi" w:hAnsiTheme="majorHAnsi" w:cstheme="majorHAnsi"/>
          <w:highlight w:val="yellow"/>
        </w:rPr>
        <w:t>2.2.1. Control group: add cell culture medium.</w:t>
      </w:r>
    </w:p>
    <w:p>
      <w:pPr>
        <w:pStyle w:val="13"/>
        <w:widowControl/>
        <w:spacing w:beforeAutospacing="0" w:afterAutospacing="0"/>
        <w:jc w:val="both"/>
        <w:rPr>
          <w:rFonts w:asciiTheme="majorHAnsi" w:hAnsiTheme="majorHAnsi" w:cstheme="majorHAnsi"/>
          <w:highlight w:val="yellow"/>
        </w:rPr>
      </w:pPr>
    </w:p>
    <w:p>
      <w:pPr>
        <w:pStyle w:val="13"/>
        <w:widowControl/>
        <w:spacing w:beforeAutospacing="0" w:afterAutospacing="0"/>
        <w:jc w:val="both"/>
        <w:rPr>
          <w:rFonts w:asciiTheme="majorHAnsi" w:hAnsiTheme="majorHAnsi" w:cstheme="majorHAnsi"/>
          <w:highlight w:val="yellow"/>
        </w:rPr>
      </w:pPr>
      <w:r>
        <w:rPr>
          <w:rFonts w:asciiTheme="majorHAnsi" w:hAnsiTheme="majorHAnsi" w:cstheme="majorHAnsi"/>
          <w:highlight w:val="yellow"/>
        </w:rPr>
        <w:t xml:space="preserve">2.2.2. OA group: add OA to the cell culture medium to achieve final concentrations of 0.125 mM, 0.25 mM, 0.5 mM, and 1 mM. </w:t>
      </w:r>
    </w:p>
    <w:p>
      <w:pPr>
        <w:pStyle w:val="13"/>
        <w:widowControl/>
        <w:spacing w:beforeAutospacing="0" w:afterAutospacing="0"/>
        <w:jc w:val="both"/>
        <w:rPr>
          <w:rFonts w:asciiTheme="majorHAnsi" w:hAnsiTheme="majorHAnsi" w:cstheme="majorHAnsi"/>
          <w:highlight w:val="yellow"/>
        </w:rPr>
      </w:pPr>
    </w:p>
    <w:p>
      <w:pPr>
        <w:pStyle w:val="13"/>
        <w:widowControl/>
        <w:spacing w:beforeAutospacing="0" w:afterAutospacing="0"/>
        <w:jc w:val="both"/>
        <w:rPr>
          <w:rFonts w:eastAsia="宋体" w:asciiTheme="majorHAnsi" w:hAnsiTheme="majorHAnsi" w:cstheme="majorHAnsi"/>
          <w:highlight w:val="yellow"/>
        </w:rPr>
      </w:pPr>
      <w:r>
        <w:rPr>
          <w:rFonts w:eastAsia="宋体" w:asciiTheme="majorHAnsi" w:hAnsiTheme="majorHAnsi" w:cstheme="majorHAnsi"/>
        </w:rPr>
        <w:t xml:space="preserve">2.3. </w:t>
      </w:r>
      <w:r>
        <w:rPr>
          <w:rFonts w:eastAsia="宋体" w:asciiTheme="majorHAnsi" w:hAnsiTheme="majorHAnsi" w:cstheme="majorHAnsi"/>
          <w:highlight w:val="yellow"/>
        </w:rPr>
        <w:t xml:space="preserve">After 24 h of initial incubation, discard the supernatant from each well and add OA according to the specified grouping, adding 100 μL per well. For the control group, add 100 μL of cell culture medium to each well. Continue to incubate the cells for another 24 h. </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eastAsia="宋体" w:asciiTheme="majorHAnsi" w:hAnsiTheme="majorHAnsi" w:cstheme="majorHAnsi"/>
        </w:rPr>
      </w:pPr>
      <w:r>
        <w:rPr>
          <w:rFonts w:eastAsia="宋体" w:asciiTheme="majorHAnsi" w:hAnsiTheme="majorHAnsi" w:cstheme="majorHAnsi"/>
        </w:rPr>
        <w:t>NOTE: Ensure each group has six replicate wells. To prevent evaporation, add 100 μL of phosphate-buffered saline (PBS) to the outer ring of wells in the 96-well plate.</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asciiTheme="majorHAnsi" w:hAnsiTheme="majorHAnsi" w:cstheme="majorHAnsi"/>
          <w:highlight w:val="yellow"/>
        </w:rPr>
      </w:pPr>
      <w:r>
        <w:rPr>
          <w:rFonts w:eastAsia="宋体" w:asciiTheme="majorHAnsi" w:hAnsiTheme="majorHAnsi" w:cstheme="majorHAnsi"/>
        </w:rPr>
        <w:t xml:space="preserve">2.4. </w:t>
      </w:r>
      <w:r>
        <w:rPr>
          <w:rFonts w:asciiTheme="majorHAnsi" w:hAnsiTheme="majorHAnsi" w:cstheme="majorHAnsi"/>
          <w:highlight w:val="yellow"/>
        </w:rPr>
        <w:t xml:space="preserve">After 24 h of incubation, add 10 μL of cell counting kit-8 (CCK-8)  to each well, mix gently, and incubate for 2 h in the dark. Remove the 96-well plate from the incubator, place it in the </w:t>
      </w:r>
      <w:r>
        <w:rPr>
          <w:rFonts w:eastAsia="宋体" w:asciiTheme="majorHAnsi" w:hAnsiTheme="majorHAnsi" w:cstheme="majorHAnsi"/>
          <w:highlight w:val="yellow"/>
        </w:rPr>
        <w:t>microplate reader</w:t>
      </w:r>
      <w:r>
        <w:rPr>
          <w:rFonts w:asciiTheme="majorHAnsi" w:hAnsiTheme="majorHAnsi" w:cstheme="majorHAnsi"/>
          <w:highlight w:val="yellow"/>
        </w:rPr>
        <w:t>, and measure the absorbance value at 450 nm (A</w:t>
      </w:r>
      <w:r>
        <w:rPr>
          <w:rFonts w:asciiTheme="majorHAnsi" w:hAnsiTheme="majorHAnsi" w:cstheme="majorHAnsi"/>
          <w:highlight w:val="yellow"/>
          <w:vertAlign w:val="subscript"/>
        </w:rPr>
        <w:t>450</w:t>
      </w:r>
      <w:r>
        <w:rPr>
          <w:rFonts w:asciiTheme="majorHAnsi" w:hAnsiTheme="majorHAnsi" w:cstheme="majorHAnsi"/>
          <w:highlight w:val="yellow"/>
        </w:rPr>
        <w:t>).</w:t>
      </w:r>
      <w:r>
        <w:rPr>
          <w:rFonts w:eastAsia="宋体" w:asciiTheme="majorHAnsi" w:hAnsiTheme="majorHAnsi" w:cstheme="majorHAnsi"/>
          <w:highlight w:val="yellow"/>
        </w:rPr>
        <w:t xml:space="preserve"> </w:t>
      </w:r>
      <w:r>
        <w:rPr>
          <w:rFonts w:asciiTheme="majorHAnsi" w:hAnsiTheme="majorHAnsi" w:cstheme="majorHAnsi"/>
          <w:highlight w:val="yellow"/>
        </w:rPr>
        <w:t>The</w:t>
      </w:r>
      <w:r>
        <w:rPr>
          <w:rFonts w:eastAsia="宋体" w:asciiTheme="majorHAnsi" w:hAnsiTheme="majorHAnsi" w:cstheme="majorHAnsi"/>
          <w:highlight w:val="yellow"/>
        </w:rPr>
        <w:t xml:space="preserve"> G</w:t>
      </w:r>
      <w:r>
        <w:rPr>
          <w:rFonts w:asciiTheme="majorHAnsi" w:hAnsiTheme="majorHAnsi" w:cstheme="majorHAnsi"/>
          <w:highlight w:val="yellow"/>
        </w:rPr>
        <w:t>I</w:t>
      </w:r>
      <w:r>
        <w:rPr>
          <w:rFonts w:asciiTheme="majorHAnsi" w:hAnsiTheme="majorHAnsi" w:cstheme="majorHAnsi"/>
          <w:highlight w:val="yellow"/>
          <w:vertAlign w:val="subscript"/>
        </w:rPr>
        <w:t>50</w:t>
      </w:r>
      <w:r>
        <w:rPr>
          <w:rFonts w:eastAsia="宋体" w:asciiTheme="majorHAnsi" w:hAnsiTheme="majorHAnsi" w:cstheme="majorHAnsi"/>
          <w:highlight w:val="yellow"/>
          <w:vertAlign w:val="subscript"/>
        </w:rPr>
        <w:t xml:space="preserve"> </w:t>
      </w:r>
      <w:r>
        <w:rPr>
          <w:rFonts w:asciiTheme="majorHAnsi" w:hAnsiTheme="majorHAnsi" w:cstheme="majorHAnsi"/>
          <w:highlight w:val="yellow"/>
        </w:rPr>
        <w:t>values were counted according to the OD.</w:t>
      </w:r>
    </w:p>
    <w:p>
      <w:pPr>
        <w:pStyle w:val="13"/>
        <w:widowControl/>
        <w:spacing w:beforeAutospacing="0" w:afterAutospacing="0"/>
        <w:jc w:val="both"/>
        <w:rPr>
          <w:rFonts w:asciiTheme="majorHAnsi" w:hAnsiTheme="majorHAnsi" w:cstheme="majorHAnsi"/>
        </w:rPr>
      </w:pPr>
    </w:p>
    <w:p>
      <w:pPr>
        <w:pStyle w:val="13"/>
        <w:widowControl/>
        <w:numPr>
          <w:ilvl w:val="0"/>
          <w:numId w:val="2"/>
        </w:numPr>
        <w:tabs>
          <w:tab w:val="clear" w:pos="312"/>
        </w:tabs>
        <w:spacing w:beforeAutospacing="0" w:afterAutospacing="0"/>
        <w:jc w:val="both"/>
        <w:rPr>
          <w:rFonts w:eastAsia="宋体" w:asciiTheme="majorHAnsi" w:hAnsiTheme="majorHAnsi" w:cstheme="majorHAnsi"/>
          <w:b/>
          <w:bCs/>
          <w:lang w:bidi="ar"/>
        </w:rPr>
      </w:pPr>
      <w:r>
        <w:rPr>
          <w:rFonts w:eastAsia="宋体" w:asciiTheme="majorHAnsi" w:hAnsiTheme="majorHAnsi" w:cstheme="majorHAnsi"/>
          <w:b/>
          <w:bCs/>
          <w:lang w:bidi="ar"/>
        </w:rPr>
        <w:t>Oil Red O staining to observe intracellular lipid droplet formation</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highlight w:val="yellow"/>
        </w:rPr>
      </w:pPr>
      <w:r>
        <w:rPr>
          <w:rFonts w:asciiTheme="majorHAnsi" w:hAnsiTheme="majorHAnsi" w:cstheme="majorHAnsi"/>
        </w:rPr>
        <w:t xml:space="preserve">3.1. </w:t>
      </w:r>
      <w:r>
        <w:rPr>
          <w:rFonts w:asciiTheme="majorHAnsi" w:hAnsiTheme="majorHAnsi" w:cstheme="majorHAnsi"/>
          <w:highlight w:val="yellow"/>
        </w:rPr>
        <w:t>Seed HepG2 cells in 6-well cell culture plates at a density of 5 × 10</w:t>
      </w:r>
      <w:r>
        <w:rPr>
          <w:rFonts w:asciiTheme="majorHAnsi" w:hAnsiTheme="majorHAnsi" w:cstheme="majorHAnsi"/>
          <w:highlight w:val="yellow"/>
          <w:vertAlign w:val="superscript"/>
        </w:rPr>
        <w:t>5</w:t>
      </w:r>
      <w:r>
        <w:rPr>
          <w:rFonts w:asciiTheme="majorHAnsi" w:hAnsiTheme="majorHAnsi" w:cstheme="majorHAnsi"/>
          <w:highlight w:val="yellow"/>
        </w:rPr>
        <w:t xml:space="preserve"> cells per well and culture the plates in a constant-temperature incubator for 24 h. Refer to </w:t>
      </w:r>
      <w:r>
        <w:rPr>
          <w:rFonts w:asciiTheme="majorHAnsi" w:hAnsiTheme="majorHAnsi" w:cstheme="majorHAnsi"/>
          <w:b/>
          <w:bCs/>
          <w:highlight w:val="yellow"/>
        </w:rPr>
        <w:t>Figure 1</w:t>
      </w:r>
      <w:r>
        <w:rPr>
          <w:rFonts w:asciiTheme="majorHAnsi" w:hAnsiTheme="majorHAnsi" w:cstheme="majorHAnsi"/>
          <w:highlight w:val="yellow"/>
        </w:rPr>
        <w:t xml:space="preserve"> for a visual representation of the described steps.</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eastAsia="宋体" w:asciiTheme="majorHAnsi" w:hAnsiTheme="majorHAnsi" w:cstheme="majorHAnsi"/>
          <w:highlight w:val="yellow"/>
        </w:rPr>
      </w:pPr>
      <w:r>
        <w:rPr>
          <w:rFonts w:eastAsia="宋体" w:asciiTheme="majorHAnsi" w:hAnsiTheme="majorHAnsi" w:cstheme="majorHAnsi"/>
        </w:rPr>
        <w:t xml:space="preserve">3.2. </w:t>
      </w:r>
      <w:r>
        <w:rPr>
          <w:rFonts w:eastAsia="宋体" w:asciiTheme="majorHAnsi" w:hAnsiTheme="majorHAnsi" w:cstheme="majorHAnsi"/>
          <w:highlight w:val="yellow"/>
        </w:rPr>
        <w:t>After 24 h of cell culture, add 2 mL of cell culture medium containing OA to each well, achieving final concentrations of 0.125 mM, 0.25 mM, 0.5 mM, and 1 mM. After an additional 24 h, remove the cell culture medium from each well and wash twice with PBS. Add 1 mL of ORO fixative to each well and incubate for 30 min.</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eastAsia="宋体" w:asciiTheme="majorHAnsi" w:hAnsiTheme="majorHAnsi" w:cstheme="majorHAnsi"/>
          <w:highlight w:val="yellow"/>
        </w:rPr>
      </w:pPr>
      <w:r>
        <w:rPr>
          <w:rFonts w:eastAsia="宋体" w:asciiTheme="majorHAnsi" w:hAnsiTheme="majorHAnsi" w:cstheme="majorHAnsi"/>
        </w:rPr>
        <w:t xml:space="preserve">3.3. </w:t>
      </w:r>
      <w:r>
        <w:rPr>
          <w:rFonts w:eastAsia="宋体" w:asciiTheme="majorHAnsi" w:hAnsiTheme="majorHAnsi" w:cstheme="majorHAnsi"/>
          <w:highlight w:val="yellow"/>
        </w:rPr>
        <w:t>Prepare the ORO staining solution by mixing staining solution A with staining solution B at a ratio of 3:2. Allow the mixture to stand at room temperature for 10 min, then filter it once through a 0.45 μm filter. Store the filtered solution in a centrifuge tube protected from light until use.</w:t>
      </w:r>
    </w:p>
    <w:p>
      <w:pPr>
        <w:pStyle w:val="13"/>
        <w:widowControl/>
        <w:spacing w:beforeAutospacing="0" w:afterAutospacing="0"/>
        <w:jc w:val="both"/>
        <w:rPr>
          <w:rFonts w:eastAsia="宋体" w:asciiTheme="majorHAnsi" w:hAnsiTheme="majorHAnsi" w:cstheme="majorHAnsi"/>
        </w:rPr>
      </w:pPr>
    </w:p>
    <w:p>
      <w:pPr>
        <w:pStyle w:val="13"/>
        <w:widowControl/>
        <w:spacing w:beforeAutospacing="0" w:afterAutospacing="0"/>
        <w:jc w:val="both"/>
        <w:rPr>
          <w:rFonts w:asciiTheme="majorHAnsi" w:hAnsiTheme="majorHAnsi" w:cstheme="majorHAnsi"/>
          <w:highlight w:val="yellow"/>
        </w:rPr>
      </w:pPr>
      <w:r>
        <w:rPr>
          <w:rFonts w:asciiTheme="majorHAnsi" w:hAnsiTheme="majorHAnsi" w:cstheme="majorHAnsi"/>
          <w:highlight w:val="yellow"/>
        </w:rPr>
        <w:t>3.4. Discard the fixative and wash twice with distilled water. Add 1 mL of 60% isopropanol to each well and incubate for 30 s. Discard 60% of the isopropanol solution and add 1 mL of freshly prepared ORO stain solution to each well before incubating for 20 min. Discard the ORO staining solution</w:t>
      </w:r>
      <w:r>
        <w:rPr>
          <w:rFonts w:eastAsia="宋体" w:asciiTheme="majorHAnsi" w:hAnsiTheme="majorHAnsi" w:cstheme="majorHAnsi"/>
          <w:highlight w:val="yellow"/>
        </w:rPr>
        <w:t>, a</w:t>
      </w:r>
      <w:r>
        <w:rPr>
          <w:rFonts w:asciiTheme="majorHAnsi" w:hAnsiTheme="majorHAnsi" w:cstheme="majorHAnsi"/>
          <w:highlight w:val="yellow"/>
        </w:rPr>
        <w:t xml:space="preserve">dd 1 mL of 60% isopropanol to each well, and incubate for 30 s. </w:t>
      </w:r>
      <w:r>
        <w:rPr>
          <w:rFonts w:eastAsia="宋体" w:asciiTheme="majorHAnsi" w:hAnsiTheme="majorHAnsi" w:cstheme="majorHAnsi"/>
          <w:highlight w:val="yellow"/>
        </w:rPr>
        <w:t>Wash</w:t>
      </w:r>
      <w:r>
        <w:rPr>
          <w:rFonts w:asciiTheme="majorHAnsi" w:hAnsiTheme="majorHAnsi" w:cstheme="majorHAnsi"/>
          <w:highlight w:val="yellow"/>
        </w:rPr>
        <w:t xml:space="preserve"> </w:t>
      </w:r>
      <w:r>
        <w:rPr>
          <w:rFonts w:eastAsia="宋体" w:asciiTheme="majorHAnsi" w:hAnsiTheme="majorHAnsi" w:cstheme="majorHAnsi"/>
          <w:highlight w:val="yellow"/>
        </w:rPr>
        <w:t>5</w:t>
      </w:r>
      <w:r>
        <w:rPr>
          <w:rFonts w:asciiTheme="majorHAnsi" w:hAnsiTheme="majorHAnsi" w:cstheme="majorHAnsi"/>
          <w:highlight w:val="yellow"/>
        </w:rPr>
        <w:t xml:space="preserve">x </w:t>
      </w:r>
      <w:r>
        <w:rPr>
          <w:rFonts w:eastAsia="宋体" w:asciiTheme="majorHAnsi" w:hAnsiTheme="majorHAnsi" w:cstheme="majorHAnsi"/>
          <w:highlight w:val="yellow"/>
        </w:rPr>
        <w:t xml:space="preserve">with water </w:t>
      </w:r>
      <w:r>
        <w:rPr>
          <w:rFonts w:asciiTheme="majorHAnsi" w:hAnsiTheme="majorHAnsi" w:cstheme="majorHAnsi"/>
          <w:highlight w:val="yellow"/>
        </w:rPr>
        <w:t>to remove excess dye.</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eastAsia="宋体" w:asciiTheme="majorHAnsi" w:hAnsiTheme="majorHAnsi" w:cstheme="majorHAnsi"/>
          <w:highlight w:val="yellow"/>
        </w:rPr>
      </w:pPr>
      <w:r>
        <w:rPr>
          <w:rFonts w:eastAsia="宋体" w:asciiTheme="majorHAnsi" w:hAnsiTheme="majorHAnsi" w:cstheme="majorHAnsi"/>
        </w:rPr>
        <w:t>3.5.</w:t>
      </w:r>
      <w:r>
        <w:rPr>
          <w:rFonts w:asciiTheme="majorHAnsi" w:hAnsiTheme="majorHAnsi" w:cstheme="majorHAnsi"/>
        </w:rPr>
        <w:t xml:space="preserve"> </w:t>
      </w:r>
      <w:r>
        <w:rPr>
          <w:rFonts w:asciiTheme="majorHAnsi" w:hAnsiTheme="majorHAnsi" w:cstheme="majorHAnsi"/>
          <w:highlight w:val="yellow"/>
        </w:rPr>
        <w:t xml:space="preserve">Cover the cells with distilled water and </w:t>
      </w:r>
      <w:r>
        <w:rPr>
          <w:rFonts w:eastAsia="宋体" w:asciiTheme="majorHAnsi" w:hAnsiTheme="majorHAnsi" w:cstheme="majorHAnsi"/>
          <w:highlight w:val="yellow"/>
        </w:rPr>
        <w:t>observe</w:t>
      </w:r>
      <w:r>
        <w:rPr>
          <w:rFonts w:asciiTheme="majorHAnsi" w:hAnsiTheme="majorHAnsi" w:cstheme="majorHAnsi"/>
          <w:highlight w:val="yellow"/>
        </w:rPr>
        <w:t xml:space="preserve"> under </w:t>
      </w:r>
      <w:r>
        <w:rPr>
          <w:rFonts w:eastAsia="宋体" w:asciiTheme="majorHAnsi" w:hAnsiTheme="majorHAnsi" w:cstheme="majorHAnsi"/>
          <w:highlight w:val="yellow"/>
        </w:rPr>
        <w:t>a</w:t>
      </w:r>
      <w:r>
        <w:rPr>
          <w:rFonts w:asciiTheme="majorHAnsi" w:hAnsiTheme="majorHAnsi" w:cstheme="majorHAnsi"/>
          <w:highlight w:val="yellow"/>
        </w:rPr>
        <w:t xml:space="preserve"> microscope. Once the </w:t>
      </w:r>
      <w:r>
        <w:rPr>
          <w:rFonts w:eastAsia="宋体" w:asciiTheme="majorHAnsi" w:hAnsiTheme="majorHAnsi" w:cstheme="majorHAnsi"/>
          <w:highlight w:val="yellow"/>
        </w:rPr>
        <w:t>images</w:t>
      </w:r>
      <w:r>
        <w:rPr>
          <w:rFonts w:asciiTheme="majorHAnsi" w:hAnsiTheme="majorHAnsi" w:cstheme="majorHAnsi"/>
          <w:highlight w:val="yellow"/>
        </w:rPr>
        <w:t xml:space="preserve"> are collected, discard the liquid in the plate and allow it to dry. Then, add 2 mL of isopropanol to each well and shake the plate on an orbital shaker for 10 min. Transfer the liquid to a new 96-well plate, with 16 wells in each group, adding 100 μL per well. Calculate the lipid content by measuring the optical density (OD) of each well using a </w:t>
      </w:r>
      <w:r>
        <w:rPr>
          <w:rFonts w:eastAsia="宋体" w:asciiTheme="majorHAnsi" w:hAnsiTheme="majorHAnsi" w:cstheme="majorHAnsi"/>
          <w:highlight w:val="yellow"/>
        </w:rPr>
        <w:t>microplate reader</w:t>
      </w:r>
      <w:r>
        <w:rPr>
          <w:rFonts w:asciiTheme="majorHAnsi" w:hAnsiTheme="majorHAnsi" w:cstheme="majorHAnsi"/>
          <w:highlight w:val="yellow"/>
        </w:rPr>
        <w:t xml:space="preserve"> at 510 nm</w:t>
      </w:r>
      <w:r>
        <w:rPr>
          <w:rFonts w:eastAsia="宋体" w:asciiTheme="majorHAnsi" w:hAnsiTheme="majorHAnsi" w:cstheme="majorHAnsi"/>
          <w:highlight w:val="yellow"/>
        </w:rPr>
        <w:t xml:space="preserve"> </w:t>
      </w:r>
      <w:r>
        <w:rPr>
          <w:rFonts w:asciiTheme="majorHAnsi" w:hAnsiTheme="majorHAnsi" w:cstheme="majorHAnsi"/>
          <w:highlight w:val="yellow"/>
        </w:rPr>
        <w:t>(A</w:t>
      </w:r>
      <w:r>
        <w:rPr>
          <w:rFonts w:asciiTheme="majorHAnsi" w:hAnsiTheme="majorHAnsi" w:cstheme="majorHAnsi"/>
          <w:highlight w:val="yellow"/>
          <w:vertAlign w:val="subscript"/>
        </w:rPr>
        <w:t>5</w:t>
      </w:r>
      <w:r>
        <w:rPr>
          <w:rFonts w:eastAsia="宋体" w:asciiTheme="majorHAnsi" w:hAnsiTheme="majorHAnsi" w:cstheme="majorHAnsi"/>
          <w:highlight w:val="yellow"/>
          <w:vertAlign w:val="subscript"/>
        </w:rPr>
        <w:t>1</w:t>
      </w:r>
      <w:r>
        <w:rPr>
          <w:rFonts w:asciiTheme="majorHAnsi" w:hAnsiTheme="majorHAnsi" w:cstheme="majorHAnsi"/>
          <w:highlight w:val="yellow"/>
          <w:vertAlign w:val="subscript"/>
        </w:rPr>
        <w:t>0</w:t>
      </w:r>
      <w:r>
        <w:rPr>
          <w:rFonts w:asciiTheme="majorHAnsi" w:hAnsiTheme="majorHAnsi" w:cstheme="majorHAnsi"/>
          <w:highlight w:val="yellow"/>
        </w:rPr>
        <w:t>).</w:t>
      </w:r>
    </w:p>
    <w:p>
      <w:pPr>
        <w:pStyle w:val="13"/>
        <w:widowControl/>
        <w:spacing w:beforeAutospacing="0" w:afterAutospacing="0"/>
        <w:jc w:val="both"/>
        <w:rPr>
          <w:rFonts w:asciiTheme="majorHAnsi" w:hAnsiTheme="majorHAnsi" w:cstheme="majorHAnsi"/>
        </w:rPr>
      </w:pPr>
    </w:p>
    <w:p>
      <w:pPr>
        <w:pStyle w:val="28"/>
        <w:numPr>
          <w:ilvl w:val="0"/>
          <w:numId w:val="2"/>
        </w:numPr>
        <w:tabs>
          <w:tab w:val="clear" w:pos="312"/>
        </w:tabs>
        <w:spacing w:after="0" w:line="240" w:lineRule="auto"/>
        <w:ind w:left="0"/>
        <w:jc w:val="both"/>
        <w:rPr>
          <w:rFonts w:asciiTheme="majorHAnsi" w:hAnsiTheme="majorHAnsi" w:cstheme="majorHAnsi"/>
          <w:b/>
          <w:bCs/>
          <w:sz w:val="24"/>
          <w:szCs w:val="24"/>
          <w:lang w:eastAsia="zh-CN" w:bidi="ar"/>
        </w:rPr>
      </w:pPr>
      <w:r>
        <w:rPr>
          <w:rFonts w:asciiTheme="majorHAnsi" w:hAnsiTheme="majorHAnsi" w:cstheme="majorHAnsi"/>
          <w:b/>
          <w:bCs/>
          <w:sz w:val="24"/>
          <w:szCs w:val="24"/>
          <w:lang w:eastAsia="zh-CN" w:bidi="ar"/>
        </w:rPr>
        <w:t>Effects of different concentrations of oleic acid on total triglyceride in HepG2 cell supernatant</w:t>
      </w:r>
    </w:p>
    <w:p>
      <w:pPr>
        <w:pStyle w:val="28"/>
        <w:spacing w:after="0" w:line="240" w:lineRule="auto"/>
        <w:ind w:left="0"/>
        <w:jc w:val="both"/>
        <w:rPr>
          <w:rFonts w:asciiTheme="majorHAnsi" w:hAnsiTheme="majorHAnsi" w:cstheme="majorHAnsi"/>
          <w:sz w:val="24"/>
          <w:szCs w:val="24"/>
          <w:lang w:eastAsia="zh-CN" w:bidi="ar"/>
        </w:rPr>
      </w:pPr>
    </w:p>
    <w:p>
      <w:pPr>
        <w:widowControl/>
        <w:rPr>
          <w:rFonts w:asciiTheme="majorHAnsi" w:hAnsiTheme="majorHAnsi" w:cstheme="majorHAnsi"/>
          <w:highlight w:val="yellow"/>
          <w:lang w:eastAsia="zh-CN" w:bidi="ar"/>
        </w:rPr>
      </w:pPr>
      <w:r>
        <w:rPr>
          <w:rFonts w:asciiTheme="majorHAnsi" w:hAnsiTheme="majorHAnsi" w:cstheme="majorHAnsi"/>
          <w:lang w:eastAsia="zh-CN" w:bidi="ar"/>
        </w:rPr>
        <w:t xml:space="preserve">4.1. </w:t>
      </w:r>
      <w:r>
        <w:rPr>
          <w:rFonts w:asciiTheme="majorHAnsi" w:hAnsiTheme="majorHAnsi" w:cstheme="majorHAnsi"/>
          <w:highlight w:val="yellow"/>
          <w:lang w:eastAsia="zh-CN" w:bidi="ar"/>
        </w:rPr>
        <w:t>Equilibrate the kit at room temperature for 20 min and prepare the required plates for the experiment.</w:t>
      </w:r>
    </w:p>
    <w:p>
      <w:pPr>
        <w:widowControl/>
        <w:rPr>
          <w:rFonts w:asciiTheme="majorHAnsi" w:hAnsiTheme="majorHAnsi" w:cstheme="majorHAnsi"/>
          <w:lang w:eastAsia="zh-CN" w:bidi="ar"/>
        </w:rPr>
      </w:pPr>
    </w:p>
    <w:p>
      <w:pPr>
        <w:widowControl/>
        <w:rPr>
          <w:rFonts w:asciiTheme="majorHAnsi" w:hAnsiTheme="majorHAnsi" w:cstheme="majorHAnsi"/>
          <w:highlight w:val="yellow"/>
          <w:lang w:eastAsia="zh-CN" w:bidi="ar"/>
        </w:rPr>
      </w:pPr>
      <w:r>
        <w:rPr>
          <w:rFonts w:asciiTheme="majorHAnsi" w:hAnsiTheme="majorHAnsi" w:cstheme="majorHAnsi"/>
          <w:lang w:eastAsia="zh-CN" w:bidi="ar"/>
        </w:rPr>
        <w:t xml:space="preserve">4.2. </w:t>
      </w:r>
      <w:r>
        <w:rPr>
          <w:rFonts w:asciiTheme="majorHAnsi" w:hAnsiTheme="majorHAnsi" w:cstheme="majorHAnsi"/>
          <w:highlight w:val="yellow"/>
          <w:lang w:eastAsia="zh-CN" w:bidi="ar"/>
        </w:rPr>
        <w:t xml:space="preserve">Collect the cell supernatant and centrifuge at 1,570 × </w:t>
      </w:r>
      <w:r>
        <w:rPr>
          <w:rFonts w:asciiTheme="majorHAnsi" w:hAnsiTheme="majorHAnsi" w:cstheme="majorHAnsi"/>
          <w:i/>
          <w:iCs/>
          <w:highlight w:val="yellow"/>
          <w:lang w:eastAsia="zh-CN" w:bidi="ar"/>
        </w:rPr>
        <w:t>g</w:t>
      </w:r>
      <w:r>
        <w:rPr>
          <w:rFonts w:asciiTheme="majorHAnsi" w:hAnsiTheme="majorHAnsi" w:cstheme="majorHAnsi"/>
          <w:highlight w:val="yellow"/>
          <w:lang w:eastAsia="zh-CN" w:bidi="ar"/>
        </w:rPr>
        <w:t xml:space="preserve"> for 10 min. Set standard wells and testing sample wells. Add 50 μL of standard ([S0 → S5] concentration followed by: 0, 0.5, 1, 2, 4, 8 mmol/L) to standard wells. In addition to the blank and standard wells, add 10 μL of different samples to the sample wells, followed by adding 40 μL of sample diluent to each well. Add 100 μL of detection antibody-horseradish peroxidase to each well, seal with a plate membrane, and incubate at 37 °C for 1 h in a constant temperature oven.</w:t>
      </w:r>
    </w:p>
    <w:p>
      <w:pPr>
        <w:widowControl/>
        <w:rPr>
          <w:rFonts w:asciiTheme="majorHAnsi" w:hAnsiTheme="majorHAnsi" w:cstheme="majorHAnsi"/>
          <w:lang w:eastAsia="zh-CN" w:bidi="ar"/>
        </w:rPr>
      </w:pPr>
    </w:p>
    <w:p>
      <w:pPr>
        <w:widowControl/>
        <w:rPr>
          <w:rFonts w:asciiTheme="majorHAnsi" w:hAnsiTheme="majorHAnsi" w:cstheme="majorHAnsi"/>
          <w:highlight w:val="yellow"/>
          <w:lang w:eastAsia="zh-CN" w:bidi="ar"/>
        </w:rPr>
      </w:pPr>
      <w:r>
        <w:rPr>
          <w:rFonts w:asciiTheme="majorHAnsi" w:hAnsiTheme="majorHAnsi" w:cstheme="majorHAnsi"/>
          <w:lang w:eastAsia="zh-CN" w:bidi="ar"/>
        </w:rPr>
        <w:t xml:space="preserve">4.3. </w:t>
      </w:r>
      <w:r>
        <w:rPr>
          <w:rFonts w:asciiTheme="majorHAnsi" w:hAnsiTheme="majorHAnsi" w:cstheme="majorHAnsi"/>
          <w:highlight w:val="yellow"/>
          <w:lang w:eastAsia="zh-CN" w:bidi="ar"/>
        </w:rPr>
        <w:t>Discard the supernatant, blot dry on dust-free paper, and wash each well with 1x washing solution. Leave to stand at room temperature for 1 min. Repeat the washing process 5x.</w:t>
      </w:r>
    </w:p>
    <w:p>
      <w:pPr>
        <w:widowControl/>
        <w:rPr>
          <w:rFonts w:asciiTheme="majorHAnsi" w:hAnsiTheme="majorHAnsi" w:cstheme="majorHAnsi"/>
          <w:lang w:eastAsia="zh-CN" w:bidi="ar"/>
        </w:rPr>
      </w:pPr>
    </w:p>
    <w:p>
      <w:pPr>
        <w:widowControl/>
        <w:rPr>
          <w:rFonts w:asciiTheme="majorHAnsi" w:hAnsiTheme="majorHAnsi" w:cstheme="majorHAnsi"/>
          <w:highlight w:val="yellow"/>
          <w:lang w:eastAsia="zh-CN" w:bidi="ar"/>
        </w:rPr>
      </w:pPr>
      <w:r>
        <w:rPr>
          <w:rFonts w:asciiTheme="majorHAnsi" w:hAnsiTheme="majorHAnsi" w:cstheme="majorHAnsi"/>
          <w:lang w:eastAsia="zh-CN" w:bidi="ar"/>
        </w:rPr>
        <w:t xml:space="preserve">4.4. </w:t>
      </w:r>
      <w:r>
        <w:rPr>
          <w:rFonts w:asciiTheme="majorHAnsi" w:hAnsiTheme="majorHAnsi" w:cstheme="majorHAnsi"/>
          <w:highlight w:val="yellow"/>
          <w:lang w:eastAsia="zh-CN" w:bidi="ar"/>
        </w:rPr>
        <w:t xml:space="preserve">Add 50 μL of substrate A and 50 μL of substrate B to each well. </w:t>
      </w:r>
      <w:bookmarkStart w:id="0" w:name="OLE_LINK1"/>
      <w:r>
        <w:rPr>
          <w:rFonts w:asciiTheme="majorHAnsi" w:hAnsiTheme="majorHAnsi" w:cstheme="majorHAnsi"/>
          <w:highlight w:val="yellow"/>
          <w:lang w:eastAsia="zh-CN" w:bidi="ar"/>
        </w:rPr>
        <w:t>Mix gently and incubate for 15 min at 37 °C</w:t>
      </w:r>
      <w:bookmarkEnd w:id="0"/>
      <w:r>
        <w:rPr>
          <w:rFonts w:asciiTheme="majorHAnsi" w:hAnsiTheme="majorHAnsi" w:cstheme="majorHAnsi"/>
          <w:highlight w:val="yellow"/>
          <w:lang w:eastAsia="zh-CN" w:bidi="ar"/>
        </w:rPr>
        <w:t xml:space="preserve">. Add 50 μL of termination solution to each well and measure the OD value of each well at 450 nm </w:t>
      </w:r>
      <w:r>
        <w:rPr>
          <w:rFonts w:asciiTheme="majorHAnsi" w:hAnsiTheme="majorHAnsi" w:cstheme="majorHAnsi"/>
          <w:highlight w:val="yellow"/>
        </w:rPr>
        <w:t>(A</w:t>
      </w:r>
      <w:r>
        <w:rPr>
          <w:rFonts w:asciiTheme="majorHAnsi" w:hAnsiTheme="majorHAnsi" w:cstheme="majorHAnsi"/>
          <w:highlight w:val="yellow"/>
          <w:vertAlign w:val="subscript"/>
        </w:rPr>
        <w:t>450</w:t>
      </w:r>
      <w:r>
        <w:rPr>
          <w:rFonts w:asciiTheme="majorHAnsi" w:hAnsiTheme="majorHAnsi" w:cstheme="majorHAnsi"/>
          <w:highlight w:val="yellow"/>
        </w:rPr>
        <w:t>)</w:t>
      </w:r>
      <w:r>
        <w:rPr>
          <w:rFonts w:asciiTheme="majorHAnsi" w:hAnsiTheme="majorHAnsi" w:cstheme="majorHAnsi"/>
          <w:highlight w:val="yellow"/>
          <w:lang w:eastAsia="zh-CN" w:bidi="ar"/>
        </w:rPr>
        <w:t xml:space="preserve"> within 15 min.</w:t>
      </w:r>
    </w:p>
    <w:p>
      <w:pPr>
        <w:widowControl/>
        <w:rPr>
          <w:rFonts w:asciiTheme="majorHAnsi" w:hAnsiTheme="majorHAnsi" w:cstheme="majorHAnsi"/>
          <w:lang w:eastAsia="zh-CN" w:bidi="ar"/>
        </w:rPr>
      </w:pPr>
    </w:p>
    <w:p>
      <w:pPr>
        <w:widowControl/>
        <w:rPr>
          <w:rFonts w:asciiTheme="majorHAnsi" w:hAnsiTheme="majorHAnsi" w:cstheme="majorHAnsi"/>
          <w:highlight w:val="yellow"/>
          <w:lang w:eastAsia="zh-CN" w:bidi="ar"/>
        </w:rPr>
      </w:pPr>
      <w:r>
        <w:rPr>
          <w:rFonts w:asciiTheme="majorHAnsi" w:hAnsiTheme="majorHAnsi" w:cstheme="majorHAnsi"/>
          <w:lang w:eastAsia="zh-CN" w:bidi="ar"/>
        </w:rPr>
        <w:t>4.5.</w:t>
      </w:r>
      <w:r>
        <w:rPr>
          <w:rFonts w:asciiTheme="majorHAnsi" w:hAnsiTheme="majorHAnsi" w:cstheme="majorHAnsi"/>
          <w:highlight w:val="yellow"/>
          <w:lang w:eastAsia="zh-CN" w:bidi="ar"/>
        </w:rPr>
        <w:t xml:space="preserve"> Plot the concentration of the standard along the x-axis and the corresponding absorbance (OD) value along the y-axis to perform linear regression and derive the curve equation to calculate the concentration value of each sample. </w:t>
      </w:r>
    </w:p>
    <w:p>
      <w:pPr>
        <w:pStyle w:val="13"/>
        <w:widowControl/>
        <w:spacing w:beforeAutospacing="0" w:afterAutospacing="0"/>
        <w:jc w:val="both"/>
        <w:rPr>
          <w:rFonts w:asciiTheme="majorHAnsi" w:hAnsiTheme="majorHAnsi" w:cstheme="majorHAnsi"/>
        </w:rPr>
      </w:pPr>
    </w:p>
    <w:p>
      <w:pPr>
        <w:pStyle w:val="13"/>
        <w:widowControl/>
        <w:numPr>
          <w:ilvl w:val="0"/>
          <w:numId w:val="2"/>
        </w:numPr>
        <w:tabs>
          <w:tab w:val="clear" w:pos="312"/>
        </w:tabs>
        <w:spacing w:beforeAutospacing="0" w:afterAutospacing="0"/>
        <w:jc w:val="both"/>
        <w:rPr>
          <w:rStyle w:val="18"/>
          <w:rFonts w:asciiTheme="majorHAnsi" w:hAnsiTheme="majorHAnsi" w:cstheme="majorHAnsi"/>
        </w:rPr>
      </w:pPr>
      <w:r>
        <w:rPr>
          <w:rStyle w:val="18"/>
          <w:rFonts w:asciiTheme="majorHAnsi" w:hAnsiTheme="majorHAnsi" w:cstheme="majorHAnsi"/>
        </w:rPr>
        <w:t>Statistical analysis </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rPr>
      </w:pPr>
      <w:r>
        <w:rPr>
          <w:rFonts w:asciiTheme="majorHAnsi" w:hAnsiTheme="majorHAnsi" w:cstheme="majorHAnsi"/>
        </w:rPr>
        <w:t xml:space="preserve">5.1. Determine significant differences in quantitative data. </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rPr>
      </w:pPr>
      <w:r>
        <w:rPr>
          <w:rFonts w:asciiTheme="majorHAnsi" w:hAnsiTheme="majorHAnsi" w:cstheme="majorHAnsi"/>
        </w:rPr>
        <w:t xml:space="preserve">5.2. Calculate the mean ± standard deviation (SD) and graphically represent the data. Consider </w:t>
      </w:r>
      <w:r>
        <w:rPr>
          <w:rFonts w:asciiTheme="majorHAnsi" w:hAnsiTheme="majorHAnsi" w:cstheme="majorHAnsi"/>
          <w:i/>
          <w:iCs/>
        </w:rPr>
        <w:t>P</w:t>
      </w:r>
      <w:r>
        <w:rPr>
          <w:rFonts w:asciiTheme="majorHAnsi" w:hAnsiTheme="majorHAnsi" w:cstheme="majorHAnsi"/>
        </w:rPr>
        <w:t xml:space="preserve"> &lt; 0.05 to be statistically significant.</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REPRESENTATIVE RESULTS: </w:t>
      </w:r>
    </w:p>
    <w:p>
      <w:pPr>
        <w:pStyle w:val="13"/>
        <w:widowControl/>
        <w:spacing w:beforeAutospacing="0" w:afterAutospacing="0"/>
        <w:jc w:val="both"/>
        <w:rPr>
          <w:rStyle w:val="18"/>
          <w:rFonts w:asciiTheme="majorHAnsi" w:hAnsiTheme="majorHAnsi" w:cstheme="majorHAnsi"/>
        </w:rPr>
      </w:pPr>
      <w:r>
        <w:rPr>
          <w:rStyle w:val="18"/>
          <w:rFonts w:asciiTheme="majorHAnsi" w:hAnsiTheme="majorHAnsi" w:cstheme="majorHAnsi"/>
        </w:rPr>
        <w:t>Effect of oleic acid on cell viability</w:t>
      </w:r>
    </w:p>
    <w:p>
      <w:pPr>
        <w:pStyle w:val="13"/>
        <w:widowControl/>
        <w:spacing w:beforeAutospacing="0" w:afterAutospacing="0"/>
        <w:jc w:val="both"/>
        <w:rPr>
          <w:rFonts w:asciiTheme="majorHAnsi" w:hAnsiTheme="majorHAnsi" w:cstheme="majorHAnsi"/>
        </w:rPr>
      </w:pPr>
      <w:r>
        <w:rPr>
          <w:rFonts w:asciiTheme="majorHAnsi" w:hAnsiTheme="majorHAnsi" w:cstheme="majorHAnsi"/>
        </w:rPr>
        <w:t>HepG2 cells were exposed to varying concentrations of OA (0 mM, 0.125 mM, 0.25 mM, 0.5 mM, 1 mM), resulting in a decrease in cell survival rates at 0.125 mM, 0.25 mM, 0.5 mM, and 1 mM compared to 0 mM. Statistical significance was observed at 0.5 mM (</w:t>
      </w:r>
      <w:r>
        <w:rPr>
          <w:rFonts w:asciiTheme="majorHAnsi" w:hAnsiTheme="majorHAnsi" w:cstheme="majorHAnsi"/>
          <w:i/>
          <w:iCs/>
        </w:rPr>
        <w:t>P</w:t>
      </w:r>
      <w:r>
        <w:rPr>
          <w:rFonts w:asciiTheme="majorHAnsi" w:hAnsiTheme="majorHAnsi" w:cstheme="majorHAnsi"/>
        </w:rPr>
        <w:t> &lt; 0.05) and 1 mM (</w:t>
      </w:r>
      <w:r>
        <w:rPr>
          <w:rFonts w:asciiTheme="majorHAnsi" w:hAnsiTheme="majorHAnsi" w:cstheme="majorHAnsi"/>
          <w:i/>
          <w:iCs/>
        </w:rPr>
        <w:t>P </w:t>
      </w:r>
      <w:r>
        <w:rPr>
          <w:rFonts w:asciiTheme="majorHAnsi" w:hAnsiTheme="majorHAnsi" w:cstheme="majorHAnsi"/>
        </w:rPr>
        <w:t>&lt; 0.05) when compared to 0 mM. The results of OA’s impact on cell viability, as assessed by the CCK-8 kit, are shown in</w:t>
      </w:r>
      <w:r>
        <w:rPr>
          <w:rFonts w:asciiTheme="majorHAnsi" w:hAnsiTheme="majorHAnsi" w:cstheme="majorHAnsi"/>
          <w:b/>
          <w:bCs/>
        </w:rPr>
        <w:t> Figure 2</w:t>
      </w:r>
      <w:r>
        <w:rPr>
          <w:rFonts w:asciiTheme="majorHAnsi" w:hAnsiTheme="majorHAnsi" w:cstheme="majorHAnsi"/>
        </w:rPr>
        <w:t xml:space="preserve">. The </w:t>
      </w:r>
      <w:r>
        <w:rPr>
          <w:rFonts w:eastAsia="宋体" w:asciiTheme="majorHAnsi" w:hAnsiTheme="majorHAnsi" w:cstheme="majorHAnsi"/>
        </w:rPr>
        <w:t>G</w:t>
      </w:r>
      <w:r>
        <w:rPr>
          <w:rFonts w:asciiTheme="majorHAnsi" w:hAnsiTheme="majorHAnsi" w:cstheme="majorHAnsi"/>
        </w:rPr>
        <w:t>I</w:t>
      </w:r>
      <w:r>
        <w:rPr>
          <w:rFonts w:asciiTheme="majorHAnsi" w:hAnsiTheme="majorHAnsi" w:cstheme="majorHAnsi"/>
          <w:vertAlign w:val="subscript"/>
        </w:rPr>
        <w:t>50</w:t>
      </w:r>
      <w:r>
        <w:rPr>
          <w:rFonts w:asciiTheme="majorHAnsi" w:hAnsiTheme="majorHAnsi" w:cstheme="majorHAnsi"/>
        </w:rPr>
        <w:t xml:space="preserve"> value for OA-treated HepG2 cells was calculated as 1.875 mM. </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eastAsia="宋体" w:asciiTheme="majorHAnsi" w:hAnsiTheme="majorHAnsi" w:cstheme="majorHAnsi"/>
          <w:b/>
          <w:bCs/>
          <w:lang w:bidi="ar"/>
        </w:rPr>
      </w:pPr>
      <w:r>
        <w:rPr>
          <w:rFonts w:eastAsia="宋体" w:asciiTheme="majorHAnsi" w:hAnsiTheme="majorHAnsi" w:cstheme="majorHAnsi"/>
          <w:b/>
          <w:bCs/>
          <w:lang w:bidi="ar"/>
        </w:rPr>
        <w:t>Oil Red O staining to observe intracellular lipid droplet formation</w:t>
      </w:r>
    </w:p>
    <w:p>
      <w:pPr>
        <w:pStyle w:val="13"/>
        <w:widowControl/>
        <w:spacing w:beforeAutospacing="0" w:afterAutospacing="0"/>
        <w:jc w:val="both"/>
        <w:rPr>
          <w:rFonts w:asciiTheme="majorHAnsi" w:hAnsiTheme="majorHAnsi" w:cstheme="majorHAnsi"/>
        </w:rPr>
      </w:pPr>
      <w:r>
        <w:rPr>
          <w:rFonts w:asciiTheme="majorHAnsi" w:hAnsiTheme="majorHAnsi" w:cstheme="majorHAnsi"/>
        </w:rPr>
        <w:t>ORO staining is a commonly used method for lipid visualization</w:t>
      </w:r>
      <w:r>
        <w:rPr>
          <w:rFonts w:asciiTheme="majorHAnsi" w:hAnsiTheme="majorHAnsi" w:cstheme="majorHAnsi"/>
          <w:vertAlign w:val="superscript"/>
        </w:rPr>
        <w:t>16,17</w:t>
      </w:r>
      <w:r>
        <w:rPr>
          <w:rFonts w:asciiTheme="majorHAnsi" w:hAnsiTheme="majorHAnsi" w:cstheme="majorHAnsi"/>
        </w:rPr>
        <w:t>. Consequently, the lipid droplet formation in HepG2 cells incubated with OA for 24 h was observed under a microscope following ORO staining. As shown in </w:t>
      </w:r>
      <w:r>
        <w:rPr>
          <w:rFonts w:asciiTheme="majorHAnsi" w:hAnsiTheme="majorHAnsi" w:cstheme="majorHAnsi"/>
          <w:b/>
          <w:bCs/>
        </w:rPr>
        <w:t>Figure 3</w:t>
      </w:r>
      <w:r>
        <w:rPr>
          <w:rFonts w:eastAsia="宋体" w:asciiTheme="majorHAnsi" w:hAnsiTheme="majorHAnsi" w:cstheme="majorHAnsi"/>
          <w:b/>
          <w:bCs/>
        </w:rPr>
        <w:t xml:space="preserve"> </w:t>
      </w:r>
      <w:r>
        <w:rPr>
          <w:rFonts w:eastAsia="宋体" w:asciiTheme="majorHAnsi" w:hAnsiTheme="majorHAnsi" w:cstheme="majorHAnsi"/>
        </w:rPr>
        <w:t>and</w:t>
      </w:r>
      <w:r>
        <w:rPr>
          <w:rFonts w:eastAsia="宋体" w:asciiTheme="majorHAnsi" w:hAnsiTheme="majorHAnsi" w:cstheme="majorHAnsi"/>
          <w:b/>
          <w:bCs/>
        </w:rPr>
        <w:t xml:space="preserve"> Figure 4</w:t>
      </w:r>
      <w:r>
        <w:rPr>
          <w:rFonts w:asciiTheme="majorHAnsi" w:hAnsiTheme="majorHAnsi" w:cstheme="majorHAnsi"/>
        </w:rPr>
        <w:t>, the intensity of red staining in the OA-treated cells was higher than in the untreated cells. Red lipid droplets were present in the plasma of HepG2 cells after OA treatment, with the quantities of lipid droplets and lipids increasing with rising OA concentrations (</w:t>
      </w:r>
      <w:r>
        <w:rPr>
          <w:rFonts w:asciiTheme="majorHAnsi" w:hAnsiTheme="majorHAnsi" w:cstheme="majorHAnsi"/>
          <w:b/>
          <w:bCs/>
        </w:rPr>
        <w:t xml:space="preserve">Figure </w:t>
      </w:r>
      <w:r>
        <w:rPr>
          <w:rFonts w:eastAsia="宋体" w:asciiTheme="majorHAnsi" w:hAnsiTheme="majorHAnsi" w:cstheme="majorHAnsi"/>
          <w:b/>
          <w:bCs/>
        </w:rPr>
        <w:t>5</w:t>
      </w:r>
      <w:r>
        <w:rPr>
          <w:rFonts w:asciiTheme="majorHAnsi" w:hAnsiTheme="majorHAnsi" w:cstheme="majorHAnsi"/>
        </w:rPr>
        <w:t>).</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b/>
          <w:bCs/>
        </w:rPr>
      </w:pPr>
      <w:r>
        <w:rPr>
          <w:rFonts w:asciiTheme="majorHAnsi" w:hAnsiTheme="majorHAnsi" w:cstheme="majorHAnsi"/>
          <w:b/>
          <w:bCs/>
        </w:rPr>
        <w:t>Effects of different concentrations of oleic acid on total triglyceride in HepG2 cell supernatant</w:t>
      </w:r>
    </w:p>
    <w:p>
      <w:pPr>
        <w:pStyle w:val="13"/>
        <w:widowControl/>
        <w:spacing w:beforeAutospacing="0" w:afterAutospacing="0"/>
        <w:jc w:val="both"/>
        <w:rPr>
          <w:rStyle w:val="18"/>
          <w:rFonts w:asciiTheme="majorHAnsi" w:hAnsiTheme="majorHAnsi" w:cstheme="majorHAnsi"/>
        </w:rPr>
      </w:pPr>
      <w:r>
        <w:rPr>
          <w:rFonts w:eastAsia="宋体" w:asciiTheme="majorHAnsi" w:hAnsiTheme="majorHAnsi" w:cstheme="majorHAnsi"/>
        </w:rPr>
        <w:t>The experimental findings, as illustrated in</w:t>
      </w:r>
      <w:r>
        <w:rPr>
          <w:rFonts w:asciiTheme="majorHAnsi" w:hAnsiTheme="majorHAnsi" w:cstheme="majorHAnsi"/>
        </w:rPr>
        <w:t xml:space="preserve"> </w:t>
      </w:r>
      <w:r>
        <w:rPr>
          <w:rStyle w:val="18"/>
          <w:rFonts w:asciiTheme="majorHAnsi" w:hAnsiTheme="majorHAnsi" w:cstheme="majorHAnsi"/>
        </w:rPr>
        <w:t xml:space="preserve">Figure </w:t>
      </w:r>
      <w:r>
        <w:rPr>
          <w:rStyle w:val="18"/>
          <w:rFonts w:eastAsia="宋体" w:asciiTheme="majorHAnsi" w:hAnsiTheme="majorHAnsi" w:cstheme="majorHAnsi"/>
        </w:rPr>
        <w:t>6</w:t>
      </w:r>
      <w:r>
        <w:rPr>
          <w:rFonts w:asciiTheme="majorHAnsi" w:hAnsiTheme="majorHAnsi" w:cstheme="majorHAnsi"/>
        </w:rPr>
        <w:t>, revealed</w:t>
      </w:r>
      <w:r>
        <w:rPr>
          <w:rFonts w:eastAsia="宋体" w:asciiTheme="majorHAnsi" w:hAnsiTheme="majorHAnsi" w:cstheme="majorHAnsi"/>
        </w:rPr>
        <w:t xml:space="preserve"> that compared to the control group, treatment of HepG2 cells with varying concentrations of OA (0.125 mM, 0.25 mM, 0.5 mM, 1 mM) resulted in a significant increase in the TG content of the cell supernatant at 0.125 mM and 0.25 mM (</w:t>
      </w:r>
      <w:r>
        <w:rPr>
          <w:rFonts w:eastAsia="宋体" w:asciiTheme="majorHAnsi" w:hAnsiTheme="majorHAnsi" w:cstheme="majorHAnsi"/>
          <w:i/>
          <w:iCs/>
        </w:rPr>
        <w:t xml:space="preserve">P </w:t>
      </w:r>
      <w:r>
        <w:rPr>
          <w:rFonts w:eastAsia="宋体" w:asciiTheme="majorHAnsi" w:hAnsiTheme="majorHAnsi" w:cstheme="majorHAnsi"/>
        </w:rPr>
        <w:t xml:space="preserve">&lt; 0.05). </w:t>
      </w:r>
    </w:p>
    <w:p>
      <w:pPr>
        <w:pStyle w:val="13"/>
        <w:widowControl/>
        <w:spacing w:beforeAutospacing="0" w:afterAutospacing="0"/>
        <w:jc w:val="both"/>
        <w:rPr>
          <w:rStyle w:val="18"/>
          <w:rFonts w:asciiTheme="majorHAnsi" w:hAnsiTheme="majorHAnsi" w:cstheme="majorHAnsi"/>
        </w:rPr>
      </w:pPr>
    </w:p>
    <w:p>
      <w:pPr>
        <w:pStyle w:val="13"/>
        <w:widowControl/>
        <w:spacing w:beforeAutospacing="0" w:afterAutospacing="0"/>
        <w:jc w:val="both"/>
        <w:rPr>
          <w:rFonts w:asciiTheme="majorHAnsi" w:hAnsiTheme="majorHAnsi" w:cstheme="majorHAnsi"/>
          <w:b/>
          <w:bCs/>
          <w:lang w:bidi="ar"/>
        </w:rPr>
      </w:pPr>
      <w:r>
        <w:rPr>
          <w:rStyle w:val="18"/>
          <w:rFonts w:asciiTheme="majorHAnsi" w:hAnsiTheme="majorHAnsi" w:cstheme="majorHAnsi"/>
        </w:rPr>
        <w:t>FIGURE AND TABLE LEGENDS:</w:t>
      </w:r>
      <w:r>
        <w:rPr>
          <w:rFonts w:asciiTheme="majorHAnsi" w:hAnsiTheme="majorHAnsi" w:cstheme="majorHAnsi"/>
        </w:rPr>
        <w:t> </w:t>
      </w:r>
    </w:p>
    <w:p>
      <w:pPr>
        <w:widowControl/>
        <w:rPr>
          <w:rFonts w:asciiTheme="majorHAnsi" w:hAnsiTheme="majorHAnsi" w:cstheme="majorHAnsi"/>
          <w:b/>
          <w:bCs/>
          <w:lang w:eastAsia="zh-CN" w:bidi="ar"/>
        </w:rPr>
      </w:pPr>
      <w:r>
        <w:rPr>
          <w:rFonts w:asciiTheme="majorHAnsi" w:hAnsiTheme="majorHAnsi" w:cstheme="majorHAnsi"/>
          <w:b/>
          <w:bCs/>
          <w:lang w:eastAsia="zh-CN" w:bidi="ar"/>
        </w:rPr>
        <w:t xml:space="preserve">Figure 1: Flow chart for </w:t>
      </w:r>
      <w:r>
        <w:rPr>
          <w:rFonts w:eastAsia="宋体" w:asciiTheme="majorHAnsi" w:hAnsiTheme="majorHAnsi" w:cstheme="majorHAnsi"/>
          <w:b/>
          <w:bCs/>
          <w:lang w:eastAsia="zh-CN" w:bidi="ar"/>
        </w:rPr>
        <w:t>Oil Red O</w:t>
      </w:r>
      <w:r>
        <w:rPr>
          <w:rFonts w:asciiTheme="majorHAnsi" w:hAnsiTheme="majorHAnsi" w:cstheme="majorHAnsi"/>
          <w:b/>
          <w:bCs/>
          <w:lang w:eastAsia="zh-CN" w:bidi="ar"/>
        </w:rPr>
        <w:t xml:space="preserve"> staining. </w:t>
      </w:r>
      <w:r>
        <w:rPr>
          <w:rFonts w:asciiTheme="majorHAnsi" w:hAnsiTheme="majorHAnsi" w:cstheme="majorHAnsi"/>
          <w:lang w:eastAsia="zh-CN" w:bidi="ar"/>
        </w:rPr>
        <w:t xml:space="preserve">Abbreviations: OA = oleic acid; OD = optical density. </w:t>
      </w:r>
    </w:p>
    <w:p>
      <w:pPr>
        <w:widowControl/>
        <w:rPr>
          <w:rFonts w:asciiTheme="majorHAnsi" w:hAnsiTheme="majorHAnsi" w:cstheme="majorHAnsi"/>
          <w:lang w:eastAsia="zh-CN" w:bidi="ar"/>
        </w:rPr>
      </w:pPr>
    </w:p>
    <w:p>
      <w:pPr>
        <w:widowControl/>
        <w:rPr>
          <w:rFonts w:asciiTheme="majorHAnsi" w:hAnsiTheme="majorHAnsi" w:cstheme="majorHAnsi"/>
          <w:lang w:eastAsia="zh-CN" w:bidi="ar"/>
        </w:rPr>
      </w:pPr>
      <w:r>
        <w:rPr>
          <w:rFonts w:asciiTheme="majorHAnsi" w:hAnsiTheme="majorHAnsi" w:cstheme="majorHAnsi"/>
          <w:b/>
          <w:bCs/>
          <w:lang w:eastAsia="zh-CN" w:bidi="ar"/>
        </w:rPr>
        <w:t xml:space="preserve">Figure 2: Effect of oleic acid on cell viability, assessed using a cell counting kit-8 assay. </w:t>
      </w:r>
      <w:r>
        <w:rPr>
          <w:rFonts w:asciiTheme="majorHAnsi" w:hAnsiTheme="majorHAnsi" w:cstheme="majorHAnsi"/>
          <w:lang w:eastAsia="zh-CN" w:bidi="ar"/>
        </w:rPr>
        <w:t>Each bar represents the mean ± SD (n = 6). *</w:t>
      </w:r>
      <w:r>
        <w:rPr>
          <w:rFonts w:asciiTheme="majorHAnsi" w:hAnsiTheme="majorHAnsi" w:cstheme="majorHAnsi"/>
          <w:i/>
          <w:iCs/>
          <w:lang w:eastAsia="zh-CN" w:bidi="ar"/>
        </w:rPr>
        <w:t>P</w:t>
      </w:r>
      <w:r>
        <w:rPr>
          <w:rFonts w:asciiTheme="majorHAnsi" w:hAnsiTheme="majorHAnsi" w:cstheme="majorHAnsi"/>
          <w:lang w:eastAsia="zh-CN" w:bidi="ar"/>
        </w:rPr>
        <w:t xml:space="preserve"> &lt; 0.05. Abbreviation: OA = oleic acid.</w:t>
      </w:r>
    </w:p>
    <w:p>
      <w:pPr>
        <w:widowControl/>
        <w:rPr>
          <w:rFonts w:asciiTheme="majorHAnsi" w:hAnsiTheme="majorHAnsi" w:cstheme="majorHAnsi"/>
          <w:b/>
          <w:bCs/>
          <w:lang w:eastAsia="zh-CN" w:bidi="ar"/>
        </w:rPr>
      </w:pPr>
    </w:p>
    <w:p>
      <w:pPr>
        <w:widowControl/>
        <w:rPr>
          <w:rFonts w:asciiTheme="majorHAnsi" w:hAnsiTheme="majorHAnsi" w:cstheme="majorHAnsi"/>
          <w:lang w:eastAsia="zh-CN" w:bidi="ar"/>
        </w:rPr>
      </w:pPr>
      <w:r>
        <w:rPr>
          <w:rFonts w:asciiTheme="majorHAnsi" w:hAnsiTheme="majorHAnsi" w:cstheme="majorHAnsi"/>
          <w:b/>
          <w:bCs/>
          <w:lang w:eastAsia="zh-CN" w:bidi="ar"/>
        </w:rPr>
        <w:t xml:space="preserve">Figure 3: Oil Red O staining images of multiple time points (3, 6, 9, and 12 o’clock directions). </w:t>
      </w:r>
      <w:r>
        <w:rPr>
          <w:rFonts w:asciiTheme="majorHAnsi" w:hAnsiTheme="majorHAnsi" w:cstheme="majorHAnsi"/>
          <w:lang w:eastAsia="zh-CN" w:bidi="ar"/>
        </w:rPr>
        <w:t xml:space="preserve">Lipid droplet formation was detected using an inverted microscope for cell culture at 40x magnification. Scale bar = 500 µm. </w:t>
      </w:r>
    </w:p>
    <w:p>
      <w:pPr>
        <w:widowControl/>
        <w:rPr>
          <w:rFonts w:asciiTheme="majorHAnsi" w:hAnsiTheme="majorHAnsi" w:cstheme="majorHAnsi"/>
          <w:b/>
        </w:rPr>
      </w:pPr>
    </w:p>
    <w:p>
      <w:pPr>
        <w:widowControl/>
        <w:rPr>
          <w:rFonts w:asciiTheme="majorHAnsi" w:hAnsiTheme="majorHAnsi" w:cstheme="majorHAnsi"/>
          <w:lang w:eastAsia="zh-CN" w:bidi="ar"/>
        </w:rPr>
      </w:pPr>
      <w:r>
        <w:rPr>
          <w:rFonts w:asciiTheme="majorHAnsi" w:hAnsiTheme="majorHAnsi" w:cstheme="majorHAnsi"/>
          <w:b/>
          <w:bCs/>
          <w:lang w:eastAsia="zh-CN" w:bidi="ar"/>
        </w:rPr>
        <w:t>Figure 4: Effect of oleic acid on lipid droplets in the cells, assessed through Oil Red O staining.</w:t>
      </w:r>
      <w:r>
        <w:rPr>
          <w:rFonts w:asciiTheme="majorHAnsi" w:hAnsiTheme="majorHAnsi" w:cstheme="majorHAnsi"/>
          <w:lang w:eastAsia="zh-CN" w:bidi="ar"/>
        </w:rPr>
        <w:t xml:space="preserve"> Lipid droplet formation was detected using an inverted microscope for cell culture at 40x magnification. Scale bar = 250 µm. </w:t>
      </w:r>
    </w:p>
    <w:p>
      <w:pPr>
        <w:pStyle w:val="13"/>
        <w:widowControl/>
        <w:spacing w:beforeAutospacing="0" w:afterAutospacing="0"/>
        <w:jc w:val="both"/>
        <w:rPr>
          <w:rFonts w:asciiTheme="majorHAnsi" w:hAnsiTheme="majorHAnsi" w:cstheme="majorHAnsi"/>
        </w:rPr>
      </w:pPr>
    </w:p>
    <w:p>
      <w:pPr>
        <w:widowControl/>
        <w:rPr>
          <w:rFonts w:asciiTheme="majorHAnsi" w:hAnsiTheme="majorHAnsi" w:cstheme="majorHAnsi"/>
          <w:lang w:eastAsia="zh-CN" w:bidi="ar"/>
        </w:rPr>
      </w:pPr>
      <w:r>
        <w:rPr>
          <w:rFonts w:eastAsia="宋体" w:asciiTheme="majorHAnsi" w:hAnsiTheme="majorHAnsi" w:cstheme="majorHAnsi"/>
          <w:b/>
          <w:bCs/>
          <w:lang w:eastAsia="zh-CN"/>
        </w:rPr>
        <w:t xml:space="preserve">Figure 5: </w:t>
      </w:r>
      <w:r>
        <w:rPr>
          <w:rFonts w:asciiTheme="majorHAnsi" w:hAnsiTheme="majorHAnsi" w:cstheme="majorHAnsi"/>
          <w:b/>
          <w:bCs/>
          <w:lang w:eastAsia="zh-CN" w:bidi="ar"/>
        </w:rPr>
        <w:t>Effect of oleic acid on lipid content in the cells, assessed by the value of optical density.</w:t>
      </w:r>
      <w:r>
        <w:rPr>
          <w:rFonts w:asciiTheme="majorHAnsi" w:hAnsiTheme="majorHAnsi" w:cstheme="majorHAnsi"/>
          <w:lang w:eastAsia="zh-CN" w:bidi="ar"/>
        </w:rPr>
        <w:t xml:space="preserve"> Relative fold changes are presented in the values of optical density in different groups. Each column represents the mean ± SD (n = 16). *</w:t>
      </w:r>
      <w:r>
        <w:rPr>
          <w:rFonts w:asciiTheme="majorHAnsi" w:hAnsiTheme="majorHAnsi" w:cstheme="majorHAnsi"/>
          <w:i/>
          <w:iCs/>
          <w:lang w:eastAsia="zh-CN" w:bidi="ar"/>
        </w:rPr>
        <w:t>P</w:t>
      </w:r>
      <w:r>
        <w:rPr>
          <w:rFonts w:asciiTheme="majorHAnsi" w:hAnsiTheme="majorHAnsi" w:cstheme="majorHAnsi"/>
          <w:lang w:eastAsia="zh-CN" w:bidi="ar"/>
        </w:rPr>
        <w:t xml:space="preserve"> &lt; 0.05. </w:t>
      </w:r>
    </w:p>
    <w:p>
      <w:pPr>
        <w:widowControl/>
        <w:rPr>
          <w:rFonts w:asciiTheme="majorHAnsi" w:hAnsiTheme="majorHAnsi" w:cstheme="majorHAnsi"/>
          <w:lang w:eastAsia="zh-CN" w:bidi="ar"/>
        </w:rPr>
      </w:pPr>
    </w:p>
    <w:p>
      <w:pPr>
        <w:widowControl/>
        <w:rPr>
          <w:rFonts w:asciiTheme="majorHAnsi" w:hAnsiTheme="majorHAnsi" w:cstheme="majorHAnsi"/>
          <w:lang w:eastAsia="zh-CN" w:bidi="ar"/>
        </w:rPr>
      </w:pPr>
      <w:r>
        <w:rPr>
          <w:rFonts w:asciiTheme="majorHAnsi" w:hAnsiTheme="majorHAnsi" w:cstheme="majorHAnsi"/>
          <w:b/>
          <w:bCs/>
          <w:lang w:eastAsia="zh-CN" w:bidi="ar"/>
        </w:rPr>
        <w:t xml:space="preserve">Figure 6: Effects of various concentrations of oleic acid on total triglyceride levels in HepG2 cell supernatant. </w:t>
      </w:r>
      <w:bookmarkStart w:id="1" w:name="OLE_LINK3"/>
      <w:r>
        <w:rPr>
          <w:rFonts w:asciiTheme="majorHAnsi" w:hAnsiTheme="majorHAnsi" w:cstheme="majorHAnsi"/>
          <w:lang w:eastAsia="zh-CN" w:bidi="ar"/>
        </w:rPr>
        <w:t>Relative fold changes are presented in the value of triglyceride levels</w:t>
      </w:r>
      <w:r>
        <w:rPr>
          <w:rFonts w:asciiTheme="majorHAnsi" w:hAnsiTheme="majorHAnsi" w:cstheme="majorHAnsi"/>
          <w:b/>
          <w:bCs/>
          <w:lang w:eastAsia="zh-CN" w:bidi="ar"/>
        </w:rPr>
        <w:t xml:space="preserve"> </w:t>
      </w:r>
      <w:r>
        <w:rPr>
          <w:rFonts w:asciiTheme="majorHAnsi" w:hAnsiTheme="majorHAnsi" w:cstheme="majorHAnsi"/>
          <w:lang w:eastAsia="zh-CN" w:bidi="ar"/>
        </w:rPr>
        <w:t>in different groups. Each column represents the mean ± SD (n = 3). *</w:t>
      </w:r>
      <w:r>
        <w:rPr>
          <w:rFonts w:asciiTheme="majorHAnsi" w:hAnsiTheme="majorHAnsi" w:cstheme="majorHAnsi"/>
          <w:vertAlign w:val="superscript"/>
          <w:lang w:eastAsia="zh-CN" w:bidi="ar"/>
        </w:rPr>
        <w:t xml:space="preserve"> </w:t>
      </w:r>
      <w:r>
        <w:rPr>
          <w:rFonts w:asciiTheme="majorHAnsi" w:hAnsiTheme="majorHAnsi" w:cstheme="majorHAnsi"/>
          <w:i/>
          <w:iCs/>
          <w:lang w:eastAsia="zh-CN" w:bidi="ar"/>
        </w:rPr>
        <w:t>P</w:t>
      </w:r>
      <w:r>
        <w:rPr>
          <w:rFonts w:asciiTheme="majorHAnsi" w:hAnsiTheme="majorHAnsi" w:cstheme="majorHAnsi"/>
          <w:lang w:eastAsia="zh-CN" w:bidi="ar"/>
        </w:rPr>
        <w:t xml:space="preserve"> &lt; 0.05. </w:t>
      </w:r>
    </w:p>
    <w:bookmarkEnd w:id="1"/>
    <w:p>
      <w:pPr>
        <w:pStyle w:val="13"/>
        <w:widowControl/>
        <w:spacing w:beforeAutospacing="0" w:afterAutospacing="0"/>
        <w:jc w:val="both"/>
        <w:rPr>
          <w:rStyle w:val="18"/>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DISCUSSION: </w:t>
      </w:r>
    </w:p>
    <w:p>
      <w:pPr>
        <w:pStyle w:val="13"/>
        <w:widowControl/>
        <w:spacing w:beforeAutospacing="0" w:afterAutospacing="0"/>
        <w:jc w:val="both"/>
        <w:rPr>
          <w:rFonts w:eastAsia="宋体" w:asciiTheme="majorHAnsi" w:hAnsiTheme="majorHAnsi" w:cstheme="majorHAnsi"/>
          <w:lang w:bidi="ar"/>
        </w:rPr>
      </w:pPr>
      <w:r>
        <w:rPr>
          <w:rFonts w:eastAsia="宋体" w:asciiTheme="majorHAnsi" w:hAnsiTheme="majorHAnsi" w:cstheme="majorHAnsi"/>
          <w:lang w:bidi="ar"/>
        </w:rPr>
        <w:t>MASLD is a clinicopathological syndrome characterized by excessive intracellular fat deposition in hepatocytes due to factors beyond alcohol and other established liver-damaging agents</w:t>
      </w:r>
      <w:r>
        <w:rPr>
          <w:rFonts w:eastAsia="宋体" w:asciiTheme="majorHAnsi" w:hAnsiTheme="majorHAnsi" w:cstheme="majorHAnsi"/>
          <w:vertAlign w:val="superscript"/>
          <w:lang w:bidi="ar"/>
        </w:rPr>
        <w:t>18</w:t>
      </w:r>
      <w:r>
        <w:rPr>
          <w:rFonts w:eastAsia="宋体" w:asciiTheme="majorHAnsi" w:hAnsiTheme="majorHAnsi" w:cstheme="majorHAnsi"/>
          <w:lang w:bidi="ar"/>
        </w:rPr>
        <w:t xml:space="preserve">. MASLD is intricately linked to acquired metabolic stress liver injury, notably associated with insulin resistance and genetic susceptibility. To effectively study and screen drugs for MASLD, it is crucial to select an appropriate experimental model. Establishing a cell model is particularly vital in MASLD research, facilitating a deeper understanding of pathological mechanisms and the evaluation of novel drug effects. </w:t>
      </w:r>
    </w:p>
    <w:p>
      <w:pPr>
        <w:pStyle w:val="13"/>
        <w:widowControl/>
        <w:spacing w:beforeAutospacing="0" w:afterAutospacing="0"/>
        <w:jc w:val="both"/>
        <w:rPr>
          <w:rFonts w:eastAsia="宋体" w:asciiTheme="majorHAnsi" w:hAnsiTheme="majorHAnsi" w:cstheme="majorHAnsi"/>
          <w:lang w:bidi="ar"/>
        </w:rPr>
      </w:pPr>
    </w:p>
    <w:p>
      <w:pPr>
        <w:pStyle w:val="13"/>
        <w:widowControl/>
        <w:spacing w:beforeAutospacing="0" w:afterAutospacing="0"/>
        <w:jc w:val="both"/>
        <w:rPr>
          <w:rFonts w:eastAsia="宋体" w:asciiTheme="majorHAnsi" w:hAnsiTheme="majorHAnsi" w:cstheme="majorHAnsi"/>
          <w:lang w:bidi="ar"/>
        </w:rPr>
      </w:pPr>
      <w:r>
        <w:rPr>
          <w:rFonts w:eastAsia="宋体" w:asciiTheme="majorHAnsi" w:hAnsiTheme="majorHAnsi" w:cstheme="majorHAnsi"/>
          <w:lang w:bidi="ar"/>
        </w:rPr>
        <w:t xml:space="preserve">This protocol describes an </w:t>
      </w:r>
      <w:r>
        <w:rPr>
          <w:rFonts w:eastAsia="宋体" w:asciiTheme="majorHAnsi" w:hAnsiTheme="majorHAnsi" w:cstheme="majorHAnsi"/>
          <w:i/>
          <w:iCs/>
          <w:lang w:bidi="ar"/>
        </w:rPr>
        <w:t>in vitro</w:t>
      </w:r>
      <w:r>
        <w:rPr>
          <w:rFonts w:eastAsia="宋体" w:asciiTheme="majorHAnsi" w:hAnsiTheme="majorHAnsi" w:cstheme="majorHAnsi"/>
          <w:lang w:bidi="ar"/>
        </w:rPr>
        <w:t xml:space="preserve"> model of MASLD established through OA-induced HepG2 cells. ORO staining and lipid content analysis serve as critical methods for creating this model. In addition, assessing cell viability and total TG content in cell supernatants is essential for evaluating the appropriate OA concentration. The diagnostic criterion for MASLD involves the presence of over 5% TG stored in liver cells</w:t>
      </w:r>
      <w:r>
        <w:rPr>
          <w:rFonts w:eastAsia="宋体" w:asciiTheme="majorHAnsi" w:hAnsiTheme="majorHAnsi" w:cstheme="majorHAnsi"/>
          <w:vertAlign w:val="superscript"/>
          <w:lang w:bidi="ar"/>
        </w:rPr>
        <w:t>19,20</w:t>
      </w:r>
      <w:r>
        <w:rPr>
          <w:rFonts w:eastAsia="宋体" w:asciiTheme="majorHAnsi" w:hAnsiTheme="majorHAnsi" w:cstheme="majorHAnsi"/>
          <w:lang w:bidi="ar"/>
        </w:rPr>
        <w:t>. MASLD cell models primarily rely on HepG2 cells</w:t>
      </w:r>
      <w:r>
        <w:rPr>
          <w:rFonts w:eastAsia="宋体" w:asciiTheme="majorHAnsi" w:hAnsiTheme="majorHAnsi" w:cstheme="majorHAnsi"/>
          <w:vertAlign w:val="superscript"/>
          <w:lang w:bidi="ar"/>
        </w:rPr>
        <w:t>21-28</w:t>
      </w:r>
      <w:r>
        <w:rPr>
          <w:rFonts w:eastAsia="宋体" w:asciiTheme="majorHAnsi" w:hAnsiTheme="majorHAnsi" w:cstheme="majorHAnsi"/>
          <w:lang w:bidi="ar"/>
        </w:rPr>
        <w:t>, known for their successful utilization in constructing fatty liver degeneration models in various domestic and international studies. Despite originating from hepatoma cells, HepG2 cells share many phenotypic characteristics with hepatocytes and are easily cultivated and propagated</w:t>
      </w:r>
      <w:r>
        <w:rPr>
          <w:rFonts w:eastAsia="宋体" w:asciiTheme="majorHAnsi" w:hAnsiTheme="majorHAnsi" w:cstheme="majorHAnsi"/>
          <w:vertAlign w:val="superscript"/>
          <w:lang w:bidi="ar"/>
        </w:rPr>
        <w:t>29,30</w:t>
      </w:r>
      <w:r>
        <w:rPr>
          <w:rFonts w:eastAsia="宋体" w:asciiTheme="majorHAnsi" w:hAnsiTheme="majorHAnsi" w:cstheme="majorHAnsi"/>
          <w:lang w:bidi="ar"/>
        </w:rPr>
        <w:t xml:space="preserve">. Tests such as the CCK-8 kit, ORO staining, lipid content, and total TG measurements offer simple, objective, and reasonable approaches to assess cell viability, fat accumulation, and lipid content in the study subjects. In this context, OA aligns with the pathogenesis of MASLD31, where excess energy is stored in the form of lipids when energy intake exceeds consumption. </w:t>
      </w:r>
    </w:p>
    <w:p>
      <w:pPr>
        <w:pStyle w:val="13"/>
        <w:widowControl/>
        <w:spacing w:beforeAutospacing="0" w:afterAutospacing="0"/>
        <w:jc w:val="both"/>
        <w:rPr>
          <w:rFonts w:eastAsia="宋体" w:asciiTheme="majorHAnsi" w:hAnsiTheme="majorHAnsi" w:cstheme="majorHAnsi"/>
          <w:lang w:bidi="ar"/>
        </w:rPr>
      </w:pPr>
    </w:p>
    <w:p>
      <w:pPr>
        <w:pStyle w:val="13"/>
        <w:widowControl/>
        <w:spacing w:beforeAutospacing="0" w:afterAutospacing="0"/>
        <w:jc w:val="both"/>
        <w:rPr>
          <w:rFonts w:eastAsia="宋体" w:asciiTheme="majorHAnsi" w:hAnsiTheme="majorHAnsi" w:cstheme="majorHAnsi"/>
          <w:lang w:bidi="ar"/>
        </w:rPr>
      </w:pPr>
      <w:r>
        <w:rPr>
          <w:rFonts w:eastAsia="宋体" w:asciiTheme="majorHAnsi" w:hAnsiTheme="majorHAnsi" w:cstheme="majorHAnsi"/>
          <w:lang w:bidi="ar"/>
        </w:rPr>
        <w:t>Researchers have utilized OA</w:t>
      </w:r>
      <w:r>
        <w:rPr>
          <w:rFonts w:eastAsia="宋体" w:asciiTheme="majorHAnsi" w:hAnsiTheme="majorHAnsi" w:cstheme="majorHAnsi"/>
          <w:vertAlign w:val="superscript"/>
          <w:lang w:bidi="ar"/>
        </w:rPr>
        <w:t>23,28,31-33</w:t>
      </w:r>
      <w:r>
        <w:rPr>
          <w:rFonts w:eastAsia="宋体" w:asciiTheme="majorHAnsi" w:hAnsiTheme="majorHAnsi" w:cstheme="majorHAnsi"/>
          <w:lang w:bidi="ar"/>
        </w:rPr>
        <w:t>, palmitic acid</w:t>
      </w:r>
      <w:r>
        <w:rPr>
          <w:rFonts w:eastAsia="宋体" w:asciiTheme="majorHAnsi" w:hAnsiTheme="majorHAnsi" w:cstheme="majorHAnsi"/>
          <w:vertAlign w:val="superscript"/>
          <w:lang w:bidi="ar"/>
        </w:rPr>
        <w:t>34,35</w:t>
      </w:r>
      <w:r>
        <w:rPr>
          <w:rFonts w:eastAsia="宋体" w:asciiTheme="majorHAnsi" w:hAnsiTheme="majorHAnsi" w:cstheme="majorHAnsi"/>
          <w:lang w:bidi="ar"/>
        </w:rPr>
        <w:t>, and combinations of oleic/palmitic acid</w:t>
      </w:r>
      <w:r>
        <w:rPr>
          <w:rFonts w:eastAsia="宋体" w:asciiTheme="majorHAnsi" w:hAnsiTheme="majorHAnsi" w:cstheme="majorHAnsi"/>
          <w:vertAlign w:val="superscript"/>
          <w:lang w:bidi="ar"/>
        </w:rPr>
        <w:t>26,36</w:t>
      </w:r>
      <w:r>
        <w:rPr>
          <w:rFonts w:eastAsia="宋体" w:asciiTheme="majorHAnsi" w:hAnsiTheme="majorHAnsi" w:cstheme="majorHAnsi"/>
          <w:lang w:bidi="ar"/>
        </w:rPr>
        <w:t xml:space="preserve"> to replicate the MASLD model. Both palmitic acid and OA contribute to liver fatty degeneration and the accumulation of TG. Palmitic acid, the most abundant saturated fatty acid in the human body, exhibits significant lipotoxicity, leading to lipid accumulation in hepatocytes, increased intracellular reactive oxygen radicals, and cell death or necrosis</w:t>
      </w:r>
      <w:r>
        <w:rPr>
          <w:rFonts w:eastAsia="宋体" w:asciiTheme="majorHAnsi" w:hAnsiTheme="majorHAnsi" w:cstheme="majorHAnsi"/>
          <w:vertAlign w:val="superscript"/>
          <w:lang w:bidi="ar"/>
        </w:rPr>
        <w:t>37</w:t>
      </w:r>
      <w:r>
        <w:rPr>
          <w:rFonts w:eastAsia="宋体" w:asciiTheme="majorHAnsi" w:hAnsiTheme="majorHAnsi" w:cstheme="majorHAnsi"/>
          <w:lang w:bidi="ar"/>
        </w:rPr>
        <w:t>. Conversely, OA leads to more pronounced intracellular TG deposition (</w:t>
      </w:r>
      <w:r>
        <w:rPr>
          <w:rFonts w:eastAsia="宋体" w:asciiTheme="majorHAnsi" w:hAnsiTheme="majorHAnsi" w:cstheme="majorHAnsi"/>
          <w:b/>
          <w:bCs/>
          <w:lang w:bidi="ar"/>
        </w:rPr>
        <w:t>Figure 6</w:t>
      </w:r>
      <w:r>
        <w:rPr>
          <w:rFonts w:eastAsia="宋体" w:asciiTheme="majorHAnsi" w:hAnsiTheme="majorHAnsi" w:cstheme="majorHAnsi"/>
          <w:lang w:bidi="ar"/>
        </w:rPr>
        <w:t>) and less cellular modulation</w:t>
      </w:r>
      <w:r>
        <w:rPr>
          <w:rFonts w:eastAsia="宋体" w:asciiTheme="majorHAnsi" w:hAnsiTheme="majorHAnsi" w:cstheme="majorHAnsi"/>
          <w:vertAlign w:val="superscript"/>
          <w:lang w:bidi="ar"/>
        </w:rPr>
        <w:t>38</w:t>
      </w:r>
      <w:r>
        <w:rPr>
          <w:rFonts w:eastAsia="宋体" w:asciiTheme="majorHAnsi" w:hAnsiTheme="majorHAnsi" w:cstheme="majorHAnsi"/>
          <w:lang w:bidi="ar"/>
        </w:rPr>
        <w:t xml:space="preserve">. Thus, researchers often utilize OA-induced HepG2 cells to establish </w:t>
      </w:r>
      <w:r>
        <w:rPr>
          <w:rFonts w:eastAsia="宋体" w:asciiTheme="majorHAnsi" w:hAnsiTheme="majorHAnsi" w:cstheme="majorHAnsi"/>
          <w:i/>
          <w:iCs/>
          <w:lang w:bidi="ar"/>
        </w:rPr>
        <w:t>in vitro</w:t>
      </w:r>
      <w:r>
        <w:rPr>
          <w:rFonts w:eastAsia="宋体" w:asciiTheme="majorHAnsi" w:hAnsiTheme="majorHAnsi" w:cstheme="majorHAnsi"/>
          <w:lang w:bidi="ar"/>
        </w:rPr>
        <w:t xml:space="preserve"> MASLD models. As described in protocol step 2.2.2, it is crucial to heat the OA solution when adding it. In this study, ORO staining and lipid content analysis were based on the lipid deposition of HepG2 cells, effectively supporting the exploration of </w:t>
      </w:r>
      <w:r>
        <w:rPr>
          <w:rFonts w:eastAsia="宋体" w:asciiTheme="majorHAnsi" w:hAnsiTheme="majorHAnsi" w:cstheme="majorHAnsi"/>
          <w:i/>
          <w:iCs/>
          <w:lang w:bidi="ar"/>
        </w:rPr>
        <w:t>in vitro</w:t>
      </w:r>
      <w:r>
        <w:rPr>
          <w:rFonts w:eastAsia="宋体" w:asciiTheme="majorHAnsi" w:hAnsiTheme="majorHAnsi" w:cstheme="majorHAnsi"/>
          <w:lang w:bidi="ar"/>
        </w:rPr>
        <w:t xml:space="preserve"> models of MASLD with complex mechanisms and reducing the time and cost required for research. </w:t>
      </w:r>
    </w:p>
    <w:p>
      <w:pPr>
        <w:pStyle w:val="13"/>
        <w:widowControl/>
        <w:spacing w:beforeAutospacing="0" w:afterAutospacing="0"/>
        <w:jc w:val="both"/>
        <w:rPr>
          <w:rFonts w:eastAsia="宋体" w:asciiTheme="majorHAnsi" w:hAnsiTheme="majorHAnsi" w:cstheme="majorHAnsi"/>
          <w:lang w:bidi="ar"/>
        </w:rPr>
      </w:pPr>
    </w:p>
    <w:p>
      <w:pPr>
        <w:pStyle w:val="13"/>
        <w:widowControl/>
        <w:spacing w:beforeAutospacing="0" w:afterAutospacing="0"/>
        <w:jc w:val="both"/>
        <w:rPr>
          <w:rFonts w:eastAsia="宋体" w:asciiTheme="majorHAnsi" w:hAnsiTheme="majorHAnsi" w:cstheme="majorHAnsi"/>
          <w:lang w:bidi="ar"/>
        </w:rPr>
      </w:pPr>
      <w:r>
        <w:rPr>
          <w:rFonts w:eastAsia="宋体" w:asciiTheme="majorHAnsi" w:hAnsiTheme="majorHAnsi" w:cstheme="majorHAnsi"/>
          <w:lang w:bidi="ar"/>
        </w:rPr>
        <w:t>ORO readily binds to TG in a droplet shape, producing orange to red staining indicative of fat, with color intensity depending on lipid concentration. However, the ORO staining solution is unstable and prone to precipitation, making it unsuitable for preparation in advance. Therefore, the ORO staining solution was prepared after protocol step 3.1, with precautions taken to avoid light exposure during preparation and incubation (protocol steps 3.1, 3.2). In protocol step 3.3, selecting images at multiple time points (3, 6, 9, and 12</w:t>
      </w:r>
      <w:r>
        <w:rPr>
          <w:rStyle w:val="24"/>
          <w:rFonts w:eastAsia="宋体" w:asciiTheme="majorHAnsi" w:hAnsiTheme="majorHAnsi" w:cstheme="majorHAnsi"/>
          <w:sz w:val="24"/>
          <w:szCs w:val="24"/>
        </w:rPr>
        <w:t xml:space="preserve"> o’clock directions</w:t>
      </w:r>
      <w:r>
        <w:rPr>
          <w:rFonts w:eastAsia="宋体" w:asciiTheme="majorHAnsi" w:hAnsiTheme="majorHAnsi" w:cstheme="majorHAnsi"/>
          <w:lang w:bidi="ar"/>
        </w:rPr>
        <w:t>) represents a key modification of the experiment that is essential for improving the accuracy of the results. Although elevated OA concentrations affect cell survival, thus representing a limitation of this method, it has been demonstrated that an appropriate OA concentration ensures cell viability.</w:t>
      </w:r>
    </w:p>
    <w:p>
      <w:pPr>
        <w:pStyle w:val="13"/>
        <w:widowControl/>
        <w:spacing w:beforeAutospacing="0" w:afterAutospacing="0"/>
        <w:jc w:val="both"/>
        <w:rPr>
          <w:rFonts w:eastAsia="宋体" w:asciiTheme="majorHAnsi" w:hAnsiTheme="majorHAnsi" w:cstheme="majorHAnsi"/>
          <w:lang w:bidi="ar"/>
        </w:rPr>
      </w:pPr>
    </w:p>
    <w:p>
      <w:pPr>
        <w:pStyle w:val="13"/>
        <w:widowControl/>
        <w:spacing w:beforeAutospacing="0" w:afterAutospacing="0"/>
        <w:jc w:val="both"/>
        <w:rPr>
          <w:rFonts w:eastAsia="宋体" w:asciiTheme="majorHAnsi" w:hAnsiTheme="majorHAnsi" w:cstheme="majorHAnsi"/>
          <w:lang w:bidi="ar"/>
        </w:rPr>
      </w:pPr>
      <w:r>
        <w:rPr>
          <w:rFonts w:eastAsia="宋体" w:asciiTheme="majorHAnsi" w:hAnsiTheme="majorHAnsi" w:cstheme="majorHAnsi"/>
          <w:lang w:bidi="ar"/>
        </w:rPr>
        <w:t xml:space="preserve">This study employed a comprehensive approach, using a CCK-8 kit, ORO staining, lipid content analysis, and total TG measurement to establish and validate the model of MASLD. The CCK-8 kit was used to assess the effect of drugs on cell viability, serving as a crucial validation step. In the future, this model holds promise for drug screening and mechanism research aimed at understanding MASLD pathogenesis and identifying potential therapeutic targets. To further ensure the quality of reliability of validation, the expression levels of target proteins implicated in the model will be analyzed using western blotting and quantitative polymerase chain reaction analyses. </w:t>
      </w:r>
    </w:p>
    <w:p>
      <w:pPr>
        <w:pStyle w:val="13"/>
        <w:widowControl/>
        <w:spacing w:beforeAutospacing="0" w:afterAutospacing="0"/>
        <w:jc w:val="both"/>
        <w:rPr>
          <w:rStyle w:val="18"/>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ACKNOWLEDGMENTS: </w:t>
      </w:r>
      <w:r>
        <w:rPr>
          <w:rStyle w:val="19"/>
          <w:rFonts w:asciiTheme="majorHAnsi" w:hAnsiTheme="majorHAnsi" w:cstheme="majorHAnsi"/>
        </w:rPr>
        <w:endnoteReference w:id="0"/>
      </w:r>
    </w:p>
    <w:p>
      <w:pPr>
        <w:pStyle w:val="13"/>
        <w:widowControl/>
        <w:spacing w:beforeAutospacing="0" w:afterAutospacing="0"/>
        <w:jc w:val="both"/>
        <w:rPr>
          <w:rFonts w:asciiTheme="majorHAnsi" w:hAnsiTheme="majorHAnsi" w:cstheme="majorHAnsi"/>
        </w:rPr>
      </w:pPr>
      <w:r>
        <w:rPr>
          <w:rFonts w:asciiTheme="majorHAnsi" w:hAnsiTheme="majorHAnsi" w:cstheme="majorHAnsi"/>
        </w:rPr>
        <w:t>The current study was granted by "Study on the key issues of curative effect of Koumiss on regional diseases of Mongolian medicine" in 2018 Supported Project of the science and technology program of the Department of Science and Technology of Inner Mongolia Autonomous Region.</w:t>
      </w:r>
    </w:p>
    <w:p>
      <w:pPr>
        <w:pStyle w:val="13"/>
        <w:widowControl/>
        <w:spacing w:beforeAutospacing="0" w:afterAutospacing="0"/>
        <w:jc w:val="both"/>
        <w:rPr>
          <w:rFonts w:asciiTheme="majorHAnsi" w:hAnsiTheme="majorHAnsi" w:cstheme="majorHAnsi"/>
        </w:rPr>
      </w:pPr>
    </w:p>
    <w:p>
      <w:pPr>
        <w:pStyle w:val="13"/>
        <w:widowControl/>
        <w:spacing w:beforeAutospacing="0" w:afterAutospacing="0"/>
        <w:jc w:val="both"/>
        <w:rPr>
          <w:rFonts w:asciiTheme="majorHAnsi" w:hAnsiTheme="majorHAnsi" w:cstheme="majorHAnsi"/>
        </w:rPr>
      </w:pPr>
      <w:r>
        <w:rPr>
          <w:rStyle w:val="18"/>
          <w:rFonts w:asciiTheme="majorHAnsi" w:hAnsiTheme="majorHAnsi" w:cstheme="majorHAnsi"/>
        </w:rPr>
        <w:t>DISCLOSURES: </w:t>
      </w:r>
    </w:p>
    <w:p>
      <w:pPr>
        <w:pStyle w:val="13"/>
        <w:widowControl/>
        <w:spacing w:beforeAutospacing="0" w:afterAutospacing="0"/>
        <w:jc w:val="both"/>
        <w:rPr>
          <w:rFonts w:asciiTheme="majorHAnsi" w:hAnsiTheme="majorHAnsi" w:cstheme="majorHAnsi"/>
        </w:rPr>
      </w:pPr>
      <w:r>
        <w:rPr>
          <w:rFonts w:asciiTheme="majorHAnsi" w:hAnsiTheme="majorHAnsi" w:cstheme="majorHAnsi"/>
        </w:rPr>
        <w:t>The authors declare no conflicts of interest.</w:t>
      </w:r>
    </w:p>
    <w:p>
      <w:pPr>
        <w:pStyle w:val="13"/>
        <w:widowControl/>
        <w:spacing w:beforeAutospacing="0" w:afterAutospacing="0"/>
        <w:jc w:val="both"/>
        <w:rPr>
          <w:rFonts w:asciiTheme="majorHAnsi" w:hAnsiTheme="majorHAnsi" w:cstheme="majorHAnsi"/>
        </w:rPr>
      </w:pPr>
    </w:p>
    <w:p>
      <w:pPr>
        <w:rPr>
          <w:rFonts w:asciiTheme="majorHAnsi" w:hAnsiTheme="majorHAnsi" w:cstheme="majorHAnsi"/>
          <w:b/>
        </w:rPr>
      </w:pPr>
      <w:r>
        <w:rPr>
          <w:rFonts w:asciiTheme="majorHAnsi" w:hAnsiTheme="majorHAnsi" w:cstheme="majorHAnsi"/>
          <w:b/>
        </w:rPr>
        <w:t>REFERENCES:</w:t>
      </w:r>
      <w:r>
        <w:rPr>
          <w:rFonts w:asciiTheme="majorHAnsi" w:hAnsiTheme="majorHAnsi" w:cstheme="majorHAnsi"/>
        </w:rPr>
        <w:t xml:space="preserve"> </w:t>
      </w:r>
    </w:p>
    <w:p>
      <w:pPr>
        <w:pStyle w:val="31"/>
        <w:numPr>
          <w:ilvl w:val="0"/>
          <w:numId w:val="3"/>
        </w:numPr>
        <w:rPr>
          <w:rFonts w:eastAsia="宋体" w:asciiTheme="majorHAnsi" w:hAnsiTheme="majorHAnsi" w:cstheme="majorHAnsi"/>
          <w:lang w:eastAsia="zh-CN"/>
        </w:rPr>
      </w:pPr>
      <w:bookmarkStart w:id="2" w:name="3rdcrjn" w:colFirst="0" w:colLast="0"/>
      <w:bookmarkEnd w:id="2"/>
      <w:r>
        <w:rPr>
          <w:rFonts w:eastAsia="宋体" w:asciiTheme="majorHAnsi" w:hAnsiTheme="majorHAnsi" w:cstheme="majorHAnsi"/>
          <w:lang w:eastAsia="zh-CN"/>
        </w:rPr>
        <w:t xml:space="preserve">         Alisi, A., Feldstein, A. E., Villani, A., Raponi, M. Pediatric nonalcoholic fatty liver disease: a multidisciplinary approach. </w:t>
      </w:r>
      <w:r>
        <w:rPr>
          <w:rFonts w:eastAsia="宋体" w:asciiTheme="majorHAnsi" w:hAnsiTheme="majorHAnsi" w:cstheme="majorHAnsi"/>
          <w:i/>
          <w:iCs/>
          <w:lang w:eastAsia="zh-CN"/>
        </w:rPr>
        <w:t>Nat Rev Gastroenterol Hepatol</w:t>
      </w:r>
      <w:r>
        <w:rPr>
          <w:rFonts w:eastAsia="宋体" w:asciiTheme="majorHAnsi" w:hAnsiTheme="majorHAnsi" w:cstheme="majorHAnsi"/>
          <w:lang w:eastAsia="zh-CN"/>
        </w:rPr>
        <w:t xml:space="preserve">. </w:t>
      </w:r>
      <w:r>
        <w:rPr>
          <w:rFonts w:eastAsia="宋体" w:asciiTheme="majorHAnsi" w:hAnsiTheme="majorHAnsi" w:cstheme="majorHAnsi"/>
          <w:b/>
          <w:bCs/>
          <w:lang w:eastAsia="zh-CN"/>
        </w:rPr>
        <w:t>9</w:t>
      </w:r>
      <w:r>
        <w:rPr>
          <w:rFonts w:eastAsia="宋体" w:asciiTheme="majorHAnsi" w:hAnsiTheme="majorHAnsi" w:cstheme="majorHAnsi"/>
          <w:lang w:eastAsia="zh-CN"/>
        </w:rPr>
        <w:t xml:space="preserve"> (3), 152-161 (2012).</w:t>
      </w:r>
    </w:p>
    <w:p>
      <w:pPr>
        <w:pStyle w:val="31"/>
        <w:rPr>
          <w:rFonts w:eastAsia="宋体" w:asciiTheme="majorHAnsi" w:hAnsiTheme="majorHAnsi" w:cstheme="majorHAnsi"/>
          <w:lang w:eastAsia="zh-CN"/>
        </w:rPr>
      </w:pPr>
      <w:r>
        <w:rPr>
          <w:rFonts w:eastAsia="宋体" w:asciiTheme="majorHAnsi" w:hAnsiTheme="majorHAnsi" w:cstheme="majorHAnsi"/>
          <w:lang w:eastAsia="zh-CN"/>
        </w:rPr>
        <w:t>2.</w:t>
      </w:r>
      <w:r>
        <w:rPr>
          <w:rFonts w:eastAsia="宋体" w:asciiTheme="majorHAnsi" w:hAnsiTheme="majorHAnsi" w:cstheme="majorHAnsi"/>
          <w:lang w:eastAsia="zh-CN"/>
        </w:rPr>
        <w:tab/>
      </w:r>
      <w:r>
        <w:rPr>
          <w:rFonts w:eastAsia="宋体" w:asciiTheme="majorHAnsi" w:hAnsiTheme="majorHAnsi" w:cstheme="majorHAnsi"/>
          <w:lang w:eastAsia="zh-CN"/>
        </w:rPr>
        <w:t xml:space="preserve">Anania, C., Perla, F. M., Olivero, F., Pacifico, L., Chiesa, C. Mediterranean diet and nonalcoholic fatty liver disease. </w:t>
      </w:r>
      <w:r>
        <w:rPr>
          <w:rFonts w:asciiTheme="majorHAnsi" w:hAnsiTheme="majorHAnsi" w:cstheme="majorHAnsi"/>
          <w:i/>
        </w:rPr>
        <w:t xml:space="preserve">World </w:t>
      </w:r>
      <w:r>
        <w:rPr>
          <w:rFonts w:eastAsia="宋体" w:asciiTheme="majorHAnsi" w:hAnsiTheme="majorHAnsi" w:cstheme="majorHAnsi"/>
          <w:i/>
          <w:iCs/>
          <w:lang w:eastAsia="zh-CN"/>
        </w:rPr>
        <w:t>J Gastroenterol</w:t>
      </w:r>
      <w:r>
        <w:rPr>
          <w:rFonts w:eastAsia="宋体" w:asciiTheme="majorHAnsi" w:hAnsiTheme="majorHAnsi" w:cstheme="majorHAnsi"/>
          <w:lang w:eastAsia="zh-CN"/>
        </w:rPr>
        <w:t xml:space="preserve">. </w:t>
      </w:r>
      <w:r>
        <w:rPr>
          <w:rFonts w:asciiTheme="majorHAnsi" w:hAnsiTheme="majorHAnsi" w:cstheme="majorHAnsi"/>
          <w:b/>
        </w:rPr>
        <w:t>24</w:t>
      </w:r>
      <w:r>
        <w:rPr>
          <w:rFonts w:eastAsia="宋体" w:asciiTheme="majorHAnsi" w:hAnsiTheme="majorHAnsi" w:cstheme="majorHAnsi"/>
          <w:lang w:eastAsia="zh-CN"/>
        </w:rPr>
        <w:t xml:space="preserve"> (19), 2083-2094 (2018).</w:t>
      </w:r>
    </w:p>
    <w:p>
      <w:pPr>
        <w:pStyle w:val="31"/>
        <w:rPr>
          <w:rFonts w:eastAsia="宋体" w:asciiTheme="majorHAnsi" w:hAnsiTheme="majorHAnsi" w:cstheme="majorHAnsi"/>
          <w:lang w:eastAsia="zh-CN"/>
        </w:rPr>
      </w:pPr>
      <w:r>
        <w:rPr>
          <w:rFonts w:eastAsia="宋体" w:asciiTheme="majorHAnsi" w:hAnsiTheme="majorHAnsi" w:cstheme="majorHAnsi"/>
          <w:lang w:eastAsia="zh-CN"/>
        </w:rPr>
        <w:t>3.</w:t>
      </w:r>
      <w:r>
        <w:rPr>
          <w:rFonts w:eastAsia="宋体" w:asciiTheme="majorHAnsi" w:hAnsiTheme="majorHAnsi" w:cstheme="majorHAnsi"/>
          <w:lang w:eastAsia="zh-CN"/>
        </w:rPr>
        <w:tab/>
      </w:r>
      <w:r>
        <w:rPr>
          <w:rFonts w:eastAsia="宋体" w:asciiTheme="majorHAnsi" w:hAnsiTheme="majorHAnsi" w:cstheme="majorHAnsi"/>
          <w:lang w:eastAsia="zh-CN"/>
        </w:rPr>
        <w:t xml:space="preserve">Bessone, F., Razori, M. V., Roma, M. G. Molecular pathways of nonalcoholic fatty liver disease development and progression. </w:t>
      </w:r>
      <w:r>
        <w:rPr>
          <w:rFonts w:eastAsia="宋体" w:asciiTheme="majorHAnsi" w:hAnsiTheme="majorHAnsi" w:cstheme="majorHAnsi"/>
          <w:i/>
          <w:iCs/>
          <w:lang w:eastAsia="zh-CN"/>
        </w:rPr>
        <w:t>Cell Mol</w:t>
      </w:r>
      <w:r>
        <w:rPr>
          <w:rFonts w:asciiTheme="majorHAnsi" w:hAnsiTheme="majorHAnsi" w:cstheme="majorHAnsi"/>
          <w:i/>
        </w:rPr>
        <w:t xml:space="preserve"> Life </w:t>
      </w:r>
      <w:r>
        <w:rPr>
          <w:rFonts w:eastAsia="宋体" w:asciiTheme="majorHAnsi" w:hAnsiTheme="majorHAnsi" w:cstheme="majorHAnsi"/>
          <w:i/>
          <w:iCs/>
          <w:lang w:eastAsia="zh-CN"/>
        </w:rPr>
        <w:t>Sci</w:t>
      </w:r>
      <w:r>
        <w:rPr>
          <w:rFonts w:eastAsia="宋体" w:asciiTheme="majorHAnsi" w:hAnsiTheme="majorHAnsi" w:cstheme="majorHAnsi"/>
          <w:lang w:eastAsia="zh-CN"/>
        </w:rPr>
        <w:t>.</w:t>
      </w:r>
      <w:r>
        <w:rPr>
          <w:rFonts w:asciiTheme="majorHAnsi" w:hAnsiTheme="majorHAnsi" w:cstheme="majorHAnsi"/>
          <w:b/>
        </w:rPr>
        <w:t xml:space="preserve"> 76</w:t>
      </w:r>
      <w:r>
        <w:rPr>
          <w:rFonts w:eastAsia="宋体" w:asciiTheme="majorHAnsi" w:hAnsiTheme="majorHAnsi" w:cstheme="majorHAnsi"/>
          <w:lang w:eastAsia="zh-CN"/>
        </w:rPr>
        <w:t xml:space="preserve"> (1), 99-128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4.</w:t>
      </w:r>
      <w:r>
        <w:rPr>
          <w:rFonts w:eastAsia="宋体" w:asciiTheme="majorHAnsi" w:hAnsiTheme="majorHAnsi" w:cstheme="majorHAnsi"/>
          <w:lang w:eastAsia="zh-CN"/>
        </w:rPr>
        <w:tab/>
      </w:r>
      <w:r>
        <w:rPr>
          <w:rFonts w:eastAsia="宋体" w:asciiTheme="majorHAnsi" w:hAnsiTheme="majorHAnsi" w:cstheme="majorHAnsi"/>
          <w:lang w:eastAsia="zh-CN"/>
        </w:rPr>
        <w:t xml:space="preserve">Katsiki, N., Mikhailidis, D. P., Mantzoros, C. S. Non-alcoholic fatty liver disease and dyslipidemia: An update. </w:t>
      </w:r>
      <w:r>
        <w:rPr>
          <w:rFonts w:asciiTheme="majorHAnsi" w:hAnsiTheme="majorHAnsi" w:cstheme="majorHAnsi"/>
          <w:i/>
        </w:rPr>
        <w:t>Metabolism</w:t>
      </w:r>
      <w:r>
        <w:rPr>
          <w:rFonts w:eastAsia="宋体" w:asciiTheme="majorHAnsi" w:hAnsiTheme="majorHAnsi" w:cstheme="majorHAnsi"/>
          <w:lang w:eastAsia="zh-CN"/>
        </w:rPr>
        <w:t xml:space="preserve">. </w:t>
      </w:r>
      <w:r>
        <w:rPr>
          <w:rFonts w:asciiTheme="majorHAnsi" w:hAnsiTheme="majorHAnsi" w:cstheme="majorHAnsi"/>
          <w:b/>
        </w:rPr>
        <w:t>65</w:t>
      </w:r>
      <w:r>
        <w:rPr>
          <w:rFonts w:eastAsia="宋体" w:asciiTheme="majorHAnsi" w:hAnsiTheme="majorHAnsi" w:cstheme="majorHAnsi"/>
          <w:lang w:eastAsia="zh-CN"/>
        </w:rPr>
        <w:t xml:space="preserve"> (8), 1109-1123 (2016).</w:t>
      </w:r>
    </w:p>
    <w:p>
      <w:pPr>
        <w:pStyle w:val="31"/>
        <w:rPr>
          <w:rFonts w:eastAsia="宋体" w:asciiTheme="majorHAnsi" w:hAnsiTheme="majorHAnsi" w:cstheme="majorHAnsi"/>
          <w:lang w:eastAsia="zh-CN"/>
        </w:rPr>
      </w:pPr>
      <w:r>
        <w:rPr>
          <w:rFonts w:eastAsia="宋体" w:asciiTheme="majorHAnsi" w:hAnsiTheme="majorHAnsi" w:cstheme="majorHAnsi"/>
          <w:lang w:eastAsia="zh-CN"/>
        </w:rPr>
        <w:t>5.</w:t>
      </w:r>
      <w:r>
        <w:rPr>
          <w:rFonts w:eastAsia="宋体" w:asciiTheme="majorHAnsi" w:hAnsiTheme="majorHAnsi" w:cstheme="majorHAnsi"/>
          <w:lang w:eastAsia="zh-CN"/>
        </w:rPr>
        <w:tab/>
      </w:r>
      <w:r>
        <w:rPr>
          <w:rFonts w:eastAsia="宋体" w:asciiTheme="majorHAnsi" w:hAnsiTheme="majorHAnsi" w:cstheme="majorHAnsi"/>
          <w:lang w:eastAsia="zh-CN"/>
        </w:rPr>
        <w:t xml:space="preserve">European Association for the Study of the Liver (EASL); European Association for the Study of Diabetes (EASD); European Association for the Study of Obesity (EASO). EASL-EASD-EASO Clinical Practice Guidelines for the Management of Non-Alcoholic Fatty Liver Disease. </w:t>
      </w:r>
      <w:r>
        <w:rPr>
          <w:rFonts w:eastAsia="宋体" w:asciiTheme="majorHAnsi" w:hAnsiTheme="majorHAnsi" w:cstheme="majorHAnsi"/>
          <w:i/>
          <w:iCs/>
          <w:lang w:eastAsia="zh-CN"/>
        </w:rPr>
        <w:t>Obes</w:t>
      </w:r>
      <w:r>
        <w:rPr>
          <w:rFonts w:asciiTheme="majorHAnsi" w:hAnsiTheme="majorHAnsi" w:cstheme="majorHAnsi"/>
          <w:i/>
        </w:rPr>
        <w:t xml:space="preserve"> Facts</w:t>
      </w:r>
      <w:r>
        <w:rPr>
          <w:rFonts w:eastAsia="宋体" w:asciiTheme="majorHAnsi" w:hAnsiTheme="majorHAnsi" w:cstheme="majorHAnsi"/>
          <w:lang w:eastAsia="zh-CN"/>
        </w:rPr>
        <w:t>.</w:t>
      </w:r>
      <w:r>
        <w:rPr>
          <w:rFonts w:asciiTheme="majorHAnsi" w:hAnsiTheme="majorHAnsi" w:cstheme="majorHAnsi"/>
          <w:b/>
        </w:rPr>
        <w:t xml:space="preserve"> 9 </w:t>
      </w:r>
      <w:r>
        <w:rPr>
          <w:rFonts w:eastAsia="宋体" w:asciiTheme="majorHAnsi" w:hAnsiTheme="majorHAnsi" w:cstheme="majorHAnsi"/>
          <w:lang w:eastAsia="zh-CN"/>
        </w:rPr>
        <w:t>(2), 65-90 (2016).</w:t>
      </w:r>
    </w:p>
    <w:p>
      <w:pPr>
        <w:pStyle w:val="31"/>
        <w:rPr>
          <w:rFonts w:eastAsia="宋体" w:asciiTheme="majorHAnsi" w:hAnsiTheme="majorHAnsi" w:cstheme="majorHAnsi"/>
          <w:lang w:eastAsia="zh-CN"/>
        </w:rPr>
      </w:pPr>
      <w:r>
        <w:rPr>
          <w:rFonts w:eastAsia="宋体" w:asciiTheme="majorHAnsi" w:hAnsiTheme="majorHAnsi" w:cstheme="majorHAnsi"/>
          <w:lang w:eastAsia="zh-CN"/>
        </w:rPr>
        <w:t>6.</w:t>
      </w:r>
      <w:r>
        <w:rPr>
          <w:rFonts w:eastAsia="宋体" w:asciiTheme="majorHAnsi" w:hAnsiTheme="majorHAnsi" w:cstheme="majorHAnsi"/>
          <w:lang w:eastAsia="zh-CN"/>
        </w:rPr>
        <w:tab/>
      </w:r>
      <w:r>
        <w:rPr>
          <w:rFonts w:eastAsia="宋体" w:asciiTheme="majorHAnsi" w:hAnsiTheme="majorHAnsi" w:cstheme="majorHAnsi"/>
          <w:lang w:eastAsia="zh-CN"/>
        </w:rPr>
        <w:t xml:space="preserve">Chalasani, N. et al. The diagnosis and management of nonalcoholic fatty liver disease: Practice guidance from the American Association for the Study of Liver Diseases. </w:t>
      </w:r>
      <w:r>
        <w:rPr>
          <w:rFonts w:asciiTheme="majorHAnsi" w:hAnsiTheme="majorHAnsi" w:cstheme="majorHAnsi"/>
          <w:i/>
        </w:rPr>
        <w:t>Hepatology</w:t>
      </w:r>
      <w:r>
        <w:rPr>
          <w:rFonts w:eastAsia="宋体" w:asciiTheme="majorHAnsi" w:hAnsiTheme="majorHAnsi" w:cstheme="majorHAnsi"/>
          <w:lang w:eastAsia="zh-CN"/>
        </w:rPr>
        <w:t xml:space="preserve">. </w:t>
      </w:r>
      <w:r>
        <w:rPr>
          <w:rFonts w:asciiTheme="majorHAnsi" w:hAnsiTheme="majorHAnsi" w:cstheme="majorHAnsi"/>
          <w:b/>
        </w:rPr>
        <w:t>67</w:t>
      </w:r>
      <w:r>
        <w:rPr>
          <w:rFonts w:eastAsia="宋体" w:asciiTheme="majorHAnsi" w:hAnsiTheme="majorHAnsi" w:cstheme="majorHAnsi"/>
          <w:lang w:eastAsia="zh-CN"/>
        </w:rPr>
        <w:t xml:space="preserve"> (1), 328-357 (2018).</w:t>
      </w:r>
    </w:p>
    <w:p>
      <w:pPr>
        <w:pStyle w:val="31"/>
        <w:rPr>
          <w:rFonts w:eastAsia="宋体" w:asciiTheme="majorHAnsi" w:hAnsiTheme="majorHAnsi" w:cstheme="majorHAnsi"/>
          <w:lang w:eastAsia="zh-CN"/>
        </w:rPr>
      </w:pPr>
      <w:r>
        <w:rPr>
          <w:rFonts w:eastAsia="宋体" w:asciiTheme="majorHAnsi" w:hAnsiTheme="majorHAnsi" w:cstheme="majorHAnsi"/>
          <w:lang w:eastAsia="zh-CN"/>
        </w:rPr>
        <w:t>7.</w:t>
      </w:r>
      <w:r>
        <w:rPr>
          <w:rFonts w:eastAsia="宋体" w:asciiTheme="majorHAnsi" w:hAnsiTheme="majorHAnsi" w:cstheme="majorHAnsi"/>
          <w:lang w:eastAsia="zh-CN"/>
        </w:rPr>
        <w:tab/>
      </w:r>
      <w:r>
        <w:rPr>
          <w:rFonts w:eastAsia="宋体" w:asciiTheme="majorHAnsi" w:hAnsiTheme="majorHAnsi" w:cstheme="majorHAnsi"/>
          <w:lang w:eastAsia="zh-CN"/>
        </w:rPr>
        <w:t>Díaz, L. A., Arab, J. P., Louvet, A., Bataller, R., Arrese, M. The intersection between alcohol-related liver disease and nonalcoholic fatty liver disease.</w:t>
      </w:r>
      <w:r>
        <w:rPr>
          <w:rFonts w:asciiTheme="majorHAnsi" w:hAnsiTheme="majorHAnsi" w:cstheme="majorHAnsi"/>
          <w:i/>
        </w:rPr>
        <w:t xml:space="preserve"> </w:t>
      </w:r>
      <w:r>
        <w:rPr>
          <w:rFonts w:eastAsia="宋体" w:asciiTheme="majorHAnsi" w:hAnsiTheme="majorHAnsi" w:cstheme="majorHAnsi"/>
          <w:i/>
          <w:iCs/>
          <w:lang w:eastAsia="zh-CN"/>
        </w:rPr>
        <w:t>Nat Rev Gastroenterol Hepatol</w:t>
      </w:r>
      <w:r>
        <w:rPr>
          <w:rFonts w:eastAsia="宋体" w:asciiTheme="majorHAnsi" w:hAnsiTheme="majorHAnsi" w:cstheme="majorHAnsi"/>
          <w:lang w:eastAsia="zh-CN"/>
        </w:rPr>
        <w:t xml:space="preserve">. </w:t>
      </w:r>
      <w:r>
        <w:rPr>
          <w:rFonts w:asciiTheme="majorHAnsi" w:hAnsiTheme="majorHAnsi" w:cstheme="majorHAnsi"/>
          <w:b/>
        </w:rPr>
        <w:t>20</w:t>
      </w:r>
      <w:r>
        <w:rPr>
          <w:rFonts w:eastAsia="宋体" w:asciiTheme="majorHAnsi" w:hAnsiTheme="majorHAnsi" w:cstheme="majorHAnsi"/>
          <w:lang w:eastAsia="zh-CN"/>
        </w:rPr>
        <w:t xml:space="preserve"> (12), 764-783 (2023).</w:t>
      </w:r>
    </w:p>
    <w:p>
      <w:pPr>
        <w:pStyle w:val="31"/>
        <w:rPr>
          <w:rFonts w:eastAsia="宋体" w:asciiTheme="majorHAnsi" w:hAnsiTheme="majorHAnsi" w:cstheme="majorHAnsi"/>
          <w:lang w:eastAsia="zh-CN"/>
        </w:rPr>
      </w:pPr>
      <w:r>
        <w:rPr>
          <w:rFonts w:eastAsia="宋体" w:asciiTheme="majorHAnsi" w:hAnsiTheme="majorHAnsi" w:cstheme="majorHAnsi"/>
          <w:lang w:eastAsia="zh-CN"/>
        </w:rPr>
        <w:t>8.</w:t>
      </w:r>
      <w:r>
        <w:rPr>
          <w:rFonts w:eastAsia="宋体" w:asciiTheme="majorHAnsi" w:hAnsiTheme="majorHAnsi" w:cstheme="majorHAnsi"/>
          <w:lang w:eastAsia="zh-CN"/>
        </w:rPr>
        <w:tab/>
      </w:r>
      <w:r>
        <w:rPr>
          <w:rFonts w:eastAsia="宋体" w:asciiTheme="majorHAnsi" w:hAnsiTheme="majorHAnsi" w:cstheme="majorHAnsi"/>
          <w:lang w:eastAsia="zh-CN"/>
        </w:rPr>
        <w:t xml:space="preserve">Cotter, T. G., Rinella, M. Nonalcoholic fatty liver disease 2020: The state of the disease. </w:t>
      </w:r>
      <w:r>
        <w:rPr>
          <w:rFonts w:asciiTheme="majorHAnsi" w:hAnsiTheme="majorHAnsi" w:cstheme="majorHAnsi"/>
          <w:i/>
        </w:rPr>
        <w:t>Gastroenterology</w:t>
      </w:r>
      <w:r>
        <w:rPr>
          <w:rFonts w:eastAsia="宋体" w:asciiTheme="majorHAnsi" w:hAnsiTheme="majorHAnsi" w:cstheme="majorHAnsi"/>
          <w:lang w:eastAsia="zh-CN"/>
        </w:rPr>
        <w:t xml:space="preserve">. </w:t>
      </w:r>
      <w:r>
        <w:rPr>
          <w:rFonts w:asciiTheme="majorHAnsi" w:hAnsiTheme="majorHAnsi" w:cstheme="majorHAnsi"/>
          <w:b/>
        </w:rPr>
        <w:t>158</w:t>
      </w:r>
      <w:r>
        <w:rPr>
          <w:rFonts w:eastAsia="宋体" w:asciiTheme="majorHAnsi" w:hAnsiTheme="majorHAnsi" w:cstheme="majorHAnsi"/>
          <w:lang w:eastAsia="zh-CN"/>
        </w:rPr>
        <w:t xml:space="preserve"> (7), 1851-1864 (2020).</w:t>
      </w:r>
    </w:p>
    <w:p>
      <w:pPr>
        <w:pStyle w:val="31"/>
        <w:rPr>
          <w:rFonts w:eastAsia="宋体" w:asciiTheme="majorHAnsi" w:hAnsiTheme="majorHAnsi" w:cstheme="majorHAnsi"/>
          <w:lang w:eastAsia="zh-CN"/>
        </w:rPr>
      </w:pPr>
      <w:r>
        <w:rPr>
          <w:rFonts w:eastAsia="宋体" w:asciiTheme="majorHAnsi" w:hAnsiTheme="majorHAnsi" w:cstheme="majorHAnsi"/>
          <w:lang w:eastAsia="zh-CN"/>
        </w:rPr>
        <w:t>9.</w:t>
      </w:r>
      <w:r>
        <w:rPr>
          <w:rFonts w:eastAsia="宋体" w:asciiTheme="majorHAnsi" w:hAnsiTheme="majorHAnsi" w:cstheme="majorHAnsi"/>
          <w:lang w:eastAsia="zh-CN"/>
        </w:rPr>
        <w:tab/>
      </w:r>
      <w:r>
        <w:rPr>
          <w:rFonts w:eastAsia="宋体" w:asciiTheme="majorHAnsi" w:hAnsiTheme="majorHAnsi" w:cstheme="majorHAnsi"/>
          <w:lang w:eastAsia="zh-CN"/>
        </w:rPr>
        <w:t xml:space="preserve">Lonardo, A. et al. Metabolic mechanisms for and treatment of NAFLD or NASH occurring after liver transplantation. </w:t>
      </w:r>
      <w:r>
        <w:rPr>
          <w:rFonts w:eastAsia="宋体" w:asciiTheme="majorHAnsi" w:hAnsiTheme="majorHAnsi" w:cstheme="majorHAnsi"/>
          <w:i/>
          <w:iCs/>
          <w:lang w:eastAsia="zh-CN"/>
        </w:rPr>
        <w:t>Nat Rev Endocrinol</w:t>
      </w:r>
      <w:r>
        <w:rPr>
          <w:rFonts w:eastAsia="宋体" w:asciiTheme="majorHAnsi" w:hAnsiTheme="majorHAnsi" w:cstheme="majorHAnsi"/>
          <w:lang w:eastAsia="zh-CN"/>
        </w:rPr>
        <w:t xml:space="preserve">. </w:t>
      </w:r>
      <w:r>
        <w:rPr>
          <w:rFonts w:asciiTheme="majorHAnsi" w:hAnsiTheme="majorHAnsi" w:cstheme="majorHAnsi"/>
          <w:b/>
        </w:rPr>
        <w:t>18</w:t>
      </w:r>
      <w:r>
        <w:rPr>
          <w:rFonts w:eastAsia="宋体" w:asciiTheme="majorHAnsi" w:hAnsiTheme="majorHAnsi" w:cstheme="majorHAnsi"/>
          <w:lang w:eastAsia="zh-CN"/>
        </w:rPr>
        <w:t xml:space="preserve"> (10), 638-650 (2022).</w:t>
      </w:r>
    </w:p>
    <w:p>
      <w:pPr>
        <w:pStyle w:val="31"/>
        <w:rPr>
          <w:rFonts w:eastAsia="宋体" w:asciiTheme="majorHAnsi" w:hAnsiTheme="majorHAnsi" w:cstheme="majorHAnsi"/>
          <w:lang w:eastAsia="zh-CN"/>
        </w:rPr>
      </w:pPr>
      <w:r>
        <w:rPr>
          <w:rFonts w:eastAsia="宋体" w:asciiTheme="majorHAnsi" w:hAnsiTheme="majorHAnsi" w:cstheme="majorHAnsi"/>
          <w:lang w:eastAsia="zh-CN"/>
        </w:rPr>
        <w:t>10.</w:t>
      </w:r>
      <w:r>
        <w:rPr>
          <w:rFonts w:eastAsia="宋体" w:asciiTheme="majorHAnsi" w:hAnsiTheme="majorHAnsi" w:cstheme="majorHAnsi"/>
          <w:lang w:eastAsia="zh-CN"/>
        </w:rPr>
        <w:tab/>
      </w:r>
      <w:r>
        <w:rPr>
          <w:rFonts w:eastAsia="宋体" w:asciiTheme="majorHAnsi" w:hAnsiTheme="majorHAnsi" w:cstheme="majorHAnsi"/>
          <w:lang w:eastAsia="zh-CN"/>
        </w:rPr>
        <w:t xml:space="preserve">Papatheodoridi, M., Cholongitas, E. Diagnosis of non-alcoholic fatty liver disease (NAFLD): Current concepts. </w:t>
      </w:r>
      <w:r>
        <w:rPr>
          <w:rFonts w:eastAsia="宋体" w:asciiTheme="majorHAnsi" w:hAnsiTheme="majorHAnsi" w:cstheme="majorHAnsi"/>
          <w:i/>
          <w:iCs/>
          <w:lang w:eastAsia="zh-CN"/>
        </w:rPr>
        <w:t>Curr Pharm Des</w:t>
      </w:r>
      <w:r>
        <w:rPr>
          <w:rFonts w:eastAsia="宋体" w:asciiTheme="majorHAnsi" w:hAnsiTheme="majorHAnsi" w:cstheme="majorHAnsi"/>
          <w:lang w:eastAsia="zh-CN"/>
        </w:rPr>
        <w:t xml:space="preserve">. </w:t>
      </w:r>
      <w:r>
        <w:rPr>
          <w:rFonts w:asciiTheme="majorHAnsi" w:hAnsiTheme="majorHAnsi" w:cstheme="majorHAnsi"/>
          <w:b/>
        </w:rPr>
        <w:t>24</w:t>
      </w:r>
      <w:r>
        <w:rPr>
          <w:rFonts w:eastAsia="宋体" w:asciiTheme="majorHAnsi" w:hAnsiTheme="majorHAnsi" w:cstheme="majorHAnsi"/>
          <w:lang w:eastAsia="zh-CN"/>
        </w:rPr>
        <w:t xml:space="preserve"> (38), 4574-4586 (2018).</w:t>
      </w:r>
    </w:p>
    <w:p>
      <w:pPr>
        <w:pStyle w:val="31"/>
        <w:rPr>
          <w:rFonts w:eastAsia="宋体" w:asciiTheme="majorHAnsi" w:hAnsiTheme="majorHAnsi" w:cstheme="majorHAnsi"/>
          <w:lang w:eastAsia="zh-CN"/>
        </w:rPr>
      </w:pPr>
      <w:r>
        <w:rPr>
          <w:rFonts w:eastAsia="宋体" w:asciiTheme="majorHAnsi" w:hAnsiTheme="majorHAnsi" w:cstheme="majorHAnsi"/>
          <w:lang w:eastAsia="zh-CN"/>
        </w:rPr>
        <w:t>11.</w:t>
      </w:r>
      <w:r>
        <w:rPr>
          <w:rFonts w:eastAsia="宋体" w:asciiTheme="majorHAnsi" w:hAnsiTheme="majorHAnsi" w:cstheme="majorHAnsi"/>
          <w:lang w:eastAsia="zh-CN"/>
        </w:rPr>
        <w:tab/>
      </w:r>
      <w:r>
        <w:rPr>
          <w:rFonts w:eastAsia="宋体" w:asciiTheme="majorHAnsi" w:hAnsiTheme="majorHAnsi" w:cstheme="majorHAnsi"/>
          <w:lang w:eastAsia="zh-CN"/>
        </w:rPr>
        <w:t xml:space="preserve">Van Herck, M. A., Vonghia, L., Francque, S. M. Animal models of nonalcoholic fatty liver disease-a starter's guide. </w:t>
      </w:r>
      <w:r>
        <w:rPr>
          <w:rFonts w:asciiTheme="majorHAnsi" w:hAnsiTheme="majorHAnsi" w:cstheme="majorHAnsi"/>
          <w:i/>
        </w:rPr>
        <w:t>Nutrients</w:t>
      </w:r>
      <w:r>
        <w:rPr>
          <w:rFonts w:eastAsia="宋体" w:asciiTheme="majorHAnsi" w:hAnsiTheme="majorHAnsi" w:cstheme="majorHAnsi"/>
          <w:lang w:eastAsia="zh-CN"/>
        </w:rPr>
        <w:t xml:space="preserve">. </w:t>
      </w:r>
      <w:r>
        <w:rPr>
          <w:rFonts w:asciiTheme="majorHAnsi" w:hAnsiTheme="majorHAnsi" w:cstheme="majorHAnsi"/>
          <w:b/>
        </w:rPr>
        <w:t>9</w:t>
      </w:r>
      <w:r>
        <w:rPr>
          <w:rFonts w:eastAsia="宋体" w:asciiTheme="majorHAnsi" w:hAnsiTheme="majorHAnsi" w:cstheme="majorHAnsi"/>
          <w:lang w:eastAsia="zh-CN"/>
        </w:rPr>
        <w:t xml:space="preserve"> (10), 1072 (2017).</w:t>
      </w:r>
    </w:p>
    <w:p>
      <w:pPr>
        <w:pStyle w:val="31"/>
        <w:rPr>
          <w:rFonts w:eastAsia="宋体" w:asciiTheme="majorHAnsi" w:hAnsiTheme="majorHAnsi" w:cstheme="majorHAnsi"/>
          <w:lang w:eastAsia="zh-CN"/>
        </w:rPr>
      </w:pPr>
      <w:r>
        <w:rPr>
          <w:rFonts w:eastAsia="宋体" w:asciiTheme="majorHAnsi" w:hAnsiTheme="majorHAnsi" w:cstheme="majorHAnsi"/>
          <w:lang w:eastAsia="zh-CN"/>
        </w:rPr>
        <w:t>12.</w:t>
      </w:r>
      <w:r>
        <w:rPr>
          <w:rFonts w:eastAsia="宋体" w:asciiTheme="majorHAnsi" w:hAnsiTheme="majorHAnsi" w:cstheme="majorHAnsi"/>
          <w:lang w:eastAsia="zh-CN"/>
        </w:rPr>
        <w:tab/>
      </w:r>
      <w:r>
        <w:rPr>
          <w:rFonts w:eastAsia="宋体" w:asciiTheme="majorHAnsi" w:hAnsiTheme="majorHAnsi" w:cstheme="majorHAnsi"/>
          <w:lang w:eastAsia="zh-CN"/>
        </w:rPr>
        <w:t xml:space="preserve">Wieckowska, A., Feldstein, A. E. Diagnosis of nonalcoholic fatty liver disease: invasive versus noninvasive. </w:t>
      </w:r>
      <w:r>
        <w:rPr>
          <w:rFonts w:eastAsia="宋体" w:asciiTheme="majorHAnsi" w:hAnsiTheme="majorHAnsi" w:cstheme="majorHAnsi"/>
          <w:i/>
          <w:iCs/>
          <w:lang w:eastAsia="zh-CN"/>
        </w:rPr>
        <w:t>Semin</w:t>
      </w:r>
      <w:r>
        <w:rPr>
          <w:rFonts w:asciiTheme="majorHAnsi" w:hAnsiTheme="majorHAnsi" w:cstheme="majorHAnsi"/>
          <w:i/>
        </w:rPr>
        <w:t xml:space="preserve"> Liver </w:t>
      </w:r>
      <w:r>
        <w:rPr>
          <w:rFonts w:eastAsia="宋体" w:asciiTheme="majorHAnsi" w:hAnsiTheme="majorHAnsi" w:cstheme="majorHAnsi"/>
          <w:i/>
          <w:iCs/>
          <w:lang w:eastAsia="zh-CN"/>
        </w:rPr>
        <w:t>Dis</w:t>
      </w:r>
      <w:r>
        <w:rPr>
          <w:rFonts w:eastAsia="宋体" w:asciiTheme="majorHAnsi" w:hAnsiTheme="majorHAnsi" w:cstheme="majorHAnsi"/>
          <w:lang w:eastAsia="zh-CN"/>
        </w:rPr>
        <w:t xml:space="preserve">. </w:t>
      </w:r>
      <w:r>
        <w:rPr>
          <w:rFonts w:asciiTheme="majorHAnsi" w:hAnsiTheme="majorHAnsi" w:cstheme="majorHAnsi"/>
          <w:b/>
        </w:rPr>
        <w:t>28</w:t>
      </w:r>
      <w:r>
        <w:rPr>
          <w:rFonts w:eastAsia="宋体" w:asciiTheme="majorHAnsi" w:hAnsiTheme="majorHAnsi" w:cstheme="majorHAnsi"/>
          <w:lang w:eastAsia="zh-CN"/>
        </w:rPr>
        <w:t xml:space="preserve"> (4), 386-395 (2008).</w:t>
      </w:r>
    </w:p>
    <w:p>
      <w:pPr>
        <w:pStyle w:val="31"/>
        <w:rPr>
          <w:rFonts w:eastAsia="宋体" w:asciiTheme="majorHAnsi" w:hAnsiTheme="majorHAnsi" w:cstheme="majorHAnsi"/>
          <w:lang w:eastAsia="zh-CN"/>
        </w:rPr>
      </w:pPr>
      <w:r>
        <w:rPr>
          <w:rFonts w:eastAsia="宋体" w:asciiTheme="majorHAnsi" w:hAnsiTheme="majorHAnsi" w:cstheme="majorHAnsi"/>
          <w:lang w:eastAsia="zh-CN"/>
        </w:rPr>
        <w:t>13.</w:t>
      </w:r>
      <w:r>
        <w:rPr>
          <w:rFonts w:eastAsia="宋体" w:asciiTheme="majorHAnsi" w:hAnsiTheme="majorHAnsi" w:cstheme="majorHAnsi"/>
          <w:lang w:eastAsia="zh-CN"/>
        </w:rPr>
        <w:tab/>
      </w:r>
      <w:r>
        <w:rPr>
          <w:rFonts w:eastAsia="宋体" w:asciiTheme="majorHAnsi" w:hAnsiTheme="majorHAnsi" w:cstheme="majorHAnsi"/>
          <w:lang w:eastAsia="zh-CN"/>
        </w:rPr>
        <w:t xml:space="preserve">Stein, L. L., Dong, M. H., Loomba, R. Insulin sensitizers in nonalcoholic fatty liver disease and steatohepatitis: Current status. </w:t>
      </w:r>
      <w:r>
        <w:rPr>
          <w:rFonts w:eastAsia="宋体" w:asciiTheme="majorHAnsi" w:hAnsiTheme="majorHAnsi" w:cstheme="majorHAnsi"/>
          <w:i/>
          <w:iCs/>
          <w:lang w:eastAsia="zh-CN"/>
        </w:rPr>
        <w:t>Adv Ther</w:t>
      </w:r>
      <w:r>
        <w:rPr>
          <w:rFonts w:eastAsia="宋体" w:asciiTheme="majorHAnsi" w:hAnsiTheme="majorHAnsi" w:cstheme="majorHAnsi"/>
          <w:lang w:eastAsia="zh-CN"/>
        </w:rPr>
        <w:t xml:space="preserve">. </w:t>
      </w:r>
      <w:r>
        <w:rPr>
          <w:rFonts w:asciiTheme="majorHAnsi" w:hAnsiTheme="majorHAnsi" w:cstheme="majorHAnsi"/>
          <w:b/>
        </w:rPr>
        <w:t>26</w:t>
      </w:r>
      <w:r>
        <w:rPr>
          <w:rFonts w:eastAsia="宋体" w:asciiTheme="majorHAnsi" w:hAnsiTheme="majorHAnsi" w:cstheme="majorHAnsi"/>
          <w:lang w:eastAsia="zh-CN"/>
        </w:rPr>
        <w:t xml:space="preserve"> (10), 893-907 (2009).</w:t>
      </w:r>
    </w:p>
    <w:p>
      <w:pPr>
        <w:pStyle w:val="31"/>
        <w:rPr>
          <w:rFonts w:eastAsia="宋体" w:asciiTheme="majorHAnsi" w:hAnsiTheme="majorHAnsi" w:cstheme="majorHAnsi"/>
          <w:lang w:eastAsia="zh-CN"/>
        </w:rPr>
      </w:pPr>
      <w:r>
        <w:rPr>
          <w:rFonts w:eastAsia="宋体" w:asciiTheme="majorHAnsi" w:hAnsiTheme="majorHAnsi" w:cstheme="majorHAnsi"/>
          <w:lang w:eastAsia="zh-CN"/>
        </w:rPr>
        <w:t>14.</w:t>
      </w:r>
      <w:r>
        <w:rPr>
          <w:rFonts w:eastAsia="宋体" w:asciiTheme="majorHAnsi" w:hAnsiTheme="majorHAnsi" w:cstheme="majorHAnsi"/>
          <w:lang w:eastAsia="zh-CN"/>
        </w:rPr>
        <w:tab/>
      </w:r>
      <w:r>
        <w:rPr>
          <w:rFonts w:eastAsia="宋体" w:asciiTheme="majorHAnsi" w:hAnsiTheme="majorHAnsi" w:cstheme="majorHAnsi"/>
          <w:lang w:eastAsia="zh-CN"/>
        </w:rPr>
        <w:t xml:space="preserve">Milić, S., Lulić, D., Štimac, D. Non-alcoholic fatty liver disease and obesity: biochemical, metabolic and clinical presentations. </w:t>
      </w:r>
      <w:r>
        <w:rPr>
          <w:rFonts w:asciiTheme="majorHAnsi" w:hAnsiTheme="majorHAnsi" w:cstheme="majorHAnsi"/>
          <w:i/>
        </w:rPr>
        <w:t xml:space="preserve">World </w:t>
      </w:r>
      <w:r>
        <w:rPr>
          <w:rFonts w:eastAsia="宋体" w:asciiTheme="majorHAnsi" w:hAnsiTheme="majorHAnsi" w:cstheme="majorHAnsi"/>
          <w:i/>
          <w:iCs/>
          <w:lang w:eastAsia="zh-CN"/>
        </w:rPr>
        <w:t>J Gastroenterol</w:t>
      </w:r>
      <w:r>
        <w:rPr>
          <w:rFonts w:eastAsia="宋体" w:asciiTheme="majorHAnsi" w:hAnsiTheme="majorHAnsi" w:cstheme="majorHAnsi"/>
          <w:lang w:eastAsia="zh-CN"/>
        </w:rPr>
        <w:t xml:space="preserve">. </w:t>
      </w:r>
      <w:r>
        <w:rPr>
          <w:rFonts w:asciiTheme="majorHAnsi" w:hAnsiTheme="majorHAnsi" w:cstheme="majorHAnsi"/>
          <w:b/>
        </w:rPr>
        <w:t>20</w:t>
      </w:r>
      <w:r>
        <w:rPr>
          <w:rFonts w:eastAsia="宋体" w:asciiTheme="majorHAnsi" w:hAnsiTheme="majorHAnsi" w:cstheme="majorHAnsi"/>
          <w:lang w:eastAsia="zh-CN"/>
        </w:rPr>
        <w:t xml:space="preserve"> (28), 9330-9337 (2014).</w:t>
      </w:r>
    </w:p>
    <w:p>
      <w:pPr>
        <w:pStyle w:val="31"/>
        <w:rPr>
          <w:rFonts w:eastAsia="宋体" w:asciiTheme="majorHAnsi" w:hAnsiTheme="majorHAnsi" w:cstheme="majorHAnsi"/>
          <w:lang w:eastAsia="zh-CN"/>
        </w:rPr>
      </w:pPr>
      <w:r>
        <w:rPr>
          <w:rFonts w:eastAsia="宋体" w:asciiTheme="majorHAnsi" w:hAnsiTheme="majorHAnsi" w:cstheme="majorHAnsi"/>
          <w:lang w:eastAsia="zh-CN"/>
        </w:rPr>
        <w:t>15.</w:t>
      </w:r>
      <w:r>
        <w:rPr>
          <w:rFonts w:eastAsia="宋体" w:asciiTheme="majorHAnsi" w:hAnsiTheme="majorHAnsi" w:cstheme="majorHAnsi"/>
          <w:lang w:eastAsia="zh-CN"/>
        </w:rPr>
        <w:tab/>
      </w:r>
      <w:r>
        <w:rPr>
          <w:rFonts w:eastAsia="宋体" w:asciiTheme="majorHAnsi" w:hAnsiTheme="majorHAnsi" w:cstheme="majorHAnsi"/>
          <w:lang w:eastAsia="zh-CN"/>
        </w:rPr>
        <w:t xml:space="preserve">Neuschwander-Tetri, B. A., Caldwell, S. H. Nonalcoholic steatohepatitis: summary of an AASLD Single Topic Conference. </w:t>
      </w:r>
      <w:r>
        <w:rPr>
          <w:rFonts w:asciiTheme="majorHAnsi" w:hAnsiTheme="majorHAnsi" w:cstheme="majorHAnsi"/>
          <w:i/>
        </w:rPr>
        <w:t>Hepatology</w:t>
      </w:r>
      <w:r>
        <w:rPr>
          <w:rFonts w:eastAsia="宋体" w:asciiTheme="majorHAnsi" w:hAnsiTheme="majorHAnsi" w:cstheme="majorHAnsi"/>
          <w:lang w:eastAsia="zh-CN"/>
        </w:rPr>
        <w:t xml:space="preserve">. </w:t>
      </w:r>
      <w:r>
        <w:rPr>
          <w:rFonts w:asciiTheme="majorHAnsi" w:hAnsiTheme="majorHAnsi" w:cstheme="majorHAnsi"/>
          <w:b/>
        </w:rPr>
        <w:t>37</w:t>
      </w:r>
      <w:r>
        <w:rPr>
          <w:rFonts w:eastAsia="宋体" w:asciiTheme="majorHAnsi" w:hAnsiTheme="majorHAnsi" w:cstheme="majorHAnsi"/>
          <w:lang w:eastAsia="zh-CN"/>
        </w:rPr>
        <w:t xml:space="preserve"> (5), 1202-1219 (2003).</w:t>
      </w:r>
    </w:p>
    <w:p>
      <w:pPr>
        <w:pStyle w:val="31"/>
        <w:rPr>
          <w:rFonts w:eastAsia="宋体" w:asciiTheme="majorHAnsi" w:hAnsiTheme="majorHAnsi" w:cstheme="majorHAnsi"/>
          <w:lang w:eastAsia="zh-CN"/>
        </w:rPr>
      </w:pPr>
      <w:r>
        <w:rPr>
          <w:rFonts w:eastAsia="宋体" w:asciiTheme="majorHAnsi" w:hAnsiTheme="majorHAnsi" w:cstheme="majorHAnsi"/>
          <w:lang w:eastAsia="zh-CN"/>
        </w:rPr>
        <w:t>16.</w:t>
      </w:r>
      <w:r>
        <w:rPr>
          <w:rFonts w:eastAsia="宋体" w:asciiTheme="majorHAnsi" w:hAnsiTheme="majorHAnsi" w:cstheme="majorHAnsi"/>
          <w:lang w:eastAsia="zh-CN"/>
        </w:rPr>
        <w:tab/>
      </w:r>
      <w:r>
        <w:rPr>
          <w:rFonts w:eastAsia="宋体" w:asciiTheme="majorHAnsi" w:hAnsiTheme="majorHAnsi" w:cstheme="majorHAnsi"/>
          <w:lang w:eastAsia="zh-CN"/>
        </w:rPr>
        <w:t>Du, J., Zhao, L., Kang, Q., He, Y., Bi, Y. An optimized method for Oil Red O staining with the salicylic acid ethanol solution.</w:t>
      </w:r>
      <w:r>
        <w:rPr>
          <w:rFonts w:asciiTheme="majorHAnsi" w:hAnsiTheme="majorHAnsi" w:cstheme="majorHAnsi"/>
          <w:i/>
        </w:rPr>
        <w:t xml:space="preserve"> Adipocyte</w:t>
      </w:r>
      <w:r>
        <w:rPr>
          <w:rFonts w:eastAsia="宋体" w:asciiTheme="majorHAnsi" w:hAnsiTheme="majorHAnsi" w:cstheme="majorHAnsi"/>
          <w:lang w:eastAsia="zh-CN"/>
        </w:rPr>
        <w:t xml:space="preserve">. </w:t>
      </w:r>
      <w:r>
        <w:rPr>
          <w:rFonts w:asciiTheme="majorHAnsi" w:hAnsiTheme="majorHAnsi" w:cstheme="majorHAnsi"/>
          <w:b/>
        </w:rPr>
        <w:t>12</w:t>
      </w:r>
      <w:r>
        <w:rPr>
          <w:rFonts w:eastAsia="宋体" w:asciiTheme="majorHAnsi" w:hAnsiTheme="majorHAnsi" w:cstheme="majorHAnsi"/>
          <w:lang w:eastAsia="zh-CN"/>
        </w:rPr>
        <w:t xml:space="preserve"> (1), 2179334 (2023).</w:t>
      </w:r>
    </w:p>
    <w:p>
      <w:pPr>
        <w:pStyle w:val="31"/>
        <w:rPr>
          <w:rFonts w:eastAsia="宋体" w:asciiTheme="majorHAnsi" w:hAnsiTheme="majorHAnsi" w:cstheme="majorHAnsi"/>
          <w:lang w:eastAsia="zh-CN"/>
        </w:rPr>
      </w:pPr>
      <w:r>
        <w:rPr>
          <w:rFonts w:eastAsia="宋体" w:asciiTheme="majorHAnsi" w:hAnsiTheme="majorHAnsi" w:cstheme="majorHAnsi"/>
          <w:lang w:eastAsia="zh-CN"/>
        </w:rPr>
        <w:t>17.</w:t>
      </w:r>
      <w:r>
        <w:rPr>
          <w:rFonts w:eastAsia="宋体" w:asciiTheme="majorHAnsi" w:hAnsiTheme="majorHAnsi" w:cstheme="majorHAnsi"/>
          <w:lang w:eastAsia="zh-CN"/>
        </w:rPr>
        <w:tab/>
      </w:r>
      <w:r>
        <w:rPr>
          <w:rFonts w:eastAsia="宋体" w:asciiTheme="majorHAnsi" w:hAnsiTheme="majorHAnsi" w:cstheme="majorHAnsi"/>
          <w:lang w:eastAsia="zh-CN"/>
        </w:rPr>
        <w:t xml:space="preserve">Mehlem, A., Hagberg, C. E., Muhl, L., Eriksson, U., Falkevall, A. Imaging of neutral lipids by Oil Red O for analyzing the metabolic status in health and disease. </w:t>
      </w:r>
      <w:r>
        <w:rPr>
          <w:rFonts w:eastAsia="宋体" w:asciiTheme="majorHAnsi" w:hAnsiTheme="majorHAnsi" w:cstheme="majorHAnsi"/>
          <w:i/>
          <w:iCs/>
          <w:lang w:eastAsia="zh-CN"/>
        </w:rPr>
        <w:t>Nat Protoc</w:t>
      </w:r>
      <w:r>
        <w:rPr>
          <w:rFonts w:eastAsia="宋体" w:asciiTheme="majorHAnsi" w:hAnsiTheme="majorHAnsi" w:cstheme="majorHAnsi"/>
          <w:lang w:eastAsia="zh-CN"/>
        </w:rPr>
        <w:t xml:space="preserve">. </w:t>
      </w:r>
      <w:r>
        <w:rPr>
          <w:rFonts w:asciiTheme="majorHAnsi" w:hAnsiTheme="majorHAnsi" w:cstheme="majorHAnsi"/>
          <w:b/>
        </w:rPr>
        <w:t>8</w:t>
      </w:r>
      <w:r>
        <w:rPr>
          <w:rFonts w:eastAsia="宋体" w:asciiTheme="majorHAnsi" w:hAnsiTheme="majorHAnsi" w:cstheme="majorHAnsi"/>
          <w:lang w:eastAsia="zh-CN"/>
        </w:rPr>
        <w:t xml:space="preserve"> (6), 1149-1154 (2013).</w:t>
      </w:r>
    </w:p>
    <w:p>
      <w:pPr>
        <w:pStyle w:val="31"/>
        <w:rPr>
          <w:rFonts w:eastAsia="宋体" w:asciiTheme="majorHAnsi" w:hAnsiTheme="majorHAnsi" w:cstheme="majorHAnsi"/>
          <w:lang w:eastAsia="zh-CN"/>
        </w:rPr>
      </w:pPr>
      <w:r>
        <w:rPr>
          <w:rFonts w:eastAsia="宋体" w:asciiTheme="majorHAnsi" w:hAnsiTheme="majorHAnsi" w:cstheme="majorHAnsi"/>
          <w:lang w:eastAsia="zh-CN"/>
        </w:rPr>
        <w:t>18.</w:t>
      </w:r>
      <w:r>
        <w:rPr>
          <w:rFonts w:eastAsia="宋体" w:asciiTheme="majorHAnsi" w:hAnsiTheme="majorHAnsi" w:cstheme="majorHAnsi"/>
          <w:lang w:eastAsia="zh-CN"/>
        </w:rPr>
        <w:tab/>
      </w:r>
      <w:r>
        <w:rPr>
          <w:rFonts w:eastAsia="宋体" w:asciiTheme="majorHAnsi" w:hAnsiTheme="majorHAnsi" w:cstheme="majorHAnsi"/>
          <w:lang w:eastAsia="zh-CN"/>
        </w:rPr>
        <w:t xml:space="preserve">Estes, C., Razavi, H., Loomba, R., Younossi, Z., Sanyal, A. J. Modeling the epidemic of nonalcoholic fatty liver disease demonstrates an exponential increase in burden of disease. </w:t>
      </w:r>
      <w:r>
        <w:rPr>
          <w:rFonts w:asciiTheme="majorHAnsi" w:hAnsiTheme="majorHAnsi" w:cstheme="majorHAnsi"/>
          <w:i/>
        </w:rPr>
        <w:t>Hepatology</w:t>
      </w:r>
      <w:r>
        <w:rPr>
          <w:rFonts w:eastAsia="宋体" w:asciiTheme="majorHAnsi" w:hAnsiTheme="majorHAnsi" w:cstheme="majorHAnsi"/>
          <w:lang w:eastAsia="zh-CN"/>
        </w:rPr>
        <w:t xml:space="preserve">. </w:t>
      </w:r>
      <w:r>
        <w:rPr>
          <w:rFonts w:asciiTheme="majorHAnsi" w:hAnsiTheme="majorHAnsi" w:cstheme="majorHAnsi"/>
          <w:b/>
        </w:rPr>
        <w:t>67</w:t>
      </w:r>
      <w:r>
        <w:rPr>
          <w:rFonts w:eastAsia="宋体" w:asciiTheme="majorHAnsi" w:hAnsiTheme="majorHAnsi" w:cstheme="majorHAnsi"/>
          <w:lang w:eastAsia="zh-CN"/>
        </w:rPr>
        <w:t xml:space="preserve"> (1), 123-133 (2018).</w:t>
      </w:r>
    </w:p>
    <w:p>
      <w:pPr>
        <w:pStyle w:val="31"/>
        <w:rPr>
          <w:rFonts w:eastAsia="宋体" w:asciiTheme="majorHAnsi" w:hAnsiTheme="majorHAnsi" w:cstheme="majorHAnsi"/>
          <w:lang w:eastAsia="zh-CN"/>
        </w:rPr>
      </w:pPr>
      <w:r>
        <w:rPr>
          <w:rFonts w:eastAsia="宋体" w:asciiTheme="majorHAnsi" w:hAnsiTheme="majorHAnsi" w:cstheme="majorHAnsi"/>
          <w:lang w:eastAsia="zh-CN"/>
        </w:rPr>
        <w:t>19.</w:t>
      </w:r>
      <w:r>
        <w:rPr>
          <w:rFonts w:eastAsia="宋体" w:asciiTheme="majorHAnsi" w:hAnsiTheme="majorHAnsi" w:cstheme="majorHAnsi"/>
          <w:lang w:eastAsia="zh-CN"/>
        </w:rPr>
        <w:tab/>
      </w:r>
      <w:r>
        <w:rPr>
          <w:rFonts w:eastAsia="宋体" w:asciiTheme="majorHAnsi" w:hAnsiTheme="majorHAnsi" w:cstheme="majorHAnsi"/>
          <w:lang w:eastAsia="zh-CN"/>
        </w:rPr>
        <w:t xml:space="preserve">Watkins, P. A., Ellis, J. M. Peroxisomal acyl-CoA synthetases. </w:t>
      </w:r>
      <w:r>
        <w:rPr>
          <w:rFonts w:eastAsia="宋体" w:asciiTheme="majorHAnsi" w:hAnsiTheme="majorHAnsi" w:cstheme="majorHAnsi"/>
          <w:i/>
          <w:iCs/>
          <w:lang w:eastAsia="zh-CN"/>
        </w:rPr>
        <w:t>Biochim Biophys</w:t>
      </w:r>
      <w:r>
        <w:rPr>
          <w:rFonts w:asciiTheme="majorHAnsi" w:hAnsiTheme="majorHAnsi" w:cstheme="majorHAnsi"/>
          <w:i/>
        </w:rPr>
        <w:t xml:space="preserve"> Acta</w:t>
      </w:r>
      <w:r>
        <w:rPr>
          <w:rFonts w:eastAsia="宋体" w:asciiTheme="majorHAnsi" w:hAnsiTheme="majorHAnsi" w:cstheme="majorHAnsi"/>
          <w:lang w:eastAsia="zh-CN"/>
        </w:rPr>
        <w:t xml:space="preserve">. </w:t>
      </w:r>
      <w:r>
        <w:rPr>
          <w:rFonts w:asciiTheme="majorHAnsi" w:hAnsiTheme="majorHAnsi" w:cstheme="majorHAnsi"/>
          <w:b/>
        </w:rPr>
        <w:t>1822</w:t>
      </w:r>
      <w:r>
        <w:rPr>
          <w:rFonts w:eastAsia="宋体" w:asciiTheme="majorHAnsi" w:hAnsiTheme="majorHAnsi" w:cstheme="majorHAnsi"/>
          <w:lang w:eastAsia="zh-CN"/>
        </w:rPr>
        <w:t xml:space="preserve"> (9), 1411-1420 (2012).</w:t>
      </w:r>
    </w:p>
    <w:p>
      <w:pPr>
        <w:pStyle w:val="31"/>
        <w:rPr>
          <w:rFonts w:eastAsia="宋体" w:asciiTheme="majorHAnsi" w:hAnsiTheme="majorHAnsi" w:cstheme="majorHAnsi"/>
          <w:lang w:eastAsia="zh-CN"/>
        </w:rPr>
      </w:pPr>
      <w:r>
        <w:rPr>
          <w:rFonts w:eastAsia="宋体" w:asciiTheme="majorHAnsi" w:hAnsiTheme="majorHAnsi" w:cstheme="majorHAnsi"/>
          <w:lang w:eastAsia="zh-CN"/>
        </w:rPr>
        <w:t>20.</w:t>
      </w:r>
      <w:r>
        <w:rPr>
          <w:rFonts w:eastAsia="宋体" w:asciiTheme="majorHAnsi" w:hAnsiTheme="majorHAnsi" w:cstheme="majorHAnsi"/>
          <w:lang w:eastAsia="zh-CN"/>
        </w:rPr>
        <w:tab/>
      </w:r>
      <w:r>
        <w:rPr>
          <w:rFonts w:eastAsia="宋体" w:asciiTheme="majorHAnsi" w:hAnsiTheme="majorHAnsi" w:cstheme="majorHAnsi"/>
          <w:lang w:eastAsia="zh-CN"/>
        </w:rPr>
        <w:t xml:space="preserve">Heeren, J., Scheja, L. Metabolic-associated fatty liver disease and lipoprotein metabolism. </w:t>
      </w:r>
      <w:r>
        <w:rPr>
          <w:rFonts w:eastAsia="宋体" w:asciiTheme="majorHAnsi" w:hAnsiTheme="majorHAnsi" w:cstheme="majorHAnsi"/>
          <w:i/>
          <w:iCs/>
          <w:lang w:eastAsia="zh-CN"/>
        </w:rPr>
        <w:t>Mol Metab</w:t>
      </w:r>
      <w:r>
        <w:rPr>
          <w:rFonts w:eastAsia="宋体" w:asciiTheme="majorHAnsi" w:hAnsiTheme="majorHAnsi" w:cstheme="majorHAnsi"/>
          <w:lang w:eastAsia="zh-CN"/>
        </w:rPr>
        <w:t xml:space="preserve">. </w:t>
      </w:r>
      <w:r>
        <w:rPr>
          <w:rFonts w:asciiTheme="majorHAnsi" w:hAnsiTheme="majorHAnsi" w:cstheme="majorHAnsi"/>
          <w:b/>
        </w:rPr>
        <w:t>50</w:t>
      </w:r>
      <w:r>
        <w:rPr>
          <w:rFonts w:eastAsia="宋体" w:asciiTheme="majorHAnsi" w:hAnsiTheme="majorHAnsi" w:cstheme="majorHAnsi"/>
          <w:lang w:eastAsia="zh-CN"/>
        </w:rPr>
        <w:t>, 101238, (2021).</w:t>
      </w:r>
    </w:p>
    <w:p>
      <w:pPr>
        <w:pStyle w:val="31"/>
        <w:rPr>
          <w:rFonts w:eastAsia="宋体" w:asciiTheme="majorHAnsi" w:hAnsiTheme="majorHAnsi" w:cstheme="majorHAnsi"/>
          <w:lang w:eastAsia="zh-CN"/>
        </w:rPr>
      </w:pPr>
      <w:r>
        <w:rPr>
          <w:rFonts w:eastAsia="宋体" w:asciiTheme="majorHAnsi" w:hAnsiTheme="majorHAnsi" w:cstheme="majorHAnsi"/>
          <w:lang w:eastAsia="zh-CN"/>
        </w:rPr>
        <w:t>21.</w:t>
      </w:r>
      <w:r>
        <w:rPr>
          <w:rFonts w:eastAsia="宋体" w:asciiTheme="majorHAnsi" w:hAnsiTheme="majorHAnsi" w:cstheme="majorHAnsi"/>
          <w:lang w:eastAsia="zh-CN"/>
        </w:rPr>
        <w:tab/>
      </w:r>
      <w:r>
        <w:rPr>
          <w:rFonts w:eastAsia="宋体" w:asciiTheme="majorHAnsi" w:hAnsiTheme="majorHAnsi" w:cstheme="majorHAnsi"/>
          <w:lang w:eastAsia="zh-CN"/>
        </w:rPr>
        <w:t xml:space="preserve">Kim, S. H. et al. Effect of isoquercitrin on free fatty acid-induced lipid accumulation in HepG2 cells. </w:t>
      </w:r>
      <w:r>
        <w:rPr>
          <w:rFonts w:asciiTheme="majorHAnsi" w:hAnsiTheme="majorHAnsi" w:cstheme="majorHAnsi"/>
          <w:i/>
        </w:rPr>
        <w:t>Molecules</w:t>
      </w:r>
      <w:r>
        <w:rPr>
          <w:rFonts w:eastAsia="宋体" w:asciiTheme="majorHAnsi" w:hAnsiTheme="majorHAnsi" w:cstheme="majorHAnsi"/>
          <w:lang w:eastAsia="zh-CN"/>
        </w:rPr>
        <w:t>.</w:t>
      </w:r>
      <w:r>
        <w:rPr>
          <w:rFonts w:asciiTheme="majorHAnsi" w:hAnsiTheme="majorHAnsi" w:cstheme="majorHAnsi"/>
          <w:b/>
        </w:rPr>
        <w:t xml:space="preserve"> 28</w:t>
      </w:r>
      <w:r>
        <w:rPr>
          <w:rFonts w:eastAsia="宋体" w:asciiTheme="majorHAnsi" w:hAnsiTheme="majorHAnsi" w:cstheme="majorHAnsi"/>
          <w:lang w:eastAsia="zh-CN"/>
        </w:rPr>
        <w:t xml:space="preserve"> (3), 1476 (2023).</w:t>
      </w:r>
    </w:p>
    <w:p>
      <w:pPr>
        <w:pStyle w:val="31"/>
        <w:rPr>
          <w:rFonts w:eastAsia="宋体" w:asciiTheme="majorHAnsi" w:hAnsiTheme="majorHAnsi" w:cstheme="majorHAnsi"/>
          <w:lang w:eastAsia="zh-CN"/>
        </w:rPr>
      </w:pPr>
      <w:r>
        <w:rPr>
          <w:rFonts w:eastAsia="宋体" w:asciiTheme="majorHAnsi" w:hAnsiTheme="majorHAnsi" w:cstheme="majorHAnsi"/>
          <w:lang w:eastAsia="zh-CN"/>
        </w:rPr>
        <w:t>22.</w:t>
      </w:r>
      <w:r>
        <w:rPr>
          <w:rFonts w:eastAsia="宋体" w:asciiTheme="majorHAnsi" w:hAnsiTheme="majorHAnsi" w:cstheme="majorHAnsi"/>
          <w:lang w:eastAsia="zh-CN"/>
        </w:rPr>
        <w:tab/>
      </w:r>
      <w:r>
        <w:rPr>
          <w:rFonts w:eastAsia="宋体" w:asciiTheme="majorHAnsi" w:hAnsiTheme="majorHAnsi" w:cstheme="majorHAnsi"/>
          <w:lang w:eastAsia="zh-CN"/>
        </w:rPr>
        <w:t>Lee, M. R., Yang, H. J., Park, K. I., Ma, J. Y</w:t>
      </w:r>
      <w:r>
        <w:rPr>
          <w:rFonts w:eastAsia="宋体" w:asciiTheme="majorHAnsi" w:hAnsiTheme="majorHAnsi" w:cstheme="majorHAnsi"/>
          <w:i/>
          <w:iCs/>
          <w:lang w:eastAsia="zh-CN"/>
        </w:rPr>
        <w:t>. Lycopus lucidus</w:t>
      </w:r>
      <w:r>
        <w:rPr>
          <w:rFonts w:eastAsia="宋体" w:asciiTheme="majorHAnsi" w:hAnsiTheme="majorHAnsi" w:cstheme="majorHAnsi"/>
          <w:lang w:eastAsia="zh-CN"/>
        </w:rPr>
        <w:t xml:space="preserve"> Turcz. ex Benth. attenuates free fatty acid-induced steatosis in HepG2 cells and non-alcoholic fatty liver disease in high-fat diet-induced obese mice. </w:t>
      </w:r>
      <w:r>
        <w:rPr>
          <w:rFonts w:asciiTheme="majorHAnsi" w:hAnsiTheme="majorHAnsi" w:cstheme="majorHAnsi"/>
          <w:i/>
        </w:rPr>
        <w:t>Phytomedicine</w:t>
      </w:r>
      <w:r>
        <w:rPr>
          <w:rFonts w:eastAsia="宋体" w:asciiTheme="majorHAnsi" w:hAnsiTheme="majorHAnsi" w:cstheme="majorHAnsi"/>
          <w:lang w:eastAsia="zh-CN"/>
        </w:rPr>
        <w:t xml:space="preserve">. </w:t>
      </w:r>
      <w:r>
        <w:rPr>
          <w:rFonts w:asciiTheme="majorHAnsi" w:hAnsiTheme="majorHAnsi" w:cstheme="majorHAnsi"/>
          <w:b/>
        </w:rPr>
        <w:t>55</w:t>
      </w:r>
      <w:r>
        <w:rPr>
          <w:rFonts w:eastAsia="宋体" w:asciiTheme="majorHAnsi" w:hAnsiTheme="majorHAnsi" w:cstheme="majorHAnsi"/>
          <w:lang w:eastAsia="zh-CN"/>
        </w:rPr>
        <w:t>, 14-22,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23.</w:t>
      </w:r>
      <w:r>
        <w:rPr>
          <w:rFonts w:eastAsia="宋体" w:asciiTheme="majorHAnsi" w:hAnsiTheme="majorHAnsi" w:cstheme="majorHAnsi"/>
          <w:lang w:eastAsia="zh-CN"/>
        </w:rPr>
        <w:tab/>
      </w:r>
      <w:r>
        <w:rPr>
          <w:rFonts w:eastAsia="宋体" w:asciiTheme="majorHAnsi" w:hAnsiTheme="majorHAnsi" w:cstheme="majorHAnsi"/>
          <w:lang w:eastAsia="zh-CN"/>
        </w:rPr>
        <w:t xml:space="preserve">Li, J. et al. Hesperetin ameliorates hepatic oxidative stress and inflammation via the PI3K/AKT-Nrf2-ARE pathway in oleic acid-induced HepG2 cells and a rat model of high-fat diet-induced NAFLD. </w:t>
      </w:r>
      <w:r>
        <w:rPr>
          <w:rFonts w:asciiTheme="majorHAnsi" w:hAnsiTheme="majorHAnsi" w:cstheme="majorHAnsi"/>
          <w:i/>
        </w:rPr>
        <w:t xml:space="preserve">Food </w:t>
      </w:r>
      <w:r>
        <w:rPr>
          <w:rFonts w:eastAsia="宋体" w:asciiTheme="majorHAnsi" w:hAnsiTheme="majorHAnsi" w:cstheme="majorHAnsi"/>
          <w:i/>
          <w:iCs/>
          <w:lang w:eastAsia="zh-CN"/>
        </w:rPr>
        <w:t>Funct</w:t>
      </w:r>
      <w:r>
        <w:rPr>
          <w:rFonts w:eastAsia="宋体" w:asciiTheme="majorHAnsi" w:hAnsiTheme="majorHAnsi" w:cstheme="majorHAnsi"/>
          <w:lang w:eastAsia="zh-CN"/>
        </w:rPr>
        <w:t xml:space="preserve">. </w:t>
      </w:r>
      <w:r>
        <w:rPr>
          <w:rFonts w:asciiTheme="majorHAnsi" w:hAnsiTheme="majorHAnsi" w:cstheme="majorHAnsi"/>
          <w:b/>
        </w:rPr>
        <w:t>12</w:t>
      </w:r>
      <w:r>
        <w:rPr>
          <w:rFonts w:eastAsia="宋体" w:asciiTheme="majorHAnsi" w:hAnsiTheme="majorHAnsi" w:cstheme="majorHAnsi"/>
          <w:lang w:eastAsia="zh-CN"/>
        </w:rPr>
        <w:t xml:space="preserve"> (9), 3898-3918 (2021).</w:t>
      </w:r>
    </w:p>
    <w:p>
      <w:pPr>
        <w:pStyle w:val="31"/>
        <w:rPr>
          <w:rFonts w:eastAsia="宋体" w:asciiTheme="majorHAnsi" w:hAnsiTheme="majorHAnsi" w:cstheme="majorHAnsi"/>
          <w:lang w:eastAsia="zh-CN"/>
        </w:rPr>
      </w:pPr>
      <w:r>
        <w:rPr>
          <w:rFonts w:eastAsia="宋体" w:asciiTheme="majorHAnsi" w:hAnsiTheme="majorHAnsi" w:cstheme="majorHAnsi"/>
          <w:lang w:eastAsia="zh-CN"/>
        </w:rPr>
        <w:t>24.</w:t>
      </w:r>
      <w:r>
        <w:rPr>
          <w:rFonts w:eastAsia="宋体" w:asciiTheme="majorHAnsi" w:hAnsiTheme="majorHAnsi" w:cstheme="majorHAnsi"/>
          <w:lang w:eastAsia="zh-CN"/>
        </w:rPr>
        <w:tab/>
      </w:r>
      <w:r>
        <w:rPr>
          <w:rFonts w:eastAsia="宋体" w:asciiTheme="majorHAnsi" w:hAnsiTheme="majorHAnsi" w:cstheme="majorHAnsi"/>
          <w:lang w:eastAsia="zh-CN"/>
        </w:rPr>
        <w:t xml:space="preserve">Li, Y. et al. Protopanaxadiol ameliorates NAFLD by regulating hepatocyte lipid metabolism through AMPK/SIRT1 signaling pathway. </w:t>
      </w:r>
      <w:r>
        <w:rPr>
          <w:rFonts w:eastAsia="宋体" w:asciiTheme="majorHAnsi" w:hAnsiTheme="majorHAnsi" w:cstheme="majorHAnsi"/>
          <w:i/>
          <w:iCs/>
          <w:lang w:eastAsia="zh-CN"/>
        </w:rPr>
        <w:t>Biomed Pharmacother</w:t>
      </w:r>
      <w:r>
        <w:rPr>
          <w:rFonts w:eastAsia="宋体" w:asciiTheme="majorHAnsi" w:hAnsiTheme="majorHAnsi" w:cstheme="majorHAnsi"/>
          <w:lang w:eastAsia="zh-CN"/>
        </w:rPr>
        <w:t xml:space="preserve">. </w:t>
      </w:r>
      <w:r>
        <w:rPr>
          <w:rFonts w:asciiTheme="majorHAnsi" w:hAnsiTheme="majorHAnsi" w:cstheme="majorHAnsi"/>
          <w:b/>
        </w:rPr>
        <w:t>160</w:t>
      </w:r>
      <w:r>
        <w:rPr>
          <w:rFonts w:eastAsia="宋体" w:asciiTheme="majorHAnsi" w:hAnsiTheme="majorHAnsi" w:cstheme="majorHAnsi"/>
          <w:lang w:eastAsia="zh-CN"/>
        </w:rPr>
        <w:t>, 114319, (2023).</w:t>
      </w:r>
    </w:p>
    <w:p>
      <w:pPr>
        <w:pStyle w:val="31"/>
        <w:rPr>
          <w:rFonts w:eastAsia="宋体" w:asciiTheme="majorHAnsi" w:hAnsiTheme="majorHAnsi" w:cstheme="majorHAnsi"/>
          <w:lang w:eastAsia="zh-CN"/>
        </w:rPr>
      </w:pPr>
      <w:r>
        <w:rPr>
          <w:rFonts w:eastAsia="宋体" w:asciiTheme="majorHAnsi" w:hAnsiTheme="majorHAnsi" w:cstheme="majorHAnsi"/>
          <w:lang w:eastAsia="zh-CN"/>
        </w:rPr>
        <w:t>25.</w:t>
      </w:r>
      <w:r>
        <w:rPr>
          <w:rFonts w:eastAsia="宋体" w:asciiTheme="majorHAnsi" w:hAnsiTheme="majorHAnsi" w:cstheme="majorHAnsi"/>
          <w:lang w:eastAsia="zh-CN"/>
        </w:rPr>
        <w:tab/>
      </w:r>
      <w:r>
        <w:rPr>
          <w:rFonts w:eastAsia="宋体" w:asciiTheme="majorHAnsi" w:hAnsiTheme="majorHAnsi" w:cstheme="majorHAnsi"/>
          <w:lang w:eastAsia="zh-CN"/>
        </w:rPr>
        <w:t xml:space="preserve">Liu, H. et al. Zeaxanthin prevents ferroptosis by promoting mitochondrial function and inhibiting the p53 pathway in free fatty acid-induced HepG2 cells. </w:t>
      </w:r>
      <w:r>
        <w:rPr>
          <w:rFonts w:eastAsia="宋体" w:asciiTheme="majorHAnsi" w:hAnsiTheme="majorHAnsi" w:cstheme="majorHAnsi"/>
          <w:i/>
          <w:iCs/>
          <w:lang w:eastAsia="zh-CN"/>
        </w:rPr>
        <w:t>Biochim Biophys</w:t>
      </w:r>
      <w:r>
        <w:rPr>
          <w:rFonts w:asciiTheme="majorHAnsi" w:hAnsiTheme="majorHAnsi" w:cstheme="majorHAnsi"/>
          <w:i/>
        </w:rPr>
        <w:t xml:space="preserve"> Acta </w:t>
      </w:r>
      <w:r>
        <w:rPr>
          <w:rFonts w:eastAsia="宋体" w:asciiTheme="majorHAnsi" w:hAnsiTheme="majorHAnsi" w:cstheme="majorHAnsi"/>
          <w:i/>
          <w:iCs/>
          <w:lang w:eastAsia="zh-CN"/>
        </w:rPr>
        <w:t>Mol</w:t>
      </w:r>
      <w:r>
        <w:rPr>
          <w:rFonts w:asciiTheme="majorHAnsi" w:hAnsiTheme="majorHAnsi" w:cstheme="majorHAnsi"/>
          <w:i/>
        </w:rPr>
        <w:t xml:space="preserve"> Cell </w:t>
      </w:r>
      <w:r>
        <w:rPr>
          <w:rFonts w:eastAsia="宋体" w:asciiTheme="majorHAnsi" w:hAnsiTheme="majorHAnsi" w:cstheme="majorHAnsi"/>
          <w:i/>
          <w:iCs/>
          <w:lang w:eastAsia="zh-CN"/>
        </w:rPr>
        <w:t>Biol</w:t>
      </w:r>
      <w:r>
        <w:rPr>
          <w:rFonts w:asciiTheme="majorHAnsi" w:hAnsiTheme="majorHAnsi" w:cstheme="majorHAnsi"/>
          <w:i/>
        </w:rPr>
        <w:t xml:space="preserve"> Lipids</w:t>
      </w:r>
      <w:r>
        <w:rPr>
          <w:rFonts w:eastAsia="宋体" w:asciiTheme="majorHAnsi" w:hAnsiTheme="majorHAnsi" w:cstheme="majorHAnsi"/>
          <w:lang w:eastAsia="zh-CN"/>
        </w:rPr>
        <w:t xml:space="preserve">. </w:t>
      </w:r>
      <w:r>
        <w:rPr>
          <w:rFonts w:asciiTheme="majorHAnsi" w:hAnsiTheme="majorHAnsi" w:cstheme="majorHAnsi"/>
          <w:b/>
        </w:rPr>
        <w:t>1868</w:t>
      </w:r>
      <w:r>
        <w:rPr>
          <w:rFonts w:eastAsia="宋体" w:asciiTheme="majorHAnsi" w:hAnsiTheme="majorHAnsi" w:cstheme="majorHAnsi"/>
          <w:lang w:eastAsia="zh-CN"/>
        </w:rPr>
        <w:t xml:space="preserve"> (4), 159287 (2023).</w:t>
      </w:r>
    </w:p>
    <w:p>
      <w:pPr>
        <w:pStyle w:val="31"/>
        <w:rPr>
          <w:rFonts w:eastAsia="宋体" w:asciiTheme="majorHAnsi" w:hAnsiTheme="majorHAnsi" w:cstheme="majorHAnsi"/>
          <w:lang w:eastAsia="zh-CN"/>
        </w:rPr>
      </w:pPr>
      <w:r>
        <w:rPr>
          <w:rFonts w:eastAsia="宋体" w:asciiTheme="majorHAnsi" w:hAnsiTheme="majorHAnsi" w:cstheme="majorHAnsi"/>
          <w:lang w:eastAsia="zh-CN"/>
        </w:rPr>
        <w:t>26.</w:t>
      </w:r>
      <w:r>
        <w:rPr>
          <w:rFonts w:eastAsia="宋体" w:asciiTheme="majorHAnsi" w:hAnsiTheme="majorHAnsi" w:cstheme="majorHAnsi"/>
          <w:lang w:eastAsia="zh-CN"/>
        </w:rPr>
        <w:tab/>
      </w:r>
      <w:r>
        <w:rPr>
          <w:rFonts w:eastAsia="宋体" w:asciiTheme="majorHAnsi" w:hAnsiTheme="majorHAnsi" w:cstheme="majorHAnsi"/>
          <w:lang w:eastAsia="zh-CN"/>
        </w:rPr>
        <w:t xml:space="preserve">Mun, J. et al. Water extract of </w:t>
      </w:r>
      <w:r>
        <w:rPr>
          <w:rFonts w:eastAsia="宋体" w:asciiTheme="majorHAnsi" w:hAnsiTheme="majorHAnsi" w:cstheme="majorHAnsi"/>
          <w:i/>
          <w:iCs/>
          <w:lang w:eastAsia="zh-CN"/>
        </w:rPr>
        <w:t>Curcuma longa</w:t>
      </w:r>
      <w:r>
        <w:rPr>
          <w:rFonts w:eastAsia="宋体" w:asciiTheme="majorHAnsi" w:hAnsiTheme="majorHAnsi" w:cstheme="majorHAnsi"/>
          <w:lang w:eastAsia="zh-CN"/>
        </w:rPr>
        <w:t xml:space="preserve"> L. ameliorates non-alcoholic fatty liver disease. </w:t>
      </w:r>
      <w:r>
        <w:rPr>
          <w:rFonts w:asciiTheme="majorHAnsi" w:hAnsiTheme="majorHAnsi" w:cstheme="majorHAnsi"/>
          <w:i/>
        </w:rPr>
        <w:t>Nutrients</w:t>
      </w:r>
      <w:r>
        <w:rPr>
          <w:rFonts w:eastAsia="宋体" w:asciiTheme="majorHAnsi" w:hAnsiTheme="majorHAnsi" w:cstheme="majorHAnsi"/>
          <w:lang w:eastAsia="zh-CN"/>
        </w:rPr>
        <w:t xml:space="preserve">. </w:t>
      </w:r>
      <w:r>
        <w:rPr>
          <w:rFonts w:asciiTheme="majorHAnsi" w:hAnsiTheme="majorHAnsi" w:cstheme="majorHAnsi"/>
          <w:b/>
        </w:rPr>
        <w:t>11</w:t>
      </w:r>
      <w:r>
        <w:rPr>
          <w:rFonts w:eastAsia="宋体" w:asciiTheme="majorHAnsi" w:hAnsiTheme="majorHAnsi" w:cstheme="majorHAnsi"/>
          <w:lang w:eastAsia="zh-CN"/>
        </w:rPr>
        <w:t xml:space="preserve"> (10), 2536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27.</w:t>
      </w:r>
      <w:r>
        <w:rPr>
          <w:rFonts w:eastAsia="宋体" w:asciiTheme="majorHAnsi" w:hAnsiTheme="majorHAnsi" w:cstheme="majorHAnsi"/>
          <w:lang w:eastAsia="zh-CN"/>
        </w:rPr>
        <w:tab/>
      </w:r>
      <w:r>
        <w:rPr>
          <w:rFonts w:eastAsia="宋体" w:asciiTheme="majorHAnsi" w:hAnsiTheme="majorHAnsi" w:cstheme="majorHAnsi"/>
          <w:lang w:eastAsia="zh-CN"/>
        </w:rPr>
        <w:t xml:space="preserve">Park, M., Yoo, J. H., Lee, Y. S., Lee, H. J. </w:t>
      </w:r>
      <w:r>
        <w:rPr>
          <w:rFonts w:eastAsia="宋体" w:asciiTheme="majorHAnsi" w:hAnsiTheme="majorHAnsi" w:cstheme="majorHAnsi"/>
          <w:i/>
          <w:iCs/>
          <w:lang w:eastAsia="zh-CN"/>
        </w:rPr>
        <w:t>Lonicera caerulea</w:t>
      </w:r>
      <w:r>
        <w:rPr>
          <w:rFonts w:eastAsia="宋体" w:asciiTheme="majorHAnsi" w:hAnsiTheme="majorHAnsi" w:cstheme="majorHAnsi"/>
          <w:lang w:eastAsia="zh-CN"/>
        </w:rPr>
        <w:t xml:space="preserve"> extract attenuates non-alcoholic fatty liver disease in free fatty acid-induced HepG2 hepatocytes and in high fat diet-fed mice. </w:t>
      </w:r>
      <w:r>
        <w:rPr>
          <w:rFonts w:asciiTheme="majorHAnsi" w:hAnsiTheme="majorHAnsi" w:cstheme="majorHAnsi"/>
          <w:i/>
        </w:rPr>
        <w:t>Nutrients</w:t>
      </w:r>
      <w:r>
        <w:rPr>
          <w:rFonts w:eastAsia="宋体" w:asciiTheme="majorHAnsi" w:hAnsiTheme="majorHAnsi" w:cstheme="majorHAnsi"/>
          <w:lang w:eastAsia="zh-CN"/>
        </w:rPr>
        <w:t xml:space="preserve">. </w:t>
      </w:r>
      <w:r>
        <w:rPr>
          <w:rFonts w:asciiTheme="majorHAnsi" w:hAnsiTheme="majorHAnsi" w:cstheme="majorHAnsi"/>
          <w:b/>
        </w:rPr>
        <w:t>11</w:t>
      </w:r>
      <w:r>
        <w:rPr>
          <w:rFonts w:eastAsia="宋体" w:asciiTheme="majorHAnsi" w:hAnsiTheme="majorHAnsi" w:cstheme="majorHAnsi"/>
          <w:lang w:eastAsia="zh-CN"/>
        </w:rPr>
        <w:t xml:space="preserve"> (3), 494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28.</w:t>
      </w:r>
      <w:r>
        <w:rPr>
          <w:rFonts w:eastAsia="宋体" w:asciiTheme="majorHAnsi" w:hAnsiTheme="majorHAnsi" w:cstheme="majorHAnsi"/>
          <w:lang w:eastAsia="zh-CN"/>
        </w:rPr>
        <w:tab/>
      </w:r>
      <w:r>
        <w:rPr>
          <w:rFonts w:eastAsia="宋体" w:asciiTheme="majorHAnsi" w:hAnsiTheme="majorHAnsi" w:cstheme="majorHAnsi"/>
          <w:lang w:eastAsia="zh-CN"/>
        </w:rPr>
        <w:t xml:space="preserve">Xia, H. et al. Alpha-naphthoflavone attenuates non-alcoholic fatty liver disease in oleic acid-treated HepG2 hepatocytes and in high fat diet-fed mice. </w:t>
      </w:r>
      <w:r>
        <w:rPr>
          <w:rFonts w:eastAsia="宋体" w:asciiTheme="majorHAnsi" w:hAnsiTheme="majorHAnsi" w:cstheme="majorHAnsi"/>
          <w:i/>
          <w:iCs/>
          <w:lang w:eastAsia="zh-CN"/>
        </w:rPr>
        <w:t>Biomed Pharmacother</w:t>
      </w:r>
      <w:r>
        <w:rPr>
          <w:rFonts w:eastAsia="宋体" w:asciiTheme="majorHAnsi" w:hAnsiTheme="majorHAnsi" w:cstheme="majorHAnsi"/>
          <w:lang w:eastAsia="zh-CN"/>
        </w:rPr>
        <w:t xml:space="preserve">. </w:t>
      </w:r>
      <w:r>
        <w:rPr>
          <w:rFonts w:asciiTheme="majorHAnsi" w:hAnsiTheme="majorHAnsi" w:cstheme="majorHAnsi"/>
          <w:b/>
        </w:rPr>
        <w:t>118</w:t>
      </w:r>
      <w:r>
        <w:rPr>
          <w:rFonts w:eastAsia="宋体" w:asciiTheme="majorHAnsi" w:hAnsiTheme="majorHAnsi" w:cstheme="majorHAnsi"/>
          <w:lang w:eastAsia="zh-CN"/>
        </w:rPr>
        <w:t>, 109287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29.</w:t>
      </w:r>
      <w:r>
        <w:rPr>
          <w:rFonts w:eastAsia="宋体" w:asciiTheme="majorHAnsi" w:hAnsiTheme="majorHAnsi" w:cstheme="majorHAnsi"/>
          <w:lang w:eastAsia="zh-CN"/>
        </w:rPr>
        <w:tab/>
      </w:r>
      <w:r>
        <w:rPr>
          <w:rFonts w:eastAsia="宋体" w:asciiTheme="majorHAnsi" w:hAnsiTheme="majorHAnsi" w:cstheme="majorHAnsi"/>
          <w:lang w:eastAsia="zh-CN"/>
        </w:rPr>
        <w:t xml:space="preserve">Alkhatatbeh, M. J., Lincz, L. F., Thorne, R. F. Low simvastatin concentrations reduce oleic acid-induced steatosis in HepG(2) cells: An in vitro model of non-alcoholic fatty liver disease. </w:t>
      </w:r>
      <w:r>
        <w:rPr>
          <w:rFonts w:eastAsia="宋体" w:asciiTheme="majorHAnsi" w:hAnsiTheme="majorHAnsi" w:cstheme="majorHAnsi"/>
          <w:i/>
          <w:iCs/>
          <w:lang w:eastAsia="zh-CN"/>
        </w:rPr>
        <w:t>Exp Ther Med</w:t>
      </w:r>
      <w:r>
        <w:rPr>
          <w:rFonts w:eastAsia="宋体" w:asciiTheme="majorHAnsi" w:hAnsiTheme="majorHAnsi" w:cstheme="majorHAnsi"/>
          <w:lang w:eastAsia="zh-CN"/>
        </w:rPr>
        <w:t xml:space="preserve">. </w:t>
      </w:r>
      <w:r>
        <w:rPr>
          <w:rFonts w:asciiTheme="majorHAnsi" w:hAnsiTheme="majorHAnsi" w:cstheme="majorHAnsi"/>
          <w:b/>
        </w:rPr>
        <w:t>11</w:t>
      </w:r>
      <w:r>
        <w:rPr>
          <w:rFonts w:eastAsia="宋体" w:asciiTheme="majorHAnsi" w:hAnsiTheme="majorHAnsi" w:cstheme="majorHAnsi"/>
          <w:lang w:eastAsia="zh-CN"/>
        </w:rPr>
        <w:t xml:space="preserve"> (4), 1487-1492 (2016).</w:t>
      </w:r>
    </w:p>
    <w:p>
      <w:pPr>
        <w:pStyle w:val="31"/>
        <w:rPr>
          <w:rFonts w:eastAsia="宋体" w:asciiTheme="majorHAnsi" w:hAnsiTheme="majorHAnsi" w:cstheme="majorHAnsi"/>
          <w:lang w:eastAsia="zh-CN"/>
        </w:rPr>
      </w:pPr>
      <w:r>
        <w:rPr>
          <w:rFonts w:eastAsia="宋体" w:asciiTheme="majorHAnsi" w:hAnsiTheme="majorHAnsi" w:cstheme="majorHAnsi"/>
          <w:lang w:eastAsia="zh-CN"/>
        </w:rPr>
        <w:t>30.</w:t>
      </w:r>
      <w:r>
        <w:rPr>
          <w:rFonts w:eastAsia="宋体" w:asciiTheme="majorHAnsi" w:hAnsiTheme="majorHAnsi" w:cstheme="majorHAnsi"/>
          <w:lang w:eastAsia="zh-CN"/>
        </w:rPr>
        <w:tab/>
      </w:r>
      <w:r>
        <w:rPr>
          <w:rFonts w:eastAsia="宋体" w:asciiTheme="majorHAnsi" w:hAnsiTheme="majorHAnsi" w:cstheme="majorHAnsi"/>
          <w:lang w:eastAsia="zh-CN"/>
        </w:rPr>
        <w:t xml:space="preserve">Cui, W., Chen, S. L., Hu, K. Q. Quantification and mechanisms of oleic acid-induced steatosis in HepG2 cells. </w:t>
      </w:r>
      <w:r>
        <w:rPr>
          <w:rFonts w:eastAsia="宋体" w:asciiTheme="majorHAnsi" w:hAnsiTheme="majorHAnsi" w:cstheme="majorHAnsi"/>
          <w:i/>
          <w:iCs/>
          <w:lang w:eastAsia="zh-CN"/>
        </w:rPr>
        <w:t>Am J Transl Res</w:t>
      </w:r>
      <w:r>
        <w:rPr>
          <w:rFonts w:eastAsia="宋体" w:asciiTheme="majorHAnsi" w:hAnsiTheme="majorHAnsi" w:cstheme="majorHAnsi"/>
          <w:lang w:eastAsia="zh-CN"/>
        </w:rPr>
        <w:t xml:space="preserve">. </w:t>
      </w:r>
      <w:r>
        <w:rPr>
          <w:rFonts w:asciiTheme="majorHAnsi" w:hAnsiTheme="majorHAnsi" w:cstheme="majorHAnsi"/>
          <w:b/>
        </w:rPr>
        <w:t>2</w:t>
      </w:r>
      <w:r>
        <w:rPr>
          <w:rFonts w:eastAsia="宋体" w:asciiTheme="majorHAnsi" w:hAnsiTheme="majorHAnsi" w:cstheme="majorHAnsi"/>
          <w:lang w:eastAsia="zh-CN"/>
        </w:rPr>
        <w:t xml:space="preserve"> (1), 95-104 (2010).</w:t>
      </w:r>
    </w:p>
    <w:p>
      <w:pPr>
        <w:pStyle w:val="31"/>
        <w:rPr>
          <w:rFonts w:eastAsia="宋体" w:asciiTheme="majorHAnsi" w:hAnsiTheme="majorHAnsi" w:cstheme="majorHAnsi"/>
          <w:lang w:eastAsia="zh-CN"/>
        </w:rPr>
      </w:pPr>
      <w:r>
        <w:rPr>
          <w:rFonts w:eastAsia="宋体" w:asciiTheme="majorHAnsi" w:hAnsiTheme="majorHAnsi" w:cstheme="majorHAnsi"/>
          <w:lang w:eastAsia="zh-CN"/>
        </w:rPr>
        <w:t>31.</w:t>
      </w:r>
      <w:r>
        <w:rPr>
          <w:rFonts w:eastAsia="宋体" w:asciiTheme="majorHAnsi" w:hAnsiTheme="majorHAnsi" w:cstheme="majorHAnsi"/>
          <w:lang w:eastAsia="zh-CN"/>
        </w:rPr>
        <w:tab/>
      </w:r>
      <w:r>
        <w:rPr>
          <w:rFonts w:eastAsia="宋体" w:asciiTheme="majorHAnsi" w:hAnsiTheme="majorHAnsi" w:cstheme="majorHAnsi"/>
          <w:lang w:eastAsia="zh-CN"/>
        </w:rPr>
        <w:t xml:space="preserve">Guo, X., Yin, X., Liu, Z., Wang, J. Non-alcoholic fatty liver disease (NAFLD) pathogenesis and natural products for prevention and treatment. </w:t>
      </w:r>
      <w:r>
        <w:rPr>
          <w:rFonts w:eastAsia="宋体" w:asciiTheme="majorHAnsi" w:hAnsiTheme="majorHAnsi" w:cstheme="majorHAnsi"/>
          <w:i/>
          <w:iCs/>
          <w:lang w:eastAsia="zh-CN"/>
        </w:rPr>
        <w:t>Int J Mol Sci</w:t>
      </w:r>
      <w:r>
        <w:rPr>
          <w:rFonts w:eastAsia="宋体" w:asciiTheme="majorHAnsi" w:hAnsiTheme="majorHAnsi" w:cstheme="majorHAnsi"/>
          <w:lang w:eastAsia="zh-CN"/>
        </w:rPr>
        <w:t xml:space="preserve">. </w:t>
      </w:r>
      <w:r>
        <w:rPr>
          <w:rFonts w:asciiTheme="majorHAnsi" w:hAnsiTheme="majorHAnsi" w:cstheme="majorHAnsi"/>
          <w:b/>
        </w:rPr>
        <w:t>23</w:t>
      </w:r>
      <w:r>
        <w:rPr>
          <w:rFonts w:eastAsia="宋体" w:asciiTheme="majorHAnsi" w:hAnsiTheme="majorHAnsi" w:cstheme="majorHAnsi"/>
          <w:lang w:eastAsia="zh-CN"/>
        </w:rPr>
        <w:t xml:space="preserve"> (24), 15489 (2022).</w:t>
      </w:r>
    </w:p>
    <w:p>
      <w:pPr>
        <w:pStyle w:val="31"/>
        <w:rPr>
          <w:rFonts w:eastAsia="宋体" w:asciiTheme="majorHAnsi" w:hAnsiTheme="majorHAnsi" w:cstheme="majorHAnsi"/>
          <w:lang w:eastAsia="zh-CN"/>
        </w:rPr>
      </w:pPr>
      <w:r>
        <w:rPr>
          <w:rFonts w:eastAsia="宋体" w:asciiTheme="majorHAnsi" w:hAnsiTheme="majorHAnsi" w:cstheme="majorHAnsi"/>
          <w:lang w:eastAsia="zh-CN"/>
        </w:rPr>
        <w:t>32.</w:t>
      </w:r>
      <w:r>
        <w:rPr>
          <w:rFonts w:eastAsia="宋体" w:asciiTheme="majorHAnsi" w:hAnsiTheme="majorHAnsi" w:cstheme="majorHAnsi"/>
          <w:lang w:eastAsia="zh-CN"/>
        </w:rPr>
        <w:tab/>
      </w:r>
      <w:r>
        <w:rPr>
          <w:rFonts w:eastAsia="宋体" w:asciiTheme="majorHAnsi" w:hAnsiTheme="majorHAnsi" w:cstheme="majorHAnsi"/>
          <w:lang w:eastAsia="zh-CN"/>
        </w:rPr>
        <w:t xml:space="preserve">Rafiei, H., Omidian, K., Bandy, B. Dietary polyphenols protect against oleic acid-induced steatosis in an in vitro model of NAFLD by modulating lipid metabolism and improving mitochondrial function. </w:t>
      </w:r>
      <w:r>
        <w:rPr>
          <w:rFonts w:asciiTheme="majorHAnsi" w:hAnsiTheme="majorHAnsi" w:cstheme="majorHAnsi"/>
          <w:i/>
        </w:rPr>
        <w:t>Nutrients</w:t>
      </w:r>
      <w:r>
        <w:rPr>
          <w:rFonts w:eastAsia="宋体" w:asciiTheme="majorHAnsi" w:hAnsiTheme="majorHAnsi" w:cstheme="majorHAnsi"/>
          <w:lang w:eastAsia="zh-CN"/>
        </w:rPr>
        <w:t xml:space="preserve">. </w:t>
      </w:r>
      <w:r>
        <w:rPr>
          <w:rFonts w:asciiTheme="majorHAnsi" w:hAnsiTheme="majorHAnsi" w:cstheme="majorHAnsi"/>
          <w:b/>
        </w:rPr>
        <w:t>11</w:t>
      </w:r>
      <w:r>
        <w:rPr>
          <w:rFonts w:eastAsia="宋体" w:asciiTheme="majorHAnsi" w:hAnsiTheme="majorHAnsi" w:cstheme="majorHAnsi"/>
          <w:lang w:eastAsia="zh-CN"/>
        </w:rPr>
        <w:t xml:space="preserve"> (3), 541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33.</w:t>
      </w:r>
      <w:r>
        <w:rPr>
          <w:rFonts w:eastAsia="宋体" w:asciiTheme="majorHAnsi" w:hAnsiTheme="majorHAnsi" w:cstheme="majorHAnsi"/>
          <w:lang w:eastAsia="zh-CN"/>
        </w:rPr>
        <w:tab/>
      </w:r>
      <w:r>
        <w:rPr>
          <w:rFonts w:eastAsia="宋体" w:asciiTheme="majorHAnsi" w:hAnsiTheme="majorHAnsi" w:cstheme="majorHAnsi"/>
          <w:lang w:eastAsia="zh-CN"/>
        </w:rPr>
        <w:t xml:space="preserve">Tie, F. et al. Kaempferol and kaempferide attenuate oleic acid-Induced lipid accumulation and oxidative stress in HepG2 cells. </w:t>
      </w:r>
      <w:r>
        <w:rPr>
          <w:rFonts w:eastAsia="宋体" w:asciiTheme="majorHAnsi" w:hAnsiTheme="majorHAnsi" w:cstheme="majorHAnsi"/>
          <w:i/>
          <w:iCs/>
          <w:lang w:eastAsia="zh-CN"/>
        </w:rPr>
        <w:t>Int J Mol Sci</w:t>
      </w:r>
      <w:r>
        <w:rPr>
          <w:rFonts w:eastAsia="宋体" w:asciiTheme="majorHAnsi" w:hAnsiTheme="majorHAnsi" w:cstheme="majorHAnsi"/>
          <w:lang w:eastAsia="zh-CN"/>
        </w:rPr>
        <w:t xml:space="preserve">. </w:t>
      </w:r>
      <w:r>
        <w:rPr>
          <w:rFonts w:asciiTheme="majorHAnsi" w:hAnsiTheme="majorHAnsi" w:cstheme="majorHAnsi"/>
          <w:b/>
        </w:rPr>
        <w:t>22</w:t>
      </w:r>
      <w:r>
        <w:rPr>
          <w:rFonts w:eastAsia="宋体" w:asciiTheme="majorHAnsi" w:hAnsiTheme="majorHAnsi" w:cstheme="majorHAnsi"/>
          <w:lang w:eastAsia="zh-CN"/>
        </w:rPr>
        <w:t xml:space="preserve"> (16), 8847 (2021).</w:t>
      </w:r>
    </w:p>
    <w:p>
      <w:pPr>
        <w:pStyle w:val="31"/>
        <w:rPr>
          <w:rFonts w:eastAsia="宋体" w:asciiTheme="majorHAnsi" w:hAnsiTheme="majorHAnsi" w:cstheme="majorHAnsi"/>
          <w:lang w:eastAsia="zh-CN"/>
        </w:rPr>
      </w:pPr>
      <w:r>
        <w:rPr>
          <w:rFonts w:eastAsia="宋体" w:asciiTheme="majorHAnsi" w:hAnsiTheme="majorHAnsi" w:cstheme="majorHAnsi"/>
          <w:lang w:eastAsia="zh-CN"/>
        </w:rPr>
        <w:t>34.</w:t>
      </w:r>
      <w:r>
        <w:rPr>
          <w:rFonts w:eastAsia="宋体" w:asciiTheme="majorHAnsi" w:hAnsiTheme="majorHAnsi" w:cstheme="majorHAnsi"/>
          <w:lang w:eastAsia="zh-CN"/>
        </w:rPr>
        <w:tab/>
      </w:r>
      <w:r>
        <w:rPr>
          <w:rFonts w:eastAsia="宋体" w:asciiTheme="majorHAnsi" w:hAnsiTheme="majorHAnsi" w:cstheme="majorHAnsi"/>
          <w:lang w:eastAsia="zh-CN"/>
        </w:rPr>
        <w:t xml:space="preserve">Fang, K. et al. Diosgenin ameliorates palmitic acid-induced lipid accumulation via AMPK/ACC/CPT-1A and SREBP-1c/FAS signaling pathways in LO2 cells. </w:t>
      </w:r>
      <w:r>
        <w:rPr>
          <w:rFonts w:eastAsia="宋体" w:asciiTheme="majorHAnsi" w:hAnsiTheme="majorHAnsi" w:cstheme="majorHAnsi"/>
          <w:i/>
          <w:iCs/>
          <w:lang w:eastAsia="zh-CN"/>
        </w:rPr>
        <w:t>BMC Complement Altern Med</w:t>
      </w:r>
      <w:r>
        <w:rPr>
          <w:rFonts w:eastAsia="宋体" w:asciiTheme="majorHAnsi" w:hAnsiTheme="majorHAnsi" w:cstheme="majorHAnsi"/>
          <w:lang w:eastAsia="zh-CN"/>
        </w:rPr>
        <w:t xml:space="preserve">. </w:t>
      </w:r>
      <w:r>
        <w:rPr>
          <w:rFonts w:asciiTheme="majorHAnsi" w:hAnsiTheme="majorHAnsi" w:cstheme="majorHAnsi"/>
          <w:b/>
        </w:rPr>
        <w:t>19</w:t>
      </w:r>
      <w:r>
        <w:rPr>
          <w:rFonts w:eastAsia="宋体" w:asciiTheme="majorHAnsi" w:hAnsiTheme="majorHAnsi" w:cstheme="majorHAnsi"/>
          <w:lang w:eastAsia="zh-CN"/>
        </w:rPr>
        <w:t xml:space="preserve"> (1), 255 (2019).</w:t>
      </w:r>
    </w:p>
    <w:p>
      <w:pPr>
        <w:pStyle w:val="31"/>
        <w:rPr>
          <w:rFonts w:eastAsia="宋体" w:asciiTheme="majorHAnsi" w:hAnsiTheme="majorHAnsi" w:cstheme="majorHAnsi"/>
          <w:lang w:eastAsia="zh-CN"/>
        </w:rPr>
      </w:pPr>
      <w:r>
        <w:rPr>
          <w:rFonts w:eastAsia="宋体" w:asciiTheme="majorHAnsi" w:hAnsiTheme="majorHAnsi" w:cstheme="majorHAnsi"/>
          <w:lang w:eastAsia="zh-CN"/>
        </w:rPr>
        <w:t>35.</w:t>
      </w:r>
      <w:r>
        <w:rPr>
          <w:rFonts w:eastAsia="宋体" w:asciiTheme="majorHAnsi" w:hAnsiTheme="majorHAnsi" w:cstheme="majorHAnsi"/>
          <w:lang w:eastAsia="zh-CN"/>
        </w:rPr>
        <w:tab/>
      </w:r>
      <w:r>
        <w:rPr>
          <w:rFonts w:eastAsia="宋体" w:asciiTheme="majorHAnsi" w:hAnsiTheme="majorHAnsi" w:cstheme="majorHAnsi"/>
          <w:lang w:eastAsia="zh-CN"/>
        </w:rPr>
        <w:t>Wu, X. et al. MLKL-dependent signaling regulates autophagic flux in a murine model of non-alcohol-associated fatty liver and steatohepatitis.</w:t>
      </w:r>
      <w:r>
        <w:rPr>
          <w:rFonts w:asciiTheme="majorHAnsi" w:hAnsiTheme="majorHAnsi" w:cstheme="majorHAnsi"/>
          <w:i/>
        </w:rPr>
        <w:t xml:space="preserve"> </w:t>
      </w:r>
      <w:r>
        <w:rPr>
          <w:rFonts w:eastAsia="宋体" w:asciiTheme="majorHAnsi" w:hAnsiTheme="majorHAnsi" w:cstheme="majorHAnsi"/>
          <w:i/>
          <w:iCs/>
          <w:lang w:eastAsia="zh-CN"/>
        </w:rPr>
        <w:t>J Hepatol</w:t>
      </w:r>
      <w:r>
        <w:rPr>
          <w:rFonts w:eastAsia="宋体" w:asciiTheme="majorHAnsi" w:hAnsiTheme="majorHAnsi" w:cstheme="majorHAnsi"/>
          <w:lang w:eastAsia="zh-CN"/>
        </w:rPr>
        <w:t xml:space="preserve">. </w:t>
      </w:r>
      <w:r>
        <w:rPr>
          <w:rFonts w:asciiTheme="majorHAnsi" w:hAnsiTheme="majorHAnsi" w:cstheme="majorHAnsi"/>
          <w:b/>
        </w:rPr>
        <w:t>73</w:t>
      </w:r>
      <w:r>
        <w:rPr>
          <w:rFonts w:eastAsia="宋体" w:asciiTheme="majorHAnsi" w:hAnsiTheme="majorHAnsi" w:cstheme="majorHAnsi"/>
          <w:lang w:eastAsia="zh-CN"/>
        </w:rPr>
        <w:t xml:space="preserve"> (3), 616-627 (2020).</w:t>
      </w:r>
    </w:p>
    <w:p>
      <w:pPr>
        <w:pStyle w:val="31"/>
        <w:rPr>
          <w:rFonts w:eastAsia="宋体" w:asciiTheme="majorHAnsi" w:hAnsiTheme="majorHAnsi" w:cstheme="majorHAnsi"/>
          <w:lang w:eastAsia="zh-CN"/>
        </w:rPr>
      </w:pPr>
      <w:r>
        <w:rPr>
          <w:rFonts w:eastAsia="宋体" w:asciiTheme="majorHAnsi" w:hAnsiTheme="majorHAnsi" w:cstheme="majorHAnsi"/>
          <w:lang w:eastAsia="zh-CN"/>
        </w:rPr>
        <w:t>36.</w:t>
      </w:r>
      <w:r>
        <w:rPr>
          <w:rFonts w:eastAsia="宋体" w:asciiTheme="majorHAnsi" w:hAnsiTheme="majorHAnsi" w:cstheme="majorHAnsi"/>
          <w:lang w:eastAsia="zh-CN"/>
        </w:rPr>
        <w:tab/>
      </w:r>
      <w:r>
        <w:rPr>
          <w:rFonts w:eastAsia="宋体" w:asciiTheme="majorHAnsi" w:hAnsiTheme="majorHAnsi" w:cstheme="majorHAnsi"/>
          <w:lang w:eastAsia="zh-CN"/>
        </w:rPr>
        <w:t xml:space="preserve">Scavo, M. P. et al. The oleic/palmitic acid imbalance in exosomes isolated from NAFLD patients induces necroptosis of liver cells via the elongase-6/RIP-1 pathway. </w:t>
      </w:r>
      <w:r>
        <w:rPr>
          <w:rFonts w:asciiTheme="majorHAnsi" w:hAnsiTheme="majorHAnsi" w:cstheme="majorHAnsi"/>
          <w:i/>
        </w:rPr>
        <w:t xml:space="preserve">Cell Death </w:t>
      </w:r>
      <w:r>
        <w:rPr>
          <w:rFonts w:eastAsia="宋体" w:asciiTheme="majorHAnsi" w:hAnsiTheme="majorHAnsi" w:cstheme="majorHAnsi"/>
          <w:i/>
          <w:iCs/>
          <w:lang w:eastAsia="zh-CN"/>
        </w:rPr>
        <w:t>Dis</w:t>
      </w:r>
      <w:r>
        <w:rPr>
          <w:rFonts w:eastAsia="宋体" w:asciiTheme="majorHAnsi" w:hAnsiTheme="majorHAnsi" w:cstheme="majorHAnsi"/>
          <w:lang w:eastAsia="zh-CN"/>
        </w:rPr>
        <w:t xml:space="preserve">. </w:t>
      </w:r>
      <w:r>
        <w:rPr>
          <w:rFonts w:asciiTheme="majorHAnsi" w:hAnsiTheme="majorHAnsi" w:cstheme="majorHAnsi"/>
          <w:b/>
        </w:rPr>
        <w:t>14</w:t>
      </w:r>
      <w:r>
        <w:rPr>
          <w:rFonts w:eastAsia="宋体" w:asciiTheme="majorHAnsi" w:hAnsiTheme="majorHAnsi" w:cstheme="majorHAnsi"/>
          <w:lang w:eastAsia="zh-CN"/>
        </w:rPr>
        <w:t xml:space="preserve"> (9), 635 (2023).</w:t>
      </w:r>
    </w:p>
    <w:p>
      <w:pPr>
        <w:pStyle w:val="31"/>
        <w:rPr>
          <w:rFonts w:eastAsia="宋体" w:asciiTheme="majorHAnsi" w:hAnsiTheme="majorHAnsi" w:cstheme="majorHAnsi"/>
          <w:lang w:eastAsia="zh-CN"/>
        </w:rPr>
      </w:pPr>
      <w:r>
        <w:rPr>
          <w:rFonts w:eastAsia="宋体" w:asciiTheme="majorHAnsi" w:hAnsiTheme="majorHAnsi" w:cstheme="majorHAnsi"/>
          <w:lang w:eastAsia="zh-CN"/>
        </w:rPr>
        <w:t>37.</w:t>
      </w:r>
      <w:r>
        <w:rPr>
          <w:rFonts w:eastAsia="宋体" w:asciiTheme="majorHAnsi" w:hAnsiTheme="majorHAnsi" w:cstheme="majorHAnsi"/>
          <w:lang w:eastAsia="zh-CN"/>
        </w:rPr>
        <w:tab/>
      </w:r>
      <w:r>
        <w:rPr>
          <w:rFonts w:eastAsia="宋体" w:asciiTheme="majorHAnsi" w:hAnsiTheme="majorHAnsi" w:cstheme="majorHAnsi"/>
          <w:lang w:eastAsia="zh-CN"/>
        </w:rPr>
        <w:t xml:space="preserve">Chavez-Tapia, N. C., Rosso, N., Tiribelli, C. Effect of intracellular lipid accumulation in a new model of non-alcoholic fatty liver disease. </w:t>
      </w:r>
      <w:r>
        <w:rPr>
          <w:rFonts w:asciiTheme="majorHAnsi" w:hAnsiTheme="majorHAnsi" w:cstheme="majorHAnsi"/>
          <w:i/>
        </w:rPr>
        <w:t xml:space="preserve">BMC </w:t>
      </w:r>
      <w:r>
        <w:rPr>
          <w:rFonts w:eastAsia="宋体" w:asciiTheme="majorHAnsi" w:hAnsiTheme="majorHAnsi" w:cstheme="majorHAnsi"/>
          <w:i/>
          <w:iCs/>
          <w:lang w:eastAsia="zh-CN"/>
        </w:rPr>
        <w:t>Gastroenterol</w:t>
      </w:r>
      <w:r>
        <w:rPr>
          <w:rFonts w:eastAsia="宋体" w:asciiTheme="majorHAnsi" w:hAnsiTheme="majorHAnsi" w:cstheme="majorHAnsi"/>
          <w:lang w:eastAsia="zh-CN"/>
        </w:rPr>
        <w:t xml:space="preserve">. </w:t>
      </w:r>
      <w:r>
        <w:rPr>
          <w:rFonts w:asciiTheme="majorHAnsi" w:hAnsiTheme="majorHAnsi" w:cstheme="majorHAnsi"/>
          <w:b/>
        </w:rPr>
        <w:t>12</w:t>
      </w:r>
      <w:r>
        <w:rPr>
          <w:rFonts w:eastAsia="宋体" w:asciiTheme="majorHAnsi" w:hAnsiTheme="majorHAnsi" w:cstheme="majorHAnsi"/>
          <w:lang w:eastAsia="zh-CN"/>
        </w:rPr>
        <w:t>, 20 (2012).</w:t>
      </w:r>
    </w:p>
    <w:p>
      <w:pPr>
        <w:pStyle w:val="31"/>
        <w:rPr>
          <w:rFonts w:eastAsia="宋体" w:asciiTheme="majorHAnsi" w:hAnsiTheme="majorHAnsi" w:cstheme="majorHAnsi"/>
          <w:lang w:eastAsia="zh-CN"/>
        </w:rPr>
      </w:pPr>
      <w:r>
        <w:rPr>
          <w:rFonts w:eastAsia="宋体" w:asciiTheme="majorHAnsi" w:hAnsiTheme="majorHAnsi" w:cstheme="majorHAnsi"/>
          <w:lang w:eastAsia="zh-CN"/>
        </w:rPr>
        <w:t>38.</w:t>
      </w:r>
      <w:r>
        <w:rPr>
          <w:rFonts w:eastAsia="宋体" w:asciiTheme="majorHAnsi" w:hAnsiTheme="majorHAnsi" w:cstheme="majorHAnsi"/>
          <w:lang w:eastAsia="zh-CN"/>
        </w:rPr>
        <w:tab/>
      </w:r>
      <w:r>
        <w:rPr>
          <w:rFonts w:eastAsia="宋体" w:asciiTheme="majorHAnsi" w:hAnsiTheme="majorHAnsi" w:cstheme="majorHAnsi"/>
          <w:lang w:eastAsia="zh-CN"/>
        </w:rPr>
        <w:t xml:space="preserve">Ricchi, M. et al. Differential effect of oleic and palmitic acid on lipid accumulation and apoptosis in cultured hepatocytes. </w:t>
      </w:r>
      <w:r>
        <w:rPr>
          <w:rFonts w:eastAsia="宋体" w:asciiTheme="majorHAnsi" w:hAnsiTheme="majorHAnsi" w:cstheme="majorHAnsi"/>
          <w:i/>
          <w:iCs/>
          <w:lang w:eastAsia="zh-CN"/>
        </w:rPr>
        <w:t>J Gastroenterol Hepatol</w:t>
      </w:r>
      <w:r>
        <w:rPr>
          <w:rFonts w:eastAsia="宋体" w:asciiTheme="majorHAnsi" w:hAnsiTheme="majorHAnsi" w:cstheme="majorHAnsi"/>
          <w:lang w:eastAsia="zh-CN"/>
        </w:rPr>
        <w:t xml:space="preserve">. </w:t>
      </w:r>
      <w:r>
        <w:rPr>
          <w:rFonts w:asciiTheme="majorHAnsi" w:hAnsiTheme="majorHAnsi" w:cstheme="majorHAnsi"/>
          <w:b/>
        </w:rPr>
        <w:t>24</w:t>
      </w:r>
      <w:r>
        <w:rPr>
          <w:rFonts w:eastAsia="宋体" w:asciiTheme="majorHAnsi" w:hAnsiTheme="majorHAnsi" w:cstheme="majorHAnsi"/>
          <w:lang w:eastAsia="zh-CN"/>
        </w:rPr>
        <w:t xml:space="preserve"> (5), 830-840 (2009).</w:t>
      </w:r>
    </w:p>
    <w:p>
      <w:pPr>
        <w:pStyle w:val="31"/>
        <w:rPr>
          <w:rFonts w:eastAsia="宋体" w:asciiTheme="majorHAnsi" w:hAnsiTheme="majorHAnsi" w:cstheme="majorHAnsi"/>
          <w:lang w:eastAsia="zh-CN"/>
        </w:rPr>
      </w:pPr>
    </w:p>
    <w:sectPr>
      <w:headerReference r:id="rId6" w:type="first"/>
      <w:headerReference r:id="rId4" w:type="default"/>
      <w:footerReference r:id="rId7" w:type="default"/>
      <w:headerReference r:id="rId5" w:type="even"/>
      <w:footerReference r:id="rId8"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pPr>
        <w:pStyle w:val="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swiss"/>
    <w:pitch w:val="default"/>
    <w:sig w:usb0="E10022FF" w:usb1="C000E47F" w:usb2="00000029" w:usb3="00000000" w:csb0="200001DF" w:csb1="2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4C52A"/>
    <w:multiLevelType w:val="singleLevel"/>
    <w:tmpl w:val="9CA4C52A"/>
    <w:lvl w:ilvl="0" w:tentative="0">
      <w:start w:val="1"/>
      <w:numFmt w:val="decimal"/>
      <w:suff w:val="space"/>
      <w:lvlText w:val="%1."/>
      <w:lvlJc w:val="left"/>
    </w:lvl>
  </w:abstractNum>
  <w:abstractNum w:abstractNumId="1">
    <w:nsid w:val="AE29EE1B"/>
    <w:multiLevelType w:val="singleLevel"/>
    <w:tmpl w:val="AE29EE1B"/>
    <w:lvl w:ilvl="0" w:tentative="0">
      <w:start w:val="2"/>
      <w:numFmt w:val="decimal"/>
      <w:lvlText w:val="%1."/>
      <w:lvlJc w:val="left"/>
      <w:pPr>
        <w:tabs>
          <w:tab w:val="left" w:pos="312"/>
        </w:tabs>
      </w:pPr>
    </w:lvl>
  </w:abstractNum>
  <w:abstractNum w:abstractNumId="2">
    <w:nsid w:val="05900EFB"/>
    <w:multiLevelType w:val="multilevel"/>
    <w:tmpl w:val="05900EFB"/>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documentProtection w:enforcement="0"/>
  <w:defaultTabStop w:val="720"/>
  <w:hyphenationZone w:val="141"/>
  <w:noPunctuationKerning w:val="1"/>
  <w:characterSpacingControl w:val="doNotCompress"/>
  <w:endnotePr>
    <w:endnote w:id="2"/>
    <w:endnote w:id="3"/>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rQUA92UPfSwAAAA="/>
    <w:docVar w:name="commondata" w:val="eyJoZGlkIjoiNTI1NGY3ODUyMjMwODIzYzA1YzAzOWM3YzVkZDM3NWYifQ=="/>
    <w:docVar w:name="EN.InstantFormat" w:val="&lt;ENInstantFormat&gt;&lt;Enabled&gt;1&lt;/Enabled&gt;&lt;ScanUnformatted&gt;1&lt;/ScanUnformatted&gt;&lt;ScanChanges&gt;1&lt;/ScanChanges&gt;&lt;Suspended&gt;0&lt;/Suspended&gt;&lt;/ENInstantFormat&gt;"/>
    <w:docVar w:name="EN.Layout" w:val="&lt;ENLayout&gt;&lt;Style&gt;Scienc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2e50p90f5drrervp7pssa1x0d9wfpppdxs&quot;&gt;Untitled&lt;record-ids&gt;&lt;item&gt;13&lt;/item&gt;&lt;/record-ids&gt;&lt;/item&gt;&lt;/Libraries&gt;"/>
  </w:docVars>
  <w:rsids>
    <w:rsidRoot w:val="006E4797"/>
    <w:rsid w:val="000005CB"/>
    <w:rsid w:val="0004355D"/>
    <w:rsid w:val="00047332"/>
    <w:rsid w:val="00052032"/>
    <w:rsid w:val="00061E0E"/>
    <w:rsid w:val="0007506F"/>
    <w:rsid w:val="000766E1"/>
    <w:rsid w:val="00076815"/>
    <w:rsid w:val="00082A5F"/>
    <w:rsid w:val="000837AD"/>
    <w:rsid w:val="00091F82"/>
    <w:rsid w:val="00096F04"/>
    <w:rsid w:val="000B41B6"/>
    <w:rsid w:val="000E2ABF"/>
    <w:rsid w:val="000E4C51"/>
    <w:rsid w:val="00132534"/>
    <w:rsid w:val="00136DD7"/>
    <w:rsid w:val="001446FA"/>
    <w:rsid w:val="00146141"/>
    <w:rsid w:val="00166C83"/>
    <w:rsid w:val="00181B01"/>
    <w:rsid w:val="00194C04"/>
    <w:rsid w:val="001A6B59"/>
    <w:rsid w:val="001B4647"/>
    <w:rsid w:val="001D4630"/>
    <w:rsid w:val="00210DD6"/>
    <w:rsid w:val="00242ACD"/>
    <w:rsid w:val="00252077"/>
    <w:rsid w:val="00256763"/>
    <w:rsid w:val="002927DA"/>
    <w:rsid w:val="002F68B9"/>
    <w:rsid w:val="00302671"/>
    <w:rsid w:val="003048CE"/>
    <w:rsid w:val="0031658E"/>
    <w:rsid w:val="00351087"/>
    <w:rsid w:val="00371A7D"/>
    <w:rsid w:val="00381401"/>
    <w:rsid w:val="00386738"/>
    <w:rsid w:val="003A6F6F"/>
    <w:rsid w:val="003C599E"/>
    <w:rsid w:val="003E7C2F"/>
    <w:rsid w:val="00400117"/>
    <w:rsid w:val="00400D34"/>
    <w:rsid w:val="00401734"/>
    <w:rsid w:val="0040579A"/>
    <w:rsid w:val="0041014A"/>
    <w:rsid w:val="00410CBC"/>
    <w:rsid w:val="00475ABE"/>
    <w:rsid w:val="004976EE"/>
    <w:rsid w:val="004A264F"/>
    <w:rsid w:val="004B0E24"/>
    <w:rsid w:val="004C0985"/>
    <w:rsid w:val="004D362E"/>
    <w:rsid w:val="004F0DA2"/>
    <w:rsid w:val="00513CCF"/>
    <w:rsid w:val="00515414"/>
    <w:rsid w:val="00551D82"/>
    <w:rsid w:val="00556AA4"/>
    <w:rsid w:val="00562D47"/>
    <w:rsid w:val="00563BB4"/>
    <w:rsid w:val="00575E55"/>
    <w:rsid w:val="005832F5"/>
    <w:rsid w:val="00585BEC"/>
    <w:rsid w:val="005A2769"/>
    <w:rsid w:val="005A3A9A"/>
    <w:rsid w:val="005A708A"/>
    <w:rsid w:val="005E06E4"/>
    <w:rsid w:val="005E7E06"/>
    <w:rsid w:val="005F1AAA"/>
    <w:rsid w:val="00615035"/>
    <w:rsid w:val="00622578"/>
    <w:rsid w:val="00634672"/>
    <w:rsid w:val="006755EE"/>
    <w:rsid w:val="006824BF"/>
    <w:rsid w:val="00694599"/>
    <w:rsid w:val="00695265"/>
    <w:rsid w:val="006E4797"/>
    <w:rsid w:val="006E4949"/>
    <w:rsid w:val="006F3BBE"/>
    <w:rsid w:val="0070444F"/>
    <w:rsid w:val="007135E1"/>
    <w:rsid w:val="00714BE0"/>
    <w:rsid w:val="0075122F"/>
    <w:rsid w:val="007908CE"/>
    <w:rsid w:val="007A6F73"/>
    <w:rsid w:val="007B0D06"/>
    <w:rsid w:val="007D6BE0"/>
    <w:rsid w:val="007D7352"/>
    <w:rsid w:val="007F2030"/>
    <w:rsid w:val="00801130"/>
    <w:rsid w:val="0081604A"/>
    <w:rsid w:val="008264EF"/>
    <w:rsid w:val="0083151D"/>
    <w:rsid w:val="00840FCC"/>
    <w:rsid w:val="0084406C"/>
    <w:rsid w:val="008461C6"/>
    <w:rsid w:val="0085666A"/>
    <w:rsid w:val="00865FE9"/>
    <w:rsid w:val="008710FB"/>
    <w:rsid w:val="008B35D2"/>
    <w:rsid w:val="008B7484"/>
    <w:rsid w:val="008C56C9"/>
    <w:rsid w:val="008F383C"/>
    <w:rsid w:val="0090230E"/>
    <w:rsid w:val="00932DE4"/>
    <w:rsid w:val="00976716"/>
    <w:rsid w:val="00976B13"/>
    <w:rsid w:val="00983ECC"/>
    <w:rsid w:val="00994F50"/>
    <w:rsid w:val="009A76D8"/>
    <w:rsid w:val="009B0625"/>
    <w:rsid w:val="009B3B9B"/>
    <w:rsid w:val="009C5299"/>
    <w:rsid w:val="009D4BAE"/>
    <w:rsid w:val="00A1684A"/>
    <w:rsid w:val="00A33D8D"/>
    <w:rsid w:val="00A5590E"/>
    <w:rsid w:val="00A97DFE"/>
    <w:rsid w:val="00AD1CE7"/>
    <w:rsid w:val="00B2401E"/>
    <w:rsid w:val="00B91A6D"/>
    <w:rsid w:val="00B967BF"/>
    <w:rsid w:val="00BA16DE"/>
    <w:rsid w:val="00BE22A2"/>
    <w:rsid w:val="00BE3F01"/>
    <w:rsid w:val="00BE717D"/>
    <w:rsid w:val="00BE779A"/>
    <w:rsid w:val="00C11D93"/>
    <w:rsid w:val="00C459AC"/>
    <w:rsid w:val="00C550F3"/>
    <w:rsid w:val="00C652D8"/>
    <w:rsid w:val="00CA1190"/>
    <w:rsid w:val="00CB1713"/>
    <w:rsid w:val="00CD5D38"/>
    <w:rsid w:val="00D02D53"/>
    <w:rsid w:val="00D05946"/>
    <w:rsid w:val="00D5118A"/>
    <w:rsid w:val="00D60C62"/>
    <w:rsid w:val="00D61318"/>
    <w:rsid w:val="00D831D0"/>
    <w:rsid w:val="00D977C1"/>
    <w:rsid w:val="00DD0D2A"/>
    <w:rsid w:val="00DE1B97"/>
    <w:rsid w:val="00DE2C59"/>
    <w:rsid w:val="00DE61DB"/>
    <w:rsid w:val="00DF40D9"/>
    <w:rsid w:val="00DF58A2"/>
    <w:rsid w:val="00E1788B"/>
    <w:rsid w:val="00E27EBF"/>
    <w:rsid w:val="00E60DF2"/>
    <w:rsid w:val="00E66F73"/>
    <w:rsid w:val="00E852AC"/>
    <w:rsid w:val="00E92833"/>
    <w:rsid w:val="00EB1E68"/>
    <w:rsid w:val="00EB450B"/>
    <w:rsid w:val="00ED6108"/>
    <w:rsid w:val="00F0562E"/>
    <w:rsid w:val="00F13737"/>
    <w:rsid w:val="00F70053"/>
    <w:rsid w:val="00F74C08"/>
    <w:rsid w:val="00F77D38"/>
    <w:rsid w:val="00F95DE2"/>
    <w:rsid w:val="00FA6C9C"/>
    <w:rsid w:val="00FD37B2"/>
    <w:rsid w:val="02285C28"/>
    <w:rsid w:val="02B4387F"/>
    <w:rsid w:val="02E1151B"/>
    <w:rsid w:val="038F1214"/>
    <w:rsid w:val="03D56C0E"/>
    <w:rsid w:val="04AB70F7"/>
    <w:rsid w:val="056000ED"/>
    <w:rsid w:val="058B2C36"/>
    <w:rsid w:val="07972AF0"/>
    <w:rsid w:val="091345FD"/>
    <w:rsid w:val="09CE0E98"/>
    <w:rsid w:val="0AE61DC4"/>
    <w:rsid w:val="0B0035CA"/>
    <w:rsid w:val="0B205226"/>
    <w:rsid w:val="0CD563F7"/>
    <w:rsid w:val="0D2A621F"/>
    <w:rsid w:val="0D605732"/>
    <w:rsid w:val="0FE35A61"/>
    <w:rsid w:val="10ED552F"/>
    <w:rsid w:val="1122342A"/>
    <w:rsid w:val="14172FEE"/>
    <w:rsid w:val="145C30F7"/>
    <w:rsid w:val="152841C1"/>
    <w:rsid w:val="16197822"/>
    <w:rsid w:val="167E55A7"/>
    <w:rsid w:val="17214184"/>
    <w:rsid w:val="181E147C"/>
    <w:rsid w:val="19E03D89"/>
    <w:rsid w:val="1ADC6D40"/>
    <w:rsid w:val="1AF04599"/>
    <w:rsid w:val="1B862F94"/>
    <w:rsid w:val="1BE51FCD"/>
    <w:rsid w:val="1CC15967"/>
    <w:rsid w:val="1D0165EA"/>
    <w:rsid w:val="1D44297A"/>
    <w:rsid w:val="1DDA06AC"/>
    <w:rsid w:val="1FF8397B"/>
    <w:rsid w:val="21635451"/>
    <w:rsid w:val="21705F80"/>
    <w:rsid w:val="21F404A7"/>
    <w:rsid w:val="220F3C24"/>
    <w:rsid w:val="22F132C7"/>
    <w:rsid w:val="23060D8C"/>
    <w:rsid w:val="230950FD"/>
    <w:rsid w:val="233E3694"/>
    <w:rsid w:val="25710085"/>
    <w:rsid w:val="25AB5145"/>
    <w:rsid w:val="266009E6"/>
    <w:rsid w:val="26915AE8"/>
    <w:rsid w:val="26C0333C"/>
    <w:rsid w:val="27532294"/>
    <w:rsid w:val="27973A7C"/>
    <w:rsid w:val="280E6A7D"/>
    <w:rsid w:val="288247C1"/>
    <w:rsid w:val="2A01368C"/>
    <w:rsid w:val="2A6653A5"/>
    <w:rsid w:val="2A721913"/>
    <w:rsid w:val="2DD37B2E"/>
    <w:rsid w:val="2DD67B47"/>
    <w:rsid w:val="2F3C1703"/>
    <w:rsid w:val="318318B0"/>
    <w:rsid w:val="34965CCF"/>
    <w:rsid w:val="351E2AB9"/>
    <w:rsid w:val="357330D8"/>
    <w:rsid w:val="37253E1F"/>
    <w:rsid w:val="37A36AD3"/>
    <w:rsid w:val="37F92E5F"/>
    <w:rsid w:val="3A1D1BCE"/>
    <w:rsid w:val="3A233BEC"/>
    <w:rsid w:val="3AA21F1A"/>
    <w:rsid w:val="3BC5652E"/>
    <w:rsid w:val="3F9B0F1B"/>
    <w:rsid w:val="3FA2524A"/>
    <w:rsid w:val="40980764"/>
    <w:rsid w:val="410754CE"/>
    <w:rsid w:val="414F52C6"/>
    <w:rsid w:val="41F235E8"/>
    <w:rsid w:val="43BB1407"/>
    <w:rsid w:val="444930B7"/>
    <w:rsid w:val="447819F1"/>
    <w:rsid w:val="44FD54F4"/>
    <w:rsid w:val="4550785F"/>
    <w:rsid w:val="46B61944"/>
    <w:rsid w:val="470923BB"/>
    <w:rsid w:val="47F14FBA"/>
    <w:rsid w:val="4B15783A"/>
    <w:rsid w:val="4B9A7A86"/>
    <w:rsid w:val="4C1E06B7"/>
    <w:rsid w:val="4CA855E7"/>
    <w:rsid w:val="4DE9156D"/>
    <w:rsid w:val="50C625CD"/>
    <w:rsid w:val="51986815"/>
    <w:rsid w:val="51BA2C7C"/>
    <w:rsid w:val="54FE7F22"/>
    <w:rsid w:val="56973C74"/>
    <w:rsid w:val="57D15342"/>
    <w:rsid w:val="59776234"/>
    <w:rsid w:val="5A370B3A"/>
    <w:rsid w:val="5C365A8B"/>
    <w:rsid w:val="5CF96C43"/>
    <w:rsid w:val="5D71511D"/>
    <w:rsid w:val="5E706C06"/>
    <w:rsid w:val="5E7778E2"/>
    <w:rsid w:val="5F6706E3"/>
    <w:rsid w:val="615B2611"/>
    <w:rsid w:val="61CE5201"/>
    <w:rsid w:val="62EC717B"/>
    <w:rsid w:val="63ED4609"/>
    <w:rsid w:val="642E656B"/>
    <w:rsid w:val="64D60B6B"/>
    <w:rsid w:val="65B975D9"/>
    <w:rsid w:val="65E240AB"/>
    <w:rsid w:val="67027FFB"/>
    <w:rsid w:val="67B1643E"/>
    <w:rsid w:val="6AD6255B"/>
    <w:rsid w:val="6BCA545D"/>
    <w:rsid w:val="6F7264A0"/>
    <w:rsid w:val="6FC258E8"/>
    <w:rsid w:val="6FF70753"/>
    <w:rsid w:val="708B22CB"/>
    <w:rsid w:val="71B763EC"/>
    <w:rsid w:val="71D260B4"/>
    <w:rsid w:val="72EA3C3A"/>
    <w:rsid w:val="73C22DCA"/>
    <w:rsid w:val="77A42000"/>
    <w:rsid w:val="77AA63B1"/>
    <w:rsid w:val="77F43EF6"/>
    <w:rsid w:val="78992912"/>
    <w:rsid w:val="792E3438"/>
    <w:rsid w:val="79E61F64"/>
    <w:rsid w:val="7ABE07EB"/>
    <w:rsid w:val="7B0A534B"/>
    <w:rsid w:val="7CEA58C8"/>
    <w:rsid w:val="7EA9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autoRedefine/>
    <w:qFormat/>
    <w:uiPriority w:val="9"/>
    <w:pPr>
      <w:keepNext/>
      <w:spacing w:before="240" w:after="60"/>
      <w:outlineLvl w:val="0"/>
    </w:pPr>
    <w:rPr>
      <w:b/>
      <w:sz w:val="28"/>
      <w:szCs w:val="28"/>
    </w:rPr>
  </w:style>
  <w:style w:type="paragraph" w:styleId="3">
    <w:name w:val="heading 2"/>
    <w:basedOn w:val="1"/>
    <w:next w:val="1"/>
    <w:autoRedefine/>
    <w:semiHidden/>
    <w:unhideWhenUsed/>
    <w:qFormat/>
    <w:uiPriority w:val="9"/>
    <w:pPr>
      <w:keepNext/>
      <w:outlineLvl w:val="1"/>
    </w:pPr>
    <w:rPr>
      <w:b/>
    </w:rPr>
  </w:style>
  <w:style w:type="paragraph" w:styleId="4">
    <w:name w:val="heading 3"/>
    <w:basedOn w:val="1"/>
    <w:next w:val="1"/>
    <w:autoRedefine/>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autoRedefine/>
    <w:semiHidden/>
    <w:unhideWhenUsed/>
    <w:qFormat/>
    <w:uiPriority w:val="9"/>
    <w:pPr>
      <w:keepNext/>
      <w:keepLines/>
      <w:spacing w:before="240" w:after="40"/>
      <w:outlineLvl w:val="3"/>
    </w:pPr>
    <w:rPr>
      <w:b/>
    </w:rPr>
  </w:style>
  <w:style w:type="paragraph" w:styleId="6">
    <w:name w:val="heading 5"/>
    <w:basedOn w:val="1"/>
    <w:next w:val="1"/>
    <w:autoRedefine/>
    <w:semiHidden/>
    <w:unhideWhenUsed/>
    <w:qFormat/>
    <w:uiPriority w:val="9"/>
    <w:pPr>
      <w:keepNext/>
      <w:keepLines/>
      <w:spacing w:before="220" w:after="40"/>
      <w:outlineLvl w:val="4"/>
    </w:pPr>
    <w:rPr>
      <w:b/>
      <w:sz w:val="22"/>
      <w:szCs w:val="22"/>
    </w:rPr>
  </w:style>
  <w:style w:type="paragraph" w:styleId="7">
    <w:name w:val="heading 6"/>
    <w:basedOn w:val="1"/>
    <w:next w:val="1"/>
    <w:autoRedefine/>
    <w:semiHidden/>
    <w:unhideWhenUsed/>
    <w:qFormat/>
    <w:uiPriority w:val="9"/>
    <w:pPr>
      <w:keepNext/>
      <w:keepLines/>
      <w:spacing w:before="200" w:after="40"/>
      <w:outlineLvl w:val="5"/>
    </w:pPr>
    <w:rPr>
      <w:b/>
      <w:sz w:val="20"/>
      <w:szCs w:val="20"/>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33"/>
    <w:unhideWhenUsed/>
    <w:qFormat/>
    <w:uiPriority w:val="99"/>
    <w:pPr>
      <w:jc w:val="left"/>
    </w:pPr>
  </w:style>
  <w:style w:type="paragraph" w:styleId="9">
    <w:name w:val="endnote text"/>
    <w:basedOn w:val="1"/>
    <w:autoRedefine/>
    <w:semiHidden/>
    <w:unhideWhenUsed/>
    <w:qFormat/>
    <w:uiPriority w:val="99"/>
    <w:pPr>
      <w:snapToGrid w:val="0"/>
      <w:jc w:val="left"/>
    </w:pPr>
  </w:style>
  <w:style w:type="paragraph" w:styleId="10">
    <w:name w:val="Balloon Text"/>
    <w:basedOn w:val="1"/>
    <w:link w:val="35"/>
    <w:semiHidden/>
    <w:unhideWhenUsed/>
    <w:qFormat/>
    <w:uiPriority w:val="99"/>
    <w:rPr>
      <w:rFonts w:ascii="Segoe UI" w:hAnsi="Segoe UI" w:cs="Segoe UI"/>
      <w:sz w:val="18"/>
      <w:szCs w:val="18"/>
    </w:rPr>
  </w:style>
  <w:style w:type="paragraph" w:styleId="11">
    <w:name w:val="footer"/>
    <w:basedOn w:val="1"/>
    <w:link w:val="26"/>
    <w:autoRedefine/>
    <w:unhideWhenUsed/>
    <w:qFormat/>
    <w:uiPriority w:val="99"/>
    <w:pPr>
      <w:tabs>
        <w:tab w:val="center" w:pos="4680"/>
        <w:tab w:val="right" w:pos="9360"/>
      </w:tabs>
    </w:pPr>
  </w:style>
  <w:style w:type="paragraph" w:styleId="12">
    <w:name w:val="Subtitle"/>
    <w:basedOn w:val="1"/>
    <w:next w:val="1"/>
    <w:autoRedefine/>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autoRedefine/>
    <w:semiHidden/>
    <w:unhideWhenUsed/>
    <w:qFormat/>
    <w:uiPriority w:val="99"/>
    <w:pPr>
      <w:spacing w:beforeAutospacing="1" w:afterAutospacing="1"/>
      <w:jc w:val="left"/>
    </w:pPr>
    <w:rPr>
      <w:rFonts w:cs="Times New Roman"/>
      <w:lang w:eastAsia="zh-CN"/>
    </w:rPr>
  </w:style>
  <w:style w:type="paragraph" w:styleId="14">
    <w:name w:val="Title"/>
    <w:basedOn w:val="1"/>
    <w:next w:val="1"/>
    <w:autoRedefine/>
    <w:qFormat/>
    <w:uiPriority w:val="10"/>
    <w:pPr>
      <w:keepNext/>
      <w:keepLines/>
      <w:spacing w:before="480" w:after="120"/>
    </w:pPr>
    <w:rPr>
      <w:b/>
      <w:sz w:val="72"/>
      <w:szCs w:val="72"/>
    </w:rPr>
  </w:style>
  <w:style w:type="paragraph" w:styleId="15">
    <w:name w:val="annotation subject"/>
    <w:basedOn w:val="8"/>
    <w:next w:val="8"/>
    <w:link w:val="34"/>
    <w:semiHidden/>
    <w:unhideWhenUsed/>
    <w:qFormat/>
    <w:uiPriority w:val="99"/>
    <w:pPr>
      <w:jc w:val="both"/>
    </w:pPr>
    <w:rPr>
      <w:b/>
      <w:bCs/>
      <w:sz w:val="20"/>
      <w:szCs w:val="20"/>
    </w:rPr>
  </w:style>
  <w:style w:type="character" w:styleId="18">
    <w:name w:val="Strong"/>
    <w:basedOn w:val="17"/>
    <w:autoRedefine/>
    <w:qFormat/>
    <w:uiPriority w:val="22"/>
    <w:rPr>
      <w:b/>
    </w:rPr>
  </w:style>
  <w:style w:type="character" w:styleId="19">
    <w:name w:val="endnote reference"/>
    <w:basedOn w:val="17"/>
    <w:autoRedefine/>
    <w:semiHidden/>
    <w:unhideWhenUsed/>
    <w:qFormat/>
    <w:uiPriority w:val="99"/>
    <w:rPr>
      <w:vertAlign w:val="superscript"/>
    </w:rPr>
  </w:style>
  <w:style w:type="character" w:styleId="20">
    <w:name w:val="FollowedHyperlink"/>
    <w:basedOn w:val="17"/>
    <w:autoRedefine/>
    <w:semiHidden/>
    <w:unhideWhenUsed/>
    <w:qFormat/>
    <w:uiPriority w:val="99"/>
    <w:rPr>
      <w:color w:val="800080" w:themeColor="followedHyperlink"/>
      <w:u w:val="single"/>
      <w14:textFill>
        <w14:solidFill>
          <w14:schemeClr w14:val="folHlink"/>
        </w14:solidFill>
      </w14:textFill>
    </w:rPr>
  </w:style>
  <w:style w:type="character" w:styleId="21">
    <w:name w:val="Emphasis"/>
    <w:basedOn w:val="17"/>
    <w:autoRedefine/>
    <w:qFormat/>
    <w:uiPriority w:val="0"/>
    <w:rPr>
      <w:i/>
    </w:rPr>
  </w:style>
  <w:style w:type="character" w:styleId="22">
    <w:name w:val="line number"/>
    <w:basedOn w:val="17"/>
    <w:autoRedefine/>
    <w:semiHidden/>
    <w:unhideWhenUsed/>
    <w:qFormat/>
    <w:uiPriority w:val="99"/>
  </w:style>
  <w:style w:type="character" w:styleId="23">
    <w:name w:val="Hyperlink"/>
    <w:basedOn w:val="17"/>
    <w:autoRedefine/>
    <w:unhideWhenUsed/>
    <w:qFormat/>
    <w:uiPriority w:val="99"/>
    <w:rPr>
      <w:color w:val="0000FF" w:themeColor="hyperlink"/>
      <w:u w:val="single"/>
      <w14:textFill>
        <w14:solidFill>
          <w14:schemeClr w14:val="hlink"/>
        </w14:solidFill>
      </w14:textFill>
    </w:rPr>
  </w:style>
  <w:style w:type="character" w:styleId="24">
    <w:name w:val="annotation reference"/>
    <w:basedOn w:val="17"/>
    <w:qFormat/>
    <w:uiPriority w:val="0"/>
    <w:rPr>
      <w:sz w:val="16"/>
      <w:szCs w:val="16"/>
    </w:rPr>
  </w:style>
  <w:style w:type="character" w:customStyle="1" w:styleId="25">
    <w:name w:val="Unresolved Mention1"/>
    <w:basedOn w:val="17"/>
    <w:autoRedefine/>
    <w:semiHidden/>
    <w:unhideWhenUsed/>
    <w:qFormat/>
    <w:uiPriority w:val="99"/>
    <w:rPr>
      <w:color w:val="605E5C"/>
      <w:shd w:val="clear" w:color="auto" w:fill="E1DFDD"/>
    </w:rPr>
  </w:style>
  <w:style w:type="character" w:customStyle="1" w:styleId="26">
    <w:name w:val="Footer Char"/>
    <w:basedOn w:val="17"/>
    <w:link w:val="11"/>
    <w:autoRedefine/>
    <w:qFormat/>
    <w:uiPriority w:val="99"/>
  </w:style>
  <w:style w:type="paragraph" w:customStyle="1" w:styleId="27">
    <w:name w:val="Revision1"/>
    <w:autoRedefine/>
    <w:hidden/>
    <w:semiHidden/>
    <w:qFormat/>
    <w:uiPriority w:val="99"/>
    <w:rPr>
      <w:rFonts w:ascii="Calibri" w:hAnsi="Calibri" w:eastAsia="Calibri" w:cs="Calibri"/>
      <w:sz w:val="24"/>
      <w:szCs w:val="24"/>
      <w:lang w:val="en-US" w:eastAsia="en-US" w:bidi="ar-SA"/>
    </w:rPr>
  </w:style>
  <w:style w:type="paragraph" w:styleId="28">
    <w:name w:val="List Paragraph"/>
    <w:basedOn w:val="1"/>
    <w:autoRedefine/>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paragraph" w:styleId="29">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EndNote Bibliography Title"/>
    <w:autoRedefine/>
    <w:qFormat/>
    <w:uiPriority w:val="0"/>
    <w:pPr>
      <w:jc w:val="center"/>
    </w:pPr>
    <w:rPr>
      <w:rFonts w:ascii="Calibri" w:hAnsi="Calibri" w:eastAsia="Calibri" w:cs="Calibri"/>
      <w:sz w:val="24"/>
      <w:szCs w:val="24"/>
      <w:lang w:val="en-US" w:eastAsia="en-US" w:bidi="ar-SA"/>
    </w:rPr>
  </w:style>
  <w:style w:type="paragraph" w:customStyle="1" w:styleId="31">
    <w:name w:val="EndNote Bibliography"/>
    <w:autoRedefine/>
    <w:qFormat/>
    <w:uiPriority w:val="0"/>
    <w:pPr>
      <w:jc w:val="both"/>
    </w:pPr>
    <w:rPr>
      <w:rFonts w:ascii="Calibri" w:hAnsi="Calibri" w:eastAsia="Calibri" w:cs="Calibri"/>
      <w:sz w:val="24"/>
      <w:szCs w:val="24"/>
      <w:lang w:val="en-US" w:eastAsia="en-US" w:bidi="ar-SA"/>
    </w:rPr>
  </w:style>
  <w:style w:type="paragraph" w:customStyle="1" w:styleId="32">
    <w:name w:val="Revision2"/>
    <w:hidden/>
    <w:unhideWhenUsed/>
    <w:qFormat/>
    <w:uiPriority w:val="99"/>
    <w:rPr>
      <w:rFonts w:ascii="Calibri" w:hAnsi="Calibri" w:eastAsia="Calibri" w:cs="Calibri"/>
      <w:sz w:val="24"/>
      <w:szCs w:val="24"/>
      <w:lang w:val="en-US" w:eastAsia="en-US" w:bidi="ar-SA"/>
    </w:rPr>
  </w:style>
  <w:style w:type="character" w:customStyle="1" w:styleId="33">
    <w:name w:val="Comment Text Char"/>
    <w:basedOn w:val="17"/>
    <w:link w:val="8"/>
    <w:qFormat/>
    <w:uiPriority w:val="99"/>
    <w:rPr>
      <w:rFonts w:ascii="Calibri" w:hAnsi="Calibri" w:eastAsia="Calibri" w:cs="Calibri"/>
      <w:sz w:val="24"/>
      <w:szCs w:val="24"/>
      <w:lang w:val="en-US" w:eastAsia="en-US"/>
    </w:rPr>
  </w:style>
  <w:style w:type="character" w:customStyle="1" w:styleId="34">
    <w:name w:val="Comment Subject Char"/>
    <w:basedOn w:val="33"/>
    <w:link w:val="15"/>
    <w:semiHidden/>
    <w:qFormat/>
    <w:uiPriority w:val="99"/>
    <w:rPr>
      <w:rFonts w:ascii="Calibri" w:hAnsi="Calibri" w:eastAsia="Calibri" w:cs="Calibri"/>
      <w:b/>
      <w:bCs/>
      <w:sz w:val="24"/>
      <w:szCs w:val="24"/>
      <w:lang w:val="en-US" w:eastAsia="en-US"/>
    </w:rPr>
  </w:style>
  <w:style w:type="character" w:customStyle="1" w:styleId="35">
    <w:name w:val="Balloon Text Char"/>
    <w:basedOn w:val="17"/>
    <w:link w:val="10"/>
    <w:semiHidden/>
    <w:qFormat/>
    <w:uiPriority w:val="99"/>
    <w:rPr>
      <w:rFonts w:ascii="Segoe UI" w:hAnsi="Segoe UI" w:eastAsia="Calibri" w:cs="Segoe UI"/>
      <w:sz w:val="18"/>
      <w:szCs w:val="18"/>
      <w:lang w:val="en-US" w:eastAsia="en-US"/>
    </w:rPr>
  </w:style>
  <w:style w:type="paragraph" w:customStyle="1" w:styleId="36">
    <w:name w:val="Revision3"/>
    <w:hidden/>
    <w:unhideWhenUsed/>
    <w:qFormat/>
    <w:uiPriority w:val="99"/>
    <w:rPr>
      <w:rFonts w:ascii="Calibri" w:hAnsi="Calibri" w:eastAsia="Calibri" w:cs="Calibri"/>
      <w:sz w:val="24"/>
      <w:szCs w:val="24"/>
      <w:lang w:val="en-US" w:eastAsia="en-US" w:bidi="ar-SA"/>
    </w:rPr>
  </w:style>
  <w:style w:type="paragraph" w:customStyle="1" w:styleId="37">
    <w:name w:val="Revision"/>
    <w:hidden/>
    <w:unhideWhenUsed/>
    <w:qFormat/>
    <w:uiPriority w:val="99"/>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endnotes" Target="end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3808</Words>
  <Characters>20455</Characters>
  <Lines>173</Lines>
  <Paragraphs>48</Paragraphs>
  <TotalTime>12</TotalTime>
  <ScaleCrop>false</ScaleCrop>
  <LinksUpToDate>false</LinksUpToDate>
  <CharactersWithSpaces>24264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2024-07-06T05:48:00Z</dcterms:created>
  <dcterms:modified xsi:type="dcterms:W3CDTF">2024-07-09T10:47:23Z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2052-12.1.0.16929</vt:lpwstr>
  </property>
  <property fmtid="{D5CDD505-2E9C-101B-9397-08002B2CF9AE}" pid="4" name="ICV">
    <vt:lpwstr>258AF41B06EF4E62A7E9BE4A6567552A_13</vt:lpwstr>
  </property>
</Properties>
</file>