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7121" w14:textId="496C6EA1" w:rsidR="000E22A1" w:rsidRPr="00570E50" w:rsidRDefault="000E22A1" w:rsidP="00570E50">
      <w:pPr>
        <w:rPr>
          <w:b/>
          <w:bCs/>
        </w:rPr>
      </w:pPr>
      <w:bookmarkStart w:id="0" w:name="OLE_LINK1"/>
      <w:r w:rsidRPr="00570E50">
        <w:rPr>
          <w:b/>
          <w:bCs/>
        </w:rPr>
        <w:t xml:space="preserve">TITLE: </w:t>
      </w:r>
    </w:p>
    <w:p w14:paraId="615067EB" w14:textId="13CF1579" w:rsidR="00746396" w:rsidRPr="00570E50" w:rsidRDefault="00570E50" w:rsidP="00570E50">
      <w:r w:rsidRPr="00570E50">
        <w:t>A 3D Quantification Technique for Liver Fat Fraction Distribution Analysis Using Dixon Magnetic Resonance Imaging</w:t>
      </w:r>
    </w:p>
    <w:p w14:paraId="753BA90B" w14:textId="77777777" w:rsidR="00570E50" w:rsidRPr="00570E50" w:rsidRDefault="00570E50" w:rsidP="00570E50"/>
    <w:p w14:paraId="1DFAE7DB" w14:textId="7530844D" w:rsidR="000E22A1" w:rsidRPr="00570E50" w:rsidRDefault="000E22A1" w:rsidP="00570E50">
      <w:pPr>
        <w:rPr>
          <w:b/>
          <w:bCs/>
        </w:rPr>
      </w:pPr>
      <w:r w:rsidRPr="00570E50">
        <w:rPr>
          <w:b/>
          <w:bCs/>
        </w:rPr>
        <w:t xml:space="preserve">AUTHORS AND AFFILIATIONS: </w:t>
      </w:r>
    </w:p>
    <w:p w14:paraId="5D9D66E5" w14:textId="4251C4E2" w:rsidR="000E22A1" w:rsidRPr="00C72A2B" w:rsidRDefault="00B84334" w:rsidP="00C72A2B">
      <w:pPr>
        <w:rPr>
          <w:lang w:eastAsia="zh-CN"/>
        </w:rPr>
      </w:pPr>
      <w:r w:rsidRPr="00C72A2B">
        <w:rPr>
          <w:rFonts w:eastAsiaTheme="minorEastAsia"/>
          <w:lang w:eastAsia="zh-CN"/>
        </w:rPr>
        <w:t>Fan</w:t>
      </w:r>
      <w:r w:rsidR="000E22A1" w:rsidRPr="00C72A2B">
        <w:rPr>
          <w:rFonts w:eastAsiaTheme="minorEastAsia"/>
          <w:lang w:eastAsia="zh-CN"/>
        </w:rPr>
        <w:t xml:space="preserve"> </w:t>
      </w:r>
      <w:r w:rsidRPr="00C72A2B">
        <w:rPr>
          <w:rFonts w:eastAsiaTheme="minorEastAsia"/>
          <w:lang w:eastAsia="zh-CN"/>
        </w:rPr>
        <w:t>Zhao</w:t>
      </w:r>
      <w:r w:rsidR="000E22A1" w:rsidRPr="00C72A2B">
        <w:rPr>
          <w:vertAlign w:val="superscript"/>
          <w:lang w:eastAsia="zh-CN"/>
        </w:rPr>
        <w:t>1</w:t>
      </w:r>
      <w:r w:rsidR="000E22A1" w:rsidRPr="00C72A2B">
        <w:rPr>
          <w:lang w:eastAsia="zh-CN"/>
        </w:rPr>
        <w:t>,</w:t>
      </w:r>
      <w:r w:rsidR="000E22A1" w:rsidRPr="00C72A2B">
        <w:rPr>
          <w:rFonts w:eastAsia="宋体"/>
          <w:lang w:eastAsia="zh-CN"/>
        </w:rPr>
        <w:t xml:space="preserve"> </w:t>
      </w:r>
      <w:bookmarkStart w:id="1" w:name="OLE_LINK19"/>
      <w:r w:rsidR="00B025D6" w:rsidRPr="00C72A2B">
        <w:rPr>
          <w:lang w:eastAsia="zh-CN"/>
        </w:rPr>
        <w:t>Genming Zhang</w:t>
      </w:r>
      <w:r w:rsidR="00B025D6" w:rsidRPr="00C72A2B">
        <w:rPr>
          <w:vertAlign w:val="superscript"/>
          <w:lang w:eastAsia="zh-CN"/>
        </w:rPr>
        <w:t>2</w:t>
      </w:r>
      <w:r w:rsidR="00B025D6" w:rsidRPr="00C72A2B">
        <w:rPr>
          <w:lang w:eastAsia="zh-CN"/>
        </w:rPr>
        <w:t>, Zhongjian</w:t>
      </w:r>
      <w:r w:rsidRPr="00C72A2B">
        <w:rPr>
          <w:lang w:eastAsia="zh-CN"/>
        </w:rPr>
        <w:t xml:space="preserve"> Tan</w:t>
      </w:r>
      <w:bookmarkEnd w:id="1"/>
      <w:r w:rsidR="0096544C" w:rsidRPr="00C72A2B">
        <w:rPr>
          <w:vertAlign w:val="superscript"/>
          <w:lang w:eastAsia="zh-CN"/>
        </w:rPr>
        <w:t>3</w:t>
      </w:r>
      <w:r w:rsidR="0096544C" w:rsidRPr="00C72A2B">
        <w:rPr>
          <w:lang w:eastAsia="zh-CN"/>
        </w:rPr>
        <w:t xml:space="preserve">, </w:t>
      </w:r>
      <w:bookmarkStart w:id="2" w:name="OLE_LINK20"/>
      <w:r w:rsidR="0096544C" w:rsidRPr="00C72A2B">
        <w:rPr>
          <w:lang w:eastAsia="zh-CN"/>
        </w:rPr>
        <w:t>Tengxiao</w:t>
      </w:r>
      <w:r w:rsidR="000E22A1" w:rsidRPr="00C72A2B">
        <w:rPr>
          <w:lang w:eastAsia="zh-CN"/>
        </w:rPr>
        <w:t xml:space="preserve"> </w:t>
      </w:r>
      <w:r w:rsidR="000E22A1" w:rsidRPr="00C72A2B">
        <w:rPr>
          <w:rFonts w:eastAsiaTheme="minorEastAsia"/>
          <w:lang w:eastAsia="zh-CN"/>
        </w:rPr>
        <w:t>Liang</w:t>
      </w:r>
      <w:bookmarkStart w:id="3" w:name="_Hlk129443713"/>
      <w:bookmarkEnd w:id="2"/>
      <w:r w:rsidR="00B025D6" w:rsidRPr="00C72A2B">
        <w:rPr>
          <w:rFonts w:eastAsiaTheme="minorEastAsia"/>
          <w:vertAlign w:val="superscript"/>
          <w:lang w:eastAsia="zh-CN"/>
        </w:rPr>
        <w:t>4</w:t>
      </w:r>
      <w:r w:rsidR="00617437" w:rsidRPr="00C72A2B">
        <w:rPr>
          <w:rFonts w:eastAsiaTheme="minorEastAsia"/>
          <w:lang w:eastAsia="zh-CN"/>
        </w:rPr>
        <w:t>*</w:t>
      </w:r>
      <w:r w:rsidR="000E22A1" w:rsidRPr="00C72A2B">
        <w:rPr>
          <w:lang w:eastAsia="zh-CN"/>
        </w:rPr>
        <w:t>,</w:t>
      </w:r>
      <w:bookmarkEnd w:id="3"/>
      <w:r w:rsidR="00B025D6" w:rsidRPr="00C72A2B">
        <w:rPr>
          <w:lang w:eastAsia="zh-CN"/>
        </w:rPr>
        <w:t xml:space="preserve"> Fangliang Xing</w:t>
      </w:r>
      <w:r w:rsidR="00B025D6" w:rsidRPr="00C72A2B">
        <w:rPr>
          <w:vertAlign w:val="superscript"/>
          <w:lang w:eastAsia="zh-CN"/>
        </w:rPr>
        <w:t>5</w:t>
      </w:r>
      <w:r w:rsidR="00617437" w:rsidRPr="00C72A2B">
        <w:rPr>
          <w:lang w:eastAsia="zh-CN"/>
        </w:rPr>
        <w:t>*</w:t>
      </w:r>
    </w:p>
    <w:p w14:paraId="7A8145FD" w14:textId="77777777" w:rsidR="000E22A1" w:rsidRPr="00C72A2B" w:rsidRDefault="000E22A1" w:rsidP="00C72A2B">
      <w:pPr>
        <w:rPr>
          <w:lang w:eastAsia="zh-CN"/>
        </w:rPr>
      </w:pPr>
    </w:p>
    <w:p w14:paraId="2E30F484" w14:textId="0ACAAF0E" w:rsidR="00255EEC" w:rsidRPr="00C72A2B" w:rsidRDefault="00255EEC" w:rsidP="00C72A2B">
      <w:pPr>
        <w:rPr>
          <w:lang w:eastAsia="zh-CN"/>
        </w:rPr>
      </w:pPr>
      <w:r w:rsidRPr="00C72A2B">
        <w:rPr>
          <w:vertAlign w:val="superscript"/>
          <w:lang w:eastAsia="zh-CN"/>
        </w:rPr>
        <w:t>1</w:t>
      </w:r>
      <w:bookmarkStart w:id="4" w:name="OLE_LINK2"/>
      <w:r w:rsidR="00D24C11" w:rsidRPr="00C72A2B">
        <w:rPr>
          <w:lang w:eastAsia="zh-CN"/>
        </w:rPr>
        <w:t>Department of Infectious Diseases</w:t>
      </w:r>
      <w:r w:rsidRPr="00C72A2B">
        <w:rPr>
          <w:lang w:eastAsia="zh-CN"/>
        </w:rPr>
        <w:t>, Dongzhimen Hospital</w:t>
      </w:r>
      <w:r w:rsidR="00D24C11" w:rsidRPr="00C72A2B">
        <w:rPr>
          <w:rFonts w:eastAsia="宋体"/>
          <w:lang w:eastAsia="zh-CN"/>
        </w:rPr>
        <w:t>,</w:t>
      </w:r>
      <w:r w:rsidR="00CC6471" w:rsidRPr="00C72A2B">
        <w:rPr>
          <w:rFonts w:eastAsia="宋体"/>
          <w:lang w:eastAsia="zh-CN"/>
        </w:rPr>
        <w:t xml:space="preserve"> </w:t>
      </w:r>
      <w:r w:rsidRPr="00C72A2B">
        <w:rPr>
          <w:lang w:eastAsia="zh-CN"/>
        </w:rPr>
        <w:t>Beijing University of Chinese Medicine, Beijing, China</w:t>
      </w:r>
      <w:bookmarkEnd w:id="4"/>
    </w:p>
    <w:p w14:paraId="63EF1C9D" w14:textId="197B507A" w:rsidR="00B025D6" w:rsidRPr="00C72A2B" w:rsidRDefault="00B025D6" w:rsidP="00C72A2B">
      <w:pPr>
        <w:rPr>
          <w:lang w:eastAsia="zh-CN"/>
        </w:rPr>
      </w:pPr>
      <w:r w:rsidRPr="00C72A2B">
        <w:rPr>
          <w:vertAlign w:val="superscript"/>
          <w:lang w:eastAsia="zh-CN"/>
        </w:rPr>
        <w:t>2</w:t>
      </w:r>
      <w:r w:rsidRPr="00C72A2B">
        <w:rPr>
          <w:lang w:eastAsia="zh-CN"/>
        </w:rPr>
        <w:t>The First Clinical College, Beijing University of Chinese Medicine, Beijing, China</w:t>
      </w:r>
    </w:p>
    <w:p w14:paraId="539F085F" w14:textId="5E78EC0F" w:rsidR="00B025D6" w:rsidRPr="00C72A2B" w:rsidRDefault="00B025D6" w:rsidP="00C72A2B">
      <w:pPr>
        <w:rPr>
          <w:rFonts w:eastAsiaTheme="minorEastAsia"/>
          <w:lang w:eastAsia="zh-CN"/>
        </w:rPr>
      </w:pPr>
      <w:r w:rsidRPr="00C72A2B">
        <w:rPr>
          <w:rFonts w:eastAsiaTheme="minorEastAsia"/>
          <w:vertAlign w:val="superscript"/>
          <w:lang w:eastAsia="zh-CN"/>
        </w:rPr>
        <w:t>3</w:t>
      </w:r>
      <w:bookmarkStart w:id="5" w:name="OLE_LINK17"/>
      <w:r w:rsidRPr="00C72A2B">
        <w:rPr>
          <w:rFonts w:eastAsiaTheme="minorEastAsia"/>
          <w:lang w:eastAsia="zh-CN"/>
        </w:rPr>
        <w:t xml:space="preserve">Department of Radiology, </w:t>
      </w:r>
      <w:r w:rsidRPr="00C72A2B">
        <w:t>Dongzhimen Hospital, Beijing University of Chinese Medicine</w:t>
      </w:r>
      <w:r w:rsidRPr="00C72A2B">
        <w:rPr>
          <w:lang w:eastAsia="zh-CN"/>
        </w:rPr>
        <w:t>, Beijing</w:t>
      </w:r>
      <w:r w:rsidRPr="00C72A2B">
        <w:rPr>
          <w:rFonts w:eastAsia="宋体"/>
          <w:lang w:eastAsia="zh-CN"/>
        </w:rPr>
        <w:t xml:space="preserve">, </w:t>
      </w:r>
      <w:r w:rsidRPr="00C72A2B">
        <w:rPr>
          <w:lang w:eastAsia="zh-CN"/>
        </w:rPr>
        <w:t>China</w:t>
      </w:r>
      <w:bookmarkEnd w:id="5"/>
      <w:r w:rsidRPr="00C72A2B">
        <w:rPr>
          <w:rFonts w:eastAsiaTheme="minorEastAsia"/>
          <w:lang w:eastAsia="zh-CN"/>
        </w:rPr>
        <w:t xml:space="preserve">  </w:t>
      </w:r>
    </w:p>
    <w:p w14:paraId="26F2CB51" w14:textId="73D5F49C" w:rsidR="000E22A1" w:rsidRPr="00C72A2B" w:rsidRDefault="0096544C" w:rsidP="00C72A2B">
      <w:pPr>
        <w:rPr>
          <w:lang w:eastAsia="zh-CN"/>
        </w:rPr>
      </w:pPr>
      <w:bookmarkStart w:id="6" w:name="OLE_LINK6"/>
      <w:r w:rsidRPr="00C72A2B">
        <w:rPr>
          <w:vertAlign w:val="superscript"/>
        </w:rPr>
        <w:t>4</w:t>
      </w:r>
      <w:hyperlink r:id="rId9" w:history="1">
        <w:r w:rsidR="000E22A1" w:rsidRPr="00C72A2B">
          <w:rPr>
            <w:rFonts w:eastAsiaTheme="minorEastAsia"/>
            <w:lang w:eastAsia="zh-CN"/>
          </w:rPr>
          <w:t>F</w:t>
        </w:r>
        <w:r w:rsidR="000E22A1" w:rsidRPr="00C72A2B">
          <w:t xml:space="preserve">ever </w:t>
        </w:r>
        <w:r w:rsidR="000E22A1" w:rsidRPr="00C72A2B">
          <w:rPr>
            <w:rFonts w:eastAsiaTheme="minorEastAsia"/>
            <w:lang w:eastAsia="zh-CN"/>
          </w:rPr>
          <w:t>C</w:t>
        </w:r>
        <w:r w:rsidR="000E22A1" w:rsidRPr="00C72A2B">
          <w:t>linics</w:t>
        </w:r>
      </w:hyperlink>
      <w:r w:rsidR="000E22A1" w:rsidRPr="00C72A2B">
        <w:t xml:space="preserve">, </w:t>
      </w:r>
      <w:bookmarkStart w:id="7" w:name="OLE_LINK16"/>
      <w:r w:rsidR="000E22A1" w:rsidRPr="00C72A2B">
        <w:t>Dongzhimen Hospital</w:t>
      </w:r>
      <w:r w:rsidR="00D24C11" w:rsidRPr="00C72A2B">
        <w:t xml:space="preserve">, </w:t>
      </w:r>
      <w:r w:rsidR="000E22A1" w:rsidRPr="00C72A2B">
        <w:t>Beijing University of Chinese Medicine</w:t>
      </w:r>
      <w:r w:rsidR="000E22A1" w:rsidRPr="00C72A2B">
        <w:rPr>
          <w:lang w:eastAsia="zh-CN"/>
        </w:rPr>
        <w:t>, Beijing</w:t>
      </w:r>
      <w:r w:rsidR="00DD5165" w:rsidRPr="00C72A2B">
        <w:rPr>
          <w:rFonts w:eastAsia="宋体"/>
          <w:lang w:eastAsia="zh-CN"/>
        </w:rPr>
        <w:t xml:space="preserve">, </w:t>
      </w:r>
      <w:r w:rsidR="000E22A1" w:rsidRPr="00C72A2B">
        <w:rPr>
          <w:lang w:eastAsia="zh-CN"/>
        </w:rPr>
        <w:t>China</w:t>
      </w:r>
      <w:bookmarkEnd w:id="7"/>
      <w:r w:rsidR="000E22A1" w:rsidRPr="00C72A2B">
        <w:rPr>
          <w:lang w:eastAsia="zh-CN"/>
        </w:rPr>
        <w:t xml:space="preserve">  </w:t>
      </w:r>
    </w:p>
    <w:bookmarkEnd w:id="6"/>
    <w:p w14:paraId="52BF3FA8" w14:textId="7EC1BAB7" w:rsidR="00B025D6" w:rsidRPr="00C72A2B" w:rsidRDefault="00B025D6" w:rsidP="00C72A2B">
      <w:pPr>
        <w:rPr>
          <w:lang w:eastAsia="zh-CN"/>
        </w:rPr>
      </w:pPr>
      <w:r w:rsidRPr="00C72A2B">
        <w:rPr>
          <w:vertAlign w:val="superscript"/>
          <w:lang w:eastAsia="zh-CN"/>
        </w:rPr>
        <w:t>5</w:t>
      </w:r>
      <w:r w:rsidRPr="00C72A2B">
        <w:rPr>
          <w:lang w:eastAsia="zh-CN"/>
        </w:rPr>
        <w:t>Beijing Intelligent Entropy Science&amp; Technology Co Ltd., Beijing, China</w:t>
      </w:r>
    </w:p>
    <w:p w14:paraId="4659B17C" w14:textId="77777777" w:rsidR="00255EEC" w:rsidRPr="00C72A2B" w:rsidRDefault="00255EEC" w:rsidP="00C72A2B">
      <w:pPr>
        <w:rPr>
          <w:rFonts w:eastAsiaTheme="minorEastAsia"/>
          <w:lang w:eastAsia="zh-CN"/>
        </w:rPr>
      </w:pPr>
    </w:p>
    <w:p w14:paraId="5A3D49D6" w14:textId="3C64CF00" w:rsidR="00255EEC" w:rsidRPr="00C72A2B" w:rsidRDefault="00255EEC" w:rsidP="00C72A2B">
      <w:pPr>
        <w:rPr>
          <w:lang w:eastAsia="zh-CN"/>
        </w:rPr>
      </w:pPr>
      <w:r w:rsidRPr="00C72A2B">
        <w:rPr>
          <w:lang w:eastAsia="zh-CN"/>
        </w:rPr>
        <w:t>Email addresses of the co-authors</w:t>
      </w:r>
      <w:r w:rsidR="00CC6471" w:rsidRPr="00C72A2B">
        <w:rPr>
          <w:lang w:eastAsia="zh-CN"/>
        </w:rPr>
        <w:t>:</w:t>
      </w:r>
    </w:p>
    <w:p w14:paraId="06ABA5AD" w14:textId="6D9CC06F" w:rsidR="00617437" w:rsidRPr="00C72A2B" w:rsidRDefault="00617437" w:rsidP="00C72A2B">
      <w:pPr>
        <w:rPr>
          <w:rFonts w:eastAsiaTheme="minorEastAsia"/>
          <w:lang w:eastAsia="zh-CN"/>
        </w:rPr>
      </w:pPr>
      <w:r w:rsidRPr="00C72A2B">
        <w:rPr>
          <w:rFonts w:eastAsiaTheme="minorEastAsia"/>
          <w:lang w:eastAsia="zh-CN"/>
        </w:rPr>
        <w:t>Fan Zhao</w:t>
      </w:r>
      <w:r w:rsidR="00463B71" w:rsidRPr="00C72A2B">
        <w:rPr>
          <w:rFonts w:eastAsiaTheme="minorEastAsia"/>
          <w:lang w:eastAsia="zh-CN"/>
        </w:rPr>
        <w:t xml:space="preserve">                       </w:t>
      </w:r>
      <w:r w:rsidR="00A0387F" w:rsidRPr="00C72A2B">
        <w:rPr>
          <w:rFonts w:eastAsiaTheme="minorEastAsia"/>
          <w:lang w:eastAsia="zh-CN"/>
        </w:rPr>
        <w:tab/>
      </w:r>
      <w:r w:rsidR="00463B71" w:rsidRPr="00C72A2B">
        <w:rPr>
          <w:rFonts w:eastAsiaTheme="minorEastAsia"/>
          <w:lang w:eastAsia="zh-CN"/>
        </w:rPr>
        <w:t>(</w:t>
      </w:r>
      <w:hyperlink r:id="rId10" w:history="1">
        <w:r w:rsidR="00A0387F" w:rsidRPr="00C72A2B">
          <w:rPr>
            <w:rStyle w:val="aa"/>
            <w:rFonts w:eastAsiaTheme="minorEastAsia"/>
            <w:lang w:eastAsia="zh-CN"/>
          </w:rPr>
          <w:t>ocean_elf@126.com</w:t>
        </w:r>
      </w:hyperlink>
      <w:r w:rsidR="00463B71" w:rsidRPr="00C72A2B">
        <w:rPr>
          <w:rFonts w:eastAsiaTheme="minorEastAsia"/>
          <w:lang w:eastAsia="zh-CN"/>
        </w:rPr>
        <w:t>)</w:t>
      </w:r>
    </w:p>
    <w:p w14:paraId="3955A5F6" w14:textId="27E6F6E0" w:rsidR="001A1C87" w:rsidRPr="00C72A2B" w:rsidRDefault="001A1C87" w:rsidP="00C72A2B">
      <w:pPr>
        <w:rPr>
          <w:lang w:eastAsia="zh-CN"/>
        </w:rPr>
      </w:pPr>
      <w:r w:rsidRPr="00C72A2B">
        <w:rPr>
          <w:lang w:eastAsia="zh-CN"/>
        </w:rPr>
        <w:t xml:space="preserve">Genming Zhang           </w:t>
      </w:r>
      <w:r w:rsidR="00A0387F" w:rsidRPr="00C72A2B">
        <w:rPr>
          <w:lang w:eastAsia="zh-CN"/>
        </w:rPr>
        <w:tab/>
      </w:r>
      <w:r w:rsidRPr="00C72A2B">
        <w:rPr>
          <w:lang w:eastAsia="zh-CN"/>
        </w:rPr>
        <w:t>(</w:t>
      </w:r>
      <w:hyperlink r:id="rId11" w:history="1">
        <w:r w:rsidR="00A0387F" w:rsidRPr="00C72A2B">
          <w:rPr>
            <w:rStyle w:val="aa"/>
            <w:lang w:eastAsia="zh-CN"/>
          </w:rPr>
          <w:t>zhanggenming@163.com</w:t>
        </w:r>
      </w:hyperlink>
      <w:r w:rsidRPr="00C72A2B">
        <w:rPr>
          <w:lang w:eastAsia="zh-CN"/>
        </w:rPr>
        <w:t>)</w:t>
      </w:r>
    </w:p>
    <w:p w14:paraId="4104C8C0" w14:textId="720590C8" w:rsidR="000E22A1" w:rsidRPr="00C72A2B" w:rsidRDefault="00255EEC" w:rsidP="00C72A2B">
      <w:pPr>
        <w:rPr>
          <w:lang w:eastAsia="zh-CN"/>
        </w:rPr>
      </w:pPr>
      <w:r w:rsidRPr="00C72A2B">
        <w:rPr>
          <w:lang w:eastAsia="zh-CN"/>
        </w:rPr>
        <w:t>Zhongjian Tan</w:t>
      </w:r>
      <w:r w:rsidR="000E22A1" w:rsidRPr="00C72A2B">
        <w:rPr>
          <w:lang w:eastAsia="zh-CN"/>
        </w:rPr>
        <w:tab/>
        <w:t xml:space="preserve"> </w:t>
      </w:r>
      <w:r w:rsidR="000E22A1" w:rsidRPr="00C72A2B">
        <w:rPr>
          <w:lang w:eastAsia="zh-CN"/>
        </w:rPr>
        <w:tab/>
        <w:t>(</w:t>
      </w:r>
      <w:hyperlink r:id="rId12" w:history="1">
        <w:r w:rsidR="00A0387F" w:rsidRPr="00C72A2B">
          <w:rPr>
            <w:rStyle w:val="aa"/>
            <w:lang w:eastAsia="zh-CN"/>
          </w:rPr>
          <w:t>tzj_1120@163.com</w:t>
        </w:r>
      </w:hyperlink>
      <w:r w:rsidR="000E22A1" w:rsidRPr="00C72A2B">
        <w:rPr>
          <w:lang w:eastAsia="zh-CN"/>
        </w:rPr>
        <w:t>)</w:t>
      </w:r>
    </w:p>
    <w:p w14:paraId="74FA29DE" w14:textId="77777777" w:rsidR="000E22A1" w:rsidRPr="00C72A2B" w:rsidRDefault="000E22A1" w:rsidP="00C72A2B">
      <w:pPr>
        <w:rPr>
          <w:lang w:eastAsia="zh-CN"/>
        </w:rPr>
      </w:pPr>
    </w:p>
    <w:p w14:paraId="3C251CF7" w14:textId="40640BFA" w:rsidR="000E22A1" w:rsidRPr="00C72A2B" w:rsidRDefault="00A0387F" w:rsidP="00C72A2B">
      <w:pPr>
        <w:rPr>
          <w:lang w:eastAsia="zh-CN"/>
        </w:rPr>
      </w:pPr>
      <w:r w:rsidRPr="00C72A2B">
        <w:rPr>
          <w:lang w:eastAsia="zh-CN"/>
        </w:rPr>
        <w:t>*Email addresses of the corresponding authors:</w:t>
      </w:r>
    </w:p>
    <w:p w14:paraId="76D4F82F" w14:textId="6BE1B7E1" w:rsidR="000E22A1" w:rsidRPr="00C72A2B" w:rsidRDefault="00255EEC" w:rsidP="00C72A2B">
      <w:r w:rsidRPr="00C72A2B">
        <w:rPr>
          <w:lang w:eastAsia="zh-CN"/>
        </w:rPr>
        <w:t xml:space="preserve">Tengxiao </w:t>
      </w:r>
      <w:r w:rsidRPr="00C72A2B">
        <w:rPr>
          <w:rFonts w:eastAsiaTheme="minorEastAsia"/>
          <w:lang w:eastAsia="zh-CN"/>
        </w:rPr>
        <w:t>Liang</w:t>
      </w:r>
      <w:r w:rsidR="00B025D6" w:rsidRPr="00C72A2B">
        <w:rPr>
          <w:lang w:eastAsia="zh-CN"/>
        </w:rPr>
        <w:t xml:space="preserve">         </w:t>
      </w:r>
      <w:r w:rsidR="00B025D6" w:rsidRPr="00C72A2B">
        <w:t xml:space="preserve">    </w:t>
      </w:r>
      <w:r w:rsidR="00A0387F" w:rsidRPr="00C72A2B">
        <w:tab/>
        <w:t>(</w:t>
      </w:r>
      <w:hyperlink r:id="rId13" w:history="1">
        <w:r w:rsidR="00A0387F" w:rsidRPr="00C72A2B">
          <w:rPr>
            <w:rStyle w:val="aa"/>
            <w:lang w:eastAsia="zh-CN"/>
          </w:rPr>
          <w:t>13601133923@163.com</w:t>
        </w:r>
      </w:hyperlink>
      <w:r w:rsidR="000E22A1" w:rsidRPr="00C72A2B">
        <w:t>)</w:t>
      </w:r>
    </w:p>
    <w:p w14:paraId="29EB4321" w14:textId="0D7C5326" w:rsidR="00B025D6" w:rsidRPr="00C72A2B" w:rsidRDefault="00B025D6" w:rsidP="00C72A2B">
      <w:pPr>
        <w:rPr>
          <w:lang w:eastAsia="zh-CN"/>
        </w:rPr>
      </w:pPr>
      <w:bookmarkStart w:id="8" w:name="OLE_LINK15"/>
      <w:r w:rsidRPr="00C72A2B">
        <w:rPr>
          <w:lang w:eastAsia="zh-CN"/>
        </w:rPr>
        <w:t>Fangliang Xing</w:t>
      </w:r>
      <w:bookmarkEnd w:id="8"/>
      <w:r w:rsidRPr="00C72A2B">
        <w:rPr>
          <w:lang w:eastAsia="zh-CN"/>
        </w:rPr>
        <w:t xml:space="preserve">        </w:t>
      </w:r>
      <w:r w:rsidRPr="00C72A2B">
        <w:rPr>
          <w:lang w:eastAsia="zh-CN"/>
        </w:rPr>
        <w:tab/>
      </w:r>
      <w:r w:rsidR="00A0387F" w:rsidRPr="00C72A2B">
        <w:rPr>
          <w:lang w:eastAsia="zh-CN"/>
        </w:rPr>
        <w:t>(</w:t>
      </w:r>
      <w:hyperlink r:id="rId14" w:history="1">
        <w:r w:rsidR="00A0387F" w:rsidRPr="00C72A2B">
          <w:rPr>
            <w:rStyle w:val="aa"/>
            <w:lang w:eastAsia="zh-CN"/>
          </w:rPr>
          <w:t>wordnet@163.com</w:t>
        </w:r>
      </w:hyperlink>
      <w:r w:rsidRPr="00C72A2B">
        <w:rPr>
          <w:lang w:eastAsia="zh-CN"/>
        </w:rPr>
        <w:t>)</w:t>
      </w:r>
    </w:p>
    <w:p w14:paraId="67D65AD5" w14:textId="77777777" w:rsidR="009A3974" w:rsidRPr="00C72A2B" w:rsidRDefault="009A3974" w:rsidP="00C72A2B">
      <w:pPr>
        <w:rPr>
          <w:rFonts w:eastAsiaTheme="minorEastAsia"/>
          <w:b/>
          <w:bCs/>
          <w:lang w:eastAsia="zh-CN"/>
        </w:rPr>
      </w:pPr>
    </w:p>
    <w:p w14:paraId="7FE30D60" w14:textId="77777777" w:rsidR="009A3974" w:rsidRPr="00C72A2B" w:rsidRDefault="009A3974" w:rsidP="00C72A2B">
      <w:pPr>
        <w:rPr>
          <w:rFonts w:eastAsiaTheme="minorEastAsia"/>
          <w:lang w:eastAsia="zh-CN"/>
        </w:rPr>
      </w:pPr>
      <w:r w:rsidRPr="00C72A2B">
        <w:rPr>
          <w:rFonts w:eastAsiaTheme="minorEastAsia"/>
          <w:b/>
          <w:bCs/>
          <w:lang w:eastAsia="zh-CN"/>
        </w:rPr>
        <w:t>KEYWORDS</w:t>
      </w:r>
      <w:r w:rsidRPr="00C72A2B">
        <w:rPr>
          <w:rFonts w:eastAsiaTheme="minorEastAsia"/>
          <w:lang w:eastAsia="zh-CN"/>
        </w:rPr>
        <w:t xml:space="preserve">:    </w:t>
      </w:r>
      <w:bookmarkStart w:id="9" w:name="OLE_LINK25"/>
    </w:p>
    <w:p w14:paraId="4D5A8521" w14:textId="6088EC6D" w:rsidR="009A3974" w:rsidRPr="00C72A2B" w:rsidRDefault="009A3974" w:rsidP="00C72A2B">
      <w:pPr>
        <w:rPr>
          <w:rFonts w:eastAsiaTheme="minorEastAsia"/>
          <w:lang w:eastAsia="zh-CN"/>
        </w:rPr>
      </w:pPr>
      <w:r w:rsidRPr="00C72A2B">
        <w:rPr>
          <w:rFonts w:eastAsiaTheme="minorEastAsia"/>
          <w:lang w:eastAsia="zh-CN"/>
        </w:rPr>
        <w:t>Hepatic steatosis</w:t>
      </w:r>
      <w:bookmarkEnd w:id="9"/>
      <w:r w:rsidRPr="00C72A2B">
        <w:rPr>
          <w:rFonts w:eastAsiaTheme="minorEastAsia"/>
          <w:lang w:eastAsia="zh-CN"/>
        </w:rPr>
        <w:t xml:space="preserve">, Dixon MRI, 3D quantification, Liver fat fraction </w:t>
      </w:r>
    </w:p>
    <w:p w14:paraId="347438DB" w14:textId="77777777" w:rsidR="00B025D6" w:rsidRPr="00C72A2B" w:rsidRDefault="00B025D6" w:rsidP="00C72A2B">
      <w:pPr>
        <w:rPr>
          <w:rFonts w:eastAsiaTheme="minorEastAsia"/>
          <w:lang w:eastAsia="zh-CN"/>
        </w:rPr>
      </w:pPr>
    </w:p>
    <w:p w14:paraId="56038C26" w14:textId="120C4BA0" w:rsidR="000E22A1" w:rsidRPr="00C72A2B" w:rsidRDefault="000E22A1" w:rsidP="00C72A2B">
      <w:pPr>
        <w:rPr>
          <w:rFonts w:eastAsiaTheme="minorEastAsia"/>
          <w:lang w:eastAsia="zh-CN"/>
        </w:rPr>
      </w:pPr>
      <w:bookmarkStart w:id="10" w:name="OLE_LINK5"/>
      <w:bookmarkStart w:id="11" w:name="OLE_LINK10"/>
      <w:r w:rsidRPr="00C72A2B">
        <w:rPr>
          <w:b/>
        </w:rPr>
        <w:t>SUMMARY:</w:t>
      </w:r>
      <w:r w:rsidRPr="00C72A2B">
        <w:t xml:space="preserve"> </w:t>
      </w:r>
    </w:p>
    <w:bookmarkEnd w:id="10"/>
    <w:p w14:paraId="3B62017E" w14:textId="2826C773" w:rsidR="009A53F9" w:rsidRPr="00C72A2B" w:rsidRDefault="009A53F9" w:rsidP="00C72A2B">
      <w:r w:rsidRPr="00C72A2B">
        <w:t xml:space="preserve">This study introduces a unique 3D quantification method for liver fat fraction (LFF) distribution using Dixon </w:t>
      </w:r>
      <w:r w:rsidR="00CE594B" w:rsidRPr="00C72A2B">
        <w:t>Magnetic Resonance Imaging (</w:t>
      </w:r>
      <w:r w:rsidR="00A4226A" w:rsidRPr="00C72A2B">
        <w:t xml:space="preserve">Dixon </w:t>
      </w:r>
      <w:r w:rsidRPr="00C72A2B">
        <w:t>MRI</w:t>
      </w:r>
      <w:r w:rsidR="00CE594B" w:rsidRPr="00C72A2B">
        <w:t>)</w:t>
      </w:r>
      <w:r w:rsidRPr="00C72A2B">
        <w:t>. LFF maps, derived from in-phase and water-phase images, are integrated with 3D liver contours to differentiate LFF patterns between normal and steatotic livers, enabling precise assessment of liver fat content.</w:t>
      </w:r>
    </w:p>
    <w:p w14:paraId="46C48CF4" w14:textId="77777777" w:rsidR="009A53F9" w:rsidRPr="00C72A2B" w:rsidRDefault="009A53F9" w:rsidP="00C72A2B">
      <w:pPr>
        <w:rPr>
          <w:rFonts w:eastAsiaTheme="minorEastAsia"/>
          <w:lang w:eastAsia="zh-CN"/>
        </w:rPr>
      </w:pPr>
    </w:p>
    <w:p w14:paraId="0E41F631" w14:textId="77777777" w:rsidR="000E22A1" w:rsidRPr="00C72A2B" w:rsidRDefault="000E22A1" w:rsidP="00C72A2B">
      <w:bookmarkStart w:id="12" w:name="OLE_LINK8"/>
      <w:r w:rsidRPr="00C72A2B">
        <w:rPr>
          <w:b/>
        </w:rPr>
        <w:t>ABSTRACT:</w:t>
      </w:r>
      <w:r w:rsidRPr="00C72A2B">
        <w:t xml:space="preserve"> </w:t>
      </w:r>
    </w:p>
    <w:bookmarkEnd w:id="0"/>
    <w:bookmarkEnd w:id="12"/>
    <w:p w14:paraId="0112E68B" w14:textId="2063350D" w:rsidR="0053676F" w:rsidRPr="00C72A2B" w:rsidRDefault="0053676F" w:rsidP="00C72A2B">
      <w:r w:rsidRPr="00C72A2B">
        <w:t>This study presents a 3D quantification methodology for the distribution of liver fat fraction (LFF) through the utilization of Dixon MRI image analysis. The central aim is to offer a highly accurate and non-invasive means of evaluating liver fat content. The process involves the acquisition of In-phase and Water-phase images from a Dixon sequence. LFF maps are then meticulously computed voxel by voxel by dividing the Lipid Phase images by the In-phase images. Simultaneously, 3D liver contours are extracted from the In-phase images. These crucial components are seamlessly integrated to construct a comprehensive 3D-LFF distribution model.</w:t>
      </w:r>
      <w:r w:rsidR="005830A9" w:rsidRPr="00C72A2B">
        <w:t xml:space="preserve"> </w:t>
      </w:r>
      <w:r w:rsidRPr="00C72A2B">
        <w:t xml:space="preserve">This technique is not limited to healthy livers but extends to those afflicted by hepatic steatosis. The results obtained demonstrate the remarkable effectiveness of this approach in both visualizing and quantifying liver fat content. It distinctly discerns patterns that differentiate </w:t>
      </w:r>
      <w:r w:rsidRPr="00C72A2B">
        <w:lastRenderedPageBreak/>
        <w:t>between normal and steatotic livers. By harnessing Dixon MRI to extract the 3D structure of the liver, this method offers precise LFF assessments spanning the entirety of the organ, thereby holding great promise for the diagnosis of hepatic steatosis with remarkable effectiveness.</w:t>
      </w:r>
    </w:p>
    <w:p w14:paraId="2BD58EC1" w14:textId="77777777" w:rsidR="0053676F" w:rsidRPr="00C72A2B" w:rsidRDefault="0053676F" w:rsidP="00C72A2B">
      <w:pPr>
        <w:rPr>
          <w:b/>
        </w:rPr>
      </w:pPr>
    </w:p>
    <w:p w14:paraId="30FBA003" w14:textId="28B259DA" w:rsidR="0091286B" w:rsidRPr="00C72A2B" w:rsidRDefault="0091286B" w:rsidP="00C72A2B">
      <w:r w:rsidRPr="00C72A2B">
        <w:rPr>
          <w:b/>
        </w:rPr>
        <w:t>INTRODUCTION:</w:t>
      </w:r>
      <w:r w:rsidRPr="00C72A2B">
        <w:t xml:space="preserve"> </w:t>
      </w:r>
    </w:p>
    <w:p w14:paraId="1FAB61A0" w14:textId="1B5C54FC" w:rsidR="00B33FE2" w:rsidRPr="00B33FE2" w:rsidRDefault="00B33FE2" w:rsidP="00B33FE2">
      <w:r w:rsidRPr="00B33FE2">
        <w:t>Non-Alcoholic Fatty Liver Disease (NAFLD) encompasses a spectrum of pathological conditions, ranging from the abnormal accumulation of triglycerides in liver cells (hepatic steatosis) to the development of inflammation and damage to liver cells, known as non-alcoholic Steatohepatitis (NASH). In some cases, NAFLD can progress to more severe stages, including fibrosis, cirrhosis, end-stage liver disease, or even Hepatocellular carcinoma (HCC)</w:t>
      </w:r>
      <w:r w:rsidRPr="008414BB">
        <w:rPr>
          <w:vertAlign w:val="superscript"/>
        </w:rPr>
        <w:t>1</w:t>
      </w:r>
      <w:r w:rsidRPr="00B33FE2">
        <w:t>. Published data from the World Health Organization and the Global Burden of Disease suggest that approximately 1,235.7 million individuals worldwide are affected by NAFLD across all age groups</w:t>
      </w:r>
      <w:r w:rsidRPr="008414BB">
        <w:rPr>
          <w:vertAlign w:val="superscript"/>
        </w:rPr>
        <w:t>2</w:t>
      </w:r>
      <w:r w:rsidRPr="00B33FE2">
        <w:t>. NAFLD currently ranks as one of the most prominent causes of liver-related diseases globally and is expected to become the leading cause of end-stage liver disease in the coming decades</w:t>
      </w:r>
      <w:r w:rsidRPr="008414BB">
        <w:rPr>
          <w:vertAlign w:val="superscript"/>
        </w:rPr>
        <w:t>3</w:t>
      </w:r>
      <w:r w:rsidRPr="00B33FE2">
        <w:t>.</w:t>
      </w:r>
    </w:p>
    <w:p w14:paraId="1F5110B9" w14:textId="77777777" w:rsidR="00B33FE2" w:rsidRPr="00C72A2B" w:rsidRDefault="00B33FE2" w:rsidP="00C72A2B">
      <w:pPr>
        <w:rPr>
          <w:rFonts w:eastAsiaTheme="minorEastAsia"/>
          <w:color w:val="FF0000"/>
          <w:lang w:eastAsia="zh-CN"/>
        </w:rPr>
      </w:pPr>
    </w:p>
    <w:p w14:paraId="6646065A" w14:textId="1B4EA157" w:rsidR="007A6C82" w:rsidRPr="00C72A2B" w:rsidRDefault="007A6C82" w:rsidP="00C72A2B">
      <w:r w:rsidRPr="00C72A2B">
        <w:t>The accurate assessment of hepatic steatosis's extent holds substantial importance for precise diagnosis, appropriate treatment selection, and effective disease progression monitoring. The gold standard for assessing liver fat content continues to be liver biopsy. However, due to its invasive nature, the potential for pain, bleeding, and other postoperative complications, it is not a practical option for frequent follow-up examinations</w:t>
      </w:r>
      <w:r w:rsidRPr="00C72A2B">
        <w:rPr>
          <w:vertAlign w:val="superscript"/>
        </w:rPr>
        <w:t>4–6</w:t>
      </w:r>
      <w:r w:rsidRPr="00C72A2B">
        <w:t>. Consequently, there is a pressing need for noninvasive imaging techniques that can reliably quantify hepatic fat deposition. Magnetic resonance imaging (MRI) shows promise in this area due to its lack of ionizing radiation and its ability to sensitively detect fat content through chemical shift effects</w:t>
      </w:r>
      <w:r w:rsidRPr="00C72A2B">
        <w:rPr>
          <w:vertAlign w:val="superscript"/>
        </w:rPr>
        <w:t>7,8</w:t>
      </w:r>
      <w:r w:rsidRPr="00C72A2B">
        <w:t>.</w:t>
      </w:r>
    </w:p>
    <w:p w14:paraId="1923AE8E" w14:textId="77777777" w:rsidR="0091286B" w:rsidRPr="00C72A2B" w:rsidRDefault="0091286B" w:rsidP="00C72A2B">
      <w:pPr>
        <w:rPr>
          <w:lang w:eastAsia="zh-CN"/>
        </w:rPr>
      </w:pPr>
    </w:p>
    <w:p w14:paraId="23611EF3" w14:textId="53BE4876" w:rsidR="006B5581" w:rsidRPr="00C72A2B" w:rsidRDefault="006B5581" w:rsidP="00C72A2B">
      <w:r w:rsidRPr="00C72A2B">
        <w:t>Recent studies have outlined MRI techniques for quantifying hepatic fat, based on chemical shift gradient echo methods like Dixon imaging</w:t>
      </w:r>
      <w:r w:rsidRPr="00C72A2B">
        <w:rPr>
          <w:vertAlign w:val="superscript"/>
        </w:rPr>
        <w:t>9,10</w:t>
      </w:r>
      <w:r w:rsidRPr="00C72A2B">
        <w:t>. Nonetheless, the majority of these techniques rely on the analysis of two-dimensional regions of interest. The comprehensive evaluation of the three-dimensional distribution of liver fat fraction (LFF) has remained limited. In the present study, a unique 3D LFF quantification approach is introduced, combining Dixon MRI with liver structural imaging. The resulting 3D LFF model allows for precise visualization and measurement of the distribution of fat content throughout the entire volume of the liver. This technique demonstrates substantial clinical utility for the accurate diagnosis of hepatic steatosis.</w:t>
      </w:r>
    </w:p>
    <w:bookmarkEnd w:id="11"/>
    <w:p w14:paraId="37D6DA27" w14:textId="77777777" w:rsidR="006B5581" w:rsidRPr="00C72A2B" w:rsidRDefault="006B5581" w:rsidP="00C72A2B">
      <w:pPr>
        <w:rPr>
          <w:b/>
        </w:rPr>
      </w:pPr>
    </w:p>
    <w:p w14:paraId="3CDB65B7" w14:textId="6401E5B9" w:rsidR="00F64B2F" w:rsidRPr="00C72A2B" w:rsidRDefault="00F64B2F" w:rsidP="00C72A2B">
      <w:r w:rsidRPr="00C72A2B">
        <w:rPr>
          <w:b/>
        </w:rPr>
        <w:t>PROTOCOL:</w:t>
      </w:r>
      <w:r w:rsidRPr="00C72A2B">
        <w:t xml:space="preserve"> </w:t>
      </w:r>
    </w:p>
    <w:p w14:paraId="70F5FEBA" w14:textId="60314A7F" w:rsidR="00EB2AE2" w:rsidRPr="00052E83" w:rsidRDefault="00EB2AE2" w:rsidP="00052E83">
      <w:r w:rsidRPr="00C72A2B">
        <w:t xml:space="preserve">The study was approved, and the patient was recruited from the Department of Infectious Diseases at Dongzhimen Hospital, Beijing University of Chinese Medicine, in Beijing, China. The patient underwent a routine abdominal Dixon MRI scan after providing informed </w:t>
      </w:r>
      <w:r w:rsidRPr="00052E83">
        <w:t xml:space="preserve">consent. </w:t>
      </w:r>
      <w:r w:rsidR="00052E83" w:rsidRPr="00052E83">
        <w:t xml:space="preserve">In this investigation, a 3D distribution modeling approach is employed to reconstruct the liver fat fraction (LFF) in a standard patient with medically diagnosed hepatic steatosis. Furthermore, the study provides a quantitative assessment comparing the patient's liver with a healthy liver. The software tools utilized in this research are </w:t>
      </w:r>
      <w:r w:rsidR="00052E83">
        <w:t>listed</w:t>
      </w:r>
      <w:r w:rsidR="00052E83" w:rsidRPr="00052E83">
        <w:t xml:space="preserve"> in the </w:t>
      </w:r>
      <w:r w:rsidR="00052E83" w:rsidRPr="00457021">
        <w:rPr>
          <w:b/>
          <w:bCs/>
        </w:rPr>
        <w:t>Table of Materials</w:t>
      </w:r>
      <w:r w:rsidR="00052E83" w:rsidRPr="00052E83">
        <w:t>.</w:t>
      </w:r>
    </w:p>
    <w:p w14:paraId="1A5A5682" w14:textId="77777777" w:rsidR="00052E83" w:rsidRPr="00052E83" w:rsidRDefault="00052E83" w:rsidP="00052E83"/>
    <w:p w14:paraId="2DFEC63B" w14:textId="388AD9A0" w:rsidR="00F64B2F" w:rsidRPr="00C72A2B" w:rsidRDefault="001127B3" w:rsidP="00C72A2B">
      <w:pPr>
        <w:pStyle w:val="ac"/>
        <w:numPr>
          <w:ilvl w:val="0"/>
          <w:numId w:val="1"/>
        </w:numPr>
        <w:ind w:left="0" w:firstLineChars="0" w:firstLine="0"/>
        <w:rPr>
          <w:rFonts w:ascii="Calibri" w:hAnsi="Calibri" w:cs="Calibri"/>
          <w:b/>
          <w:bCs/>
          <w:sz w:val="24"/>
          <w:szCs w:val="24"/>
          <w:highlight w:val="yellow"/>
        </w:rPr>
      </w:pPr>
      <w:bookmarkStart w:id="13" w:name="_Hlk125015946"/>
      <w:r>
        <w:rPr>
          <w:rFonts w:ascii="Calibri" w:hAnsi="Calibri" w:cs="Calibri"/>
          <w:b/>
          <w:bCs/>
          <w:sz w:val="24"/>
          <w:szCs w:val="24"/>
          <w:highlight w:val="yellow"/>
        </w:rPr>
        <w:t>Preparation and d</w:t>
      </w:r>
      <w:r w:rsidR="00F64B2F" w:rsidRPr="00C72A2B">
        <w:rPr>
          <w:rFonts w:ascii="Calibri" w:hAnsi="Calibri" w:cs="Calibri"/>
          <w:b/>
          <w:bCs/>
          <w:sz w:val="24"/>
          <w:szCs w:val="24"/>
          <w:highlight w:val="yellow"/>
        </w:rPr>
        <w:t xml:space="preserve">ata </w:t>
      </w:r>
      <w:r w:rsidR="00CE4B76" w:rsidRPr="00C72A2B">
        <w:rPr>
          <w:rFonts w:ascii="Calibri" w:hAnsi="Calibri" w:cs="Calibri"/>
          <w:b/>
          <w:bCs/>
          <w:sz w:val="24"/>
          <w:szCs w:val="24"/>
          <w:highlight w:val="yellow"/>
        </w:rPr>
        <w:t>c</w:t>
      </w:r>
      <w:r w:rsidR="00F64B2F" w:rsidRPr="00C72A2B">
        <w:rPr>
          <w:rFonts w:ascii="Calibri" w:hAnsi="Calibri" w:cs="Calibri"/>
          <w:b/>
          <w:bCs/>
          <w:sz w:val="24"/>
          <w:szCs w:val="24"/>
          <w:highlight w:val="yellow"/>
        </w:rPr>
        <w:t xml:space="preserve">ollection   </w:t>
      </w:r>
      <w:r w:rsidR="009251E1">
        <w:rPr>
          <w:rFonts w:ascii="Calibri" w:hAnsi="Calibri" w:cs="Calibri"/>
          <w:b/>
          <w:bCs/>
          <w:sz w:val="24"/>
          <w:szCs w:val="24"/>
          <w:highlight w:val="yellow"/>
        </w:rPr>
        <w:t xml:space="preserve"> </w:t>
      </w:r>
      <w:r w:rsidR="009251E1" w:rsidRPr="00F157FD">
        <w:rPr>
          <w:rFonts w:asciiTheme="majorHAnsi" w:hAnsiTheme="majorHAnsi" w:cstheme="majorHAnsi"/>
          <w:b/>
          <w:bCs/>
          <w:color w:val="FF0000"/>
        </w:rPr>
        <w:t>6</w:t>
      </w:r>
      <w:r w:rsidR="009251E1">
        <w:rPr>
          <w:rFonts w:asciiTheme="majorHAnsi" w:hAnsiTheme="majorHAnsi" w:cstheme="majorHAnsi"/>
          <w:b/>
          <w:bCs/>
          <w:color w:val="FF0000"/>
        </w:rPr>
        <w:t>6121</w:t>
      </w:r>
      <w:r w:rsidR="009251E1" w:rsidRPr="00F157FD">
        <w:rPr>
          <w:rFonts w:asciiTheme="majorHAnsi" w:hAnsiTheme="majorHAnsi" w:cstheme="majorHAnsi"/>
          <w:b/>
          <w:bCs/>
          <w:color w:val="FF0000"/>
        </w:rPr>
        <w:t>_Screenshot_1.1and1.2</w:t>
      </w:r>
      <w:r w:rsidR="009251E1">
        <w:rPr>
          <w:rFonts w:ascii="宋体" w:eastAsia="宋体" w:hAnsi="宋体" w:cs="宋体" w:hint="eastAsia"/>
          <w:b/>
          <w:bCs/>
          <w:color w:val="FF0000"/>
        </w:rPr>
        <w:t>.</w:t>
      </w:r>
      <w:r w:rsidR="009251E1">
        <w:rPr>
          <w:rFonts w:ascii="宋体" w:eastAsia="宋体" w:hAnsi="宋体" w:cs="宋体"/>
          <w:b/>
          <w:bCs/>
          <w:color w:val="FF0000"/>
        </w:rPr>
        <w:t>mp4</w:t>
      </w:r>
    </w:p>
    <w:p w14:paraId="3FAC98AB" w14:textId="77777777" w:rsidR="003F2B63" w:rsidRPr="00C72A2B" w:rsidRDefault="003F2B63" w:rsidP="00C72A2B">
      <w:pPr>
        <w:pStyle w:val="ac"/>
        <w:ind w:firstLineChars="0" w:firstLine="0"/>
        <w:rPr>
          <w:rFonts w:ascii="Calibri" w:hAnsi="Calibri" w:cs="Calibri"/>
          <w:b/>
          <w:bCs/>
          <w:sz w:val="24"/>
          <w:szCs w:val="24"/>
        </w:rPr>
      </w:pPr>
    </w:p>
    <w:bookmarkEnd w:id="13"/>
    <w:p w14:paraId="1261D395" w14:textId="41D6BD7F" w:rsidR="00712E83" w:rsidRPr="00C72A2B" w:rsidRDefault="00712E83" w:rsidP="00C72A2B">
      <w:r w:rsidRPr="00807484">
        <w:lastRenderedPageBreak/>
        <w:t xml:space="preserve">NOTE: </w:t>
      </w:r>
      <w:r w:rsidR="00807484" w:rsidRPr="00807484">
        <w:t>The variance in parameters remains unaffected by the research approach</w:t>
      </w:r>
      <w:r w:rsidRPr="00807484">
        <w:t>. In this investigation, genuine DICOM data were obtained from clinical imaging. The data were acquired using a MRI apparatus with a field strength of 1.5 Tesla. The</w:t>
      </w:r>
      <w:r w:rsidRPr="00C72A2B">
        <w:t xml:space="preserve"> dataset comprises four distinct phases derived from the Dixon sequence, specifically </w:t>
      </w:r>
      <w:r w:rsidR="007A0929" w:rsidRPr="00C72A2B">
        <w:t>In-phase</w:t>
      </w:r>
      <w:r w:rsidRPr="00C72A2B">
        <w:t xml:space="preserve">, </w:t>
      </w:r>
      <w:r w:rsidR="007A0929" w:rsidRPr="00C72A2B">
        <w:t>Out-of-phase,</w:t>
      </w:r>
      <w:r w:rsidRPr="00C72A2B">
        <w:t xml:space="preserve"> Water, and Fat.</w:t>
      </w:r>
    </w:p>
    <w:p w14:paraId="4BC00CE0" w14:textId="77777777" w:rsidR="00BC25B8" w:rsidRPr="00C72A2B" w:rsidRDefault="00BC25B8" w:rsidP="00C72A2B"/>
    <w:p w14:paraId="4DFEC708" w14:textId="1EC7FAEE" w:rsidR="00712E83" w:rsidRPr="00C72A2B" w:rsidRDefault="00712E83" w:rsidP="00C72A2B">
      <w:r w:rsidRPr="00C72A2B">
        <w:rPr>
          <w:highlight w:val="yellow"/>
        </w:rPr>
        <w:t xml:space="preserve">1.1. </w:t>
      </w:r>
      <w:r w:rsidR="00FD4CCD" w:rsidRPr="00C72A2B">
        <w:rPr>
          <w:highlight w:val="yellow"/>
        </w:rPr>
        <w:t xml:space="preserve">Check the </w:t>
      </w:r>
      <w:r w:rsidRPr="00C72A2B">
        <w:rPr>
          <w:highlight w:val="yellow"/>
        </w:rPr>
        <w:t>Dixon sequence for the upper abdomen</w:t>
      </w:r>
      <w:r w:rsidR="00FD4CCD" w:rsidRPr="00C72A2B">
        <w:rPr>
          <w:highlight w:val="yellow"/>
        </w:rPr>
        <w:t>.</w:t>
      </w:r>
      <w:r w:rsidR="009251E1">
        <w:t xml:space="preserve">   </w:t>
      </w:r>
      <w:r w:rsidR="009251E1" w:rsidRPr="001E76AD">
        <w:rPr>
          <w:b/>
          <w:bCs/>
          <w:color w:val="FF0000"/>
          <w:highlight w:val="yellow"/>
        </w:rPr>
        <w:t>0: 0</w:t>
      </w:r>
      <w:r w:rsidR="009251E1">
        <w:rPr>
          <w:b/>
          <w:bCs/>
          <w:color w:val="FF0000"/>
          <w:highlight w:val="yellow"/>
        </w:rPr>
        <w:t>0</w:t>
      </w:r>
      <w:r w:rsidR="009251E1" w:rsidRPr="001E76AD">
        <w:rPr>
          <w:b/>
          <w:bCs/>
          <w:color w:val="FF0000"/>
          <w:highlight w:val="yellow"/>
        </w:rPr>
        <w:t>:</w:t>
      </w:r>
      <w:r w:rsidR="009251E1">
        <w:rPr>
          <w:b/>
          <w:bCs/>
          <w:color w:val="FF0000"/>
        </w:rPr>
        <w:t>00--</w:t>
      </w:r>
      <w:r w:rsidR="009251E1" w:rsidRPr="001E76AD">
        <w:rPr>
          <w:b/>
          <w:bCs/>
          <w:color w:val="FF0000"/>
          <w:highlight w:val="yellow"/>
        </w:rPr>
        <w:t>0: 0</w:t>
      </w:r>
      <w:r w:rsidR="009251E1">
        <w:rPr>
          <w:b/>
          <w:bCs/>
          <w:color w:val="FF0000"/>
          <w:highlight w:val="yellow"/>
        </w:rPr>
        <w:t>0</w:t>
      </w:r>
      <w:r w:rsidR="009251E1" w:rsidRPr="001E76AD">
        <w:rPr>
          <w:b/>
          <w:bCs/>
          <w:color w:val="FF0000"/>
          <w:highlight w:val="yellow"/>
        </w:rPr>
        <w:t>:</w:t>
      </w:r>
      <w:r w:rsidR="00262BA9">
        <w:rPr>
          <w:b/>
          <w:bCs/>
          <w:color w:val="FF0000"/>
        </w:rPr>
        <w:t>12</w:t>
      </w:r>
    </w:p>
    <w:p w14:paraId="3B77046A" w14:textId="77777777" w:rsidR="00BC25B8" w:rsidRPr="00C72A2B" w:rsidRDefault="00BC25B8" w:rsidP="00C72A2B"/>
    <w:p w14:paraId="422657D2" w14:textId="721BB9C1" w:rsidR="00712E83" w:rsidRPr="00C72A2B" w:rsidRDefault="00712E83" w:rsidP="00C72A2B">
      <w:r w:rsidRPr="00C72A2B">
        <w:rPr>
          <w:highlight w:val="yellow"/>
        </w:rPr>
        <w:t>1.1.1. Copy all DICOM data to a customized working directory.</w:t>
      </w:r>
      <w:r w:rsidR="00262BA9">
        <w:t xml:space="preserve"> </w:t>
      </w:r>
      <w:r w:rsidR="00262BA9" w:rsidRPr="001E76AD">
        <w:rPr>
          <w:b/>
          <w:bCs/>
          <w:color w:val="FF0000"/>
          <w:highlight w:val="yellow"/>
        </w:rPr>
        <w:t>0: 0</w:t>
      </w:r>
      <w:r w:rsidR="00262BA9">
        <w:rPr>
          <w:b/>
          <w:bCs/>
          <w:color w:val="FF0000"/>
          <w:highlight w:val="yellow"/>
        </w:rPr>
        <w:t>0</w:t>
      </w:r>
      <w:r w:rsidR="00262BA9" w:rsidRPr="001E76AD">
        <w:rPr>
          <w:b/>
          <w:bCs/>
          <w:color w:val="FF0000"/>
          <w:highlight w:val="yellow"/>
        </w:rPr>
        <w:t>:</w:t>
      </w:r>
      <w:r w:rsidR="00262BA9">
        <w:rPr>
          <w:b/>
          <w:bCs/>
          <w:color w:val="FF0000"/>
        </w:rPr>
        <w:t>12</w:t>
      </w:r>
      <w:r w:rsidR="00262BA9">
        <w:rPr>
          <w:b/>
          <w:bCs/>
          <w:color w:val="FF0000"/>
        </w:rPr>
        <w:t>--</w:t>
      </w:r>
      <w:r w:rsidR="00262BA9" w:rsidRPr="001E76AD">
        <w:rPr>
          <w:b/>
          <w:bCs/>
          <w:color w:val="FF0000"/>
          <w:highlight w:val="yellow"/>
        </w:rPr>
        <w:t>0: 0</w:t>
      </w:r>
      <w:r w:rsidR="00262BA9">
        <w:rPr>
          <w:b/>
          <w:bCs/>
          <w:color w:val="FF0000"/>
          <w:highlight w:val="yellow"/>
        </w:rPr>
        <w:t>0</w:t>
      </w:r>
      <w:r w:rsidR="00262BA9" w:rsidRPr="001E76AD">
        <w:rPr>
          <w:b/>
          <w:bCs/>
          <w:color w:val="FF0000"/>
          <w:highlight w:val="yellow"/>
        </w:rPr>
        <w:t>:</w:t>
      </w:r>
      <w:r w:rsidR="00262BA9">
        <w:rPr>
          <w:b/>
          <w:bCs/>
          <w:color w:val="FF0000"/>
        </w:rPr>
        <w:t>29</w:t>
      </w:r>
    </w:p>
    <w:p w14:paraId="57D2F783" w14:textId="77777777" w:rsidR="00BC25B8" w:rsidRPr="00C72A2B" w:rsidRDefault="00BC25B8" w:rsidP="00C72A2B"/>
    <w:p w14:paraId="5403EBEE" w14:textId="77349829" w:rsidR="00712E83" w:rsidRPr="00C72A2B" w:rsidRDefault="00BC25B8" w:rsidP="00C72A2B">
      <w:r w:rsidRPr="00C72A2B">
        <w:t>NOTE:</w:t>
      </w:r>
      <w:r w:rsidR="00712E83" w:rsidRPr="00C72A2B">
        <w:t xml:space="preserve"> The working directory is the same in both the operating system and MATLAB.</w:t>
      </w:r>
    </w:p>
    <w:p w14:paraId="12D6B010" w14:textId="77777777" w:rsidR="00BC25B8" w:rsidRPr="00C72A2B" w:rsidRDefault="00BC25B8" w:rsidP="00C72A2B"/>
    <w:p w14:paraId="2077D5AE" w14:textId="75B686C5" w:rsidR="00F373D8" w:rsidRPr="00F373D8" w:rsidRDefault="00F373D8" w:rsidP="00F373D8">
      <w:r w:rsidRPr="00F373D8">
        <w:rPr>
          <w:highlight w:val="yellow"/>
        </w:rPr>
        <w:t xml:space="preserve">1.1.2. Go to the directory housing the data within MATLAB's current working directory (as shown in </w:t>
      </w:r>
      <w:r w:rsidRPr="00F373D8">
        <w:rPr>
          <w:b/>
          <w:bCs/>
          <w:highlight w:val="yellow"/>
        </w:rPr>
        <w:t>Figure 1</w:t>
      </w:r>
      <w:r w:rsidRPr="00F373D8">
        <w:rPr>
          <w:highlight w:val="yellow"/>
        </w:rPr>
        <w:t>).</w:t>
      </w:r>
      <w:r w:rsidR="00262BA9">
        <w:t xml:space="preserve">   </w:t>
      </w:r>
      <w:r w:rsidR="00262BA9" w:rsidRPr="001E76AD">
        <w:rPr>
          <w:b/>
          <w:bCs/>
          <w:color w:val="FF0000"/>
          <w:highlight w:val="yellow"/>
        </w:rPr>
        <w:t>0: 0</w:t>
      </w:r>
      <w:r w:rsidR="00262BA9">
        <w:rPr>
          <w:b/>
          <w:bCs/>
          <w:color w:val="FF0000"/>
          <w:highlight w:val="yellow"/>
        </w:rPr>
        <w:t>0</w:t>
      </w:r>
      <w:r w:rsidR="00262BA9" w:rsidRPr="001E76AD">
        <w:rPr>
          <w:b/>
          <w:bCs/>
          <w:color w:val="FF0000"/>
          <w:highlight w:val="yellow"/>
        </w:rPr>
        <w:t>:</w:t>
      </w:r>
      <w:r w:rsidR="00262BA9">
        <w:rPr>
          <w:b/>
          <w:bCs/>
          <w:color w:val="FF0000"/>
        </w:rPr>
        <w:t>29</w:t>
      </w:r>
      <w:r w:rsidR="00262BA9">
        <w:rPr>
          <w:b/>
          <w:bCs/>
          <w:color w:val="FF0000"/>
        </w:rPr>
        <w:t>--</w:t>
      </w:r>
      <w:r w:rsidR="00262BA9" w:rsidRPr="001E76AD">
        <w:rPr>
          <w:b/>
          <w:bCs/>
          <w:color w:val="FF0000"/>
          <w:highlight w:val="yellow"/>
        </w:rPr>
        <w:t>0: 0</w:t>
      </w:r>
      <w:r w:rsidR="00262BA9">
        <w:rPr>
          <w:b/>
          <w:bCs/>
          <w:color w:val="FF0000"/>
          <w:highlight w:val="yellow"/>
        </w:rPr>
        <w:t>1</w:t>
      </w:r>
      <w:r w:rsidR="00262BA9" w:rsidRPr="001E76AD">
        <w:rPr>
          <w:b/>
          <w:bCs/>
          <w:color w:val="FF0000"/>
          <w:highlight w:val="yellow"/>
        </w:rPr>
        <w:t>:</w:t>
      </w:r>
      <w:r w:rsidR="00262BA9">
        <w:rPr>
          <w:b/>
          <w:bCs/>
          <w:color w:val="FF0000"/>
        </w:rPr>
        <w:t>16</w:t>
      </w:r>
    </w:p>
    <w:p w14:paraId="59C1BC00" w14:textId="77777777" w:rsidR="00F373D8" w:rsidRDefault="00F373D8" w:rsidP="00F373D8"/>
    <w:p w14:paraId="3C51FE6C" w14:textId="48CEEF32" w:rsidR="00F373D8" w:rsidRPr="00C2384A" w:rsidRDefault="00C2384A" w:rsidP="00C2384A">
      <w:r w:rsidRPr="00C2384A">
        <w:t>1.1.3. Confirm that the DIXON data displays a horizontal resolution of 520 pixels by 704 pixels, with a pixel spacing of 0.5682 mm and a slice thickness of 5 mm.</w:t>
      </w:r>
    </w:p>
    <w:p w14:paraId="2AB28F81" w14:textId="77777777" w:rsidR="00C2384A" w:rsidRPr="00C72A2B" w:rsidRDefault="00C2384A" w:rsidP="00C72A2B"/>
    <w:p w14:paraId="54F0A200" w14:textId="1C0BAFC1" w:rsidR="00712E83" w:rsidRPr="00C72A2B" w:rsidRDefault="00712E83" w:rsidP="00C72A2B">
      <w:r w:rsidRPr="00C72A2B">
        <w:rPr>
          <w:highlight w:val="yellow"/>
        </w:rPr>
        <w:t>1.2. Quickly check images of Dixon.</w:t>
      </w:r>
    </w:p>
    <w:p w14:paraId="1C86B8AD" w14:textId="77777777" w:rsidR="00BC25B8" w:rsidRPr="00C72A2B" w:rsidRDefault="00BC25B8" w:rsidP="00C72A2B"/>
    <w:p w14:paraId="56E1DAEA" w14:textId="18EA8F6D" w:rsidR="00872119" w:rsidRPr="0098391F" w:rsidRDefault="00872119" w:rsidP="00872119">
      <w:r w:rsidRPr="0098391F">
        <w:rPr>
          <w:highlight w:val="yellow"/>
        </w:rPr>
        <w:t xml:space="preserve">1.2.1. Change the directory to access folders for different phases, which include In-phase, Out-phase, Water, and Fat phases, each stored in </w:t>
      </w:r>
      <w:r w:rsidR="00254E27">
        <w:rPr>
          <w:highlight w:val="yellow"/>
        </w:rPr>
        <w:t>distinct</w:t>
      </w:r>
      <w:r w:rsidRPr="0098391F">
        <w:rPr>
          <w:highlight w:val="yellow"/>
        </w:rPr>
        <w:t xml:space="preserve"> folders for Dixon imaging.</w:t>
      </w:r>
      <w:r w:rsidR="00262BA9">
        <w:t xml:space="preserve">  </w:t>
      </w:r>
      <w:r w:rsidR="00262BA9" w:rsidRPr="001E76AD">
        <w:rPr>
          <w:b/>
          <w:bCs/>
          <w:color w:val="FF0000"/>
          <w:highlight w:val="yellow"/>
        </w:rPr>
        <w:t>0: 0</w:t>
      </w:r>
      <w:r w:rsidR="00262BA9">
        <w:rPr>
          <w:b/>
          <w:bCs/>
          <w:color w:val="FF0000"/>
          <w:highlight w:val="yellow"/>
        </w:rPr>
        <w:t>1</w:t>
      </w:r>
      <w:r w:rsidR="00262BA9" w:rsidRPr="001E76AD">
        <w:rPr>
          <w:b/>
          <w:bCs/>
          <w:color w:val="FF0000"/>
          <w:highlight w:val="yellow"/>
        </w:rPr>
        <w:t>:</w:t>
      </w:r>
      <w:r w:rsidR="00262BA9">
        <w:rPr>
          <w:b/>
          <w:bCs/>
          <w:color w:val="FF0000"/>
        </w:rPr>
        <w:t>16</w:t>
      </w:r>
      <w:r w:rsidR="00262BA9">
        <w:rPr>
          <w:b/>
          <w:bCs/>
          <w:color w:val="FF0000"/>
        </w:rPr>
        <w:t>--</w:t>
      </w:r>
      <w:r w:rsidR="00262BA9" w:rsidRPr="001E76AD">
        <w:rPr>
          <w:b/>
          <w:bCs/>
          <w:color w:val="FF0000"/>
          <w:highlight w:val="yellow"/>
        </w:rPr>
        <w:t>0: 0</w:t>
      </w:r>
      <w:r w:rsidR="00262BA9">
        <w:rPr>
          <w:b/>
          <w:bCs/>
          <w:color w:val="FF0000"/>
          <w:highlight w:val="yellow"/>
        </w:rPr>
        <w:t>1</w:t>
      </w:r>
      <w:r w:rsidR="00262BA9" w:rsidRPr="001E76AD">
        <w:rPr>
          <w:b/>
          <w:bCs/>
          <w:color w:val="FF0000"/>
          <w:highlight w:val="yellow"/>
        </w:rPr>
        <w:t>:</w:t>
      </w:r>
      <w:r w:rsidR="00262BA9">
        <w:rPr>
          <w:b/>
          <w:bCs/>
          <w:color w:val="FF0000"/>
        </w:rPr>
        <w:t>26</w:t>
      </w:r>
    </w:p>
    <w:p w14:paraId="4864BAE7" w14:textId="77777777" w:rsidR="00872119" w:rsidRDefault="00872119" w:rsidP="00872119"/>
    <w:p w14:paraId="319830A1" w14:textId="0E4E0516" w:rsidR="00872119" w:rsidRPr="00872119" w:rsidRDefault="00872119" w:rsidP="00872119">
      <w:r w:rsidRPr="00872119">
        <w:t xml:space="preserve">1.2.2. Utilize the </w:t>
      </w:r>
      <w:r w:rsidRPr="00E57DE1">
        <w:rPr>
          <w:b/>
          <w:bCs/>
        </w:rPr>
        <w:t>Slice_View</w:t>
      </w:r>
      <w:r w:rsidRPr="00872119">
        <w:t xml:space="preserve"> function to visualize the images for each phase.</w:t>
      </w:r>
      <w:r w:rsidR="00262BA9">
        <w:t xml:space="preserve"> </w:t>
      </w:r>
      <w:r w:rsidR="00262BA9" w:rsidRPr="001E76AD">
        <w:rPr>
          <w:b/>
          <w:bCs/>
          <w:color w:val="FF0000"/>
          <w:highlight w:val="yellow"/>
        </w:rPr>
        <w:t>0: 0</w:t>
      </w:r>
      <w:r w:rsidR="00262BA9">
        <w:rPr>
          <w:b/>
          <w:bCs/>
          <w:color w:val="FF0000"/>
          <w:highlight w:val="yellow"/>
        </w:rPr>
        <w:t>1</w:t>
      </w:r>
      <w:r w:rsidR="00262BA9" w:rsidRPr="001E76AD">
        <w:rPr>
          <w:b/>
          <w:bCs/>
          <w:color w:val="FF0000"/>
          <w:highlight w:val="yellow"/>
        </w:rPr>
        <w:t>:</w:t>
      </w:r>
      <w:r w:rsidR="00262BA9">
        <w:rPr>
          <w:b/>
          <w:bCs/>
          <w:color w:val="FF0000"/>
        </w:rPr>
        <w:t>26</w:t>
      </w:r>
    </w:p>
    <w:p w14:paraId="318BD1DE" w14:textId="77777777" w:rsidR="00872119" w:rsidRDefault="00872119" w:rsidP="00872119"/>
    <w:p w14:paraId="453DB5BC" w14:textId="76BFD94E" w:rsidR="00872119" w:rsidRPr="00E97C1D" w:rsidRDefault="00E97C1D" w:rsidP="00E97C1D">
      <w:r w:rsidRPr="00E97C1D">
        <w:t xml:space="preserve">1.2.3. </w:t>
      </w:r>
      <w:r>
        <w:t>See</w:t>
      </w:r>
      <w:r w:rsidRPr="00E97C1D">
        <w:t xml:space="preserve"> </w:t>
      </w:r>
      <w:r w:rsidRPr="00E97C1D">
        <w:rPr>
          <w:b/>
          <w:bCs/>
        </w:rPr>
        <w:t>Figure 2</w:t>
      </w:r>
      <w:r w:rsidRPr="00E97C1D">
        <w:t xml:space="preserve"> to view an image of the MRI-Dixon sequence's interactive graphical user interface (GUI). </w:t>
      </w:r>
      <w:r w:rsidRPr="00E97C1D">
        <w:rPr>
          <w:highlight w:val="yellow"/>
        </w:rPr>
        <w:t xml:space="preserve">Employ the scroll bar situated at the bottom of the GUI to efficiently navigate through the </w:t>
      </w:r>
      <w:r w:rsidR="00BB7689">
        <w:rPr>
          <w:highlight w:val="yellow"/>
        </w:rPr>
        <w:t>various</w:t>
      </w:r>
      <w:r w:rsidRPr="00E97C1D">
        <w:rPr>
          <w:highlight w:val="yellow"/>
        </w:rPr>
        <w:t xml:space="preserve"> sequences.</w:t>
      </w:r>
      <w:r w:rsidR="00262BA9" w:rsidRPr="00262BA9">
        <w:rPr>
          <w:b/>
          <w:bCs/>
          <w:color w:val="FF0000"/>
          <w:highlight w:val="yellow"/>
        </w:rPr>
        <w:t xml:space="preserve"> </w:t>
      </w:r>
      <w:r w:rsidR="00262BA9" w:rsidRPr="001E76AD">
        <w:rPr>
          <w:b/>
          <w:bCs/>
          <w:color w:val="FF0000"/>
          <w:highlight w:val="yellow"/>
        </w:rPr>
        <w:t>0: 0</w:t>
      </w:r>
      <w:r w:rsidR="00262BA9">
        <w:rPr>
          <w:b/>
          <w:bCs/>
          <w:color w:val="FF0000"/>
          <w:highlight w:val="yellow"/>
        </w:rPr>
        <w:t>1</w:t>
      </w:r>
      <w:r w:rsidR="00262BA9" w:rsidRPr="001E76AD">
        <w:rPr>
          <w:b/>
          <w:bCs/>
          <w:color w:val="FF0000"/>
          <w:highlight w:val="yellow"/>
        </w:rPr>
        <w:t>:</w:t>
      </w:r>
      <w:r w:rsidR="00262BA9">
        <w:rPr>
          <w:b/>
          <w:bCs/>
          <w:color w:val="FF0000"/>
        </w:rPr>
        <w:t>26</w:t>
      </w:r>
      <w:r w:rsidR="00262BA9">
        <w:rPr>
          <w:b/>
          <w:bCs/>
          <w:color w:val="FF0000"/>
        </w:rPr>
        <w:t>--</w:t>
      </w:r>
      <w:r w:rsidR="00262BA9" w:rsidRPr="001E76AD">
        <w:rPr>
          <w:b/>
          <w:bCs/>
          <w:color w:val="FF0000"/>
          <w:highlight w:val="yellow"/>
        </w:rPr>
        <w:t>0: 0</w:t>
      </w:r>
      <w:r w:rsidR="00262BA9">
        <w:rPr>
          <w:b/>
          <w:bCs/>
          <w:color w:val="FF0000"/>
          <w:highlight w:val="yellow"/>
        </w:rPr>
        <w:t>1</w:t>
      </w:r>
      <w:r w:rsidR="00262BA9" w:rsidRPr="001E76AD">
        <w:rPr>
          <w:b/>
          <w:bCs/>
          <w:color w:val="FF0000"/>
          <w:highlight w:val="yellow"/>
        </w:rPr>
        <w:t>:</w:t>
      </w:r>
      <w:r w:rsidR="00262BA9">
        <w:rPr>
          <w:b/>
          <w:bCs/>
          <w:color w:val="FF0000"/>
        </w:rPr>
        <w:t>35</w:t>
      </w:r>
    </w:p>
    <w:p w14:paraId="55B991EA" w14:textId="77777777" w:rsidR="00E97C1D" w:rsidRDefault="00E97C1D" w:rsidP="00872119"/>
    <w:p w14:paraId="0F139B64" w14:textId="60317163" w:rsidR="00872119" w:rsidRPr="00872119" w:rsidRDefault="00872119" w:rsidP="00872119">
      <w:r w:rsidRPr="00E57DE1">
        <w:rPr>
          <w:highlight w:val="yellow"/>
        </w:rPr>
        <w:t>1.2.4. Employ the MRI-Dixon In-phase sequence to enhance descriptions of liver tissue boundaries.</w:t>
      </w:r>
      <w:r w:rsidR="00262BA9">
        <w:t xml:space="preserve">  </w:t>
      </w:r>
      <w:r w:rsidR="00262BA9" w:rsidRPr="001E76AD">
        <w:rPr>
          <w:b/>
          <w:bCs/>
          <w:color w:val="FF0000"/>
          <w:highlight w:val="yellow"/>
        </w:rPr>
        <w:t>0: 0</w:t>
      </w:r>
      <w:r w:rsidR="00262BA9">
        <w:rPr>
          <w:b/>
          <w:bCs/>
          <w:color w:val="FF0000"/>
          <w:highlight w:val="yellow"/>
        </w:rPr>
        <w:t>1</w:t>
      </w:r>
      <w:r w:rsidR="00262BA9" w:rsidRPr="001E76AD">
        <w:rPr>
          <w:b/>
          <w:bCs/>
          <w:color w:val="FF0000"/>
          <w:highlight w:val="yellow"/>
        </w:rPr>
        <w:t>:</w:t>
      </w:r>
      <w:r w:rsidR="00262BA9">
        <w:rPr>
          <w:b/>
          <w:bCs/>
          <w:color w:val="FF0000"/>
        </w:rPr>
        <w:t>26--</w:t>
      </w:r>
      <w:r w:rsidR="00262BA9" w:rsidRPr="001E76AD">
        <w:rPr>
          <w:b/>
          <w:bCs/>
          <w:color w:val="FF0000"/>
          <w:highlight w:val="yellow"/>
        </w:rPr>
        <w:t>0: 0</w:t>
      </w:r>
      <w:r w:rsidR="00262BA9">
        <w:rPr>
          <w:b/>
          <w:bCs/>
          <w:color w:val="FF0000"/>
          <w:highlight w:val="yellow"/>
        </w:rPr>
        <w:t>1</w:t>
      </w:r>
      <w:r w:rsidR="00262BA9" w:rsidRPr="001E76AD">
        <w:rPr>
          <w:b/>
          <w:bCs/>
          <w:color w:val="FF0000"/>
          <w:highlight w:val="yellow"/>
        </w:rPr>
        <w:t>:</w:t>
      </w:r>
      <w:r w:rsidR="00262BA9">
        <w:rPr>
          <w:b/>
          <w:bCs/>
          <w:color w:val="FF0000"/>
        </w:rPr>
        <w:t>35</w:t>
      </w:r>
    </w:p>
    <w:p w14:paraId="13DEB1E8" w14:textId="77777777" w:rsidR="00872119" w:rsidRDefault="00872119" w:rsidP="00872119"/>
    <w:p w14:paraId="5F69DE21" w14:textId="219A45A3" w:rsidR="003D4823" w:rsidRPr="00D35F51" w:rsidRDefault="00D35F51" w:rsidP="00D35F51">
      <w:r w:rsidRPr="00D35F51">
        <w:t xml:space="preserve">NOTE: In </w:t>
      </w:r>
      <w:r w:rsidRPr="00D35F51">
        <w:rPr>
          <w:b/>
          <w:bCs/>
        </w:rPr>
        <w:t>Figure 2</w:t>
      </w:r>
      <w:r w:rsidRPr="00D35F51">
        <w:t xml:space="preserve">, </w:t>
      </w:r>
      <w:r>
        <w:t>one</w:t>
      </w:r>
      <w:r w:rsidRPr="00D35F51">
        <w:t xml:space="preserve"> can find icons located in the upper right corner of the GUI. These icons offer functions such as </w:t>
      </w:r>
      <w:r w:rsidR="00A74F61" w:rsidRPr="00D35F51">
        <w:t xml:space="preserve">zooming out, </w:t>
      </w:r>
      <w:r w:rsidRPr="00D35F51">
        <w:t>zooming in, returning to the global view, and marking the coordinates of the selected pixel. Make use of the zoom feature to closely examine local lesion features.</w:t>
      </w:r>
    </w:p>
    <w:p w14:paraId="1CA565D3" w14:textId="77777777" w:rsidR="00D35F51" w:rsidRDefault="00D35F51" w:rsidP="00872119"/>
    <w:p w14:paraId="069D4447" w14:textId="57436F86" w:rsidR="00872119" w:rsidRPr="00872119" w:rsidRDefault="00872119" w:rsidP="00872119">
      <w:r w:rsidRPr="004D57BB">
        <w:rPr>
          <w:highlight w:val="yellow"/>
        </w:rPr>
        <w:t>1.2.5. Use the Mark pixel coordinates feature to calculate the distance between two points, aiding in the measurement of nodule sizes.</w:t>
      </w:r>
      <w:r w:rsidR="00262BA9">
        <w:t xml:space="preserve">  </w:t>
      </w:r>
      <w:r w:rsidR="00262BA9" w:rsidRPr="001E76AD">
        <w:rPr>
          <w:b/>
          <w:bCs/>
          <w:color w:val="FF0000"/>
          <w:highlight w:val="yellow"/>
        </w:rPr>
        <w:t>0: 0</w:t>
      </w:r>
      <w:r w:rsidR="00262BA9">
        <w:rPr>
          <w:b/>
          <w:bCs/>
          <w:color w:val="FF0000"/>
          <w:highlight w:val="yellow"/>
        </w:rPr>
        <w:t>1</w:t>
      </w:r>
      <w:r w:rsidR="00262BA9" w:rsidRPr="001E76AD">
        <w:rPr>
          <w:b/>
          <w:bCs/>
          <w:color w:val="FF0000"/>
          <w:highlight w:val="yellow"/>
        </w:rPr>
        <w:t>:</w:t>
      </w:r>
      <w:r w:rsidR="00262BA9">
        <w:rPr>
          <w:b/>
          <w:bCs/>
          <w:color w:val="FF0000"/>
        </w:rPr>
        <w:t>35</w:t>
      </w:r>
      <w:r w:rsidR="00262BA9">
        <w:rPr>
          <w:b/>
          <w:bCs/>
          <w:color w:val="FF0000"/>
        </w:rPr>
        <w:t>--</w:t>
      </w:r>
      <w:r w:rsidR="00262BA9" w:rsidRPr="001E76AD">
        <w:rPr>
          <w:b/>
          <w:bCs/>
          <w:color w:val="FF0000"/>
          <w:highlight w:val="yellow"/>
        </w:rPr>
        <w:t>0: 0</w:t>
      </w:r>
      <w:r w:rsidR="00262BA9">
        <w:rPr>
          <w:b/>
          <w:bCs/>
          <w:color w:val="FF0000"/>
          <w:highlight w:val="yellow"/>
        </w:rPr>
        <w:t>1</w:t>
      </w:r>
      <w:r w:rsidR="00262BA9" w:rsidRPr="001E76AD">
        <w:rPr>
          <w:b/>
          <w:bCs/>
          <w:color w:val="FF0000"/>
          <w:highlight w:val="yellow"/>
        </w:rPr>
        <w:t>:</w:t>
      </w:r>
      <w:r w:rsidR="00262BA9">
        <w:rPr>
          <w:b/>
          <w:bCs/>
          <w:color w:val="FF0000"/>
        </w:rPr>
        <w:t>5</w:t>
      </w:r>
      <w:r w:rsidR="00262BA9">
        <w:rPr>
          <w:b/>
          <w:bCs/>
          <w:color w:val="FF0000"/>
        </w:rPr>
        <w:t>5</w:t>
      </w:r>
    </w:p>
    <w:p w14:paraId="44B67295" w14:textId="77777777" w:rsidR="00872119" w:rsidRPr="00027729" w:rsidRDefault="00872119" w:rsidP="00027729"/>
    <w:p w14:paraId="3BB7AAFF" w14:textId="4D9F8125" w:rsidR="00872119" w:rsidRDefault="00027729" w:rsidP="00027729">
      <w:r w:rsidRPr="00027729">
        <w:t xml:space="preserve">1.2.6. The initial color bar uses the jet colormap, which signifies a color shift from blue to red, signifying low to high values respectively. </w:t>
      </w:r>
      <w:r w:rsidRPr="00027729">
        <w:rPr>
          <w:highlight w:val="yellow"/>
        </w:rPr>
        <w:t xml:space="preserve">To switch to the standard gray colormap and reset the entire GUI, right-click on the </w:t>
      </w:r>
      <w:r w:rsidRPr="00027729">
        <w:rPr>
          <w:b/>
          <w:bCs/>
          <w:highlight w:val="yellow"/>
        </w:rPr>
        <w:t>Color Bar</w:t>
      </w:r>
      <w:r w:rsidRPr="00027729">
        <w:rPr>
          <w:highlight w:val="yellow"/>
        </w:rPr>
        <w:t xml:space="preserve"> and select the option from the pop-up menu.</w:t>
      </w:r>
      <w:r w:rsidR="00262BA9">
        <w:t xml:space="preserve">  </w:t>
      </w:r>
      <w:r w:rsidR="00420314" w:rsidRPr="001E76AD">
        <w:rPr>
          <w:b/>
          <w:bCs/>
          <w:color w:val="FF0000"/>
          <w:highlight w:val="yellow"/>
        </w:rPr>
        <w:t>0: 0</w:t>
      </w:r>
      <w:r w:rsidR="00420314">
        <w:rPr>
          <w:b/>
          <w:bCs/>
          <w:color w:val="FF0000"/>
          <w:highlight w:val="yellow"/>
        </w:rPr>
        <w:t>1</w:t>
      </w:r>
      <w:r w:rsidR="00420314" w:rsidRPr="001E76AD">
        <w:rPr>
          <w:b/>
          <w:bCs/>
          <w:color w:val="FF0000"/>
          <w:highlight w:val="yellow"/>
        </w:rPr>
        <w:t>:</w:t>
      </w:r>
      <w:r w:rsidR="00420314">
        <w:rPr>
          <w:b/>
          <w:bCs/>
          <w:color w:val="FF0000"/>
        </w:rPr>
        <w:t>3</w:t>
      </w:r>
      <w:r w:rsidR="00420314">
        <w:rPr>
          <w:b/>
          <w:bCs/>
          <w:color w:val="FF0000"/>
        </w:rPr>
        <w:t>3--</w:t>
      </w:r>
      <w:r w:rsidR="00420314" w:rsidRPr="001E76AD">
        <w:rPr>
          <w:b/>
          <w:bCs/>
          <w:color w:val="FF0000"/>
          <w:highlight w:val="yellow"/>
        </w:rPr>
        <w:t>0: 0</w:t>
      </w:r>
      <w:r w:rsidR="00420314">
        <w:rPr>
          <w:b/>
          <w:bCs/>
          <w:color w:val="FF0000"/>
          <w:highlight w:val="yellow"/>
        </w:rPr>
        <w:t>1</w:t>
      </w:r>
      <w:r w:rsidR="00420314" w:rsidRPr="001E76AD">
        <w:rPr>
          <w:b/>
          <w:bCs/>
          <w:color w:val="FF0000"/>
          <w:highlight w:val="yellow"/>
        </w:rPr>
        <w:t>:</w:t>
      </w:r>
      <w:r w:rsidR="00420314">
        <w:rPr>
          <w:b/>
          <w:bCs/>
          <w:color w:val="FF0000"/>
        </w:rPr>
        <w:t>3</w:t>
      </w:r>
      <w:r w:rsidR="00420314">
        <w:rPr>
          <w:b/>
          <w:bCs/>
          <w:color w:val="FF0000"/>
        </w:rPr>
        <w:t>9</w:t>
      </w:r>
    </w:p>
    <w:p w14:paraId="578B64E2" w14:textId="77777777" w:rsidR="00027729" w:rsidRPr="00027729" w:rsidRDefault="00027729" w:rsidP="00027729"/>
    <w:p w14:paraId="71443215" w14:textId="57332A63" w:rsidR="00872119" w:rsidRPr="00872119" w:rsidRDefault="00872119" w:rsidP="00872119">
      <w:r w:rsidRPr="00EC3B7D">
        <w:rPr>
          <w:highlight w:val="yellow"/>
        </w:rPr>
        <w:lastRenderedPageBreak/>
        <w:t>1.2.7. If the default filter window is not suitable, adjust it by dragging up and down in the middle of the figure using the left mouse button to modify the window level.</w:t>
      </w:r>
      <w:r w:rsidRPr="00872119">
        <w:t xml:space="preserve"> Dragging left and right adjusts the window width, and the precise filtering range will be </w:t>
      </w:r>
      <w:r w:rsidR="00B33DEE">
        <w:t>shown</w:t>
      </w:r>
      <w:r w:rsidRPr="00872119">
        <w:t xml:space="preserve"> on the color bar.</w:t>
      </w:r>
      <w:r w:rsidR="00420314">
        <w:t xml:space="preserve"> </w:t>
      </w:r>
      <w:r w:rsidR="00420314" w:rsidRPr="001E76AD">
        <w:rPr>
          <w:b/>
          <w:bCs/>
          <w:color w:val="FF0000"/>
          <w:highlight w:val="yellow"/>
        </w:rPr>
        <w:t>0: 0</w:t>
      </w:r>
      <w:r w:rsidR="00420314">
        <w:rPr>
          <w:b/>
          <w:bCs/>
          <w:color w:val="FF0000"/>
          <w:highlight w:val="yellow"/>
        </w:rPr>
        <w:t>2</w:t>
      </w:r>
      <w:r w:rsidR="00420314" w:rsidRPr="001E76AD">
        <w:rPr>
          <w:b/>
          <w:bCs/>
          <w:color w:val="FF0000"/>
          <w:highlight w:val="yellow"/>
        </w:rPr>
        <w:t>:</w:t>
      </w:r>
      <w:r w:rsidR="00420314">
        <w:rPr>
          <w:b/>
          <w:bCs/>
          <w:color w:val="FF0000"/>
        </w:rPr>
        <w:t>12--</w:t>
      </w:r>
      <w:r w:rsidR="00420314" w:rsidRPr="001E76AD">
        <w:rPr>
          <w:b/>
          <w:bCs/>
          <w:color w:val="FF0000"/>
          <w:highlight w:val="yellow"/>
        </w:rPr>
        <w:t>0: 0</w:t>
      </w:r>
      <w:r w:rsidR="00420314">
        <w:rPr>
          <w:b/>
          <w:bCs/>
          <w:color w:val="FF0000"/>
          <w:highlight w:val="yellow"/>
        </w:rPr>
        <w:t>2</w:t>
      </w:r>
      <w:r w:rsidR="00420314" w:rsidRPr="001E76AD">
        <w:rPr>
          <w:b/>
          <w:bCs/>
          <w:color w:val="FF0000"/>
          <w:highlight w:val="yellow"/>
        </w:rPr>
        <w:t>:</w:t>
      </w:r>
      <w:r w:rsidR="00420314">
        <w:rPr>
          <w:b/>
          <w:bCs/>
          <w:color w:val="FF0000"/>
        </w:rPr>
        <w:t>28</w:t>
      </w:r>
    </w:p>
    <w:p w14:paraId="4713F81C" w14:textId="77777777" w:rsidR="00872119" w:rsidRDefault="00872119" w:rsidP="00872119"/>
    <w:p w14:paraId="60423FCB" w14:textId="0E20A009" w:rsidR="00872119" w:rsidRPr="00872119" w:rsidRDefault="00872119" w:rsidP="00872119">
      <w:r w:rsidRPr="00872119">
        <w:t xml:space="preserve">NOTE: Subsequent operations will focus on utilizing the DIXON In-phase sequence to </w:t>
      </w:r>
      <w:r w:rsidR="00005E22">
        <w:t>represent</w:t>
      </w:r>
      <w:r w:rsidRPr="00872119">
        <w:t xml:space="preserve"> the 3D region of the liver.</w:t>
      </w:r>
    </w:p>
    <w:p w14:paraId="4614DC09" w14:textId="77777777" w:rsidR="00872119" w:rsidRPr="00C72A2B" w:rsidRDefault="00872119" w:rsidP="00C72A2B">
      <w:pPr>
        <w:rPr>
          <w:color w:val="FF0000"/>
        </w:rPr>
      </w:pPr>
    </w:p>
    <w:p w14:paraId="2E46FE78" w14:textId="42488899" w:rsidR="00B9774A" w:rsidRPr="00C72A2B" w:rsidRDefault="00B9774A" w:rsidP="00C72A2B">
      <w:pPr>
        <w:pStyle w:val="ac"/>
        <w:numPr>
          <w:ilvl w:val="0"/>
          <w:numId w:val="1"/>
        </w:numPr>
        <w:ind w:left="0" w:firstLineChars="0" w:firstLine="0"/>
        <w:rPr>
          <w:rFonts w:ascii="Calibri" w:hAnsi="Calibri" w:cs="Calibri"/>
          <w:b/>
          <w:bCs/>
          <w:sz w:val="24"/>
          <w:szCs w:val="24"/>
          <w:highlight w:val="yellow"/>
        </w:rPr>
      </w:pPr>
      <w:r w:rsidRPr="00C72A2B">
        <w:rPr>
          <w:rFonts w:ascii="Calibri" w:hAnsi="Calibri" w:cs="Calibri"/>
          <w:b/>
          <w:bCs/>
          <w:sz w:val="24"/>
          <w:szCs w:val="24"/>
          <w:highlight w:val="yellow"/>
        </w:rPr>
        <w:t>Extract</w:t>
      </w:r>
      <w:r w:rsidR="00DC6BD0" w:rsidRPr="00C72A2B">
        <w:rPr>
          <w:rFonts w:ascii="Calibri" w:hAnsi="Calibri" w:cs="Calibri"/>
          <w:b/>
          <w:bCs/>
          <w:sz w:val="24"/>
          <w:szCs w:val="24"/>
          <w:highlight w:val="yellow"/>
        </w:rPr>
        <w:t>ing</w:t>
      </w:r>
      <w:r w:rsidR="002C2657" w:rsidRPr="00C72A2B">
        <w:rPr>
          <w:rFonts w:ascii="Calibri" w:hAnsi="Calibri" w:cs="Calibri"/>
          <w:b/>
          <w:bCs/>
          <w:sz w:val="24"/>
          <w:szCs w:val="24"/>
          <w:highlight w:val="yellow"/>
        </w:rPr>
        <w:t xml:space="preserve"> the</w:t>
      </w:r>
      <w:r w:rsidRPr="00C72A2B">
        <w:rPr>
          <w:rFonts w:ascii="Calibri" w:hAnsi="Calibri" w:cs="Calibri"/>
          <w:b/>
          <w:bCs/>
          <w:sz w:val="24"/>
          <w:szCs w:val="24"/>
          <w:highlight w:val="yellow"/>
        </w:rPr>
        <w:t xml:space="preserve"> 3D region of the liver</w:t>
      </w:r>
      <w:r w:rsidR="004940FA">
        <w:rPr>
          <w:rFonts w:ascii="Calibri" w:hAnsi="Calibri" w:cs="Calibri"/>
          <w:b/>
          <w:bCs/>
          <w:sz w:val="24"/>
          <w:szCs w:val="24"/>
          <w:highlight w:val="yellow"/>
        </w:rPr>
        <w:t xml:space="preserve">  </w:t>
      </w:r>
      <w:r w:rsidR="004940FA">
        <w:rPr>
          <w:rFonts w:ascii="Calibri" w:hAnsi="Calibri" w:cs="Calibri"/>
          <w:b/>
          <w:bCs/>
          <w:sz w:val="24"/>
          <w:szCs w:val="24"/>
        </w:rPr>
        <w:t xml:space="preserve">  </w:t>
      </w:r>
      <w:r w:rsidR="004940FA" w:rsidRPr="00F157FD">
        <w:rPr>
          <w:rFonts w:asciiTheme="majorHAnsi" w:hAnsiTheme="majorHAnsi" w:cstheme="majorHAnsi"/>
          <w:b/>
          <w:bCs/>
          <w:color w:val="FF0000"/>
        </w:rPr>
        <w:t>6</w:t>
      </w:r>
      <w:r w:rsidR="004940FA">
        <w:rPr>
          <w:rFonts w:asciiTheme="majorHAnsi" w:hAnsiTheme="majorHAnsi" w:cstheme="majorHAnsi"/>
          <w:b/>
          <w:bCs/>
          <w:color w:val="FF0000"/>
        </w:rPr>
        <w:t>6121</w:t>
      </w:r>
      <w:r w:rsidR="004940FA" w:rsidRPr="00F157FD">
        <w:rPr>
          <w:rFonts w:asciiTheme="majorHAnsi" w:hAnsiTheme="majorHAnsi" w:cstheme="majorHAnsi"/>
          <w:b/>
          <w:bCs/>
          <w:color w:val="FF0000"/>
        </w:rPr>
        <w:t>_Screenshot_2</w:t>
      </w:r>
      <w:r w:rsidR="004940FA">
        <w:rPr>
          <w:rFonts w:ascii="宋体" w:eastAsia="宋体" w:hAnsi="宋体" w:cs="宋体" w:hint="eastAsia"/>
          <w:b/>
          <w:bCs/>
          <w:color w:val="FF0000"/>
        </w:rPr>
        <w:t>.</w:t>
      </w:r>
      <w:r w:rsidR="004940FA">
        <w:rPr>
          <w:rFonts w:ascii="宋体" w:eastAsia="宋体" w:hAnsi="宋体" w:cs="宋体"/>
          <w:b/>
          <w:bCs/>
          <w:color w:val="FF0000"/>
        </w:rPr>
        <w:t>mp4</w:t>
      </w:r>
    </w:p>
    <w:p w14:paraId="7BABFBD8" w14:textId="77777777" w:rsidR="002C2657" w:rsidRPr="00C72A2B" w:rsidRDefault="002C2657" w:rsidP="00C72A2B">
      <w:pPr>
        <w:pStyle w:val="ac"/>
        <w:ind w:firstLineChars="0" w:firstLine="0"/>
        <w:rPr>
          <w:rFonts w:ascii="Calibri" w:hAnsi="Calibri" w:cs="Calibri"/>
          <w:b/>
          <w:bCs/>
          <w:color w:val="FF0000"/>
          <w:sz w:val="24"/>
          <w:szCs w:val="24"/>
        </w:rPr>
      </w:pPr>
    </w:p>
    <w:p w14:paraId="630AB4F3" w14:textId="290C6AC2" w:rsidR="00794111" w:rsidRPr="00794111" w:rsidRDefault="00794111" w:rsidP="00794111">
      <w:r w:rsidRPr="00794111">
        <w:t>NOTE: To compute the Liver Fat Fraction (LFF), each voxel within the 3D liver region acts as a spatial carrier, with its fat fraction value obtained from MRI-Dixon data. Before calculating LFF, it's crucial to extract the 3D liver region. Although deep learning methods could achieve this more efficiently, the focus here is on using mature software tools like MIMICS for liver region extraction.</w:t>
      </w:r>
    </w:p>
    <w:p w14:paraId="5742312E" w14:textId="77777777" w:rsidR="00794111" w:rsidRPr="00B658A7" w:rsidRDefault="00794111" w:rsidP="00B658A7"/>
    <w:p w14:paraId="0A50D527" w14:textId="21F358ED" w:rsidR="00B658A7" w:rsidRPr="00B658A7" w:rsidRDefault="00B658A7" w:rsidP="00B658A7">
      <w:r w:rsidRPr="001B5E54">
        <w:rPr>
          <w:highlight w:val="yellow"/>
        </w:rPr>
        <w:t xml:space="preserve">2.1. Open the MIMICS software and choose </w:t>
      </w:r>
      <w:r w:rsidRPr="001B5E54">
        <w:rPr>
          <w:b/>
          <w:bCs/>
          <w:highlight w:val="yellow"/>
        </w:rPr>
        <w:t>New Project</w:t>
      </w:r>
      <w:r w:rsidRPr="001B5E54">
        <w:rPr>
          <w:highlight w:val="yellow"/>
        </w:rPr>
        <w:t xml:space="preserve">. In the subsequent dialog box, locate the folder housing the DIXON Out-phase images. Continue by clicking </w:t>
      </w:r>
      <w:r w:rsidR="001B5E54" w:rsidRPr="001B5E54">
        <w:rPr>
          <w:highlight w:val="yellow"/>
        </w:rPr>
        <w:t xml:space="preserve">on </w:t>
      </w:r>
      <w:r w:rsidRPr="001B5E54">
        <w:rPr>
          <w:b/>
          <w:bCs/>
          <w:highlight w:val="yellow"/>
        </w:rPr>
        <w:t>NEXT</w:t>
      </w:r>
      <w:r w:rsidRPr="001B5E54">
        <w:rPr>
          <w:highlight w:val="yellow"/>
        </w:rPr>
        <w:t xml:space="preserve">, and then hit </w:t>
      </w:r>
      <w:r w:rsidRPr="001B5E54">
        <w:rPr>
          <w:b/>
          <w:bCs/>
          <w:highlight w:val="yellow"/>
        </w:rPr>
        <w:t>Convert</w:t>
      </w:r>
      <w:r w:rsidRPr="001B5E54">
        <w:rPr>
          <w:highlight w:val="yellow"/>
        </w:rPr>
        <w:t xml:space="preserve"> to enter the sequence-editing mode.</w:t>
      </w:r>
      <w:r w:rsidR="004940FA">
        <w:t xml:space="preserve">   </w:t>
      </w:r>
      <w:r w:rsidR="004940FA" w:rsidRPr="001E76AD">
        <w:rPr>
          <w:b/>
          <w:bCs/>
          <w:color w:val="FF0000"/>
          <w:highlight w:val="yellow"/>
        </w:rPr>
        <w:t>0: 0</w:t>
      </w:r>
      <w:r w:rsidR="004940FA">
        <w:rPr>
          <w:b/>
          <w:bCs/>
          <w:color w:val="FF0000"/>
          <w:highlight w:val="yellow"/>
        </w:rPr>
        <w:t>0</w:t>
      </w:r>
      <w:r w:rsidR="004940FA" w:rsidRPr="001E76AD">
        <w:rPr>
          <w:b/>
          <w:bCs/>
          <w:color w:val="FF0000"/>
          <w:highlight w:val="yellow"/>
        </w:rPr>
        <w:t>:</w:t>
      </w:r>
      <w:r w:rsidR="004940FA">
        <w:rPr>
          <w:b/>
          <w:bCs/>
          <w:color w:val="FF0000"/>
        </w:rPr>
        <w:t>00--</w:t>
      </w:r>
      <w:r w:rsidR="004940FA" w:rsidRPr="001E76AD">
        <w:rPr>
          <w:b/>
          <w:bCs/>
          <w:color w:val="FF0000"/>
          <w:highlight w:val="yellow"/>
        </w:rPr>
        <w:t>0: 0</w:t>
      </w:r>
      <w:r w:rsidR="004940FA">
        <w:rPr>
          <w:b/>
          <w:bCs/>
          <w:color w:val="FF0000"/>
          <w:highlight w:val="yellow"/>
        </w:rPr>
        <w:t>0</w:t>
      </w:r>
      <w:r w:rsidR="004940FA" w:rsidRPr="001E76AD">
        <w:rPr>
          <w:b/>
          <w:bCs/>
          <w:color w:val="FF0000"/>
          <w:highlight w:val="yellow"/>
        </w:rPr>
        <w:t>:</w:t>
      </w:r>
      <w:r w:rsidR="004940FA">
        <w:rPr>
          <w:b/>
          <w:bCs/>
          <w:color w:val="FF0000"/>
        </w:rPr>
        <w:t>48</w:t>
      </w:r>
    </w:p>
    <w:p w14:paraId="6CE58D69" w14:textId="77777777" w:rsidR="00B658A7" w:rsidRDefault="00B658A7" w:rsidP="00B658A7"/>
    <w:p w14:paraId="5A0DF45C" w14:textId="09702FF1" w:rsidR="00B658A7" w:rsidRPr="00B658A7" w:rsidRDefault="00B658A7" w:rsidP="00B658A7">
      <w:r w:rsidRPr="001B5E54">
        <w:rPr>
          <w:highlight w:val="yellow"/>
        </w:rPr>
        <w:t xml:space="preserve">2.2. Generate an empty Mask by clicking </w:t>
      </w:r>
      <w:r w:rsidR="001B5E54" w:rsidRPr="001B5E54">
        <w:rPr>
          <w:highlight w:val="yellow"/>
        </w:rPr>
        <w:t xml:space="preserve">on </w:t>
      </w:r>
      <w:r w:rsidRPr="001B5E54">
        <w:rPr>
          <w:b/>
          <w:bCs/>
          <w:highlight w:val="yellow"/>
        </w:rPr>
        <w:t>New</w:t>
      </w:r>
      <w:r w:rsidRPr="001B5E54">
        <w:rPr>
          <w:highlight w:val="yellow"/>
        </w:rPr>
        <w:t xml:space="preserve"> within the </w:t>
      </w:r>
      <w:r w:rsidRPr="001B5E54">
        <w:rPr>
          <w:b/>
          <w:bCs/>
          <w:highlight w:val="yellow"/>
        </w:rPr>
        <w:t>MASK</w:t>
      </w:r>
      <w:r w:rsidRPr="001B5E54">
        <w:rPr>
          <w:highlight w:val="yellow"/>
        </w:rPr>
        <w:t xml:space="preserve"> dialog box situated on the right-hand side, and opt for the maximum threshold.</w:t>
      </w:r>
      <w:r w:rsidR="004940FA">
        <w:t xml:space="preserve">  </w:t>
      </w:r>
      <w:r w:rsidR="004940FA" w:rsidRPr="001E76AD">
        <w:rPr>
          <w:b/>
          <w:bCs/>
          <w:color w:val="FF0000"/>
          <w:highlight w:val="yellow"/>
        </w:rPr>
        <w:t>0: 0</w:t>
      </w:r>
      <w:r w:rsidR="004940FA">
        <w:rPr>
          <w:b/>
          <w:bCs/>
          <w:color w:val="FF0000"/>
          <w:highlight w:val="yellow"/>
        </w:rPr>
        <w:t>0</w:t>
      </w:r>
      <w:r w:rsidR="004940FA" w:rsidRPr="001E76AD">
        <w:rPr>
          <w:b/>
          <w:bCs/>
          <w:color w:val="FF0000"/>
          <w:highlight w:val="yellow"/>
        </w:rPr>
        <w:t>:</w:t>
      </w:r>
      <w:r w:rsidR="004940FA">
        <w:rPr>
          <w:b/>
          <w:bCs/>
          <w:color w:val="FF0000"/>
        </w:rPr>
        <w:t>48</w:t>
      </w:r>
      <w:r w:rsidR="004940FA">
        <w:rPr>
          <w:b/>
          <w:bCs/>
          <w:color w:val="FF0000"/>
        </w:rPr>
        <w:t>--</w:t>
      </w:r>
      <w:r w:rsidR="004940FA" w:rsidRPr="001E76AD">
        <w:rPr>
          <w:b/>
          <w:bCs/>
          <w:color w:val="FF0000"/>
          <w:highlight w:val="yellow"/>
        </w:rPr>
        <w:t>0: 0</w:t>
      </w:r>
      <w:r w:rsidR="004940FA">
        <w:rPr>
          <w:b/>
          <w:bCs/>
          <w:color w:val="FF0000"/>
          <w:highlight w:val="yellow"/>
        </w:rPr>
        <w:t>1</w:t>
      </w:r>
      <w:r w:rsidR="004940FA" w:rsidRPr="001E76AD">
        <w:rPr>
          <w:b/>
          <w:bCs/>
          <w:color w:val="FF0000"/>
          <w:highlight w:val="yellow"/>
        </w:rPr>
        <w:t>:</w:t>
      </w:r>
      <w:r w:rsidR="004940FA">
        <w:rPr>
          <w:b/>
          <w:bCs/>
          <w:color w:val="FF0000"/>
        </w:rPr>
        <w:t>20</w:t>
      </w:r>
    </w:p>
    <w:p w14:paraId="1BE1DD88" w14:textId="77777777" w:rsidR="00794111" w:rsidRPr="00B658A7" w:rsidRDefault="00794111" w:rsidP="00B658A7"/>
    <w:p w14:paraId="04C4C1D5" w14:textId="458DF79F" w:rsidR="00794111" w:rsidRPr="00794111" w:rsidRDefault="00794111" w:rsidP="00794111">
      <w:r w:rsidRPr="00C64D5D">
        <w:rPr>
          <w:highlight w:val="yellow"/>
        </w:rPr>
        <w:t xml:space="preserve">2.3. Use the </w:t>
      </w:r>
      <w:r w:rsidRPr="00C64D5D">
        <w:rPr>
          <w:b/>
          <w:bCs/>
          <w:highlight w:val="yellow"/>
        </w:rPr>
        <w:t>Edit Masks</w:t>
      </w:r>
      <w:r w:rsidRPr="00C64D5D">
        <w:rPr>
          <w:highlight w:val="yellow"/>
        </w:rPr>
        <w:t xml:space="preserve"> tool located under the "Segment" label to delineate the liver area in all horizontal views.</w:t>
      </w:r>
      <w:r w:rsidR="004940FA" w:rsidRPr="004940FA">
        <w:rPr>
          <w:b/>
          <w:bCs/>
          <w:color w:val="FF0000"/>
          <w:highlight w:val="yellow"/>
        </w:rPr>
        <w:t xml:space="preserve"> </w:t>
      </w:r>
      <w:r w:rsidR="004940FA" w:rsidRPr="001E76AD">
        <w:rPr>
          <w:b/>
          <w:bCs/>
          <w:color w:val="FF0000"/>
          <w:highlight w:val="yellow"/>
        </w:rPr>
        <w:t>0: 0</w:t>
      </w:r>
      <w:r w:rsidR="004940FA">
        <w:rPr>
          <w:b/>
          <w:bCs/>
          <w:color w:val="FF0000"/>
          <w:highlight w:val="yellow"/>
        </w:rPr>
        <w:t>1</w:t>
      </w:r>
      <w:r w:rsidR="004940FA" w:rsidRPr="001E76AD">
        <w:rPr>
          <w:b/>
          <w:bCs/>
          <w:color w:val="FF0000"/>
          <w:highlight w:val="yellow"/>
        </w:rPr>
        <w:t>:</w:t>
      </w:r>
      <w:r w:rsidR="004940FA">
        <w:rPr>
          <w:b/>
          <w:bCs/>
          <w:color w:val="FF0000"/>
        </w:rPr>
        <w:t>20</w:t>
      </w:r>
      <w:r w:rsidR="004940FA">
        <w:rPr>
          <w:b/>
          <w:bCs/>
          <w:color w:val="FF0000"/>
        </w:rPr>
        <w:t>--</w:t>
      </w:r>
      <w:r w:rsidR="004940FA" w:rsidRPr="001E76AD">
        <w:rPr>
          <w:b/>
          <w:bCs/>
          <w:color w:val="FF0000"/>
          <w:highlight w:val="yellow"/>
        </w:rPr>
        <w:t>0: 0</w:t>
      </w:r>
      <w:r w:rsidR="004940FA">
        <w:rPr>
          <w:b/>
          <w:bCs/>
          <w:color w:val="FF0000"/>
          <w:highlight w:val="yellow"/>
        </w:rPr>
        <w:t>2</w:t>
      </w:r>
      <w:r w:rsidR="004940FA" w:rsidRPr="001E76AD">
        <w:rPr>
          <w:b/>
          <w:bCs/>
          <w:color w:val="FF0000"/>
          <w:highlight w:val="yellow"/>
        </w:rPr>
        <w:t>:</w:t>
      </w:r>
      <w:r w:rsidR="004940FA">
        <w:rPr>
          <w:b/>
          <w:bCs/>
          <w:color w:val="FF0000"/>
        </w:rPr>
        <w:t>07</w:t>
      </w:r>
    </w:p>
    <w:p w14:paraId="2FE11ECA" w14:textId="77777777" w:rsidR="00794111" w:rsidRDefault="00794111" w:rsidP="00794111"/>
    <w:p w14:paraId="3A259944" w14:textId="12296853" w:rsidR="00794111" w:rsidRPr="002C22BC" w:rsidRDefault="002C22BC" w:rsidP="002C22BC">
      <w:r w:rsidRPr="002C22BC">
        <w:rPr>
          <w:highlight w:val="yellow"/>
        </w:rPr>
        <w:t>2.4. Create a 3D spatial representation of the liver by choosing the liver mask d</w:t>
      </w:r>
      <w:r w:rsidR="00071787">
        <w:rPr>
          <w:highlight w:val="yellow"/>
        </w:rPr>
        <w:t>epicted</w:t>
      </w:r>
      <w:r w:rsidRPr="002C22BC">
        <w:rPr>
          <w:highlight w:val="yellow"/>
        </w:rPr>
        <w:t xml:space="preserve"> earlier and clicking on </w:t>
      </w:r>
      <w:r w:rsidRPr="002C22BC">
        <w:rPr>
          <w:b/>
          <w:bCs/>
          <w:highlight w:val="yellow"/>
        </w:rPr>
        <w:t>Calculate Part from Mask</w:t>
      </w:r>
      <w:r w:rsidRPr="002C22BC">
        <w:rPr>
          <w:highlight w:val="yellow"/>
        </w:rPr>
        <w:t>.</w:t>
      </w:r>
      <w:r w:rsidRPr="002C22BC">
        <w:t xml:space="preserve"> The resulting 3D liver region will be presented (refer to </w:t>
      </w:r>
      <w:r w:rsidRPr="002C22BC">
        <w:rPr>
          <w:b/>
          <w:bCs/>
        </w:rPr>
        <w:t>Figure 3</w:t>
      </w:r>
      <w:r w:rsidRPr="002C22BC">
        <w:t>).</w:t>
      </w:r>
      <w:r w:rsidR="004940FA">
        <w:t xml:space="preserve"> </w:t>
      </w:r>
      <w:r w:rsidR="004940FA" w:rsidRPr="001E76AD">
        <w:rPr>
          <w:b/>
          <w:bCs/>
          <w:color w:val="FF0000"/>
          <w:highlight w:val="yellow"/>
        </w:rPr>
        <w:t>0: 0</w:t>
      </w:r>
      <w:r w:rsidR="004940FA">
        <w:rPr>
          <w:b/>
          <w:bCs/>
          <w:color w:val="FF0000"/>
          <w:highlight w:val="yellow"/>
        </w:rPr>
        <w:t>2</w:t>
      </w:r>
      <w:r w:rsidR="004940FA" w:rsidRPr="001E76AD">
        <w:rPr>
          <w:b/>
          <w:bCs/>
          <w:color w:val="FF0000"/>
          <w:highlight w:val="yellow"/>
        </w:rPr>
        <w:t>:</w:t>
      </w:r>
      <w:r w:rsidR="004940FA">
        <w:rPr>
          <w:b/>
          <w:bCs/>
          <w:color w:val="FF0000"/>
        </w:rPr>
        <w:t>07</w:t>
      </w:r>
      <w:r w:rsidR="004940FA">
        <w:rPr>
          <w:b/>
          <w:bCs/>
          <w:color w:val="FF0000"/>
        </w:rPr>
        <w:t>--</w:t>
      </w:r>
      <w:r w:rsidR="004940FA" w:rsidRPr="001E76AD">
        <w:rPr>
          <w:b/>
          <w:bCs/>
          <w:color w:val="FF0000"/>
          <w:highlight w:val="yellow"/>
        </w:rPr>
        <w:t>0: 0</w:t>
      </w:r>
      <w:r w:rsidR="004940FA">
        <w:rPr>
          <w:b/>
          <w:bCs/>
          <w:color w:val="FF0000"/>
          <w:highlight w:val="yellow"/>
        </w:rPr>
        <w:t>2</w:t>
      </w:r>
      <w:r w:rsidR="004940FA" w:rsidRPr="001E76AD">
        <w:rPr>
          <w:b/>
          <w:bCs/>
          <w:color w:val="FF0000"/>
          <w:highlight w:val="yellow"/>
        </w:rPr>
        <w:t>:</w:t>
      </w:r>
      <w:r w:rsidR="004940FA">
        <w:rPr>
          <w:b/>
          <w:bCs/>
          <w:color w:val="FF0000"/>
        </w:rPr>
        <w:t>54</w:t>
      </w:r>
    </w:p>
    <w:p w14:paraId="520A5D62" w14:textId="77777777" w:rsidR="002C22BC" w:rsidRDefault="002C22BC" w:rsidP="00794111"/>
    <w:p w14:paraId="17994BB6" w14:textId="48944318" w:rsidR="00794111" w:rsidRPr="00794111" w:rsidRDefault="00794111" w:rsidP="00794111">
      <w:r w:rsidRPr="001B73B4">
        <w:rPr>
          <w:highlight w:val="yellow"/>
        </w:rPr>
        <w:t xml:space="preserve">2.5. Navigate to </w:t>
      </w:r>
      <w:r w:rsidRPr="001B73B4">
        <w:rPr>
          <w:b/>
          <w:bCs/>
          <w:highlight w:val="yellow"/>
        </w:rPr>
        <w:t>File</w:t>
      </w:r>
      <w:r w:rsidRPr="001B73B4">
        <w:rPr>
          <w:highlight w:val="yellow"/>
        </w:rPr>
        <w:t xml:space="preserve">, then select </w:t>
      </w:r>
      <w:r w:rsidRPr="001B73B4">
        <w:rPr>
          <w:b/>
          <w:bCs/>
          <w:highlight w:val="yellow"/>
        </w:rPr>
        <w:t>Export</w:t>
      </w:r>
      <w:r w:rsidRPr="001B73B4">
        <w:rPr>
          <w:highlight w:val="yellow"/>
        </w:rPr>
        <w:t xml:space="preserve">, and choose the </w:t>
      </w:r>
      <w:r w:rsidRPr="001B73B4">
        <w:rPr>
          <w:b/>
          <w:bCs/>
          <w:highlight w:val="yellow"/>
        </w:rPr>
        <w:t>D</w:t>
      </w:r>
      <w:r w:rsidR="00C64D5D" w:rsidRPr="001B73B4">
        <w:rPr>
          <w:b/>
          <w:bCs/>
          <w:highlight w:val="yellow"/>
        </w:rPr>
        <w:t>ICOM</w:t>
      </w:r>
      <w:r w:rsidRPr="001B73B4">
        <w:rPr>
          <w:highlight w:val="yellow"/>
        </w:rPr>
        <w:t xml:space="preserve"> option. In the pop-up dialog box, select the </w:t>
      </w:r>
      <w:r w:rsidRPr="001B73B4">
        <w:rPr>
          <w:b/>
          <w:bCs/>
          <w:highlight w:val="yellow"/>
        </w:rPr>
        <w:t>liver mask</w:t>
      </w:r>
      <w:r w:rsidRPr="001B73B4">
        <w:rPr>
          <w:highlight w:val="yellow"/>
        </w:rPr>
        <w:t xml:space="preserve">, specify the file path and names, and then click </w:t>
      </w:r>
      <w:r w:rsidR="001B73B4" w:rsidRPr="001B73B4">
        <w:rPr>
          <w:highlight w:val="yellow"/>
        </w:rPr>
        <w:t xml:space="preserve">on </w:t>
      </w:r>
      <w:r w:rsidRPr="001B73B4">
        <w:rPr>
          <w:b/>
          <w:bCs/>
          <w:highlight w:val="yellow"/>
        </w:rPr>
        <w:t>OK</w:t>
      </w:r>
      <w:r w:rsidRPr="001B73B4">
        <w:rPr>
          <w:highlight w:val="yellow"/>
        </w:rPr>
        <w:t xml:space="preserve"> to export the 3D liver region to the designated DICOM files.</w:t>
      </w:r>
      <w:r w:rsidR="004940FA" w:rsidRPr="004940FA">
        <w:rPr>
          <w:b/>
          <w:bCs/>
          <w:color w:val="FF0000"/>
          <w:highlight w:val="yellow"/>
        </w:rPr>
        <w:t xml:space="preserve"> </w:t>
      </w:r>
      <w:r w:rsidR="004940FA" w:rsidRPr="001E76AD">
        <w:rPr>
          <w:b/>
          <w:bCs/>
          <w:color w:val="FF0000"/>
          <w:highlight w:val="yellow"/>
        </w:rPr>
        <w:t>0: 0</w:t>
      </w:r>
      <w:r w:rsidR="004940FA">
        <w:rPr>
          <w:b/>
          <w:bCs/>
          <w:color w:val="FF0000"/>
          <w:highlight w:val="yellow"/>
        </w:rPr>
        <w:t>2</w:t>
      </w:r>
      <w:r w:rsidR="004940FA" w:rsidRPr="001E76AD">
        <w:rPr>
          <w:b/>
          <w:bCs/>
          <w:color w:val="FF0000"/>
          <w:highlight w:val="yellow"/>
        </w:rPr>
        <w:t>:</w:t>
      </w:r>
      <w:r w:rsidR="004940FA">
        <w:rPr>
          <w:b/>
          <w:bCs/>
          <w:color w:val="FF0000"/>
        </w:rPr>
        <w:t>54</w:t>
      </w:r>
      <w:r w:rsidR="004940FA">
        <w:rPr>
          <w:b/>
          <w:bCs/>
          <w:color w:val="FF0000"/>
        </w:rPr>
        <w:t>--</w:t>
      </w:r>
      <w:r w:rsidR="004940FA" w:rsidRPr="001E76AD">
        <w:rPr>
          <w:b/>
          <w:bCs/>
          <w:color w:val="FF0000"/>
          <w:highlight w:val="yellow"/>
        </w:rPr>
        <w:t>0: 0</w:t>
      </w:r>
      <w:r w:rsidR="004940FA">
        <w:rPr>
          <w:b/>
          <w:bCs/>
          <w:color w:val="FF0000"/>
        </w:rPr>
        <w:t>3:46</w:t>
      </w:r>
    </w:p>
    <w:p w14:paraId="3C845D63" w14:textId="77777777" w:rsidR="00794111" w:rsidRPr="00C72A2B" w:rsidRDefault="00794111" w:rsidP="00C72A2B">
      <w:pPr>
        <w:rPr>
          <w:b/>
          <w:bCs/>
          <w:highlight w:val="yellow"/>
        </w:rPr>
      </w:pPr>
    </w:p>
    <w:p w14:paraId="7019FC5D" w14:textId="5A95CDAE" w:rsidR="00841D5C" w:rsidRPr="00C72A2B" w:rsidRDefault="00BC124C" w:rsidP="00C72A2B">
      <w:pPr>
        <w:pStyle w:val="ac"/>
        <w:numPr>
          <w:ilvl w:val="0"/>
          <w:numId w:val="1"/>
        </w:numPr>
        <w:ind w:left="0" w:firstLineChars="0" w:firstLine="0"/>
        <w:rPr>
          <w:rFonts w:ascii="Calibri" w:hAnsi="Calibri" w:cs="Calibri"/>
          <w:b/>
          <w:bCs/>
          <w:sz w:val="24"/>
          <w:szCs w:val="24"/>
          <w:highlight w:val="yellow"/>
        </w:rPr>
      </w:pPr>
      <w:r w:rsidRPr="00C72A2B">
        <w:rPr>
          <w:rFonts w:ascii="Calibri" w:hAnsi="Calibri" w:cs="Calibri"/>
          <w:b/>
          <w:bCs/>
          <w:sz w:val="24"/>
          <w:szCs w:val="24"/>
          <w:highlight w:val="yellow"/>
        </w:rPr>
        <w:t xml:space="preserve">Generating </w:t>
      </w:r>
      <w:r w:rsidR="002439A0" w:rsidRPr="00C72A2B">
        <w:rPr>
          <w:rFonts w:ascii="Calibri" w:hAnsi="Calibri" w:cs="Calibri"/>
          <w:b/>
          <w:bCs/>
          <w:sz w:val="24"/>
          <w:szCs w:val="24"/>
          <w:highlight w:val="yellow"/>
        </w:rPr>
        <w:t xml:space="preserve">Fat Fraction </w:t>
      </w:r>
      <w:r w:rsidR="00027B9F" w:rsidRPr="00C72A2B">
        <w:rPr>
          <w:rFonts w:ascii="Calibri" w:hAnsi="Calibri" w:cs="Calibri"/>
          <w:b/>
          <w:bCs/>
          <w:sz w:val="24"/>
          <w:szCs w:val="24"/>
          <w:highlight w:val="yellow"/>
        </w:rPr>
        <w:t>Map (</w:t>
      </w:r>
      <w:r w:rsidR="00295391" w:rsidRPr="00C72A2B">
        <w:rPr>
          <w:rFonts w:ascii="Calibri" w:hAnsi="Calibri" w:cs="Calibri"/>
          <w:b/>
          <w:bCs/>
          <w:sz w:val="24"/>
          <w:szCs w:val="24"/>
          <w:highlight w:val="yellow"/>
        </w:rPr>
        <w:t>FF-</w:t>
      </w:r>
      <w:r w:rsidR="004940FA" w:rsidRPr="00C72A2B">
        <w:rPr>
          <w:rFonts w:ascii="Calibri" w:hAnsi="Calibri" w:cs="Calibri"/>
          <w:b/>
          <w:bCs/>
          <w:sz w:val="24"/>
          <w:szCs w:val="24"/>
          <w:highlight w:val="yellow"/>
        </w:rPr>
        <w:t xml:space="preserve">Map)  </w:t>
      </w:r>
      <w:r w:rsidR="004940FA">
        <w:rPr>
          <w:rFonts w:ascii="Calibri" w:hAnsi="Calibri" w:cs="Calibri"/>
          <w:b/>
          <w:bCs/>
          <w:sz w:val="24"/>
          <w:szCs w:val="24"/>
        </w:rPr>
        <w:t xml:space="preserve">    </w:t>
      </w:r>
      <w:r w:rsidR="004940FA" w:rsidRPr="00F157FD">
        <w:rPr>
          <w:rFonts w:asciiTheme="majorHAnsi" w:hAnsiTheme="majorHAnsi" w:cstheme="majorHAnsi"/>
          <w:b/>
          <w:bCs/>
          <w:color w:val="FF0000"/>
        </w:rPr>
        <w:t>6</w:t>
      </w:r>
      <w:r w:rsidR="004940FA">
        <w:rPr>
          <w:rFonts w:asciiTheme="majorHAnsi" w:hAnsiTheme="majorHAnsi" w:cstheme="majorHAnsi"/>
          <w:b/>
          <w:bCs/>
          <w:color w:val="FF0000"/>
        </w:rPr>
        <w:t>6121</w:t>
      </w:r>
      <w:r w:rsidR="004940FA" w:rsidRPr="00F157FD">
        <w:rPr>
          <w:rFonts w:asciiTheme="majorHAnsi" w:hAnsiTheme="majorHAnsi" w:cstheme="majorHAnsi"/>
          <w:b/>
          <w:bCs/>
          <w:color w:val="FF0000"/>
        </w:rPr>
        <w:t>_Screenshot_</w:t>
      </w:r>
      <w:r w:rsidR="004940FA">
        <w:rPr>
          <w:rFonts w:asciiTheme="majorHAnsi" w:hAnsiTheme="majorHAnsi" w:cstheme="majorHAnsi"/>
          <w:b/>
          <w:bCs/>
          <w:color w:val="FF0000"/>
        </w:rPr>
        <w:t>3</w:t>
      </w:r>
      <w:r w:rsidR="004940FA">
        <w:rPr>
          <w:rFonts w:ascii="宋体" w:eastAsia="宋体" w:hAnsi="宋体" w:cs="宋体" w:hint="eastAsia"/>
          <w:b/>
          <w:bCs/>
          <w:color w:val="FF0000"/>
        </w:rPr>
        <w:t>.</w:t>
      </w:r>
      <w:r w:rsidR="004940FA">
        <w:rPr>
          <w:rFonts w:ascii="宋体" w:eastAsia="宋体" w:hAnsi="宋体" w:cs="宋体"/>
          <w:b/>
          <w:bCs/>
          <w:color w:val="FF0000"/>
        </w:rPr>
        <w:t>mp4</w:t>
      </w:r>
    </w:p>
    <w:p w14:paraId="4E55E172" w14:textId="77777777" w:rsidR="00841D5C" w:rsidRPr="00C72A2B" w:rsidRDefault="00841D5C" w:rsidP="00C72A2B">
      <w:pPr>
        <w:pStyle w:val="ac"/>
        <w:ind w:firstLineChars="0" w:firstLine="0"/>
        <w:rPr>
          <w:rFonts w:ascii="Calibri" w:hAnsi="Calibri" w:cs="Calibri"/>
          <w:b/>
          <w:bCs/>
          <w:color w:val="FF0000"/>
          <w:sz w:val="24"/>
          <w:szCs w:val="24"/>
        </w:rPr>
      </w:pPr>
    </w:p>
    <w:p w14:paraId="18A8ED83" w14:textId="0A8D7FE9" w:rsidR="00FC5B91" w:rsidRPr="00C72A2B" w:rsidRDefault="00FC5B91" w:rsidP="00C72A2B">
      <w:r w:rsidRPr="00C72A2B">
        <w:t>NOTE: The fat fraction map (FF-Map) has a value range of 0</w:t>
      </w:r>
      <w:r w:rsidR="00BE0066" w:rsidRPr="00C72A2B">
        <w:t>–</w:t>
      </w:r>
      <w:r w:rsidRPr="00C72A2B">
        <w:t>1. In this study, the FF of each voxel is calculated by dividing the voxel value of In-phase minus Water-only by that of In-phase using Dixon MRI.</w:t>
      </w:r>
    </w:p>
    <w:p w14:paraId="789D6A90" w14:textId="77777777" w:rsidR="00FC5B91" w:rsidRPr="00C72A2B" w:rsidRDefault="00FC5B91" w:rsidP="00C72A2B"/>
    <w:p w14:paraId="23AC715D" w14:textId="042185AD" w:rsidR="00FC5B91" w:rsidRPr="00C72A2B" w:rsidRDefault="00FC5B91" w:rsidP="00C72A2B">
      <w:r w:rsidRPr="00C72A2B">
        <w:rPr>
          <w:highlight w:val="yellow"/>
        </w:rPr>
        <w:t xml:space="preserve">3.1. Change the directory to the folder of In-phase images and </w:t>
      </w:r>
      <w:r w:rsidR="00BE0066" w:rsidRPr="00C72A2B">
        <w:rPr>
          <w:highlight w:val="yellow"/>
        </w:rPr>
        <w:t>select</w:t>
      </w:r>
      <w:r w:rsidRPr="00C72A2B">
        <w:rPr>
          <w:highlight w:val="yellow"/>
        </w:rPr>
        <w:t xml:space="preserve"> the </w:t>
      </w:r>
      <w:r w:rsidRPr="00C72A2B">
        <w:rPr>
          <w:b/>
          <w:bCs/>
          <w:highlight w:val="yellow"/>
        </w:rPr>
        <w:t>Volume_In</w:t>
      </w:r>
      <w:r w:rsidRPr="00C72A2B">
        <w:rPr>
          <w:highlight w:val="yellow"/>
        </w:rPr>
        <w:t xml:space="preserve"> function to generate the in-phase Volume.</w:t>
      </w:r>
      <w:r w:rsidR="004940FA">
        <w:t xml:space="preserve"> </w:t>
      </w:r>
      <w:r w:rsidR="004940FA" w:rsidRPr="001E76AD">
        <w:rPr>
          <w:b/>
          <w:bCs/>
          <w:color w:val="FF0000"/>
          <w:highlight w:val="yellow"/>
        </w:rPr>
        <w:t>0: 0</w:t>
      </w:r>
      <w:r w:rsidR="004940FA">
        <w:rPr>
          <w:b/>
          <w:bCs/>
          <w:color w:val="FF0000"/>
          <w:highlight w:val="yellow"/>
        </w:rPr>
        <w:t>0</w:t>
      </w:r>
      <w:r w:rsidR="004940FA" w:rsidRPr="001E76AD">
        <w:rPr>
          <w:b/>
          <w:bCs/>
          <w:color w:val="FF0000"/>
          <w:highlight w:val="yellow"/>
        </w:rPr>
        <w:t>:</w:t>
      </w:r>
      <w:r w:rsidR="004940FA">
        <w:rPr>
          <w:b/>
          <w:bCs/>
          <w:color w:val="FF0000"/>
        </w:rPr>
        <w:t>00--</w:t>
      </w:r>
      <w:r w:rsidR="004940FA" w:rsidRPr="001E76AD">
        <w:rPr>
          <w:b/>
          <w:bCs/>
          <w:color w:val="FF0000"/>
          <w:highlight w:val="yellow"/>
        </w:rPr>
        <w:t>0: 0</w:t>
      </w:r>
      <w:r w:rsidR="004940FA">
        <w:rPr>
          <w:b/>
          <w:bCs/>
          <w:color w:val="FF0000"/>
          <w:highlight w:val="yellow"/>
        </w:rPr>
        <w:t>0</w:t>
      </w:r>
      <w:r w:rsidR="004940FA" w:rsidRPr="001E76AD">
        <w:rPr>
          <w:b/>
          <w:bCs/>
          <w:color w:val="FF0000"/>
          <w:highlight w:val="yellow"/>
        </w:rPr>
        <w:t>:</w:t>
      </w:r>
      <w:r w:rsidR="004940FA">
        <w:rPr>
          <w:b/>
          <w:bCs/>
          <w:color w:val="FF0000"/>
        </w:rPr>
        <w:t>23</w:t>
      </w:r>
    </w:p>
    <w:p w14:paraId="0312867C" w14:textId="77777777" w:rsidR="00FC5B91" w:rsidRPr="00C72A2B" w:rsidRDefault="00FC5B91" w:rsidP="00C72A2B"/>
    <w:p w14:paraId="2985CE29" w14:textId="5AF16A26" w:rsidR="00FC5B91" w:rsidRPr="00C72A2B" w:rsidRDefault="00FC5B91" w:rsidP="00C72A2B">
      <w:r w:rsidRPr="00C72A2B">
        <w:rPr>
          <w:highlight w:val="yellow"/>
        </w:rPr>
        <w:t xml:space="preserve">3.2. Change the directory to the folder of Water-only images and </w:t>
      </w:r>
      <w:r w:rsidR="00BE0066" w:rsidRPr="00C72A2B">
        <w:rPr>
          <w:highlight w:val="yellow"/>
        </w:rPr>
        <w:t>select</w:t>
      </w:r>
      <w:r w:rsidRPr="00C72A2B">
        <w:rPr>
          <w:highlight w:val="yellow"/>
        </w:rPr>
        <w:t xml:space="preserve"> the </w:t>
      </w:r>
      <w:r w:rsidRPr="00C72A2B">
        <w:rPr>
          <w:b/>
          <w:bCs/>
          <w:highlight w:val="yellow"/>
        </w:rPr>
        <w:t>Volume_Water</w:t>
      </w:r>
      <w:r w:rsidRPr="00C72A2B">
        <w:rPr>
          <w:highlight w:val="yellow"/>
        </w:rPr>
        <w:t xml:space="preserve"> function to generate the water-only Volume.</w:t>
      </w:r>
      <w:r w:rsidR="004940FA">
        <w:t xml:space="preserve">  </w:t>
      </w:r>
      <w:r w:rsidR="004940FA" w:rsidRPr="001E76AD">
        <w:rPr>
          <w:b/>
          <w:bCs/>
          <w:color w:val="FF0000"/>
          <w:highlight w:val="yellow"/>
        </w:rPr>
        <w:t>0: 0</w:t>
      </w:r>
      <w:r w:rsidR="004940FA">
        <w:rPr>
          <w:b/>
          <w:bCs/>
          <w:color w:val="FF0000"/>
          <w:highlight w:val="yellow"/>
        </w:rPr>
        <w:t>0</w:t>
      </w:r>
      <w:r w:rsidR="004940FA" w:rsidRPr="001E76AD">
        <w:rPr>
          <w:b/>
          <w:bCs/>
          <w:color w:val="FF0000"/>
          <w:highlight w:val="yellow"/>
        </w:rPr>
        <w:t>:</w:t>
      </w:r>
      <w:r w:rsidR="004940FA">
        <w:rPr>
          <w:b/>
          <w:bCs/>
          <w:color w:val="FF0000"/>
        </w:rPr>
        <w:t>23</w:t>
      </w:r>
      <w:r w:rsidR="004940FA">
        <w:rPr>
          <w:b/>
          <w:bCs/>
          <w:color w:val="FF0000"/>
        </w:rPr>
        <w:t>--</w:t>
      </w:r>
      <w:r w:rsidR="004940FA" w:rsidRPr="001E76AD">
        <w:rPr>
          <w:b/>
          <w:bCs/>
          <w:color w:val="FF0000"/>
          <w:highlight w:val="yellow"/>
        </w:rPr>
        <w:t>0: 0</w:t>
      </w:r>
      <w:r w:rsidR="004940FA">
        <w:rPr>
          <w:b/>
          <w:bCs/>
          <w:color w:val="FF0000"/>
          <w:highlight w:val="yellow"/>
        </w:rPr>
        <w:t>0</w:t>
      </w:r>
      <w:r w:rsidR="004940FA" w:rsidRPr="001E76AD">
        <w:rPr>
          <w:b/>
          <w:bCs/>
          <w:color w:val="FF0000"/>
          <w:highlight w:val="yellow"/>
        </w:rPr>
        <w:t>:</w:t>
      </w:r>
      <w:r w:rsidR="004940FA">
        <w:rPr>
          <w:b/>
          <w:bCs/>
          <w:color w:val="FF0000"/>
        </w:rPr>
        <w:t>34</w:t>
      </w:r>
    </w:p>
    <w:p w14:paraId="351C35E5" w14:textId="77777777" w:rsidR="00FC5B91" w:rsidRPr="00C72A2B" w:rsidRDefault="00FC5B91" w:rsidP="00C72A2B"/>
    <w:p w14:paraId="0D42B86A" w14:textId="7F2EF60D" w:rsidR="00FC5B91" w:rsidRPr="00C72A2B" w:rsidRDefault="00FC5B91" w:rsidP="00C72A2B">
      <w:r w:rsidRPr="00C72A2B">
        <w:rPr>
          <w:highlight w:val="yellow"/>
        </w:rPr>
        <w:t>3.3.</w:t>
      </w:r>
      <w:r w:rsidR="00C7170E" w:rsidRPr="00C72A2B">
        <w:rPr>
          <w:highlight w:val="yellow"/>
        </w:rPr>
        <w:t xml:space="preserve"> Select</w:t>
      </w:r>
      <w:r w:rsidRPr="00C72A2B">
        <w:rPr>
          <w:highlight w:val="yellow"/>
        </w:rPr>
        <w:t xml:space="preserve"> the </w:t>
      </w:r>
      <w:r w:rsidRPr="00C72A2B">
        <w:rPr>
          <w:b/>
          <w:bCs/>
          <w:highlight w:val="yellow"/>
        </w:rPr>
        <w:t>FF_Volume</w:t>
      </w:r>
      <w:r w:rsidRPr="00C72A2B">
        <w:rPr>
          <w:highlight w:val="yellow"/>
        </w:rPr>
        <w:t xml:space="preserve"> function using the two Volumes generated in </w:t>
      </w:r>
      <w:r w:rsidR="00C7170E" w:rsidRPr="00C72A2B">
        <w:rPr>
          <w:highlight w:val="yellow"/>
        </w:rPr>
        <w:t>s</w:t>
      </w:r>
      <w:r w:rsidRPr="00C72A2B">
        <w:rPr>
          <w:highlight w:val="yellow"/>
        </w:rPr>
        <w:t xml:space="preserve">tep 3.1 and </w:t>
      </w:r>
      <w:r w:rsidR="00C7170E" w:rsidRPr="00C72A2B">
        <w:rPr>
          <w:highlight w:val="yellow"/>
        </w:rPr>
        <w:t xml:space="preserve">step </w:t>
      </w:r>
      <w:r w:rsidRPr="00C72A2B">
        <w:rPr>
          <w:highlight w:val="yellow"/>
        </w:rPr>
        <w:t>3.2 as inputs to obtain the FF-Volume of the abdominal MRI</w:t>
      </w:r>
      <w:r w:rsidRPr="00C72A2B">
        <w:t xml:space="preserve">, visualized as shown in </w:t>
      </w:r>
      <w:r w:rsidRPr="00C72A2B">
        <w:rPr>
          <w:b/>
          <w:bCs/>
        </w:rPr>
        <w:t>Figure 4</w:t>
      </w:r>
      <w:r w:rsidRPr="00C72A2B">
        <w:t>.</w:t>
      </w:r>
      <w:r w:rsidR="004940FA">
        <w:t xml:space="preserve">  </w:t>
      </w:r>
      <w:r w:rsidR="004940FA" w:rsidRPr="001E76AD">
        <w:rPr>
          <w:b/>
          <w:bCs/>
          <w:color w:val="FF0000"/>
          <w:highlight w:val="yellow"/>
        </w:rPr>
        <w:t>0: 0</w:t>
      </w:r>
      <w:r w:rsidR="004940FA">
        <w:rPr>
          <w:b/>
          <w:bCs/>
          <w:color w:val="FF0000"/>
          <w:highlight w:val="yellow"/>
        </w:rPr>
        <w:t>0</w:t>
      </w:r>
      <w:r w:rsidR="004940FA" w:rsidRPr="001E76AD">
        <w:rPr>
          <w:b/>
          <w:bCs/>
          <w:color w:val="FF0000"/>
          <w:highlight w:val="yellow"/>
        </w:rPr>
        <w:t>:</w:t>
      </w:r>
      <w:r w:rsidR="004940FA">
        <w:rPr>
          <w:b/>
          <w:bCs/>
          <w:color w:val="FF0000"/>
        </w:rPr>
        <w:t>34</w:t>
      </w:r>
      <w:r w:rsidR="004940FA">
        <w:rPr>
          <w:b/>
          <w:bCs/>
          <w:color w:val="FF0000"/>
        </w:rPr>
        <w:t>--</w:t>
      </w:r>
      <w:r w:rsidR="004940FA" w:rsidRPr="001E76AD">
        <w:rPr>
          <w:b/>
          <w:bCs/>
          <w:color w:val="FF0000"/>
          <w:highlight w:val="yellow"/>
        </w:rPr>
        <w:t>0: 0</w:t>
      </w:r>
      <w:r w:rsidR="004940FA">
        <w:rPr>
          <w:b/>
          <w:bCs/>
          <w:color w:val="FF0000"/>
        </w:rPr>
        <w:t>1:49</w:t>
      </w:r>
    </w:p>
    <w:p w14:paraId="11C0C0C8" w14:textId="77777777" w:rsidR="00FC5B91" w:rsidRPr="00C72A2B" w:rsidRDefault="00FC5B91" w:rsidP="00C72A2B"/>
    <w:p w14:paraId="082B39F9" w14:textId="42A1176B" w:rsidR="00FC5B91" w:rsidRPr="009645C4" w:rsidRDefault="009645C4" w:rsidP="009645C4">
      <w:r w:rsidRPr="009645C4">
        <w:t xml:space="preserve">3.4. The Fat Fraction (FF) map shown in </w:t>
      </w:r>
      <w:r w:rsidRPr="009645C4">
        <w:rPr>
          <w:b/>
          <w:bCs/>
        </w:rPr>
        <w:t>Figure 4</w:t>
      </w:r>
      <w:r w:rsidRPr="009645C4">
        <w:t xml:space="preserve"> is presented as an RGB true-color image with a data structure of 520 by 704 by 44 matrix. In this representation, each pixel is composed of three values, representing the red, green, and blue channels. Take note of the color bar on the left side, which provides a visual reference for the fat fraction values associated with different colored pixels.</w:t>
      </w:r>
      <w:r w:rsidR="004940FA">
        <w:t xml:space="preserve">   </w:t>
      </w:r>
      <w:r w:rsidR="004940FA" w:rsidRPr="001E76AD">
        <w:rPr>
          <w:b/>
          <w:bCs/>
          <w:color w:val="FF0000"/>
          <w:highlight w:val="yellow"/>
        </w:rPr>
        <w:t>0: 0</w:t>
      </w:r>
      <w:r w:rsidR="004940FA">
        <w:rPr>
          <w:b/>
          <w:bCs/>
          <w:color w:val="FF0000"/>
        </w:rPr>
        <w:t>1:49</w:t>
      </w:r>
      <w:r w:rsidR="004940FA">
        <w:rPr>
          <w:b/>
          <w:bCs/>
          <w:color w:val="FF0000"/>
        </w:rPr>
        <w:t>--</w:t>
      </w:r>
      <w:r w:rsidR="004940FA" w:rsidRPr="001E76AD">
        <w:rPr>
          <w:b/>
          <w:bCs/>
          <w:color w:val="FF0000"/>
          <w:highlight w:val="yellow"/>
        </w:rPr>
        <w:t>0: 0</w:t>
      </w:r>
      <w:r w:rsidR="004940FA">
        <w:rPr>
          <w:b/>
          <w:bCs/>
          <w:color w:val="FF0000"/>
        </w:rPr>
        <w:t>1:</w:t>
      </w:r>
      <w:r w:rsidR="004940FA">
        <w:rPr>
          <w:b/>
          <w:bCs/>
          <w:color w:val="FF0000"/>
        </w:rPr>
        <w:t>55</w:t>
      </w:r>
    </w:p>
    <w:p w14:paraId="337A9EDC" w14:textId="77777777" w:rsidR="009645C4" w:rsidRPr="00C72A2B" w:rsidRDefault="009645C4" w:rsidP="00C72A2B"/>
    <w:p w14:paraId="26A805D0" w14:textId="1B3E583E" w:rsidR="00FC5B91" w:rsidRPr="00C72A2B" w:rsidRDefault="008037F7" w:rsidP="00C72A2B">
      <w:r w:rsidRPr="00C72A2B">
        <w:t xml:space="preserve">NOTE: </w:t>
      </w:r>
      <w:r w:rsidR="00FC5B91" w:rsidRPr="00C72A2B">
        <w:t xml:space="preserve">The GUI shown in </w:t>
      </w:r>
      <w:r w:rsidR="00FC5B91" w:rsidRPr="00C72A2B">
        <w:rPr>
          <w:b/>
          <w:bCs/>
        </w:rPr>
        <w:t>Figure 4</w:t>
      </w:r>
      <w:r w:rsidR="00FC5B91" w:rsidRPr="00C72A2B">
        <w:t xml:space="preserve"> allows closer observation of the patient's liver through the zooming tool in the top right corner and obtaining the exact FF values using the probing tool. By dragging the scroll bar at the bottom, users can observe the FF-maps of all scanning positions in the horizontal plane.</w:t>
      </w:r>
    </w:p>
    <w:p w14:paraId="70BDEE2C" w14:textId="77777777" w:rsidR="00FC5B91" w:rsidRPr="00C72A2B" w:rsidRDefault="00FC5B91" w:rsidP="00C72A2B">
      <w:pPr>
        <w:rPr>
          <w:b/>
          <w:bCs/>
          <w:color w:val="FF0000"/>
        </w:rPr>
      </w:pPr>
    </w:p>
    <w:p w14:paraId="1DA6AED0" w14:textId="370E7F39" w:rsidR="005F556E" w:rsidRPr="00C72A2B" w:rsidRDefault="005F556E" w:rsidP="00C72A2B">
      <w:pPr>
        <w:pStyle w:val="ac"/>
        <w:numPr>
          <w:ilvl w:val="0"/>
          <w:numId w:val="1"/>
        </w:numPr>
        <w:ind w:left="0" w:firstLineChars="0" w:firstLine="0"/>
        <w:rPr>
          <w:rFonts w:ascii="Calibri" w:hAnsi="Calibri" w:cs="Calibri"/>
          <w:b/>
          <w:bCs/>
          <w:sz w:val="24"/>
          <w:szCs w:val="24"/>
          <w:highlight w:val="yellow"/>
        </w:rPr>
      </w:pPr>
      <w:bookmarkStart w:id="14" w:name="_Hlk127903608"/>
      <w:r w:rsidRPr="00C72A2B">
        <w:rPr>
          <w:rFonts w:ascii="Calibri" w:hAnsi="Calibri" w:cs="Calibri"/>
          <w:b/>
          <w:bCs/>
          <w:sz w:val="24"/>
          <w:szCs w:val="24"/>
          <w:highlight w:val="yellow"/>
        </w:rPr>
        <w:t>3D-</w:t>
      </w:r>
      <w:r w:rsidR="00290DDF" w:rsidRPr="00C72A2B">
        <w:rPr>
          <w:rFonts w:ascii="Calibri" w:hAnsi="Calibri" w:cs="Calibri"/>
          <w:b/>
          <w:bCs/>
          <w:sz w:val="24"/>
          <w:szCs w:val="24"/>
          <w:highlight w:val="yellow"/>
        </w:rPr>
        <w:t>v</w:t>
      </w:r>
      <w:r w:rsidRPr="00C72A2B">
        <w:rPr>
          <w:rFonts w:ascii="Calibri" w:hAnsi="Calibri" w:cs="Calibri"/>
          <w:b/>
          <w:bCs/>
          <w:sz w:val="24"/>
          <w:szCs w:val="24"/>
          <w:highlight w:val="yellow"/>
        </w:rPr>
        <w:t xml:space="preserve">olume of </w:t>
      </w:r>
      <w:r w:rsidR="00290DDF" w:rsidRPr="00C72A2B">
        <w:rPr>
          <w:rFonts w:ascii="Calibri" w:hAnsi="Calibri" w:cs="Calibri"/>
          <w:b/>
          <w:bCs/>
          <w:sz w:val="24"/>
          <w:szCs w:val="24"/>
          <w:highlight w:val="yellow"/>
        </w:rPr>
        <w:t>liver fat fraction</w:t>
      </w:r>
      <w:r w:rsidR="00290DDF" w:rsidRPr="00C72A2B" w:rsidDel="003C511D">
        <w:rPr>
          <w:rFonts w:ascii="Calibri" w:hAnsi="Calibri" w:cs="Calibri"/>
          <w:b/>
          <w:bCs/>
          <w:sz w:val="24"/>
          <w:szCs w:val="24"/>
          <w:highlight w:val="yellow"/>
        </w:rPr>
        <w:t xml:space="preserve"> </w:t>
      </w:r>
      <w:r w:rsidR="00290DDF" w:rsidRPr="00C72A2B">
        <w:rPr>
          <w:rFonts w:ascii="Calibri" w:hAnsi="Calibri" w:cs="Calibri"/>
          <w:b/>
          <w:bCs/>
          <w:sz w:val="24"/>
          <w:szCs w:val="24"/>
          <w:highlight w:val="yellow"/>
        </w:rPr>
        <w:t>distribution</w:t>
      </w:r>
      <w:r w:rsidR="00AF41D7">
        <w:rPr>
          <w:rFonts w:ascii="Calibri" w:hAnsi="Calibri" w:cs="Calibri"/>
          <w:b/>
          <w:bCs/>
          <w:sz w:val="24"/>
          <w:szCs w:val="24"/>
          <w:highlight w:val="yellow"/>
        </w:rPr>
        <w:t xml:space="preserve">  </w:t>
      </w:r>
      <w:r w:rsidR="00AF41D7" w:rsidRPr="00AF41D7">
        <w:rPr>
          <w:rFonts w:ascii="Calibri" w:hAnsi="Calibri" w:cs="Calibri"/>
          <w:b/>
          <w:bCs/>
          <w:color w:val="FF0000"/>
          <w:sz w:val="24"/>
          <w:szCs w:val="24"/>
        </w:rPr>
        <w:t>66121_Screenshot_4and5</w:t>
      </w:r>
      <w:r w:rsidR="00AF41D7" w:rsidRPr="00AF41D7">
        <w:rPr>
          <w:rFonts w:ascii="Calibri" w:hAnsi="Calibri" w:cs="Calibri"/>
          <w:b/>
          <w:bCs/>
          <w:color w:val="FF0000"/>
          <w:sz w:val="24"/>
          <w:szCs w:val="24"/>
        </w:rPr>
        <w:t>.mp4</w:t>
      </w:r>
    </w:p>
    <w:p w14:paraId="47F960CB" w14:textId="77777777" w:rsidR="005E69A4" w:rsidRPr="00C72A2B" w:rsidRDefault="005E69A4" w:rsidP="00C72A2B">
      <w:pPr>
        <w:pStyle w:val="ac"/>
        <w:ind w:firstLineChars="0" w:firstLine="0"/>
        <w:rPr>
          <w:rFonts w:ascii="Calibri" w:hAnsi="Calibri" w:cs="Calibri"/>
          <w:b/>
          <w:bCs/>
          <w:color w:val="FF0000"/>
          <w:sz w:val="24"/>
          <w:szCs w:val="24"/>
        </w:rPr>
      </w:pPr>
    </w:p>
    <w:p w14:paraId="21CC74BF" w14:textId="0AD271CA" w:rsidR="007A43F0" w:rsidRPr="00C72A2B" w:rsidRDefault="007A43F0" w:rsidP="00C72A2B">
      <w:r w:rsidRPr="00C72A2B">
        <w:t xml:space="preserve">NOTE: </w:t>
      </w:r>
      <w:r w:rsidRPr="00C72A2B">
        <w:rPr>
          <w:b/>
          <w:bCs/>
        </w:rPr>
        <w:t>Figure 4</w:t>
      </w:r>
      <w:r w:rsidRPr="00C72A2B">
        <w:t xml:space="preserve"> shows the LFF map calculated based on the Dixon MRI images of the upper abdomen. Combined with the 3D liver region in </w:t>
      </w:r>
      <w:r w:rsidRPr="00C72A2B">
        <w:rPr>
          <w:b/>
          <w:bCs/>
        </w:rPr>
        <w:t>Figure 3</w:t>
      </w:r>
      <w:r w:rsidRPr="00C72A2B">
        <w:t>, the 3D-LFF volume of the entire liver can be computed separately.</w:t>
      </w:r>
    </w:p>
    <w:p w14:paraId="3EA7FEF7" w14:textId="77777777" w:rsidR="007A43F0" w:rsidRPr="00C72A2B" w:rsidRDefault="007A43F0" w:rsidP="00C72A2B"/>
    <w:p w14:paraId="2B3C6D03" w14:textId="739D2129" w:rsidR="008C1263" w:rsidRPr="008C1263" w:rsidRDefault="008C1263" w:rsidP="008C1263">
      <w:r w:rsidRPr="008C1263">
        <w:rPr>
          <w:highlight w:val="yellow"/>
        </w:rPr>
        <w:t xml:space="preserve">4.1. Utilize the </w:t>
      </w:r>
      <w:r w:rsidRPr="008C1263">
        <w:rPr>
          <w:b/>
          <w:bCs/>
          <w:highlight w:val="yellow"/>
        </w:rPr>
        <w:t>LFF_Volume</w:t>
      </w:r>
      <w:r w:rsidRPr="008C1263">
        <w:rPr>
          <w:highlight w:val="yellow"/>
        </w:rPr>
        <w:t xml:space="preserve"> function, providing it with the 3D liver region (as depicted in </w:t>
      </w:r>
      <w:r w:rsidRPr="008C1263">
        <w:rPr>
          <w:b/>
          <w:bCs/>
          <w:highlight w:val="yellow"/>
        </w:rPr>
        <w:t>Figure 3</w:t>
      </w:r>
      <w:r w:rsidRPr="008C1263">
        <w:rPr>
          <w:highlight w:val="yellow"/>
        </w:rPr>
        <w:t xml:space="preserve">) and the Liver stiffness map (shown in </w:t>
      </w:r>
      <w:r w:rsidRPr="008C1263">
        <w:rPr>
          <w:b/>
          <w:bCs/>
          <w:highlight w:val="yellow"/>
        </w:rPr>
        <w:t>Figure 4</w:t>
      </w:r>
      <w:r w:rsidRPr="008C1263">
        <w:rPr>
          <w:highlight w:val="yellow"/>
        </w:rPr>
        <w:t>) as input parameters.</w:t>
      </w:r>
      <w:r w:rsidRPr="008C1263">
        <w:t xml:space="preserve"> This will result in the creation of the 3D-Volume representation of the liver fat fraction, as illustrated in </w:t>
      </w:r>
      <w:r w:rsidRPr="008C1263">
        <w:rPr>
          <w:b/>
          <w:bCs/>
        </w:rPr>
        <w:t>Figure 5</w:t>
      </w:r>
      <w:r w:rsidRPr="008C1263">
        <w:t>.</w:t>
      </w:r>
      <w:r w:rsidR="00F802B1">
        <w:t xml:space="preserve">  </w:t>
      </w:r>
      <w:r w:rsidR="00F802B1" w:rsidRPr="001E76AD">
        <w:rPr>
          <w:b/>
          <w:bCs/>
          <w:color w:val="FF0000"/>
          <w:highlight w:val="yellow"/>
        </w:rPr>
        <w:t>0: 0</w:t>
      </w:r>
      <w:r w:rsidR="00F802B1">
        <w:rPr>
          <w:b/>
          <w:bCs/>
          <w:color w:val="FF0000"/>
          <w:highlight w:val="yellow"/>
        </w:rPr>
        <w:t>0</w:t>
      </w:r>
      <w:r w:rsidR="00F802B1" w:rsidRPr="001E76AD">
        <w:rPr>
          <w:b/>
          <w:bCs/>
          <w:color w:val="FF0000"/>
          <w:highlight w:val="yellow"/>
        </w:rPr>
        <w:t>:</w:t>
      </w:r>
      <w:r w:rsidR="00F802B1">
        <w:rPr>
          <w:b/>
          <w:bCs/>
          <w:color w:val="FF0000"/>
        </w:rPr>
        <w:t>00--</w:t>
      </w:r>
      <w:r w:rsidR="00F802B1" w:rsidRPr="001E76AD">
        <w:rPr>
          <w:b/>
          <w:bCs/>
          <w:color w:val="FF0000"/>
          <w:highlight w:val="yellow"/>
        </w:rPr>
        <w:t>0: 0</w:t>
      </w:r>
      <w:r w:rsidR="00F802B1">
        <w:rPr>
          <w:b/>
          <w:bCs/>
          <w:color w:val="FF0000"/>
          <w:highlight w:val="yellow"/>
        </w:rPr>
        <w:t>0</w:t>
      </w:r>
      <w:r w:rsidR="00F802B1" w:rsidRPr="001E76AD">
        <w:rPr>
          <w:b/>
          <w:bCs/>
          <w:color w:val="FF0000"/>
          <w:highlight w:val="yellow"/>
        </w:rPr>
        <w:t>:</w:t>
      </w:r>
      <w:r w:rsidR="00F802B1">
        <w:rPr>
          <w:b/>
          <w:bCs/>
          <w:color w:val="FF0000"/>
        </w:rPr>
        <w:t>53</w:t>
      </w:r>
    </w:p>
    <w:p w14:paraId="5C2A04A2" w14:textId="77777777" w:rsidR="008C1263" w:rsidRDefault="008C1263" w:rsidP="00145B32">
      <w:pPr>
        <w:rPr>
          <w:rFonts w:ascii="Segoe UI" w:hAnsi="Segoe UI" w:cs="Segoe UI"/>
          <w:color w:val="374151"/>
          <w:shd w:val="clear" w:color="auto" w:fill="F7F7F8"/>
        </w:rPr>
      </w:pPr>
    </w:p>
    <w:p w14:paraId="3FE72CC2" w14:textId="040C050A" w:rsidR="00145B32" w:rsidRPr="00145B32" w:rsidRDefault="00145B32" w:rsidP="00145B32">
      <w:r w:rsidRPr="00145B32">
        <w:t xml:space="preserve">4.2. To examine the stiffness map for each liver layer, simply use the scroll bar located beneath the GUI displayed in </w:t>
      </w:r>
      <w:r w:rsidRPr="005E4DF5">
        <w:rPr>
          <w:b/>
          <w:bCs/>
        </w:rPr>
        <w:t>Figure 5</w:t>
      </w:r>
      <w:r w:rsidRPr="00145B32">
        <w:t>.</w:t>
      </w:r>
    </w:p>
    <w:p w14:paraId="20266F2C" w14:textId="77777777" w:rsidR="00145B32" w:rsidRDefault="00145B32" w:rsidP="00145B32"/>
    <w:p w14:paraId="22ACF1E9" w14:textId="615C67D9" w:rsidR="00145B32" w:rsidRPr="00145B32" w:rsidRDefault="00145B32" w:rsidP="00145B32">
      <w:r w:rsidRPr="00145B32">
        <w:t>NOTE: In this view, only liver tissue is accurately depicted.</w:t>
      </w:r>
    </w:p>
    <w:p w14:paraId="1767CA10" w14:textId="77777777" w:rsidR="00145B32" w:rsidRPr="00986DDC" w:rsidRDefault="00145B32" w:rsidP="00986DDC"/>
    <w:p w14:paraId="7FE8B88E" w14:textId="4B7CC15E" w:rsidR="00145B32" w:rsidRPr="00986DDC" w:rsidRDefault="00963662" w:rsidP="00986DDC">
      <w:r w:rsidRPr="00986DDC">
        <w:t xml:space="preserve">4.3. Pay attention to the icons located in the upper right corner of the GUI (as shown in </w:t>
      </w:r>
      <w:r w:rsidRPr="00986DDC">
        <w:rPr>
          <w:b/>
          <w:bCs/>
        </w:rPr>
        <w:t>Figure 5</w:t>
      </w:r>
      <w:r w:rsidRPr="00986DDC">
        <w:t xml:space="preserve">). These icons provide functionalities for </w:t>
      </w:r>
      <w:r w:rsidR="00A370DC" w:rsidRPr="00986DDC">
        <w:t xml:space="preserve">zooming out, </w:t>
      </w:r>
      <w:r w:rsidRPr="00986DDC">
        <w:t>zooming in, returning to the global view, and marking the coordinates of the selected pixel.</w:t>
      </w:r>
    </w:p>
    <w:p w14:paraId="7EC5D061" w14:textId="77777777" w:rsidR="00963662" w:rsidRDefault="00963662" w:rsidP="00145B32"/>
    <w:p w14:paraId="43BEB37A" w14:textId="6C2060C6" w:rsidR="00145B32" w:rsidRPr="00145B32" w:rsidRDefault="00145B32" w:rsidP="00145B32">
      <w:r w:rsidRPr="00145B32">
        <w:t>NOTE: The default color bar utilizes the "jet" colormap, where colors transition from blue to red to represent varying values (measured in units of kPa) from low to high.</w:t>
      </w:r>
    </w:p>
    <w:p w14:paraId="691BBED3" w14:textId="77777777" w:rsidR="00145B32" w:rsidRDefault="00145B32" w:rsidP="00145B32"/>
    <w:p w14:paraId="6DBCBF56" w14:textId="2062F081" w:rsidR="00DE1614" w:rsidRPr="00DE1614" w:rsidRDefault="00DE1614" w:rsidP="00DE1614">
      <w:r w:rsidRPr="00DE1614">
        <w:rPr>
          <w:highlight w:val="yellow"/>
        </w:rPr>
        <w:t xml:space="preserve">4.4. Run the </w:t>
      </w:r>
      <w:r w:rsidRPr="00DE1614">
        <w:rPr>
          <w:b/>
          <w:bCs/>
          <w:highlight w:val="yellow"/>
        </w:rPr>
        <w:t>LFF_Distribution</w:t>
      </w:r>
      <w:r w:rsidRPr="00DE1614">
        <w:rPr>
          <w:highlight w:val="yellow"/>
        </w:rPr>
        <w:t xml:space="preserve"> function using the identical input parameters as "LFF_Volume" to produce the spatial distribution of the 3D Liver Fat Fraction (3D-LFF),</w:t>
      </w:r>
      <w:r w:rsidRPr="00DE1614">
        <w:t xml:space="preserve"> as depicted in </w:t>
      </w:r>
      <w:r w:rsidRPr="00DE1614">
        <w:rPr>
          <w:b/>
          <w:bCs/>
        </w:rPr>
        <w:t>Figure 6</w:t>
      </w:r>
      <w:r w:rsidRPr="00DE1614">
        <w:t>.</w:t>
      </w:r>
      <w:r w:rsidR="00F802B1">
        <w:t xml:space="preserve"> </w:t>
      </w:r>
      <w:r w:rsidR="00F802B1" w:rsidRPr="001E76AD">
        <w:rPr>
          <w:b/>
          <w:bCs/>
          <w:color w:val="FF0000"/>
          <w:highlight w:val="yellow"/>
        </w:rPr>
        <w:t>0: 0</w:t>
      </w:r>
      <w:r w:rsidR="00F802B1">
        <w:rPr>
          <w:b/>
          <w:bCs/>
          <w:color w:val="FF0000"/>
          <w:highlight w:val="yellow"/>
        </w:rPr>
        <w:t>0</w:t>
      </w:r>
      <w:r w:rsidR="00F802B1" w:rsidRPr="001E76AD">
        <w:rPr>
          <w:b/>
          <w:bCs/>
          <w:color w:val="FF0000"/>
          <w:highlight w:val="yellow"/>
        </w:rPr>
        <w:t>:</w:t>
      </w:r>
      <w:r w:rsidR="00F802B1">
        <w:rPr>
          <w:b/>
          <w:bCs/>
          <w:color w:val="FF0000"/>
        </w:rPr>
        <w:t>53</w:t>
      </w:r>
      <w:r w:rsidR="00F802B1">
        <w:rPr>
          <w:b/>
          <w:bCs/>
          <w:color w:val="FF0000"/>
        </w:rPr>
        <w:t>--</w:t>
      </w:r>
      <w:r w:rsidR="00F802B1" w:rsidRPr="001E76AD">
        <w:rPr>
          <w:b/>
          <w:bCs/>
          <w:color w:val="FF0000"/>
          <w:highlight w:val="yellow"/>
        </w:rPr>
        <w:t>0: 0</w:t>
      </w:r>
      <w:r w:rsidR="00F802B1">
        <w:rPr>
          <w:b/>
          <w:bCs/>
          <w:color w:val="FF0000"/>
          <w:highlight w:val="yellow"/>
        </w:rPr>
        <w:t>1</w:t>
      </w:r>
      <w:r w:rsidR="00F802B1" w:rsidRPr="001E76AD">
        <w:rPr>
          <w:b/>
          <w:bCs/>
          <w:color w:val="FF0000"/>
          <w:highlight w:val="yellow"/>
        </w:rPr>
        <w:t>:</w:t>
      </w:r>
      <w:r w:rsidR="00F802B1">
        <w:rPr>
          <w:b/>
          <w:bCs/>
          <w:color w:val="FF0000"/>
        </w:rPr>
        <w:t>09</w:t>
      </w:r>
    </w:p>
    <w:p w14:paraId="20AB8306" w14:textId="77777777" w:rsidR="00DE1614" w:rsidRPr="00C72A2B" w:rsidRDefault="00DE1614" w:rsidP="00C72A2B">
      <w:pPr>
        <w:rPr>
          <w:highlight w:val="yellow"/>
        </w:rPr>
      </w:pPr>
    </w:p>
    <w:p w14:paraId="03B20E4F" w14:textId="453B0A89" w:rsidR="00234A8C" w:rsidRPr="00C72A2B" w:rsidRDefault="00E122A0" w:rsidP="00C72A2B">
      <w:pPr>
        <w:pStyle w:val="ac"/>
        <w:numPr>
          <w:ilvl w:val="0"/>
          <w:numId w:val="1"/>
        </w:numPr>
        <w:ind w:left="0" w:firstLineChars="0" w:firstLine="0"/>
        <w:rPr>
          <w:rFonts w:ascii="Calibri" w:hAnsi="Calibri" w:cs="Calibri"/>
          <w:b/>
          <w:bCs/>
          <w:sz w:val="24"/>
          <w:szCs w:val="24"/>
        </w:rPr>
      </w:pPr>
      <w:bookmarkStart w:id="15" w:name="OLE_LINK35"/>
      <w:r w:rsidRPr="00C72A2B">
        <w:rPr>
          <w:rFonts w:ascii="Calibri" w:eastAsia="Calibri" w:hAnsi="Calibri" w:cs="Calibri"/>
          <w:b/>
          <w:bCs/>
          <w:kern w:val="0"/>
          <w:sz w:val="24"/>
          <w:szCs w:val="24"/>
          <w:lang w:eastAsia="en-US"/>
        </w:rPr>
        <w:t>3D</w:t>
      </w:r>
      <w:r w:rsidR="003C511D" w:rsidRPr="00C72A2B">
        <w:rPr>
          <w:rFonts w:ascii="Calibri" w:eastAsia="Calibri" w:hAnsi="Calibri" w:cs="Calibri"/>
          <w:b/>
          <w:bCs/>
          <w:kern w:val="0"/>
          <w:sz w:val="24"/>
          <w:szCs w:val="24"/>
          <w:lang w:eastAsia="en-US"/>
        </w:rPr>
        <w:t>-</w:t>
      </w:r>
      <w:bookmarkEnd w:id="14"/>
      <w:r w:rsidR="00234A8C" w:rsidRPr="00C72A2B">
        <w:rPr>
          <w:rFonts w:ascii="Calibri" w:hAnsi="Calibri" w:cs="Calibri"/>
          <w:b/>
          <w:bCs/>
          <w:sz w:val="24"/>
          <w:szCs w:val="24"/>
        </w:rPr>
        <w:t>L</w:t>
      </w:r>
      <w:r w:rsidR="003C511D" w:rsidRPr="00C72A2B">
        <w:rPr>
          <w:rFonts w:ascii="Calibri" w:hAnsi="Calibri" w:cs="Calibri"/>
          <w:b/>
          <w:bCs/>
          <w:sz w:val="24"/>
          <w:szCs w:val="24"/>
        </w:rPr>
        <w:t>FF</w:t>
      </w:r>
      <w:r w:rsidR="00234A8C" w:rsidRPr="00C72A2B">
        <w:rPr>
          <w:rFonts w:ascii="Calibri" w:hAnsi="Calibri" w:cs="Calibri"/>
          <w:b/>
          <w:bCs/>
          <w:sz w:val="24"/>
          <w:szCs w:val="24"/>
        </w:rPr>
        <w:t xml:space="preserve"> quantitative analysis  </w:t>
      </w:r>
      <w:r w:rsidR="00F802B1">
        <w:rPr>
          <w:rFonts w:ascii="Calibri" w:hAnsi="Calibri" w:cs="Calibri"/>
          <w:b/>
          <w:bCs/>
          <w:sz w:val="24"/>
          <w:szCs w:val="24"/>
        </w:rPr>
        <w:t xml:space="preserve"> </w:t>
      </w:r>
      <w:r w:rsidR="00F802B1" w:rsidRPr="00AF41D7">
        <w:rPr>
          <w:rFonts w:ascii="Calibri" w:hAnsi="Calibri" w:cs="Calibri"/>
          <w:b/>
          <w:bCs/>
          <w:color w:val="FF0000"/>
          <w:sz w:val="24"/>
          <w:szCs w:val="24"/>
        </w:rPr>
        <w:t>66121_Screenshot_4and5.mp4</w:t>
      </w:r>
    </w:p>
    <w:p w14:paraId="112BFFC4" w14:textId="77777777" w:rsidR="00926DD5" w:rsidRPr="00C72A2B" w:rsidRDefault="00926DD5" w:rsidP="00C72A2B">
      <w:pPr>
        <w:pStyle w:val="ac"/>
        <w:ind w:firstLineChars="0" w:firstLine="0"/>
        <w:rPr>
          <w:rFonts w:ascii="Calibri" w:hAnsi="Calibri" w:cs="Calibri"/>
          <w:b/>
          <w:bCs/>
          <w:color w:val="FF0000"/>
          <w:sz w:val="24"/>
          <w:szCs w:val="24"/>
        </w:rPr>
      </w:pPr>
    </w:p>
    <w:bookmarkEnd w:id="15"/>
    <w:p w14:paraId="512696A0" w14:textId="29F4BFD3" w:rsidR="007979F5" w:rsidRPr="00C72A2B" w:rsidRDefault="007979F5" w:rsidP="00C72A2B">
      <w:r w:rsidRPr="00C72A2B">
        <w:t>NOTE: Normal liver voxels: LFF &lt; 5%; Mild fatty liver voxels: 5%–10%; Moderate fatty liver voxels: 10%–20%; Severe fatty liver voxels: LFF ≥ 20%</w:t>
      </w:r>
      <w:r w:rsidRPr="00C72A2B">
        <w:rPr>
          <w:vertAlign w:val="superscript"/>
        </w:rPr>
        <w:t>11–15</w:t>
      </w:r>
      <w:r w:rsidRPr="00C72A2B">
        <w:t xml:space="preserve">. A key quantitative focus of this study is determining the proportion of voxels at different LFF stages in the patient's liver. </w:t>
      </w:r>
      <w:r w:rsidRPr="00C72A2B">
        <w:rPr>
          <w:b/>
          <w:bCs/>
        </w:rPr>
        <w:t>Figure 6</w:t>
      </w:r>
      <w:r w:rsidRPr="00C72A2B">
        <w:t xml:space="preserve"> demonstrates the uneven spatial distribution of liver fat fraction in the patient. The lack of distinct clinical symptoms is primarily attributed to a substantial proportion of normal liver tissue. Therefore, precise quantification of differences between patients and healthy individuals is imperative. This represents a vital quantitative concept herein.</w:t>
      </w:r>
    </w:p>
    <w:p w14:paraId="50AB170A" w14:textId="77777777" w:rsidR="007979F5" w:rsidRPr="00C72A2B" w:rsidRDefault="007979F5" w:rsidP="00C72A2B"/>
    <w:p w14:paraId="23934570" w14:textId="30B646D8" w:rsidR="007979F5" w:rsidRPr="00C72A2B" w:rsidRDefault="00F936CE" w:rsidP="00C72A2B">
      <w:r w:rsidRPr="00C72A2B">
        <w:t>5.1. Calculate the 3D-LFF distribution for a healthy liver by repeating steps 1–4.</w:t>
      </w:r>
    </w:p>
    <w:p w14:paraId="40013FA9" w14:textId="77777777" w:rsidR="00F936CE" w:rsidRPr="00C72A2B" w:rsidRDefault="00F936CE" w:rsidP="00C72A2B"/>
    <w:p w14:paraId="10387C83" w14:textId="7EF6CAB7" w:rsidR="007979F5" w:rsidRPr="00C72A2B" w:rsidRDefault="00F936CE" w:rsidP="00C72A2B">
      <w:r w:rsidRPr="00C72A2B">
        <w:t xml:space="preserve">NOTE: </w:t>
      </w:r>
      <w:r w:rsidR="007979F5" w:rsidRPr="00C72A2B">
        <w:t>The built-in MATLAB bar function enables the comparison of the 3D-LFF distributions for healthy and fatty livers (</w:t>
      </w:r>
      <w:r w:rsidR="007979F5" w:rsidRPr="00C72A2B">
        <w:rPr>
          <w:b/>
          <w:bCs/>
        </w:rPr>
        <w:t>Figure 7</w:t>
      </w:r>
      <w:r w:rsidR="007979F5" w:rsidRPr="00C72A2B">
        <w:t>).</w:t>
      </w:r>
      <w:r w:rsidR="00F802B1">
        <w:t xml:space="preserve">   </w:t>
      </w:r>
      <w:r w:rsidR="00F802B1" w:rsidRPr="001E76AD">
        <w:rPr>
          <w:b/>
          <w:bCs/>
          <w:color w:val="FF0000"/>
          <w:highlight w:val="yellow"/>
        </w:rPr>
        <w:t>0: 0</w:t>
      </w:r>
      <w:r w:rsidR="00F802B1">
        <w:rPr>
          <w:b/>
          <w:bCs/>
          <w:color w:val="FF0000"/>
          <w:highlight w:val="yellow"/>
        </w:rPr>
        <w:t>1</w:t>
      </w:r>
      <w:r w:rsidR="00F802B1" w:rsidRPr="001E76AD">
        <w:rPr>
          <w:b/>
          <w:bCs/>
          <w:color w:val="FF0000"/>
          <w:highlight w:val="yellow"/>
        </w:rPr>
        <w:t>:</w:t>
      </w:r>
      <w:r w:rsidR="00F802B1">
        <w:rPr>
          <w:b/>
          <w:bCs/>
          <w:color w:val="FF0000"/>
        </w:rPr>
        <w:t>09</w:t>
      </w:r>
      <w:r w:rsidR="00F802B1">
        <w:rPr>
          <w:b/>
          <w:bCs/>
          <w:color w:val="FF0000"/>
        </w:rPr>
        <w:t>--</w:t>
      </w:r>
      <w:r w:rsidR="00F802B1" w:rsidRPr="001E76AD">
        <w:rPr>
          <w:b/>
          <w:bCs/>
          <w:color w:val="FF0000"/>
          <w:highlight w:val="yellow"/>
        </w:rPr>
        <w:t>0: 0</w:t>
      </w:r>
      <w:r w:rsidR="00F802B1">
        <w:rPr>
          <w:b/>
          <w:bCs/>
          <w:color w:val="FF0000"/>
          <w:highlight w:val="yellow"/>
        </w:rPr>
        <w:t>1</w:t>
      </w:r>
      <w:r w:rsidR="00F802B1" w:rsidRPr="001E76AD">
        <w:rPr>
          <w:b/>
          <w:bCs/>
          <w:color w:val="FF0000"/>
          <w:highlight w:val="yellow"/>
        </w:rPr>
        <w:t>:</w:t>
      </w:r>
      <w:r w:rsidR="00F802B1">
        <w:rPr>
          <w:b/>
          <w:bCs/>
          <w:color w:val="FF0000"/>
        </w:rPr>
        <w:t>36</w:t>
      </w:r>
    </w:p>
    <w:p w14:paraId="1703DBBD" w14:textId="77777777" w:rsidR="007979F5" w:rsidRPr="00C72A2B" w:rsidRDefault="007979F5" w:rsidP="00C72A2B">
      <w:pPr>
        <w:rPr>
          <w:b/>
          <w:bCs/>
        </w:rPr>
      </w:pPr>
    </w:p>
    <w:p w14:paraId="758B73D7" w14:textId="1E96F552" w:rsidR="0058101E" w:rsidRPr="00C72A2B" w:rsidRDefault="0058101E" w:rsidP="00C72A2B">
      <w:pPr>
        <w:rPr>
          <w:b/>
        </w:rPr>
      </w:pPr>
      <w:bookmarkStart w:id="16" w:name="OLE_LINK40"/>
      <w:r w:rsidRPr="00C72A2B">
        <w:rPr>
          <w:b/>
        </w:rPr>
        <w:t xml:space="preserve">REPRESENTATIVE RESULTS: </w:t>
      </w:r>
    </w:p>
    <w:p w14:paraId="0480D2FA" w14:textId="046AFFB3" w:rsidR="00754E3F" w:rsidRPr="00C72A2B" w:rsidRDefault="00754E3F" w:rsidP="00C72A2B">
      <w:r w:rsidRPr="00C72A2B">
        <w:t>This investigation utilizes actual patient datasets acquired using a commercially available MRI scanner to validate the 3D liver fat fraction quantification methodology (</w:t>
      </w:r>
      <w:r w:rsidRPr="00C72A2B">
        <w:rPr>
          <w:b/>
          <w:bCs/>
        </w:rPr>
        <w:t>Figure 1</w:t>
      </w:r>
      <w:r w:rsidRPr="00C72A2B">
        <w:t>). The MRI protocol included Dixon's four-phase imaging</w:t>
      </w:r>
      <w:r w:rsidRPr="00C72A2B">
        <w:rPr>
          <w:vertAlign w:val="superscript"/>
        </w:rPr>
        <w:t>9,10</w:t>
      </w:r>
      <w:r w:rsidRPr="00C72A2B">
        <w:t>: In-phase, Out-of-phase, Water-only, and Fat-only (</w:t>
      </w:r>
      <w:r w:rsidRPr="00C72A2B">
        <w:rPr>
          <w:b/>
          <w:bCs/>
        </w:rPr>
        <w:t>Figure 2</w:t>
      </w:r>
      <w:r w:rsidRPr="00C72A2B">
        <w:t>). The fat fraction (FF) of each voxel is computed by dividing the In-phase minus Water-only voxel signal by the In-phase voxel signal using Dixon MRI. This numeric model allows accurate calculation of the fat content percentage in each voxel.</w:t>
      </w:r>
    </w:p>
    <w:p w14:paraId="4C2EF231" w14:textId="77777777" w:rsidR="00754E3F" w:rsidRPr="00C72A2B" w:rsidRDefault="00754E3F" w:rsidP="00C72A2B">
      <w:pPr>
        <w:rPr>
          <w:color w:val="FF0000"/>
        </w:rPr>
      </w:pPr>
    </w:p>
    <w:p w14:paraId="6C9334A8" w14:textId="2EF83987" w:rsidR="008365C1" w:rsidRPr="00C72A2B" w:rsidRDefault="008365C1" w:rsidP="00C72A2B">
      <w:r w:rsidRPr="00C72A2B">
        <w:t>Although deep learning methods can extract 3D liver anatomy, they have inherent algorithmic errors. To ensure precise quantification, mature software tools like MIMICS were used to extract an accurate 3D liver contour combined with expert guidance (</w:t>
      </w:r>
      <w:r w:rsidRPr="00C72A2B">
        <w:rPr>
          <w:b/>
          <w:bCs/>
        </w:rPr>
        <w:t>Figure 3</w:t>
      </w:r>
      <w:r w:rsidRPr="00C72A2B">
        <w:t>).</w:t>
      </w:r>
    </w:p>
    <w:p w14:paraId="52D73EA9" w14:textId="77777777" w:rsidR="00C443EE" w:rsidRPr="00C72A2B" w:rsidRDefault="00C443EE" w:rsidP="00C72A2B"/>
    <w:p w14:paraId="269FA13C" w14:textId="1261F3EB" w:rsidR="00C443EE" w:rsidRPr="00C72A2B" w:rsidRDefault="00C443EE" w:rsidP="00C72A2B">
      <w:r w:rsidRPr="00C72A2B">
        <w:t xml:space="preserve">Fusing the 3D liver contour with the 2D FF map in </w:t>
      </w:r>
      <w:r w:rsidRPr="00C72A2B">
        <w:rPr>
          <w:b/>
          <w:bCs/>
        </w:rPr>
        <w:t>Figure 4</w:t>
      </w:r>
      <w:r w:rsidRPr="00C72A2B">
        <w:t xml:space="preserve"> generates an integrated 3D-FF distribution model in </w:t>
      </w:r>
      <w:r w:rsidRPr="00C72A2B">
        <w:rPr>
          <w:b/>
          <w:bCs/>
        </w:rPr>
        <w:t>Figure 5</w:t>
      </w:r>
      <w:r w:rsidRPr="00C72A2B">
        <w:t>. This overcomes the limitation of 2D FF maps and provides visualization of fat deposition in the entire liver volume. Doctors can now accurately locate fat content in 3D liver space instead of a vague impression.</w:t>
      </w:r>
    </w:p>
    <w:p w14:paraId="44D73DCF" w14:textId="77777777" w:rsidR="00C443EE" w:rsidRPr="00C72A2B" w:rsidRDefault="00C443EE" w:rsidP="00C72A2B">
      <w:pPr>
        <w:rPr>
          <w:color w:val="FF0000"/>
        </w:rPr>
      </w:pPr>
    </w:p>
    <w:p w14:paraId="059CD860" w14:textId="05B88F88" w:rsidR="009E5E37" w:rsidRPr="00C72A2B" w:rsidRDefault="009E5E37" w:rsidP="00C72A2B">
      <w:r w:rsidRPr="00C72A2B">
        <w:t xml:space="preserve">As </w:t>
      </w:r>
      <w:r w:rsidRPr="00C72A2B">
        <w:rPr>
          <w:b/>
          <w:bCs/>
        </w:rPr>
        <w:t>Figure 6</w:t>
      </w:r>
      <w:r w:rsidRPr="00C72A2B">
        <w:t xml:space="preserve"> shows, the 3D-FF distribution reveals fat fraction values at different liver positions. By comparing this to standard FF thresholds, the percentage of voxels falling into different stages of hepatic steatosis can be quantified. This enables precise measurement of the proportion of liver at various steatosis levels.</w:t>
      </w:r>
    </w:p>
    <w:p w14:paraId="57E6D9E1" w14:textId="77777777" w:rsidR="009E5E37" w:rsidRPr="00C72A2B" w:rsidRDefault="009E5E37" w:rsidP="00C72A2B">
      <w:pPr>
        <w:rPr>
          <w:color w:val="FF0000"/>
        </w:rPr>
      </w:pPr>
    </w:p>
    <w:bookmarkEnd w:id="16"/>
    <w:p w14:paraId="1B3DE130" w14:textId="3CCB513E" w:rsidR="00F35223" w:rsidRPr="00C72A2B" w:rsidRDefault="00F35223" w:rsidP="00C72A2B">
      <w:r w:rsidRPr="00C72A2B">
        <w:t>Comparison between a normal and fatty liver (</w:t>
      </w:r>
      <w:r w:rsidRPr="00C72A2B">
        <w:rPr>
          <w:b/>
          <w:bCs/>
        </w:rPr>
        <w:t>Figure 7</w:t>
      </w:r>
      <w:r w:rsidRPr="00C72A2B">
        <w:t>) validates the technique's ability to discern different 3D-LFF distribution patterns. The proposed workflow demonstrates clinical value in the 3D visualization, quantification, and diagnosis of hepatic steatosis based on patient's Dixon MRI data.</w:t>
      </w:r>
    </w:p>
    <w:p w14:paraId="0095F4C3" w14:textId="77777777" w:rsidR="00F35223" w:rsidRPr="00C72A2B" w:rsidRDefault="00F35223" w:rsidP="00C72A2B">
      <w:pPr>
        <w:rPr>
          <w:rFonts w:eastAsiaTheme="minorEastAsia"/>
          <w:lang w:eastAsia="zh-CN"/>
        </w:rPr>
      </w:pPr>
    </w:p>
    <w:p w14:paraId="3E0E1C04" w14:textId="10B17579" w:rsidR="00186D81" w:rsidRPr="00C72A2B" w:rsidRDefault="00186D81" w:rsidP="00C72A2B">
      <w:pPr>
        <w:rPr>
          <w:rFonts w:eastAsiaTheme="minorEastAsia"/>
          <w:b/>
          <w:bCs/>
          <w:lang w:eastAsia="zh-CN"/>
        </w:rPr>
      </w:pPr>
      <w:r w:rsidRPr="00C72A2B">
        <w:rPr>
          <w:rFonts w:eastAsiaTheme="minorEastAsia"/>
          <w:b/>
          <w:bCs/>
          <w:lang w:eastAsia="zh-CN"/>
        </w:rPr>
        <w:t>FIGURE LEGENDS:</w:t>
      </w:r>
    </w:p>
    <w:p w14:paraId="25CA962D" w14:textId="77777777" w:rsidR="00A911ED" w:rsidRPr="00C72A2B" w:rsidRDefault="00A911ED" w:rsidP="00C72A2B">
      <w:pPr>
        <w:rPr>
          <w:b/>
          <w:bCs/>
          <w:lang w:eastAsia="zh-CN"/>
        </w:rPr>
      </w:pPr>
    </w:p>
    <w:p w14:paraId="4FD08231" w14:textId="2431087B" w:rsidR="001F0181" w:rsidRPr="00C72A2B" w:rsidRDefault="001F0181" w:rsidP="00C72A2B">
      <w:r w:rsidRPr="00C72A2B">
        <w:rPr>
          <w:b/>
          <w:bCs/>
        </w:rPr>
        <w:t>Figure 1: MRI</w:t>
      </w:r>
      <w:r w:rsidR="00FB2CDC" w:rsidRPr="00C72A2B">
        <w:rPr>
          <w:b/>
          <w:bCs/>
        </w:rPr>
        <w:t>-</w:t>
      </w:r>
      <w:r w:rsidRPr="00C72A2B">
        <w:rPr>
          <w:b/>
          <w:bCs/>
        </w:rPr>
        <w:t>Dixon sequence folders</w:t>
      </w:r>
      <w:r w:rsidRPr="00C72A2B">
        <w:t xml:space="preserve">. A list of folder names corresponding to the Dixon MRI </w:t>
      </w:r>
      <w:r w:rsidRPr="00C72A2B">
        <w:lastRenderedPageBreak/>
        <w:t>scan sequences used in the study.</w:t>
      </w:r>
    </w:p>
    <w:p w14:paraId="54D06BBC" w14:textId="77777777" w:rsidR="001F0181" w:rsidRPr="00C72A2B" w:rsidRDefault="001F0181" w:rsidP="00C72A2B">
      <w:pPr>
        <w:rPr>
          <w:rFonts w:eastAsiaTheme="minorEastAsia"/>
          <w:color w:val="FF0000"/>
          <w:lang w:eastAsia="zh-CN"/>
        </w:rPr>
      </w:pPr>
    </w:p>
    <w:p w14:paraId="58AB022C" w14:textId="687BC167" w:rsidR="00F804A8" w:rsidRPr="00C72A2B" w:rsidRDefault="00F804A8" w:rsidP="00C72A2B">
      <w:r w:rsidRPr="00C72A2B">
        <w:rPr>
          <w:b/>
          <w:bCs/>
        </w:rPr>
        <w:t>Figure 2: Dixon MRI slice browser</w:t>
      </w:r>
      <w:r w:rsidRPr="00C72A2B">
        <w:t>. Graphical user interface (GUI) displaying slices from each phase sequence of Dixon MRI. Dixon MRI is valuable for enhancing image quality and interpretability, especially when precise fat and water separation is essential.</w:t>
      </w:r>
    </w:p>
    <w:p w14:paraId="46BB5253" w14:textId="77777777" w:rsidR="00F804A8" w:rsidRPr="00C72A2B" w:rsidRDefault="00F804A8" w:rsidP="00C72A2B">
      <w:pPr>
        <w:rPr>
          <w:rFonts w:eastAsiaTheme="minorEastAsia"/>
          <w:color w:val="FF0000"/>
          <w:lang w:eastAsia="zh-CN"/>
        </w:rPr>
      </w:pPr>
    </w:p>
    <w:p w14:paraId="640F4009" w14:textId="4E47B06C" w:rsidR="00FC470D" w:rsidRPr="00C72A2B" w:rsidRDefault="0099762C" w:rsidP="00C72A2B">
      <w:r w:rsidRPr="00C72A2B">
        <w:rPr>
          <w:b/>
          <w:bCs/>
        </w:rPr>
        <w:t>F</w:t>
      </w:r>
      <w:r w:rsidR="00934A2E" w:rsidRPr="00C72A2B">
        <w:rPr>
          <w:b/>
          <w:bCs/>
        </w:rPr>
        <w:t>igure 3: 3D liver region extraction</w:t>
      </w:r>
      <w:r w:rsidR="00934A2E" w:rsidRPr="00C72A2B">
        <w:t>. Visualization of the three-dimensional spatial extent of the liver based on In-Phase images acquired during the MRI scan.</w:t>
      </w:r>
    </w:p>
    <w:p w14:paraId="3013A93E" w14:textId="77777777" w:rsidR="003F7C33" w:rsidRPr="00C72A2B" w:rsidRDefault="003F7C33" w:rsidP="00C72A2B">
      <w:pPr>
        <w:rPr>
          <w:b/>
          <w:bCs/>
          <w:color w:val="FF0000"/>
        </w:rPr>
      </w:pPr>
    </w:p>
    <w:p w14:paraId="639DBA42" w14:textId="434B2E1D" w:rsidR="003F7C33" w:rsidRPr="00C72A2B" w:rsidRDefault="003F7C33" w:rsidP="00C72A2B">
      <w:r w:rsidRPr="00C72A2B">
        <w:rPr>
          <w:b/>
          <w:bCs/>
        </w:rPr>
        <w:t>Figure 4: Liver fat fraction map</w:t>
      </w:r>
      <w:r w:rsidRPr="00C72A2B">
        <w:t>. A visual representation of liver fat fraction (LFF) in each voxel, using distinct colors to indicate variations in fat content.</w:t>
      </w:r>
    </w:p>
    <w:p w14:paraId="2E2C6C14" w14:textId="77777777" w:rsidR="003F7C33" w:rsidRPr="00C72A2B" w:rsidRDefault="003F7C33" w:rsidP="00C72A2B">
      <w:pPr>
        <w:rPr>
          <w:b/>
          <w:bCs/>
          <w:color w:val="FF0000"/>
        </w:rPr>
      </w:pPr>
    </w:p>
    <w:p w14:paraId="2D192F90" w14:textId="78C50B3F" w:rsidR="00AB2DA0" w:rsidRPr="00C72A2B" w:rsidRDefault="00AB2DA0" w:rsidP="00C72A2B">
      <w:r w:rsidRPr="00C72A2B">
        <w:rPr>
          <w:b/>
          <w:bCs/>
        </w:rPr>
        <w:t>Figure 5: Liver fat fraction slices</w:t>
      </w:r>
      <w:r w:rsidRPr="00C72A2B">
        <w:t>. High-resolution slices displaying the liver fat fraction map, providing a detailed view of LFF distribution throughout the entire liver.</w:t>
      </w:r>
    </w:p>
    <w:p w14:paraId="7F381944" w14:textId="77777777" w:rsidR="00CB140B" w:rsidRPr="00C72A2B" w:rsidRDefault="00CB140B" w:rsidP="00C72A2B"/>
    <w:p w14:paraId="4166BE2A" w14:textId="403353C3" w:rsidR="00F7582D" w:rsidRPr="00C72A2B" w:rsidRDefault="00F7582D" w:rsidP="00C72A2B">
      <w:r w:rsidRPr="00C72A2B">
        <w:rPr>
          <w:b/>
          <w:bCs/>
        </w:rPr>
        <w:t>Figure 6: Whole liver 3D-LFF distribution</w:t>
      </w:r>
      <w:r w:rsidRPr="00C72A2B">
        <w:t>. A figure depicting the numeric probability distribution of liver fat fraction (LFF) across the entire liver, presented in a three-dimensional format.</w:t>
      </w:r>
    </w:p>
    <w:p w14:paraId="1B89B40D" w14:textId="77777777" w:rsidR="00F7582D" w:rsidRPr="00C72A2B" w:rsidRDefault="00F7582D" w:rsidP="00C72A2B">
      <w:pPr>
        <w:rPr>
          <w:b/>
          <w:bCs/>
          <w:color w:val="FF0000"/>
        </w:rPr>
      </w:pPr>
    </w:p>
    <w:p w14:paraId="36057A2C" w14:textId="63A4A4B5" w:rsidR="00F26AD2" w:rsidRPr="00C72A2B" w:rsidRDefault="00F26AD2" w:rsidP="00C72A2B">
      <w:r w:rsidRPr="00C72A2B">
        <w:rPr>
          <w:b/>
          <w:bCs/>
        </w:rPr>
        <w:t>Figure 7: Comparison of 3D-LFF distribution</w:t>
      </w:r>
      <w:r w:rsidRPr="00C72A2B">
        <w:t>. Comparison of the 3D-LFF distribution between a healthy liver and a typical fatty liver, highlighting differences in fat content and distribution.</w:t>
      </w:r>
    </w:p>
    <w:p w14:paraId="03FB1AD1" w14:textId="77777777" w:rsidR="00F26AD2" w:rsidRPr="00C72A2B" w:rsidRDefault="00F26AD2" w:rsidP="00C72A2B">
      <w:pPr>
        <w:rPr>
          <w:rFonts w:eastAsiaTheme="minorEastAsia"/>
          <w:lang w:eastAsia="zh-CN"/>
        </w:rPr>
      </w:pPr>
    </w:p>
    <w:p w14:paraId="2C952DE5" w14:textId="77777777" w:rsidR="00A646D9" w:rsidRPr="00C72A2B" w:rsidRDefault="00A646D9" w:rsidP="00C72A2B">
      <w:pPr>
        <w:rPr>
          <w:b/>
        </w:rPr>
      </w:pPr>
      <w:bookmarkStart w:id="17" w:name="4d34og8"/>
      <w:bookmarkStart w:id="18" w:name="OLE_LINK57"/>
      <w:bookmarkEnd w:id="17"/>
      <w:r w:rsidRPr="00C72A2B">
        <w:rPr>
          <w:b/>
        </w:rPr>
        <w:t xml:space="preserve">DISCUSSION: </w:t>
      </w:r>
    </w:p>
    <w:p w14:paraId="529260AE" w14:textId="0A6E65DE" w:rsidR="002D29FD" w:rsidRPr="00C72A2B" w:rsidRDefault="002D29FD" w:rsidP="00C72A2B">
      <w:r w:rsidRPr="00C72A2B">
        <w:t>This research presents an innovative 3D quantification technique for analyzing the distribution of liver fat fraction (LFF) using Dixon MRI</w:t>
      </w:r>
      <w:r w:rsidR="003F2F5A" w:rsidRPr="00C72A2B">
        <w:rPr>
          <w:vertAlign w:val="superscript"/>
        </w:rPr>
        <w:t>9,10</w:t>
      </w:r>
      <w:r w:rsidRPr="00C72A2B">
        <w:t>. By integrating LFF maps, which are generated from in-phase and water-phase images, with 3D liver contours, this method distinguishes between LFF patterns in normal and steatotic livers</w:t>
      </w:r>
      <w:r w:rsidR="00EA096D" w:rsidRPr="00C72A2B">
        <w:rPr>
          <w:vertAlign w:val="superscript"/>
        </w:rPr>
        <w:t>6</w:t>
      </w:r>
      <w:r w:rsidRPr="00C72A2B">
        <w:t>. Consequently, it facilitates a precise evaluation of liver fat content.</w:t>
      </w:r>
    </w:p>
    <w:p w14:paraId="4A39E299" w14:textId="77777777" w:rsidR="002D29FD" w:rsidRPr="00C72A2B" w:rsidRDefault="002D29FD" w:rsidP="00C72A2B">
      <w:pPr>
        <w:rPr>
          <w:color w:val="FF0000"/>
          <w:lang w:eastAsia="zh-CN"/>
        </w:rPr>
      </w:pPr>
    </w:p>
    <w:p w14:paraId="7C3E6579" w14:textId="7F1664C5" w:rsidR="000D0284" w:rsidRPr="00C72A2B" w:rsidRDefault="000D0284" w:rsidP="00C72A2B">
      <w:r w:rsidRPr="00C72A2B">
        <w:t>Step 3 represents a vital stage in calculating the FF map to quantify fat content in each voxel. Step 4 integrates the FF data with the 3D liver contour to construct an integrated 3D-LFF distribution model. Step 5 validates the efficacy of the 3D-LFF approach for accurate quantification of hepatic steatosis</w:t>
      </w:r>
      <w:r w:rsidR="004B626E" w:rsidRPr="00C72A2B">
        <w:rPr>
          <w:vertAlign w:val="superscript"/>
        </w:rPr>
        <w:t>13</w:t>
      </w:r>
      <w:r w:rsidRPr="00C72A2B">
        <w:t>.</w:t>
      </w:r>
    </w:p>
    <w:p w14:paraId="4444ED01" w14:textId="77777777" w:rsidR="000D0284" w:rsidRPr="00C72A2B" w:rsidRDefault="000D0284" w:rsidP="00C72A2B">
      <w:pPr>
        <w:rPr>
          <w:color w:val="FF0000"/>
          <w:lang w:eastAsia="zh-CN"/>
        </w:rPr>
      </w:pPr>
    </w:p>
    <w:p w14:paraId="1F74EE20" w14:textId="7D587655" w:rsidR="00F94E8E" w:rsidRPr="00C72A2B" w:rsidRDefault="00F94E8E" w:rsidP="00C72A2B">
      <w:r w:rsidRPr="00C72A2B">
        <w:t>Regarding future modifications, machine vision could enhance the efficiency of 3D liver segmentation. Compiling an atlas of 3D-LFF distributions for healthy livers and different steatosis grades could facilitate clinical diagnosis and typing.</w:t>
      </w:r>
    </w:p>
    <w:p w14:paraId="139C86AB" w14:textId="77777777" w:rsidR="00F94E8E" w:rsidRPr="00C72A2B" w:rsidRDefault="00F94E8E" w:rsidP="00C72A2B">
      <w:pPr>
        <w:rPr>
          <w:color w:val="FF0000"/>
          <w:lang w:eastAsia="zh-CN"/>
        </w:rPr>
      </w:pPr>
    </w:p>
    <w:p w14:paraId="73D3F55F" w14:textId="51D7EE3C" w:rsidR="004B2826" w:rsidRPr="00C72A2B" w:rsidRDefault="004B2826" w:rsidP="00C72A2B">
      <w:r w:rsidRPr="00C72A2B">
        <w:t>One limitation is that while the method can quantitatively stage early steatosis, it does not elucidate the mechanisms underlying disease progression. Variations in equipment and protocols may lead to inconsistent outcomes. Standardizing the computational workflow remains an ongoing challenge.</w:t>
      </w:r>
    </w:p>
    <w:p w14:paraId="5C7253DE" w14:textId="77777777" w:rsidR="004B2826" w:rsidRPr="00C72A2B" w:rsidRDefault="004B2826" w:rsidP="00C72A2B">
      <w:pPr>
        <w:rPr>
          <w:color w:val="FF0000"/>
          <w:lang w:eastAsia="zh-CN"/>
        </w:rPr>
      </w:pPr>
    </w:p>
    <w:p w14:paraId="5BB48D5D" w14:textId="18F9AD9A" w:rsidR="00056960" w:rsidRPr="00C72A2B" w:rsidRDefault="00056960" w:rsidP="00C72A2B">
      <w:r w:rsidRPr="00C72A2B">
        <w:t xml:space="preserve">This technique introduces and implements the concept of 3D-LFF distribution, providing clinicians with comprehensive insights into fat deposition patterns and disease severity across the entire </w:t>
      </w:r>
      <w:r w:rsidRPr="00C72A2B">
        <w:lastRenderedPageBreak/>
        <w:t>liver organ. This holds significant significance for precise diagnosis, treatment decisions, and monitoring of therapeutic efficacy. The approach also bears importance for health screening and prevention in the general population.</w:t>
      </w:r>
    </w:p>
    <w:p w14:paraId="16179E91" w14:textId="77777777" w:rsidR="00056960" w:rsidRPr="00C72A2B" w:rsidRDefault="00056960" w:rsidP="00C72A2B">
      <w:pPr>
        <w:rPr>
          <w:color w:val="FF0000"/>
          <w:lang w:eastAsia="zh-CN"/>
        </w:rPr>
      </w:pPr>
    </w:p>
    <w:bookmarkEnd w:id="18"/>
    <w:p w14:paraId="063A523D" w14:textId="10139D02" w:rsidR="00EB5DF0" w:rsidRPr="00C72A2B" w:rsidRDefault="00EB5DF0" w:rsidP="00C72A2B">
      <w:r w:rsidRPr="00C72A2B">
        <w:t xml:space="preserve">The method exhibits vast potential in multiple research domains, including: (1) large-scale validation of the technique across heterogeneous cohorts; (2) investigation of 3D-LFF variations among different steatosis etiologies; (3) </w:t>
      </w:r>
      <w:r w:rsidR="007662AA" w:rsidRPr="00C72A2B">
        <w:t>c</w:t>
      </w:r>
      <w:r w:rsidRPr="00C72A2B">
        <w:t xml:space="preserve">orrelation of 3D-LFF distribution with clinical parameters and risk factors; </w:t>
      </w:r>
      <w:r w:rsidR="007662AA" w:rsidRPr="00C72A2B">
        <w:t>(</w:t>
      </w:r>
      <w:r w:rsidRPr="00C72A2B">
        <w:t xml:space="preserve">4) </w:t>
      </w:r>
      <w:r w:rsidR="007662AA" w:rsidRPr="00C72A2B">
        <w:t>a</w:t>
      </w:r>
      <w:r w:rsidRPr="00C72A2B">
        <w:t xml:space="preserve">pplying 3D-LFF patterns to build diagnostic, prognostic, and treatment response models; </w:t>
      </w:r>
      <w:r w:rsidR="007662AA" w:rsidRPr="00C72A2B">
        <w:t>(</w:t>
      </w:r>
      <w:r w:rsidRPr="00C72A2B">
        <w:t xml:space="preserve">5) </w:t>
      </w:r>
      <w:r w:rsidR="007662AA" w:rsidRPr="00C72A2B">
        <w:t>c</w:t>
      </w:r>
      <w:r w:rsidRPr="00C72A2B">
        <w:t>omparing 3D quantification with two-dimensional imaging assessments. Numerous research avenues exist to translate this methodology into clinical utility.</w:t>
      </w:r>
    </w:p>
    <w:p w14:paraId="7E0A8533" w14:textId="77777777" w:rsidR="00EB5DF0" w:rsidRPr="00C72A2B" w:rsidRDefault="00EB5DF0" w:rsidP="00C72A2B">
      <w:pPr>
        <w:rPr>
          <w:rFonts w:eastAsiaTheme="minorEastAsia"/>
          <w:lang w:eastAsia="zh-CN"/>
        </w:rPr>
      </w:pPr>
    </w:p>
    <w:p w14:paraId="6DFD0132" w14:textId="77777777" w:rsidR="00A646D9" w:rsidRPr="00C72A2B" w:rsidRDefault="00A646D9" w:rsidP="00C72A2B">
      <w:r w:rsidRPr="00C72A2B">
        <w:rPr>
          <w:b/>
        </w:rPr>
        <w:t>ACKNOWLEDGMENTS:</w:t>
      </w:r>
      <w:r w:rsidRPr="00C72A2B">
        <w:t xml:space="preserve"> </w:t>
      </w:r>
    </w:p>
    <w:p w14:paraId="1E23D11B" w14:textId="1ABFE934" w:rsidR="00A646D9" w:rsidRPr="00C72A2B" w:rsidRDefault="00855C8F" w:rsidP="00C72A2B">
      <w:pPr>
        <w:rPr>
          <w:rFonts w:eastAsiaTheme="minorEastAsia"/>
          <w:lang w:eastAsia="zh-CN"/>
        </w:rPr>
      </w:pPr>
      <w:r w:rsidRPr="00855C8F">
        <w:t>This publication received support from the fifth national program for the identification of outstanding clinical talents in traditional Chinese medicine, organized by the National Administration of Traditional Chinese Medicine.</w:t>
      </w:r>
      <w:r>
        <w:rPr>
          <w:lang w:eastAsia="zh-CN"/>
        </w:rPr>
        <w:t xml:space="preserve"> </w:t>
      </w:r>
      <w:r w:rsidR="00A646D9" w:rsidRPr="00C72A2B">
        <w:rPr>
          <w:lang w:eastAsia="zh-CN"/>
        </w:rPr>
        <w:t>The official network link is’http://www.natcm.gov.cn/renjiaosi/zhengcewenjian/2021-11-04/23082.html.</w:t>
      </w:r>
    </w:p>
    <w:p w14:paraId="5F19A8B0" w14:textId="77777777" w:rsidR="00A646D9" w:rsidRPr="00C72A2B" w:rsidRDefault="00A646D9" w:rsidP="00C72A2B">
      <w:pPr>
        <w:rPr>
          <w:b/>
        </w:rPr>
      </w:pPr>
      <w:bookmarkStart w:id="19" w:name="17dp8vu"/>
      <w:bookmarkEnd w:id="19"/>
    </w:p>
    <w:p w14:paraId="76694465" w14:textId="310D0D1F" w:rsidR="00A646D9" w:rsidRPr="00C72A2B" w:rsidRDefault="00A646D9" w:rsidP="00C72A2B">
      <w:r w:rsidRPr="00C72A2B">
        <w:rPr>
          <w:b/>
        </w:rPr>
        <w:t xml:space="preserve">DISCLOSURES: </w:t>
      </w:r>
    </w:p>
    <w:p w14:paraId="7112EE34" w14:textId="24545F6F" w:rsidR="004B1989" w:rsidRPr="00C72A2B" w:rsidRDefault="004B1989" w:rsidP="00C72A2B">
      <w:r w:rsidRPr="00C72A2B">
        <w:t xml:space="preserve">The software tool for hepatic steatosis quantification, listed in the </w:t>
      </w:r>
      <w:r w:rsidRPr="00C72A2B">
        <w:rPr>
          <w:b/>
          <w:bCs/>
        </w:rPr>
        <w:t>Table of Materials</w:t>
      </w:r>
      <w:r w:rsidRPr="00C72A2B">
        <w:t xml:space="preserve"> of this study as HepaticSteatosis V1.0, is a product of Beijing Intelligent Entropy Science &amp; Technology Co., Ltd. The intellectual property rights of this software tool belong to the company.</w:t>
      </w:r>
    </w:p>
    <w:p w14:paraId="6AAB823B" w14:textId="77777777" w:rsidR="004B1989" w:rsidRPr="00C72A2B" w:rsidRDefault="004B1989" w:rsidP="00C72A2B">
      <w:pPr>
        <w:rPr>
          <w:rFonts w:eastAsiaTheme="minorEastAsia"/>
          <w:lang w:eastAsia="zh-CN"/>
        </w:rPr>
      </w:pPr>
    </w:p>
    <w:p w14:paraId="0BDAF97C" w14:textId="77777777" w:rsidR="006A07F2" w:rsidRPr="00C72A2B" w:rsidRDefault="006A07F2" w:rsidP="00C72A2B">
      <w:r w:rsidRPr="00C72A2B">
        <w:rPr>
          <w:b/>
        </w:rPr>
        <w:t>REFERENCES:</w:t>
      </w:r>
      <w:r w:rsidRPr="00C72A2B">
        <w:t xml:space="preserve"> </w:t>
      </w:r>
    </w:p>
    <w:p w14:paraId="6AA1AF95" w14:textId="06B041FA" w:rsidR="006A07F2" w:rsidRPr="00C72A2B" w:rsidRDefault="006A07F2" w:rsidP="00C72A2B">
      <w:pPr>
        <w:numPr>
          <w:ilvl w:val="0"/>
          <w:numId w:val="12"/>
        </w:numPr>
        <w:ind w:left="0" w:firstLine="0"/>
        <w:rPr>
          <w:rFonts w:eastAsia="等线"/>
          <w:color w:val="000000"/>
          <w:lang w:eastAsia="zh-CN"/>
        </w:rPr>
      </w:pPr>
      <w:bookmarkStart w:id="20" w:name="_Ref144035649"/>
      <w:r w:rsidRPr="00C72A2B">
        <w:rPr>
          <w:rFonts w:eastAsia="等线"/>
          <w:color w:val="000000"/>
          <w:lang w:eastAsia="zh-CN"/>
        </w:rPr>
        <w:t xml:space="preserve">Pouwels, S. et al. Non-alcoholic fatty liver disease (NAFLD): a review of pathophysiology, clinical management and effects of weight loss. </w:t>
      </w:r>
      <w:r w:rsidRPr="00C72A2B">
        <w:rPr>
          <w:rFonts w:eastAsia="等线"/>
          <w:i/>
          <w:iCs/>
          <w:color w:val="000000"/>
          <w:lang w:eastAsia="zh-CN"/>
        </w:rPr>
        <w:t>BMC Endocr Disord</w:t>
      </w:r>
      <w:r w:rsidRPr="00C72A2B">
        <w:rPr>
          <w:rFonts w:eastAsia="等线"/>
          <w:color w:val="000000"/>
          <w:lang w:eastAsia="zh-CN"/>
        </w:rPr>
        <w:t xml:space="preserve">. </w:t>
      </w:r>
      <w:r w:rsidRPr="00C72A2B">
        <w:rPr>
          <w:rFonts w:eastAsia="等线"/>
          <w:b/>
          <w:bCs/>
          <w:color w:val="000000"/>
          <w:lang w:eastAsia="zh-CN"/>
        </w:rPr>
        <w:t>22</w:t>
      </w:r>
      <w:r w:rsidR="00076C2B" w:rsidRPr="00C72A2B">
        <w:rPr>
          <w:rFonts w:eastAsia="等线"/>
          <w:b/>
          <w:bCs/>
          <w:color w:val="000000"/>
          <w:lang w:eastAsia="zh-CN"/>
        </w:rPr>
        <w:t xml:space="preserve"> </w:t>
      </w:r>
      <w:r w:rsidRPr="00C72A2B">
        <w:rPr>
          <w:rFonts w:eastAsia="等线"/>
          <w:color w:val="000000"/>
        </w:rPr>
        <w:t>(</w:t>
      </w:r>
      <w:r w:rsidRPr="00C72A2B">
        <w:rPr>
          <w:rFonts w:eastAsia="等线"/>
          <w:color w:val="000000"/>
          <w:lang w:eastAsia="zh-CN"/>
        </w:rPr>
        <w:t>1), 63</w:t>
      </w:r>
      <w:bookmarkEnd w:id="20"/>
      <w:r w:rsidRPr="00C72A2B">
        <w:rPr>
          <w:rFonts w:eastAsia="等线"/>
          <w:color w:val="000000"/>
          <w:lang w:eastAsia="zh-CN"/>
        </w:rPr>
        <w:t xml:space="preserve"> (2022).</w:t>
      </w:r>
    </w:p>
    <w:p w14:paraId="57D9E768" w14:textId="29289A51" w:rsidR="006A07F2" w:rsidRPr="00C72A2B" w:rsidRDefault="006A07F2" w:rsidP="00C72A2B">
      <w:pPr>
        <w:numPr>
          <w:ilvl w:val="0"/>
          <w:numId w:val="12"/>
        </w:numPr>
        <w:ind w:left="0" w:firstLine="0"/>
        <w:rPr>
          <w:rFonts w:eastAsia="等线"/>
          <w:color w:val="000000"/>
          <w:lang w:eastAsia="zh-CN"/>
        </w:rPr>
      </w:pPr>
      <w:bookmarkStart w:id="21" w:name="_Ref144035729"/>
      <w:r w:rsidRPr="00C72A2B">
        <w:rPr>
          <w:rFonts w:eastAsia="等线"/>
          <w:color w:val="000000"/>
          <w:lang w:eastAsia="zh-CN"/>
        </w:rPr>
        <w:t>Younossi, Z</w:t>
      </w:r>
      <w:r w:rsidR="00076C2B" w:rsidRPr="00C72A2B">
        <w:rPr>
          <w:rFonts w:eastAsia="等线"/>
          <w:color w:val="000000"/>
          <w:lang w:eastAsia="zh-CN"/>
        </w:rPr>
        <w:t xml:space="preserve">. </w:t>
      </w:r>
      <w:r w:rsidRPr="00C72A2B">
        <w:rPr>
          <w:rFonts w:eastAsia="等线"/>
          <w:color w:val="000000"/>
          <w:lang w:eastAsia="zh-CN"/>
        </w:rPr>
        <w:t xml:space="preserve">M. et al. The </w:t>
      </w:r>
      <w:r w:rsidR="00076C2B" w:rsidRPr="00C72A2B">
        <w:rPr>
          <w:rFonts w:eastAsia="等线"/>
          <w:color w:val="000000"/>
          <w:lang w:eastAsia="zh-CN"/>
        </w:rPr>
        <w:t>global burden of liver disease</w:t>
      </w:r>
      <w:r w:rsidRPr="00C72A2B">
        <w:rPr>
          <w:rFonts w:eastAsia="等线"/>
          <w:color w:val="000000"/>
          <w:lang w:eastAsia="zh-CN"/>
        </w:rPr>
        <w:t>.</w:t>
      </w:r>
      <w:r w:rsidRPr="00C72A2B">
        <w:rPr>
          <w:rFonts w:eastAsia="等线"/>
          <w:i/>
          <w:iCs/>
          <w:color w:val="000000"/>
          <w:lang w:eastAsia="zh-CN"/>
        </w:rPr>
        <w:t xml:space="preserve"> Clin Gastroenterol Hepatol</w:t>
      </w:r>
      <w:r w:rsidRPr="00C72A2B">
        <w:rPr>
          <w:rFonts w:eastAsia="等线"/>
          <w:color w:val="000000"/>
          <w:lang w:eastAsia="zh-CN"/>
        </w:rPr>
        <w:t xml:space="preserve">. </w:t>
      </w:r>
      <w:r w:rsidRPr="00C72A2B">
        <w:rPr>
          <w:rFonts w:eastAsia="等线"/>
          <w:b/>
          <w:bCs/>
          <w:color w:val="000000"/>
          <w:lang w:eastAsia="zh-CN"/>
        </w:rPr>
        <w:t>21</w:t>
      </w:r>
      <w:r w:rsidR="00076C2B" w:rsidRPr="00C72A2B">
        <w:rPr>
          <w:rFonts w:eastAsia="等线"/>
          <w:b/>
          <w:bCs/>
          <w:color w:val="000000"/>
          <w:lang w:eastAsia="zh-CN"/>
        </w:rPr>
        <w:t xml:space="preserve"> </w:t>
      </w:r>
      <w:r w:rsidRPr="00C72A2B">
        <w:rPr>
          <w:rFonts w:eastAsia="等线"/>
          <w:color w:val="000000"/>
          <w:lang w:eastAsia="zh-CN"/>
        </w:rPr>
        <w:t>(8), 1978</w:t>
      </w:r>
      <w:r w:rsidR="00076C2B" w:rsidRPr="00C72A2B">
        <w:rPr>
          <w:rFonts w:eastAsia="等线"/>
          <w:color w:val="000000"/>
          <w:lang w:eastAsia="zh-CN"/>
        </w:rPr>
        <w:t>–</w:t>
      </w:r>
      <w:r w:rsidRPr="00C72A2B">
        <w:rPr>
          <w:rFonts w:eastAsia="等线"/>
          <w:color w:val="000000"/>
          <w:lang w:eastAsia="zh-CN"/>
        </w:rPr>
        <w:t>1991</w:t>
      </w:r>
      <w:bookmarkEnd w:id="21"/>
      <w:r w:rsidRPr="00C72A2B">
        <w:rPr>
          <w:rFonts w:eastAsia="等线"/>
          <w:color w:val="000000"/>
          <w:lang w:eastAsia="zh-CN"/>
        </w:rPr>
        <w:t xml:space="preserve"> (2023)</w:t>
      </w:r>
      <w:r w:rsidR="00076C2B" w:rsidRPr="00C72A2B">
        <w:rPr>
          <w:rFonts w:eastAsia="等线"/>
          <w:color w:val="000000"/>
          <w:lang w:eastAsia="zh-CN"/>
        </w:rPr>
        <w:t>.</w:t>
      </w:r>
    </w:p>
    <w:p w14:paraId="5D8F596C" w14:textId="4FD90C99" w:rsidR="006A07F2" w:rsidRPr="00C72A2B" w:rsidRDefault="006A07F2" w:rsidP="00C72A2B">
      <w:pPr>
        <w:numPr>
          <w:ilvl w:val="0"/>
          <w:numId w:val="12"/>
        </w:numPr>
        <w:ind w:left="0" w:firstLine="0"/>
        <w:rPr>
          <w:rFonts w:eastAsia="等线"/>
          <w:color w:val="000000"/>
          <w:lang w:eastAsia="zh-CN"/>
        </w:rPr>
      </w:pPr>
      <w:bookmarkStart w:id="22" w:name="_Ref144035756"/>
      <w:r w:rsidRPr="00C72A2B">
        <w:rPr>
          <w:rFonts w:eastAsia="等线"/>
          <w:color w:val="000000"/>
          <w:lang w:eastAsia="zh-CN"/>
        </w:rPr>
        <w:t xml:space="preserve">Younossi, Z. et al. Global burden of NAFLD and NASH. </w:t>
      </w:r>
      <w:r w:rsidR="00076C2B" w:rsidRPr="00C72A2B">
        <w:rPr>
          <w:rFonts w:eastAsia="等线"/>
          <w:color w:val="000000"/>
          <w:lang w:eastAsia="zh-CN"/>
        </w:rPr>
        <w:t>T</w:t>
      </w:r>
      <w:r w:rsidRPr="00C72A2B">
        <w:rPr>
          <w:rFonts w:eastAsia="等线"/>
          <w:color w:val="000000"/>
          <w:lang w:eastAsia="zh-CN"/>
        </w:rPr>
        <w:t xml:space="preserve">rends, predictions, risk factors and prevention. </w:t>
      </w:r>
      <w:r w:rsidRPr="00C72A2B">
        <w:rPr>
          <w:rFonts w:eastAsia="等线"/>
          <w:i/>
          <w:iCs/>
          <w:color w:val="000000"/>
          <w:lang w:eastAsia="zh-CN"/>
        </w:rPr>
        <w:t>Nat Rev Gastroenterol Hepatol</w:t>
      </w:r>
      <w:r w:rsidRPr="00C72A2B">
        <w:rPr>
          <w:rFonts w:eastAsia="等线"/>
          <w:color w:val="000000"/>
          <w:lang w:eastAsia="zh-CN"/>
        </w:rPr>
        <w:t xml:space="preserve">. </w:t>
      </w:r>
      <w:r w:rsidRPr="00C72A2B">
        <w:rPr>
          <w:rFonts w:eastAsia="等线"/>
          <w:b/>
          <w:bCs/>
          <w:color w:val="000000"/>
          <w:lang w:eastAsia="zh-CN"/>
        </w:rPr>
        <w:t>15</w:t>
      </w:r>
      <w:r w:rsidR="00076C2B" w:rsidRPr="00C72A2B">
        <w:rPr>
          <w:rFonts w:eastAsia="等线"/>
          <w:b/>
          <w:bCs/>
          <w:color w:val="000000"/>
          <w:lang w:eastAsia="zh-CN"/>
        </w:rPr>
        <w:t xml:space="preserve"> </w:t>
      </w:r>
      <w:r w:rsidRPr="00C72A2B">
        <w:rPr>
          <w:rFonts w:eastAsia="等线"/>
          <w:color w:val="000000"/>
          <w:lang w:eastAsia="zh-CN"/>
        </w:rPr>
        <w:t>(1), 11</w:t>
      </w:r>
      <w:r w:rsidR="00076C2B" w:rsidRPr="00C72A2B">
        <w:rPr>
          <w:rFonts w:eastAsia="等线"/>
          <w:color w:val="000000"/>
          <w:lang w:eastAsia="zh-CN"/>
        </w:rPr>
        <w:t>–</w:t>
      </w:r>
      <w:r w:rsidRPr="00C72A2B">
        <w:rPr>
          <w:rFonts w:eastAsia="等线"/>
          <w:color w:val="000000"/>
          <w:lang w:eastAsia="zh-CN"/>
        </w:rPr>
        <w:t>20</w:t>
      </w:r>
      <w:bookmarkEnd w:id="22"/>
      <w:r w:rsidRPr="00C72A2B">
        <w:rPr>
          <w:rFonts w:eastAsia="等线"/>
          <w:color w:val="000000"/>
          <w:lang w:eastAsia="zh-CN"/>
        </w:rPr>
        <w:t xml:space="preserve"> (2018)</w:t>
      </w:r>
      <w:r w:rsidR="00076C2B" w:rsidRPr="00C72A2B">
        <w:rPr>
          <w:rFonts w:eastAsia="等线"/>
          <w:color w:val="000000"/>
          <w:lang w:eastAsia="zh-CN"/>
        </w:rPr>
        <w:t>.</w:t>
      </w:r>
    </w:p>
    <w:p w14:paraId="5F665980" w14:textId="6DB6797C" w:rsidR="006A07F2" w:rsidRPr="00C72A2B" w:rsidRDefault="006A07F2" w:rsidP="00C72A2B">
      <w:pPr>
        <w:numPr>
          <w:ilvl w:val="0"/>
          <w:numId w:val="12"/>
        </w:numPr>
        <w:ind w:left="0" w:firstLine="0"/>
        <w:rPr>
          <w:rFonts w:eastAsia="等线"/>
          <w:color w:val="000000"/>
          <w:lang w:eastAsia="zh-CN"/>
        </w:rPr>
      </w:pPr>
      <w:r w:rsidRPr="00C72A2B">
        <w:rPr>
          <w:rFonts w:eastAsia="等线"/>
          <w:color w:val="000000"/>
          <w:lang w:eastAsia="zh-CN"/>
        </w:rPr>
        <w:t>Boyum, J</w:t>
      </w:r>
      <w:r w:rsidR="00076C2B" w:rsidRPr="00C72A2B">
        <w:rPr>
          <w:rFonts w:eastAsia="等线"/>
          <w:color w:val="000000"/>
          <w:lang w:eastAsia="zh-CN"/>
        </w:rPr>
        <w:t xml:space="preserve">. </w:t>
      </w:r>
      <w:r w:rsidRPr="00C72A2B">
        <w:rPr>
          <w:rFonts w:eastAsia="等线"/>
          <w:color w:val="000000"/>
          <w:lang w:eastAsia="zh-CN"/>
        </w:rPr>
        <w:t xml:space="preserve">H. et al. Incidence and </w:t>
      </w:r>
      <w:r w:rsidR="009F106E" w:rsidRPr="00C72A2B">
        <w:rPr>
          <w:rFonts w:eastAsia="等线"/>
          <w:color w:val="000000"/>
          <w:lang w:eastAsia="zh-CN"/>
        </w:rPr>
        <w:t>risk factors for adverse events related to image-guided liver biops</w:t>
      </w:r>
      <w:r w:rsidRPr="00C72A2B">
        <w:rPr>
          <w:rFonts w:eastAsia="等线"/>
          <w:color w:val="000000"/>
          <w:lang w:eastAsia="zh-CN"/>
        </w:rPr>
        <w:t xml:space="preserve">y. </w:t>
      </w:r>
      <w:r w:rsidRPr="00C72A2B">
        <w:rPr>
          <w:rFonts w:eastAsia="等线"/>
          <w:i/>
          <w:iCs/>
          <w:color w:val="000000"/>
          <w:lang w:eastAsia="zh-CN"/>
        </w:rPr>
        <w:t>Mayo Clin Proc.</w:t>
      </w:r>
      <w:r w:rsidRPr="00C72A2B">
        <w:rPr>
          <w:rFonts w:eastAsia="等线"/>
          <w:color w:val="000000"/>
          <w:lang w:eastAsia="zh-CN"/>
        </w:rPr>
        <w:t xml:space="preserve"> </w:t>
      </w:r>
      <w:r w:rsidRPr="00C72A2B">
        <w:rPr>
          <w:rFonts w:eastAsia="等线"/>
          <w:b/>
          <w:bCs/>
          <w:color w:val="000000"/>
          <w:lang w:eastAsia="zh-CN"/>
        </w:rPr>
        <w:t>91</w:t>
      </w:r>
      <w:r w:rsidR="009F106E" w:rsidRPr="00C72A2B">
        <w:rPr>
          <w:rFonts w:eastAsia="等线"/>
          <w:b/>
          <w:bCs/>
          <w:color w:val="000000"/>
          <w:lang w:eastAsia="zh-CN"/>
        </w:rPr>
        <w:t xml:space="preserve"> </w:t>
      </w:r>
      <w:r w:rsidRPr="00C72A2B">
        <w:rPr>
          <w:rFonts w:eastAsia="等线"/>
          <w:color w:val="000000"/>
          <w:lang w:eastAsia="zh-CN"/>
        </w:rPr>
        <w:t>(3), 329</w:t>
      </w:r>
      <w:r w:rsidR="009F106E" w:rsidRPr="00C72A2B">
        <w:rPr>
          <w:rFonts w:eastAsia="等线"/>
          <w:color w:val="000000"/>
          <w:lang w:eastAsia="zh-CN"/>
        </w:rPr>
        <w:t>–3</w:t>
      </w:r>
      <w:r w:rsidRPr="00C72A2B">
        <w:rPr>
          <w:rFonts w:eastAsia="等线"/>
          <w:color w:val="000000"/>
          <w:lang w:eastAsia="zh-CN"/>
        </w:rPr>
        <w:t>35 (2016)</w:t>
      </w:r>
      <w:r w:rsidR="009F106E" w:rsidRPr="00C72A2B">
        <w:rPr>
          <w:rFonts w:eastAsia="等线"/>
          <w:color w:val="000000"/>
          <w:lang w:eastAsia="zh-CN"/>
        </w:rPr>
        <w:t>.</w:t>
      </w:r>
      <w:r w:rsidRPr="00C72A2B">
        <w:rPr>
          <w:rFonts w:eastAsia="等线"/>
          <w:color w:val="000000"/>
          <w:lang w:eastAsia="zh-CN"/>
        </w:rPr>
        <w:t xml:space="preserve"> </w:t>
      </w:r>
    </w:p>
    <w:p w14:paraId="74847876" w14:textId="56C2C2D0" w:rsidR="006A07F2" w:rsidRPr="00C72A2B" w:rsidRDefault="006A07F2" w:rsidP="00C72A2B">
      <w:pPr>
        <w:numPr>
          <w:ilvl w:val="0"/>
          <w:numId w:val="12"/>
        </w:numPr>
        <w:ind w:left="0" w:firstLine="0"/>
        <w:rPr>
          <w:rFonts w:eastAsia="等线"/>
          <w:color w:val="000000"/>
          <w:lang w:eastAsia="zh-CN"/>
        </w:rPr>
      </w:pPr>
      <w:r w:rsidRPr="00C72A2B">
        <w:rPr>
          <w:rFonts w:eastAsia="等线"/>
          <w:color w:val="000000"/>
          <w:lang w:eastAsia="zh-CN"/>
        </w:rPr>
        <w:t>Khalifa, A., Rockey, D</w:t>
      </w:r>
      <w:r w:rsidR="00793BC7" w:rsidRPr="00C72A2B">
        <w:rPr>
          <w:rFonts w:eastAsia="等线"/>
          <w:color w:val="000000"/>
          <w:lang w:eastAsia="zh-CN"/>
        </w:rPr>
        <w:t xml:space="preserve">. </w:t>
      </w:r>
      <w:r w:rsidRPr="00C72A2B">
        <w:rPr>
          <w:rFonts w:eastAsia="等线"/>
          <w:color w:val="000000"/>
          <w:lang w:eastAsia="zh-CN"/>
        </w:rPr>
        <w:t xml:space="preserve">C. The utility of liver biopsy in 2020. </w:t>
      </w:r>
      <w:r w:rsidRPr="00C72A2B">
        <w:rPr>
          <w:rFonts w:eastAsia="等线"/>
          <w:i/>
          <w:iCs/>
          <w:color w:val="000000"/>
          <w:lang w:eastAsia="zh-CN"/>
        </w:rPr>
        <w:t xml:space="preserve">Curr Opin Gastroenterol. </w:t>
      </w:r>
      <w:r w:rsidRPr="00C72A2B">
        <w:rPr>
          <w:rFonts w:eastAsia="等线"/>
          <w:b/>
          <w:bCs/>
          <w:color w:val="000000"/>
          <w:lang w:eastAsia="zh-CN"/>
        </w:rPr>
        <w:t>36</w:t>
      </w:r>
      <w:r w:rsidR="00793BC7" w:rsidRPr="00C72A2B">
        <w:rPr>
          <w:rFonts w:eastAsia="等线"/>
          <w:b/>
          <w:bCs/>
          <w:color w:val="000000"/>
          <w:lang w:eastAsia="zh-CN"/>
        </w:rPr>
        <w:t xml:space="preserve"> </w:t>
      </w:r>
      <w:r w:rsidRPr="00C72A2B">
        <w:rPr>
          <w:rFonts w:eastAsia="等线"/>
          <w:color w:val="000000"/>
          <w:lang w:eastAsia="zh-CN"/>
        </w:rPr>
        <w:t>(3), 184</w:t>
      </w:r>
      <w:r w:rsidR="00793BC7" w:rsidRPr="00C72A2B">
        <w:rPr>
          <w:rFonts w:eastAsia="等线"/>
          <w:color w:val="000000"/>
          <w:lang w:eastAsia="zh-CN"/>
        </w:rPr>
        <w:t>–</w:t>
      </w:r>
      <w:r w:rsidRPr="00C72A2B">
        <w:rPr>
          <w:rFonts w:eastAsia="等线"/>
          <w:color w:val="000000"/>
          <w:lang w:eastAsia="zh-CN"/>
        </w:rPr>
        <w:t>191 (2020)</w:t>
      </w:r>
      <w:r w:rsidR="00793BC7" w:rsidRPr="00C72A2B">
        <w:rPr>
          <w:rFonts w:eastAsia="等线"/>
          <w:color w:val="000000"/>
          <w:lang w:eastAsia="zh-CN"/>
        </w:rPr>
        <w:t>.</w:t>
      </w:r>
      <w:r w:rsidRPr="00C72A2B">
        <w:rPr>
          <w:rFonts w:eastAsia="等线"/>
          <w:color w:val="000000"/>
          <w:lang w:eastAsia="zh-CN"/>
        </w:rPr>
        <w:t xml:space="preserve"> </w:t>
      </w:r>
    </w:p>
    <w:p w14:paraId="190E3577" w14:textId="35F29C5B" w:rsidR="006A07F2" w:rsidRPr="00C72A2B" w:rsidRDefault="006A07F2" w:rsidP="00C72A2B">
      <w:pPr>
        <w:numPr>
          <w:ilvl w:val="0"/>
          <w:numId w:val="12"/>
        </w:numPr>
        <w:ind w:left="0" w:firstLine="0"/>
        <w:rPr>
          <w:rFonts w:eastAsia="等线"/>
          <w:color w:val="000000"/>
          <w:lang w:eastAsia="zh-CN"/>
        </w:rPr>
      </w:pPr>
      <w:r w:rsidRPr="00C72A2B">
        <w:rPr>
          <w:rFonts w:eastAsia="等线"/>
          <w:color w:val="000000"/>
          <w:lang w:eastAsia="zh-CN"/>
        </w:rPr>
        <w:t xml:space="preserve">Sumida, Y., Nakajima, A., Itoh, Y. Limitations of liver biopsy and non-invasive diagnostic tests for the diagnosis of nonalcoholic fatty liver disease/nonalcoholic steatohepatitis. </w:t>
      </w:r>
      <w:r w:rsidRPr="00C72A2B">
        <w:rPr>
          <w:rFonts w:eastAsia="等线"/>
          <w:i/>
          <w:iCs/>
          <w:color w:val="000000"/>
          <w:lang w:eastAsia="zh-CN"/>
        </w:rPr>
        <w:t>World J Gastroenterol</w:t>
      </w:r>
      <w:r w:rsidRPr="00C72A2B">
        <w:rPr>
          <w:rFonts w:eastAsia="等线"/>
          <w:color w:val="000000"/>
          <w:lang w:eastAsia="zh-CN"/>
        </w:rPr>
        <w:t xml:space="preserve">. </w:t>
      </w:r>
      <w:r w:rsidRPr="00C72A2B">
        <w:rPr>
          <w:rFonts w:eastAsia="等线"/>
          <w:b/>
          <w:bCs/>
          <w:color w:val="000000"/>
          <w:lang w:eastAsia="zh-CN"/>
        </w:rPr>
        <w:t>20</w:t>
      </w:r>
      <w:r w:rsidR="00793BC7" w:rsidRPr="00C72A2B">
        <w:rPr>
          <w:rFonts w:eastAsia="等线"/>
          <w:b/>
          <w:bCs/>
          <w:color w:val="000000"/>
          <w:lang w:eastAsia="zh-CN"/>
        </w:rPr>
        <w:t xml:space="preserve"> </w:t>
      </w:r>
      <w:r w:rsidRPr="00C72A2B">
        <w:rPr>
          <w:rFonts w:eastAsia="等线"/>
          <w:color w:val="000000"/>
          <w:lang w:eastAsia="zh-CN"/>
        </w:rPr>
        <w:t>(2)</w:t>
      </w:r>
      <w:r w:rsidR="00793BC7" w:rsidRPr="00C72A2B">
        <w:rPr>
          <w:rFonts w:eastAsia="等线"/>
          <w:color w:val="000000"/>
          <w:lang w:eastAsia="zh-CN"/>
        </w:rPr>
        <w:t xml:space="preserve">, </w:t>
      </w:r>
      <w:r w:rsidRPr="00C72A2B">
        <w:rPr>
          <w:rFonts w:eastAsia="等线"/>
          <w:color w:val="000000"/>
          <w:lang w:eastAsia="zh-CN"/>
        </w:rPr>
        <w:t>475</w:t>
      </w:r>
      <w:r w:rsidR="00793BC7" w:rsidRPr="00C72A2B">
        <w:rPr>
          <w:rFonts w:eastAsia="等线"/>
          <w:color w:val="000000"/>
          <w:lang w:eastAsia="zh-CN"/>
        </w:rPr>
        <w:t>–4</w:t>
      </w:r>
      <w:r w:rsidRPr="00C72A2B">
        <w:rPr>
          <w:rFonts w:eastAsia="等线"/>
          <w:color w:val="000000"/>
          <w:lang w:eastAsia="zh-CN"/>
        </w:rPr>
        <w:t>85 (2014)</w:t>
      </w:r>
      <w:r w:rsidR="00793BC7" w:rsidRPr="00C72A2B">
        <w:rPr>
          <w:rFonts w:eastAsia="等线"/>
          <w:color w:val="000000"/>
          <w:lang w:eastAsia="zh-CN"/>
        </w:rPr>
        <w:t>.</w:t>
      </w:r>
    </w:p>
    <w:p w14:paraId="5125CD9A" w14:textId="33DFCFB5" w:rsidR="006A07F2" w:rsidRPr="00C72A2B" w:rsidRDefault="006A07F2" w:rsidP="00C72A2B">
      <w:pPr>
        <w:numPr>
          <w:ilvl w:val="0"/>
          <w:numId w:val="12"/>
        </w:numPr>
        <w:ind w:left="0" w:firstLine="0"/>
        <w:rPr>
          <w:rFonts w:eastAsia="等线"/>
          <w:color w:val="000000"/>
          <w:lang w:eastAsia="zh-CN"/>
        </w:rPr>
      </w:pPr>
      <w:r w:rsidRPr="00C72A2B">
        <w:rPr>
          <w:rFonts w:eastAsia="等线"/>
          <w:color w:val="000000"/>
          <w:lang w:eastAsia="zh-CN"/>
        </w:rPr>
        <w:t xml:space="preserve">Ajmera, V., Loomba, R. Imaging biomarkers of NAFLD, NASH, and fibrosis. </w:t>
      </w:r>
      <w:r w:rsidRPr="00C72A2B">
        <w:rPr>
          <w:rFonts w:eastAsia="等线"/>
          <w:i/>
          <w:iCs/>
          <w:color w:val="000000"/>
          <w:lang w:eastAsia="zh-CN"/>
        </w:rPr>
        <w:t>Mol Metab</w:t>
      </w:r>
      <w:r w:rsidRPr="00C72A2B">
        <w:rPr>
          <w:rFonts w:eastAsia="等线"/>
          <w:color w:val="000000"/>
          <w:lang w:eastAsia="zh-CN"/>
        </w:rPr>
        <w:t xml:space="preserve">. </w:t>
      </w:r>
      <w:r w:rsidRPr="00C72A2B">
        <w:rPr>
          <w:rFonts w:eastAsia="等线"/>
          <w:b/>
          <w:bCs/>
          <w:color w:val="000000"/>
          <w:lang w:eastAsia="zh-CN"/>
        </w:rPr>
        <w:t>50</w:t>
      </w:r>
      <w:r w:rsidR="009B1728" w:rsidRPr="00C72A2B">
        <w:rPr>
          <w:rFonts w:eastAsia="等线"/>
          <w:color w:val="000000"/>
          <w:lang w:eastAsia="zh-CN"/>
        </w:rPr>
        <w:t xml:space="preserve">, </w:t>
      </w:r>
      <w:r w:rsidRPr="00C72A2B">
        <w:rPr>
          <w:rFonts w:eastAsia="等线"/>
          <w:color w:val="000000"/>
          <w:lang w:eastAsia="zh-CN"/>
        </w:rPr>
        <w:t>101167 (2021)</w:t>
      </w:r>
      <w:r w:rsidR="009B1728" w:rsidRPr="00C72A2B">
        <w:rPr>
          <w:rFonts w:eastAsia="等线"/>
          <w:color w:val="000000"/>
          <w:lang w:eastAsia="zh-CN"/>
        </w:rPr>
        <w:t>.</w:t>
      </w:r>
    </w:p>
    <w:p w14:paraId="324D6FB4" w14:textId="38D145A2" w:rsidR="006A07F2" w:rsidRPr="00C72A2B" w:rsidRDefault="006A07F2" w:rsidP="00C72A2B">
      <w:pPr>
        <w:numPr>
          <w:ilvl w:val="0"/>
          <w:numId w:val="12"/>
        </w:numPr>
        <w:ind w:left="0" w:firstLine="0"/>
        <w:rPr>
          <w:rFonts w:eastAsia="等线"/>
          <w:color w:val="000000"/>
          <w:lang w:eastAsia="zh-CN"/>
        </w:rPr>
      </w:pPr>
      <w:r w:rsidRPr="00C72A2B">
        <w:rPr>
          <w:rFonts w:eastAsia="等线"/>
          <w:color w:val="000000"/>
          <w:lang w:eastAsia="zh-CN"/>
        </w:rPr>
        <w:t xml:space="preserve">Castera, L., Friedrich-Rust, M., Loomba, R. Noninvasive </w:t>
      </w:r>
      <w:r w:rsidR="009B1728" w:rsidRPr="00C72A2B">
        <w:rPr>
          <w:rFonts w:eastAsia="等线"/>
          <w:color w:val="000000"/>
          <w:lang w:eastAsia="zh-CN"/>
        </w:rPr>
        <w:t>assessment of liver disease in patients with nonalcoholic fatty liver dise</w:t>
      </w:r>
      <w:r w:rsidRPr="00C72A2B">
        <w:rPr>
          <w:rFonts w:eastAsia="等线"/>
          <w:color w:val="000000"/>
          <w:lang w:eastAsia="zh-CN"/>
        </w:rPr>
        <w:t xml:space="preserve">ase. </w:t>
      </w:r>
      <w:r w:rsidRPr="00C72A2B">
        <w:rPr>
          <w:rFonts w:eastAsia="等线"/>
          <w:i/>
          <w:iCs/>
          <w:color w:val="000000"/>
          <w:lang w:eastAsia="zh-CN"/>
        </w:rPr>
        <w:t>Gastroenterology</w:t>
      </w:r>
      <w:r w:rsidRPr="00C72A2B">
        <w:rPr>
          <w:rFonts w:eastAsia="等线"/>
          <w:color w:val="000000"/>
          <w:lang w:eastAsia="zh-CN"/>
        </w:rPr>
        <w:t xml:space="preserve">. </w:t>
      </w:r>
      <w:r w:rsidRPr="00C72A2B">
        <w:rPr>
          <w:rFonts w:eastAsia="等线"/>
          <w:b/>
          <w:bCs/>
          <w:color w:val="000000"/>
          <w:lang w:eastAsia="zh-CN"/>
        </w:rPr>
        <w:t>156</w:t>
      </w:r>
      <w:r w:rsidR="009B1728" w:rsidRPr="00C72A2B">
        <w:rPr>
          <w:rFonts w:eastAsia="等线"/>
          <w:b/>
          <w:bCs/>
          <w:color w:val="000000"/>
          <w:lang w:eastAsia="zh-CN"/>
        </w:rPr>
        <w:t xml:space="preserve"> </w:t>
      </w:r>
      <w:r w:rsidRPr="00C72A2B">
        <w:rPr>
          <w:rFonts w:eastAsia="等线"/>
          <w:color w:val="000000"/>
          <w:lang w:eastAsia="zh-CN"/>
        </w:rPr>
        <w:t>(5)</w:t>
      </w:r>
      <w:r w:rsidR="009B1728" w:rsidRPr="00C72A2B">
        <w:rPr>
          <w:rFonts w:eastAsia="等线"/>
          <w:color w:val="000000"/>
          <w:lang w:eastAsia="zh-CN"/>
        </w:rPr>
        <w:t xml:space="preserve">, </w:t>
      </w:r>
      <w:r w:rsidRPr="00C72A2B">
        <w:rPr>
          <w:rFonts w:eastAsia="等线"/>
          <w:color w:val="000000"/>
          <w:lang w:eastAsia="zh-CN"/>
        </w:rPr>
        <w:t>1264</w:t>
      </w:r>
      <w:r w:rsidR="009B1728" w:rsidRPr="00C72A2B">
        <w:rPr>
          <w:rFonts w:eastAsia="等线"/>
          <w:color w:val="000000"/>
          <w:lang w:eastAsia="zh-CN"/>
        </w:rPr>
        <w:t>–</w:t>
      </w:r>
      <w:r w:rsidRPr="00C72A2B">
        <w:rPr>
          <w:rFonts w:eastAsia="等线"/>
          <w:color w:val="000000"/>
          <w:lang w:eastAsia="zh-CN"/>
        </w:rPr>
        <w:t>1281.e4 (2019)</w:t>
      </w:r>
      <w:r w:rsidR="009B1728" w:rsidRPr="00C72A2B">
        <w:rPr>
          <w:rFonts w:eastAsia="等线"/>
          <w:color w:val="000000"/>
          <w:lang w:eastAsia="zh-CN"/>
        </w:rPr>
        <w:t>.</w:t>
      </w:r>
    </w:p>
    <w:p w14:paraId="5FC30F4D" w14:textId="567C7369" w:rsidR="006A07F2" w:rsidRPr="00C72A2B" w:rsidRDefault="006A07F2" w:rsidP="00C72A2B">
      <w:pPr>
        <w:numPr>
          <w:ilvl w:val="0"/>
          <w:numId w:val="12"/>
        </w:numPr>
        <w:ind w:left="0" w:firstLine="0"/>
        <w:rPr>
          <w:rFonts w:eastAsia="等线"/>
          <w:color w:val="000000"/>
          <w:lang w:eastAsia="zh-CN"/>
        </w:rPr>
      </w:pPr>
      <w:r w:rsidRPr="00C72A2B">
        <w:rPr>
          <w:rFonts w:eastAsia="等线"/>
          <w:color w:val="000000"/>
          <w:lang w:eastAsia="zh-CN"/>
        </w:rPr>
        <w:t xml:space="preserve">Jiang, Y. et al. Application of multi-echo Dixon and MRS in quantifying hepatic fat content and staging liver fibrosis. </w:t>
      </w:r>
      <w:r w:rsidRPr="00C72A2B">
        <w:rPr>
          <w:rFonts w:eastAsia="等线"/>
          <w:i/>
          <w:iCs/>
          <w:color w:val="000000"/>
          <w:lang w:eastAsia="zh-CN"/>
        </w:rPr>
        <w:t>Sci Rep</w:t>
      </w:r>
      <w:r w:rsidRPr="00C72A2B">
        <w:rPr>
          <w:rFonts w:eastAsia="等线"/>
          <w:color w:val="000000"/>
          <w:lang w:eastAsia="zh-CN"/>
        </w:rPr>
        <w:t xml:space="preserve">. </w:t>
      </w:r>
      <w:r w:rsidRPr="00C72A2B">
        <w:rPr>
          <w:rFonts w:eastAsia="等线"/>
          <w:b/>
          <w:bCs/>
          <w:color w:val="000000"/>
          <w:lang w:eastAsia="zh-CN"/>
        </w:rPr>
        <w:t>13</w:t>
      </w:r>
      <w:r w:rsidR="00563993" w:rsidRPr="00C72A2B">
        <w:rPr>
          <w:rFonts w:eastAsia="等线"/>
          <w:b/>
          <w:bCs/>
          <w:color w:val="000000"/>
          <w:lang w:eastAsia="zh-CN"/>
        </w:rPr>
        <w:t xml:space="preserve"> </w:t>
      </w:r>
      <w:r w:rsidRPr="00C72A2B">
        <w:rPr>
          <w:rFonts w:eastAsia="等线"/>
          <w:color w:val="000000"/>
          <w:lang w:eastAsia="zh-CN"/>
        </w:rPr>
        <w:t>(1)</w:t>
      </w:r>
      <w:r w:rsidR="00563993" w:rsidRPr="00C72A2B">
        <w:rPr>
          <w:rFonts w:eastAsia="等线"/>
          <w:color w:val="000000"/>
          <w:lang w:eastAsia="zh-CN"/>
        </w:rPr>
        <w:t xml:space="preserve">, </w:t>
      </w:r>
      <w:r w:rsidRPr="00C72A2B">
        <w:rPr>
          <w:rFonts w:eastAsia="等线"/>
          <w:color w:val="000000"/>
          <w:lang w:eastAsia="zh-CN"/>
        </w:rPr>
        <w:t>12555 (2023)</w:t>
      </w:r>
      <w:r w:rsidR="00563993" w:rsidRPr="00C72A2B">
        <w:rPr>
          <w:rFonts w:eastAsia="等线"/>
          <w:color w:val="000000"/>
          <w:lang w:eastAsia="zh-CN"/>
        </w:rPr>
        <w:t>.</w:t>
      </w:r>
    </w:p>
    <w:p w14:paraId="592EDEAE" w14:textId="55FD0A50" w:rsidR="006A07F2" w:rsidRPr="00C72A2B" w:rsidRDefault="006A07F2" w:rsidP="00C72A2B">
      <w:pPr>
        <w:numPr>
          <w:ilvl w:val="0"/>
          <w:numId w:val="12"/>
        </w:numPr>
        <w:ind w:left="0" w:firstLine="0"/>
        <w:rPr>
          <w:rFonts w:eastAsia="等线"/>
          <w:color w:val="000000"/>
          <w:lang w:eastAsia="zh-CN"/>
        </w:rPr>
      </w:pPr>
      <w:r w:rsidRPr="00C72A2B">
        <w:rPr>
          <w:rFonts w:eastAsia="等线"/>
          <w:color w:val="000000"/>
          <w:lang w:eastAsia="zh-CN"/>
        </w:rPr>
        <w:t xml:space="preserve">Yang, Y. et al. The </w:t>
      </w:r>
      <w:r w:rsidR="00BD4CB8" w:rsidRPr="00C72A2B">
        <w:rPr>
          <w:rFonts w:eastAsia="等线"/>
          <w:color w:val="000000"/>
          <w:lang w:eastAsia="zh-CN"/>
        </w:rPr>
        <w:t xml:space="preserve">accuracy and clinical relevance of the multi-echo dixon technique for evaluating changes to hepatic steatosis in patients with non-alcoholic fatty liver disease treated </w:t>
      </w:r>
      <w:r w:rsidR="00BD4CB8" w:rsidRPr="00C72A2B">
        <w:rPr>
          <w:rFonts w:eastAsia="等线"/>
          <w:color w:val="000000"/>
          <w:lang w:eastAsia="zh-CN"/>
        </w:rPr>
        <w:lastRenderedPageBreak/>
        <w:t>with formulated food</w:t>
      </w:r>
      <w:r w:rsidRPr="00C72A2B">
        <w:rPr>
          <w:rFonts w:eastAsia="等线"/>
          <w:color w:val="000000"/>
          <w:lang w:eastAsia="zh-CN"/>
        </w:rPr>
        <w:t xml:space="preserve">. </w:t>
      </w:r>
      <w:r w:rsidRPr="00C72A2B">
        <w:rPr>
          <w:rFonts w:eastAsia="等线"/>
          <w:i/>
          <w:iCs/>
          <w:color w:val="000000"/>
          <w:lang w:eastAsia="zh-CN"/>
        </w:rPr>
        <w:t>Magn Reson Med Sci.</w:t>
      </w:r>
      <w:r w:rsidRPr="00C72A2B">
        <w:rPr>
          <w:rFonts w:eastAsia="等线"/>
          <w:color w:val="000000"/>
          <w:lang w:eastAsia="zh-CN"/>
        </w:rPr>
        <w:t xml:space="preserve"> </w:t>
      </w:r>
      <w:r w:rsidRPr="00C72A2B">
        <w:rPr>
          <w:rFonts w:eastAsia="等线"/>
          <w:b/>
          <w:bCs/>
          <w:color w:val="000000"/>
          <w:lang w:eastAsia="zh-CN"/>
        </w:rPr>
        <w:t>22</w:t>
      </w:r>
      <w:r w:rsidR="00BD4CB8" w:rsidRPr="00C72A2B">
        <w:rPr>
          <w:rFonts w:eastAsia="等线"/>
          <w:b/>
          <w:bCs/>
          <w:color w:val="000000"/>
          <w:lang w:eastAsia="zh-CN"/>
        </w:rPr>
        <w:t xml:space="preserve"> </w:t>
      </w:r>
      <w:r w:rsidRPr="00C72A2B">
        <w:rPr>
          <w:rFonts w:eastAsia="等线"/>
          <w:color w:val="000000"/>
          <w:lang w:eastAsia="zh-CN"/>
        </w:rPr>
        <w:t>(2)</w:t>
      </w:r>
      <w:r w:rsidR="00BD4CB8" w:rsidRPr="00C72A2B">
        <w:rPr>
          <w:rFonts w:eastAsia="等线"/>
          <w:color w:val="000000"/>
          <w:lang w:eastAsia="zh-CN"/>
        </w:rPr>
        <w:t xml:space="preserve">, </w:t>
      </w:r>
      <w:r w:rsidRPr="00C72A2B">
        <w:rPr>
          <w:rFonts w:eastAsia="等线"/>
          <w:color w:val="000000"/>
          <w:lang w:eastAsia="zh-CN"/>
        </w:rPr>
        <w:t>263</w:t>
      </w:r>
      <w:r w:rsidR="00BD4CB8" w:rsidRPr="00C72A2B">
        <w:rPr>
          <w:rFonts w:eastAsia="等线"/>
          <w:color w:val="000000"/>
          <w:lang w:eastAsia="zh-CN"/>
        </w:rPr>
        <w:t>–</w:t>
      </w:r>
      <w:r w:rsidRPr="00C72A2B">
        <w:rPr>
          <w:rFonts w:eastAsia="等线"/>
          <w:color w:val="000000"/>
          <w:lang w:eastAsia="zh-CN"/>
        </w:rPr>
        <w:t>271 (2023)</w:t>
      </w:r>
      <w:r w:rsidR="00BD4CB8" w:rsidRPr="00C72A2B">
        <w:rPr>
          <w:rFonts w:eastAsia="等线"/>
          <w:color w:val="000000"/>
          <w:lang w:eastAsia="zh-CN"/>
        </w:rPr>
        <w:t>.</w:t>
      </w:r>
    </w:p>
    <w:p w14:paraId="76218DA7" w14:textId="7937DD20" w:rsidR="006A07F2" w:rsidRPr="00C72A2B" w:rsidRDefault="006A07F2" w:rsidP="00C72A2B">
      <w:pPr>
        <w:numPr>
          <w:ilvl w:val="0"/>
          <w:numId w:val="12"/>
        </w:numPr>
        <w:ind w:left="0" w:firstLine="0"/>
        <w:rPr>
          <w:rFonts w:eastAsia="等线"/>
          <w:color w:val="000000"/>
          <w:lang w:eastAsia="zh-CN"/>
        </w:rPr>
      </w:pPr>
      <w:r w:rsidRPr="00C72A2B">
        <w:rPr>
          <w:rFonts w:eastAsia="等线"/>
          <w:color w:val="000000"/>
          <w:lang w:eastAsia="zh-CN"/>
        </w:rPr>
        <w:t xml:space="preserve">Peng, H. et al. Fat-water separation based on Transition REgion Extraction (TREE). </w:t>
      </w:r>
      <w:r w:rsidRPr="00C72A2B">
        <w:rPr>
          <w:rFonts w:eastAsia="等线"/>
          <w:i/>
          <w:iCs/>
          <w:color w:val="000000"/>
          <w:lang w:eastAsia="zh-CN"/>
        </w:rPr>
        <w:t>Magn Reason Med</w:t>
      </w:r>
      <w:r w:rsidRPr="00C72A2B">
        <w:rPr>
          <w:rFonts w:eastAsia="等线"/>
          <w:color w:val="000000"/>
          <w:lang w:eastAsia="zh-CN"/>
        </w:rPr>
        <w:t xml:space="preserve">. </w:t>
      </w:r>
      <w:r w:rsidRPr="00C72A2B">
        <w:rPr>
          <w:rFonts w:eastAsia="等线"/>
          <w:b/>
          <w:bCs/>
          <w:color w:val="000000"/>
          <w:lang w:eastAsia="zh-CN"/>
        </w:rPr>
        <w:t>82</w:t>
      </w:r>
      <w:r w:rsidR="00BD4CB8" w:rsidRPr="00C72A2B">
        <w:rPr>
          <w:rFonts w:eastAsia="等线"/>
          <w:b/>
          <w:bCs/>
          <w:color w:val="000000"/>
          <w:lang w:eastAsia="zh-CN"/>
        </w:rPr>
        <w:t xml:space="preserve"> </w:t>
      </w:r>
      <w:r w:rsidRPr="00C72A2B">
        <w:rPr>
          <w:rFonts w:eastAsia="等线"/>
          <w:color w:val="000000"/>
          <w:lang w:eastAsia="zh-CN"/>
        </w:rPr>
        <w:t>(1)</w:t>
      </w:r>
      <w:r w:rsidR="00BD4CB8" w:rsidRPr="00C72A2B">
        <w:rPr>
          <w:rFonts w:eastAsia="等线"/>
          <w:color w:val="000000"/>
          <w:lang w:eastAsia="zh-CN"/>
        </w:rPr>
        <w:t xml:space="preserve">, </w:t>
      </w:r>
      <w:r w:rsidRPr="00C72A2B">
        <w:rPr>
          <w:rFonts w:eastAsia="等线"/>
          <w:color w:val="000000"/>
          <w:lang w:eastAsia="zh-CN"/>
        </w:rPr>
        <w:t>436–448 (2019)</w:t>
      </w:r>
      <w:r w:rsidR="00BD4CB8" w:rsidRPr="00C72A2B">
        <w:rPr>
          <w:rFonts w:eastAsia="等线"/>
          <w:color w:val="000000"/>
          <w:lang w:eastAsia="zh-CN"/>
        </w:rPr>
        <w:t>.</w:t>
      </w:r>
    </w:p>
    <w:p w14:paraId="004434B6" w14:textId="04335624" w:rsidR="006A07F2" w:rsidRPr="00C72A2B" w:rsidRDefault="006A07F2" w:rsidP="00C72A2B">
      <w:pPr>
        <w:numPr>
          <w:ilvl w:val="0"/>
          <w:numId w:val="12"/>
        </w:numPr>
        <w:ind w:left="0" w:firstLine="0"/>
        <w:rPr>
          <w:rFonts w:eastAsia="等线"/>
          <w:color w:val="000000"/>
          <w:lang w:eastAsia="zh-CN"/>
        </w:rPr>
      </w:pPr>
      <w:r w:rsidRPr="00C72A2B">
        <w:rPr>
          <w:rFonts w:eastAsia="等线"/>
          <w:color w:val="000000"/>
          <w:lang w:eastAsia="zh-CN"/>
        </w:rPr>
        <w:t>Hines, C.</w:t>
      </w:r>
      <w:r w:rsidR="00D3574C" w:rsidRPr="00C72A2B">
        <w:rPr>
          <w:rFonts w:eastAsia="等线"/>
          <w:color w:val="000000"/>
          <w:lang w:eastAsia="zh-CN"/>
        </w:rPr>
        <w:t xml:space="preserve"> </w:t>
      </w:r>
      <w:r w:rsidRPr="00C72A2B">
        <w:rPr>
          <w:rFonts w:eastAsia="等线"/>
          <w:color w:val="000000"/>
          <w:lang w:eastAsia="zh-CN"/>
        </w:rPr>
        <w:t>D.</w:t>
      </w:r>
      <w:r w:rsidR="00D3574C" w:rsidRPr="00C72A2B">
        <w:rPr>
          <w:rFonts w:eastAsia="等线"/>
          <w:color w:val="000000"/>
          <w:lang w:eastAsia="zh-CN"/>
        </w:rPr>
        <w:t xml:space="preserve"> </w:t>
      </w:r>
      <w:r w:rsidRPr="00C72A2B">
        <w:rPr>
          <w:rFonts w:eastAsia="等线"/>
          <w:color w:val="000000"/>
          <w:lang w:eastAsia="zh-CN"/>
        </w:rPr>
        <w:t xml:space="preserve">G. et al. T(1) independent, T(2)(*) corrected chemical shift based fat–water separation with multi-peak fat spectral modeling is an accurate and precise measure of hepatic steatosis. </w:t>
      </w:r>
      <w:r w:rsidRPr="00C72A2B">
        <w:rPr>
          <w:rFonts w:eastAsia="等线"/>
          <w:i/>
          <w:iCs/>
          <w:color w:val="000000"/>
          <w:lang w:eastAsia="zh-CN"/>
        </w:rPr>
        <w:t>Magn Reason Imaging</w:t>
      </w:r>
      <w:r w:rsidRPr="00C72A2B">
        <w:rPr>
          <w:rFonts w:eastAsia="等线"/>
          <w:color w:val="000000"/>
          <w:lang w:eastAsia="zh-CN"/>
        </w:rPr>
        <w:t xml:space="preserve">. </w:t>
      </w:r>
      <w:r w:rsidRPr="00C72A2B">
        <w:rPr>
          <w:rFonts w:eastAsia="等线"/>
          <w:b/>
          <w:bCs/>
          <w:color w:val="000000"/>
          <w:lang w:eastAsia="zh-CN"/>
        </w:rPr>
        <w:t>33</w:t>
      </w:r>
      <w:r w:rsidR="00BD4CB8" w:rsidRPr="00C72A2B">
        <w:rPr>
          <w:rFonts w:eastAsia="等线"/>
          <w:b/>
          <w:bCs/>
          <w:color w:val="000000"/>
          <w:lang w:eastAsia="zh-CN"/>
        </w:rPr>
        <w:t xml:space="preserve"> </w:t>
      </w:r>
      <w:r w:rsidRPr="00C72A2B">
        <w:rPr>
          <w:rFonts w:eastAsia="等线"/>
          <w:color w:val="000000"/>
          <w:lang w:eastAsia="zh-CN"/>
        </w:rPr>
        <w:t>(4)</w:t>
      </w:r>
      <w:r w:rsidR="00BD4CB8" w:rsidRPr="00C72A2B">
        <w:rPr>
          <w:rFonts w:eastAsia="等线"/>
          <w:color w:val="000000"/>
          <w:lang w:eastAsia="zh-CN"/>
        </w:rPr>
        <w:t xml:space="preserve">, </w:t>
      </w:r>
      <w:r w:rsidRPr="00C72A2B">
        <w:rPr>
          <w:rFonts w:eastAsia="等线"/>
          <w:color w:val="000000"/>
          <w:lang w:eastAsia="zh-CN"/>
        </w:rPr>
        <w:t>873</w:t>
      </w:r>
      <w:r w:rsidR="00BD4CB8" w:rsidRPr="00C72A2B">
        <w:rPr>
          <w:rFonts w:eastAsia="等线"/>
          <w:color w:val="000000"/>
          <w:lang w:eastAsia="zh-CN"/>
        </w:rPr>
        <w:t>–</w:t>
      </w:r>
      <w:r w:rsidRPr="00C72A2B">
        <w:rPr>
          <w:rFonts w:eastAsia="等线"/>
          <w:color w:val="000000"/>
          <w:lang w:eastAsia="zh-CN"/>
        </w:rPr>
        <w:t>881 (2011)</w:t>
      </w:r>
      <w:r w:rsidR="00BD4CB8" w:rsidRPr="00C72A2B">
        <w:rPr>
          <w:rFonts w:eastAsia="等线"/>
          <w:color w:val="000000"/>
          <w:lang w:eastAsia="zh-CN"/>
        </w:rPr>
        <w:t>.</w:t>
      </w:r>
    </w:p>
    <w:p w14:paraId="53A6D31A" w14:textId="6CA1156C" w:rsidR="006A07F2" w:rsidRPr="00C72A2B" w:rsidRDefault="006A07F2" w:rsidP="00C72A2B">
      <w:pPr>
        <w:numPr>
          <w:ilvl w:val="0"/>
          <w:numId w:val="12"/>
        </w:numPr>
        <w:ind w:left="0" w:firstLine="0"/>
        <w:rPr>
          <w:rFonts w:eastAsia="等线"/>
          <w:color w:val="000000"/>
          <w:lang w:eastAsia="zh-CN"/>
        </w:rPr>
      </w:pPr>
      <w:r w:rsidRPr="00C72A2B">
        <w:rPr>
          <w:rFonts w:eastAsia="等线"/>
          <w:color w:val="000000"/>
          <w:lang w:eastAsia="zh-CN"/>
        </w:rPr>
        <w:t xml:space="preserve">Tang, A. et al. Nonalcoholic </w:t>
      </w:r>
      <w:r w:rsidR="00F30F0C" w:rsidRPr="00C72A2B">
        <w:rPr>
          <w:rFonts w:eastAsia="等线"/>
          <w:color w:val="000000"/>
          <w:lang w:eastAsia="zh-CN"/>
        </w:rPr>
        <w:t>fatty liver disease</w:t>
      </w:r>
      <w:r w:rsidRPr="00C72A2B">
        <w:rPr>
          <w:rFonts w:eastAsia="等线"/>
          <w:color w:val="000000"/>
          <w:lang w:eastAsia="zh-CN"/>
        </w:rPr>
        <w:t xml:space="preserve">: MR </w:t>
      </w:r>
      <w:r w:rsidR="00F30F0C" w:rsidRPr="00C72A2B">
        <w:rPr>
          <w:rFonts w:eastAsia="等线"/>
          <w:color w:val="000000"/>
          <w:lang w:eastAsia="zh-CN"/>
        </w:rPr>
        <w:t>imaging of liver proton density fat fraction to assess hepatic steatos</w:t>
      </w:r>
      <w:r w:rsidRPr="00C72A2B">
        <w:rPr>
          <w:rFonts w:eastAsia="等线"/>
          <w:color w:val="000000"/>
          <w:lang w:eastAsia="zh-CN"/>
        </w:rPr>
        <w:t>is</w:t>
      </w:r>
      <w:r w:rsidR="00F30F0C" w:rsidRPr="00C72A2B">
        <w:rPr>
          <w:rFonts w:eastAsia="等线"/>
          <w:color w:val="000000"/>
          <w:lang w:eastAsia="zh-CN"/>
        </w:rPr>
        <w:t>.</w:t>
      </w:r>
      <w:r w:rsidRPr="00C72A2B">
        <w:rPr>
          <w:rFonts w:eastAsia="等线"/>
          <w:color w:val="000000"/>
          <w:lang w:eastAsia="zh-CN"/>
        </w:rPr>
        <w:t xml:space="preserve"> </w:t>
      </w:r>
      <w:r w:rsidRPr="00C72A2B">
        <w:rPr>
          <w:rFonts w:eastAsia="等线"/>
          <w:i/>
          <w:iCs/>
          <w:color w:val="000000"/>
          <w:lang w:eastAsia="zh-CN"/>
        </w:rPr>
        <w:t>Radiology</w:t>
      </w:r>
      <w:r w:rsidR="00F30F0C" w:rsidRPr="00C72A2B">
        <w:rPr>
          <w:rFonts w:eastAsia="等线"/>
          <w:i/>
          <w:iCs/>
          <w:color w:val="000000"/>
          <w:lang w:eastAsia="zh-CN"/>
        </w:rPr>
        <w:t>.</w:t>
      </w:r>
      <w:r w:rsidRPr="00C72A2B">
        <w:rPr>
          <w:rFonts w:eastAsia="等线"/>
          <w:color w:val="000000"/>
          <w:lang w:eastAsia="zh-CN"/>
        </w:rPr>
        <w:t xml:space="preserve"> </w:t>
      </w:r>
      <w:r w:rsidRPr="00C72A2B">
        <w:rPr>
          <w:rFonts w:eastAsia="等线"/>
          <w:b/>
          <w:bCs/>
          <w:color w:val="000000"/>
          <w:lang w:eastAsia="zh-CN"/>
        </w:rPr>
        <w:t>267</w:t>
      </w:r>
      <w:r w:rsidR="00F30F0C" w:rsidRPr="00C72A2B">
        <w:rPr>
          <w:rFonts w:eastAsia="等线"/>
          <w:b/>
          <w:bCs/>
          <w:color w:val="000000"/>
          <w:lang w:eastAsia="zh-CN"/>
        </w:rPr>
        <w:t xml:space="preserve"> </w:t>
      </w:r>
      <w:r w:rsidRPr="00C72A2B">
        <w:rPr>
          <w:rFonts w:eastAsia="等线"/>
          <w:color w:val="000000"/>
          <w:lang w:eastAsia="zh-CN"/>
        </w:rPr>
        <w:t>(2)</w:t>
      </w:r>
      <w:r w:rsidR="00F30F0C" w:rsidRPr="00C72A2B">
        <w:rPr>
          <w:rFonts w:eastAsia="等线"/>
          <w:color w:val="000000"/>
          <w:lang w:eastAsia="zh-CN"/>
        </w:rPr>
        <w:t xml:space="preserve">, </w:t>
      </w:r>
      <w:r w:rsidRPr="00C72A2B">
        <w:rPr>
          <w:rFonts w:eastAsia="等线"/>
          <w:color w:val="000000"/>
          <w:lang w:eastAsia="zh-CN"/>
        </w:rPr>
        <w:t>422</w:t>
      </w:r>
      <w:r w:rsidR="00F30F0C" w:rsidRPr="00C72A2B">
        <w:rPr>
          <w:rFonts w:eastAsia="等线"/>
          <w:color w:val="000000"/>
          <w:lang w:eastAsia="zh-CN"/>
        </w:rPr>
        <w:t>–</w:t>
      </w:r>
      <w:r w:rsidRPr="00C72A2B">
        <w:rPr>
          <w:rFonts w:eastAsia="等线"/>
          <w:color w:val="000000"/>
          <w:lang w:eastAsia="zh-CN"/>
        </w:rPr>
        <w:t>431 (2013)</w:t>
      </w:r>
      <w:r w:rsidR="00F30F0C" w:rsidRPr="00C72A2B">
        <w:rPr>
          <w:rFonts w:eastAsia="等线"/>
          <w:color w:val="000000"/>
          <w:lang w:eastAsia="zh-CN"/>
        </w:rPr>
        <w:t>.</w:t>
      </w:r>
    </w:p>
    <w:p w14:paraId="41FD73FF" w14:textId="351A88C4" w:rsidR="006A07F2" w:rsidRPr="00C72A2B" w:rsidRDefault="006A07F2" w:rsidP="00C72A2B">
      <w:pPr>
        <w:numPr>
          <w:ilvl w:val="0"/>
          <w:numId w:val="12"/>
        </w:numPr>
        <w:ind w:left="0" w:firstLine="0"/>
        <w:rPr>
          <w:rFonts w:eastAsia="等线"/>
          <w:color w:val="000000"/>
          <w:lang w:eastAsia="zh-CN"/>
        </w:rPr>
      </w:pPr>
      <w:r w:rsidRPr="00C72A2B">
        <w:rPr>
          <w:rFonts w:eastAsia="等线"/>
          <w:color w:val="000000"/>
          <w:lang w:eastAsia="zh-CN"/>
        </w:rPr>
        <w:t>Caussy, C., Reeder, S.</w:t>
      </w:r>
      <w:r w:rsidR="002B2BEF" w:rsidRPr="00C72A2B">
        <w:rPr>
          <w:rFonts w:eastAsia="等线"/>
          <w:color w:val="000000"/>
          <w:lang w:eastAsia="zh-CN"/>
        </w:rPr>
        <w:t xml:space="preserve"> </w:t>
      </w:r>
      <w:r w:rsidRPr="00C72A2B">
        <w:rPr>
          <w:rFonts w:eastAsia="等线"/>
          <w:color w:val="000000"/>
          <w:lang w:eastAsia="zh-CN"/>
        </w:rPr>
        <w:t>B., Sirlin, C.</w:t>
      </w:r>
      <w:r w:rsidR="002B2BEF" w:rsidRPr="00C72A2B">
        <w:rPr>
          <w:rFonts w:eastAsia="等线"/>
          <w:color w:val="000000"/>
          <w:lang w:eastAsia="zh-CN"/>
        </w:rPr>
        <w:t xml:space="preserve"> </w:t>
      </w:r>
      <w:r w:rsidRPr="00C72A2B">
        <w:rPr>
          <w:rFonts w:eastAsia="等线"/>
          <w:color w:val="000000"/>
          <w:lang w:eastAsia="zh-CN"/>
        </w:rPr>
        <w:t xml:space="preserve">B., Loomba, R. Noninvasive, </w:t>
      </w:r>
      <w:r w:rsidR="002B2BEF" w:rsidRPr="00C72A2B">
        <w:rPr>
          <w:rFonts w:eastAsia="等线"/>
          <w:color w:val="000000"/>
          <w:lang w:eastAsia="zh-CN"/>
        </w:rPr>
        <w:t>quantitative assessment of liver fat by</w:t>
      </w:r>
      <w:r w:rsidRPr="00C72A2B">
        <w:rPr>
          <w:rFonts w:eastAsia="等线"/>
          <w:color w:val="000000"/>
          <w:lang w:eastAsia="zh-CN"/>
        </w:rPr>
        <w:t xml:space="preserve"> MRI-PDFF as an </w:t>
      </w:r>
      <w:r w:rsidR="002B2BEF" w:rsidRPr="00C72A2B">
        <w:rPr>
          <w:rFonts w:eastAsia="等线"/>
          <w:color w:val="000000"/>
          <w:lang w:eastAsia="zh-CN"/>
        </w:rPr>
        <w:t>e</w:t>
      </w:r>
      <w:r w:rsidRPr="00C72A2B">
        <w:rPr>
          <w:rFonts w:eastAsia="等线"/>
          <w:color w:val="000000"/>
          <w:lang w:eastAsia="zh-CN"/>
        </w:rPr>
        <w:t>ndpoint in NASH Trials.</w:t>
      </w:r>
      <w:r w:rsidRPr="00C72A2B">
        <w:rPr>
          <w:rFonts w:eastAsia="等线"/>
          <w:i/>
          <w:iCs/>
          <w:color w:val="000000"/>
          <w:lang w:eastAsia="zh-CN"/>
        </w:rPr>
        <w:t xml:space="preserve"> Hepatology</w:t>
      </w:r>
      <w:r w:rsidRPr="00C72A2B">
        <w:rPr>
          <w:rFonts w:eastAsia="等线"/>
          <w:color w:val="000000"/>
          <w:lang w:eastAsia="zh-CN"/>
        </w:rPr>
        <w:t xml:space="preserve">. </w:t>
      </w:r>
      <w:r w:rsidRPr="00C72A2B">
        <w:rPr>
          <w:rFonts w:eastAsia="等线"/>
          <w:b/>
          <w:bCs/>
          <w:color w:val="000000"/>
          <w:lang w:eastAsia="zh-CN"/>
        </w:rPr>
        <w:t>68</w:t>
      </w:r>
      <w:r w:rsidR="002B2BEF" w:rsidRPr="00C72A2B">
        <w:rPr>
          <w:rFonts w:eastAsia="等线"/>
          <w:b/>
          <w:bCs/>
          <w:color w:val="000000"/>
          <w:lang w:eastAsia="zh-CN"/>
        </w:rPr>
        <w:t xml:space="preserve"> </w:t>
      </w:r>
      <w:r w:rsidRPr="00C72A2B">
        <w:rPr>
          <w:rFonts w:eastAsia="等线"/>
          <w:color w:val="000000"/>
          <w:lang w:eastAsia="zh-CN"/>
        </w:rPr>
        <w:t>(2)</w:t>
      </w:r>
      <w:r w:rsidR="002B2BEF" w:rsidRPr="00C72A2B">
        <w:rPr>
          <w:rFonts w:eastAsia="等线"/>
          <w:color w:val="000000"/>
          <w:lang w:eastAsia="zh-CN"/>
        </w:rPr>
        <w:t xml:space="preserve">, </w:t>
      </w:r>
      <w:r w:rsidRPr="00C72A2B">
        <w:rPr>
          <w:rFonts w:eastAsia="等线"/>
          <w:color w:val="000000"/>
          <w:lang w:eastAsia="zh-CN"/>
        </w:rPr>
        <w:t>763</w:t>
      </w:r>
      <w:r w:rsidR="002B2BEF" w:rsidRPr="00C72A2B">
        <w:rPr>
          <w:rFonts w:eastAsia="等线"/>
          <w:color w:val="000000"/>
          <w:lang w:eastAsia="zh-CN"/>
        </w:rPr>
        <w:t>–</w:t>
      </w:r>
      <w:r w:rsidRPr="00C72A2B">
        <w:rPr>
          <w:rFonts w:eastAsia="等线"/>
          <w:color w:val="000000"/>
          <w:lang w:eastAsia="zh-CN"/>
        </w:rPr>
        <w:t>772 (2018)</w:t>
      </w:r>
      <w:r w:rsidR="002B2BEF" w:rsidRPr="00C72A2B">
        <w:rPr>
          <w:rFonts w:eastAsia="等线"/>
          <w:color w:val="000000"/>
          <w:lang w:eastAsia="zh-CN"/>
        </w:rPr>
        <w:t>.</w:t>
      </w:r>
    </w:p>
    <w:p w14:paraId="3782F799" w14:textId="5471B3DA" w:rsidR="00710C3D" w:rsidRPr="00C72A2B" w:rsidRDefault="006A07F2" w:rsidP="00C72A2B">
      <w:pPr>
        <w:numPr>
          <w:ilvl w:val="0"/>
          <w:numId w:val="12"/>
        </w:numPr>
        <w:ind w:left="0" w:firstLine="0"/>
        <w:rPr>
          <w:rFonts w:eastAsia="宋体"/>
          <w:color w:val="4F81BD" w:themeColor="accent1"/>
        </w:rPr>
      </w:pPr>
      <w:r w:rsidRPr="00C72A2B">
        <w:rPr>
          <w:rFonts w:eastAsia="等线"/>
          <w:color w:val="000000"/>
          <w:lang w:eastAsia="zh-CN"/>
        </w:rPr>
        <w:t>Reeder, S</w:t>
      </w:r>
      <w:r w:rsidR="002B2BEF" w:rsidRPr="00C72A2B">
        <w:rPr>
          <w:rFonts w:eastAsia="等线"/>
          <w:color w:val="000000"/>
          <w:lang w:eastAsia="zh-CN"/>
        </w:rPr>
        <w:t xml:space="preserve">. </w:t>
      </w:r>
      <w:r w:rsidRPr="00C72A2B">
        <w:rPr>
          <w:rFonts w:eastAsia="等线"/>
          <w:color w:val="000000"/>
          <w:lang w:eastAsia="zh-CN"/>
        </w:rPr>
        <w:t>B., Cruite, I., Hamilton, G., Sirlin, C</w:t>
      </w:r>
      <w:r w:rsidR="002B2BEF" w:rsidRPr="00C72A2B">
        <w:rPr>
          <w:rFonts w:eastAsia="等线"/>
          <w:color w:val="000000"/>
          <w:lang w:eastAsia="zh-CN"/>
        </w:rPr>
        <w:t xml:space="preserve">. </w:t>
      </w:r>
      <w:r w:rsidRPr="00C72A2B">
        <w:rPr>
          <w:rFonts w:eastAsia="等线"/>
          <w:color w:val="000000"/>
          <w:lang w:eastAsia="zh-CN"/>
        </w:rPr>
        <w:t xml:space="preserve">B. Quantitative </w:t>
      </w:r>
      <w:r w:rsidR="002B2BEF" w:rsidRPr="00C72A2B">
        <w:rPr>
          <w:rFonts w:eastAsia="等线"/>
          <w:color w:val="000000"/>
          <w:lang w:eastAsia="zh-CN"/>
        </w:rPr>
        <w:t>assessment of liver fat with magnetic resonance imaging and spectroscopy</w:t>
      </w:r>
      <w:r w:rsidRPr="00C72A2B">
        <w:rPr>
          <w:rFonts w:eastAsia="等线"/>
          <w:color w:val="000000"/>
          <w:lang w:eastAsia="zh-CN"/>
        </w:rPr>
        <w:t xml:space="preserve">. </w:t>
      </w:r>
      <w:r w:rsidRPr="00C72A2B">
        <w:rPr>
          <w:rFonts w:eastAsia="等线"/>
          <w:i/>
          <w:iCs/>
          <w:color w:val="000000"/>
          <w:lang w:eastAsia="zh-CN"/>
        </w:rPr>
        <w:t>Magn Reson Imaging</w:t>
      </w:r>
      <w:r w:rsidRPr="00C72A2B">
        <w:rPr>
          <w:rFonts w:eastAsia="等线"/>
          <w:color w:val="000000"/>
          <w:lang w:eastAsia="zh-CN"/>
        </w:rPr>
        <w:t xml:space="preserve">. </w:t>
      </w:r>
      <w:r w:rsidRPr="00C72A2B">
        <w:rPr>
          <w:rFonts w:eastAsia="等线"/>
          <w:b/>
          <w:bCs/>
          <w:color w:val="000000"/>
          <w:lang w:eastAsia="zh-CN"/>
        </w:rPr>
        <w:t>34</w:t>
      </w:r>
      <w:r w:rsidR="002B2BEF" w:rsidRPr="00C72A2B">
        <w:rPr>
          <w:rFonts w:eastAsia="等线"/>
          <w:b/>
          <w:bCs/>
          <w:color w:val="000000"/>
          <w:lang w:eastAsia="zh-CN"/>
        </w:rPr>
        <w:t xml:space="preserve"> </w:t>
      </w:r>
      <w:r w:rsidRPr="00C72A2B">
        <w:rPr>
          <w:rFonts w:eastAsia="等线"/>
          <w:color w:val="000000"/>
          <w:lang w:eastAsia="zh-CN"/>
        </w:rPr>
        <w:t>(4)</w:t>
      </w:r>
      <w:r w:rsidR="002B2BEF" w:rsidRPr="00C72A2B">
        <w:rPr>
          <w:rFonts w:eastAsia="等线"/>
          <w:color w:val="000000"/>
          <w:lang w:eastAsia="zh-CN"/>
        </w:rPr>
        <w:t xml:space="preserve">, </w:t>
      </w:r>
      <w:r w:rsidRPr="00C72A2B">
        <w:rPr>
          <w:rFonts w:eastAsia="等线"/>
          <w:color w:val="000000"/>
          <w:lang w:eastAsia="zh-CN"/>
        </w:rPr>
        <w:t>729</w:t>
      </w:r>
      <w:r w:rsidR="002B2BEF" w:rsidRPr="00C72A2B">
        <w:rPr>
          <w:rFonts w:eastAsia="等线"/>
          <w:color w:val="000000"/>
          <w:lang w:eastAsia="zh-CN"/>
        </w:rPr>
        <w:t>–</w:t>
      </w:r>
      <w:r w:rsidRPr="00C72A2B">
        <w:rPr>
          <w:rFonts w:eastAsia="等线"/>
          <w:color w:val="000000"/>
          <w:lang w:eastAsia="zh-CN"/>
        </w:rPr>
        <w:t>749 (2011)</w:t>
      </w:r>
      <w:r w:rsidR="002B2BEF" w:rsidRPr="00C72A2B">
        <w:rPr>
          <w:rFonts w:eastAsia="等线"/>
          <w:color w:val="000000"/>
          <w:lang w:eastAsia="zh-CN"/>
        </w:rPr>
        <w:t xml:space="preserve">. </w:t>
      </w:r>
    </w:p>
    <w:sectPr w:rsidR="00710C3D" w:rsidRPr="00C72A2B" w:rsidSect="00ED26D3">
      <w:headerReference w:type="even" r:id="rId15"/>
      <w:headerReference w:type="default" r:id="rId16"/>
      <w:footerReference w:type="even" r:id="rId17"/>
      <w:headerReference w:type="first" r:id="rId18"/>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5CA1" w14:textId="77777777" w:rsidR="002D0C84" w:rsidRDefault="002D0C84">
      <w:r>
        <w:separator/>
      </w:r>
    </w:p>
  </w:endnote>
  <w:endnote w:type="continuationSeparator" w:id="0">
    <w:p w14:paraId="34AD37E3" w14:textId="77777777" w:rsidR="002D0C84" w:rsidRDefault="002D0C84">
      <w:r>
        <w:continuationSeparator/>
      </w:r>
    </w:p>
  </w:endnote>
  <w:endnote w:type="continuationNotice" w:id="1">
    <w:p w14:paraId="379A0C67" w14:textId="77777777" w:rsidR="002D0C84" w:rsidRDefault="002D0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FF9E" w14:textId="77777777" w:rsidR="0065346F" w:rsidRDefault="0065346F">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C5A90" w14:textId="77777777" w:rsidR="002D0C84" w:rsidRDefault="002D0C84">
      <w:r>
        <w:separator/>
      </w:r>
    </w:p>
  </w:footnote>
  <w:footnote w:type="continuationSeparator" w:id="0">
    <w:p w14:paraId="2DA2723F" w14:textId="77777777" w:rsidR="002D0C84" w:rsidRDefault="002D0C84">
      <w:r>
        <w:continuationSeparator/>
      </w:r>
    </w:p>
  </w:footnote>
  <w:footnote w:type="continuationNotice" w:id="1">
    <w:p w14:paraId="11C80E30" w14:textId="77777777" w:rsidR="002D0C84" w:rsidRDefault="002D0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0683" w14:textId="77777777" w:rsidR="0065346F" w:rsidRDefault="0065346F">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AF88" w14:textId="77777777" w:rsidR="0065346F" w:rsidRDefault="00075CA0">
    <w:pPr>
      <w:tabs>
        <w:tab w:val="center" w:pos="4680"/>
        <w:tab w:val="left" w:pos="5724"/>
        <w:tab w:val="right" w:pos="9360"/>
      </w:tabs>
      <w:rPr>
        <w:b/>
        <w:color w:val="1F497D"/>
        <w:sz w:val="28"/>
        <w:szCs w:val="28"/>
      </w:rPr>
    </w:pPr>
    <w:bookmarkStart w:id="23" w:name="_26in1rg" w:colFirst="0" w:colLast="0"/>
    <w:bookmarkEnd w:id="2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DD99" w14:textId="636FA7AD" w:rsidR="0065346F" w:rsidRDefault="0065346F">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D7D63"/>
    <w:multiLevelType w:val="multilevel"/>
    <w:tmpl w:val="105D7D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E420A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0F41CA2"/>
    <w:multiLevelType w:val="multilevel"/>
    <w:tmpl w:val="345ADB7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3"/>
      <w:numFmt w:val="decimal"/>
      <w:lvlText w:val="%1.%2.%3"/>
      <w:lvlJc w:val="left"/>
      <w:pPr>
        <w:ind w:left="1135"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32A62B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ED8407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39912379"/>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B433056"/>
    <w:multiLevelType w:val="multilevel"/>
    <w:tmpl w:val="0CAECC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4D609E"/>
    <w:multiLevelType w:val="hybridMultilevel"/>
    <w:tmpl w:val="99F82806"/>
    <w:lvl w:ilvl="0" w:tplc="EF6EEC6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06A12"/>
    <w:multiLevelType w:val="multilevel"/>
    <w:tmpl w:val="E13081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F8358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5C80589B"/>
    <w:multiLevelType w:val="multilevel"/>
    <w:tmpl w:val="067294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D0A0DFF"/>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6315645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68845996"/>
    <w:multiLevelType w:val="hybridMultilevel"/>
    <w:tmpl w:val="43B874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C1E1BD8"/>
    <w:multiLevelType w:val="multilevel"/>
    <w:tmpl w:val="7EE0CC9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703313B4"/>
    <w:multiLevelType w:val="multilevel"/>
    <w:tmpl w:val="CC6039DC"/>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711512E0"/>
    <w:multiLevelType w:val="hybridMultilevel"/>
    <w:tmpl w:val="96AA5F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92721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7A2B1D04"/>
    <w:multiLevelType w:val="multilevel"/>
    <w:tmpl w:val="BF4A31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32481599">
    <w:abstractNumId w:val="0"/>
  </w:num>
  <w:num w:numId="2" w16cid:durableId="2090997096">
    <w:abstractNumId w:val="1"/>
  </w:num>
  <w:num w:numId="3" w16cid:durableId="894659479">
    <w:abstractNumId w:val="11"/>
  </w:num>
  <w:num w:numId="4" w16cid:durableId="95056216">
    <w:abstractNumId w:val="15"/>
  </w:num>
  <w:num w:numId="5" w16cid:durableId="2115712246">
    <w:abstractNumId w:val="14"/>
  </w:num>
  <w:num w:numId="6" w16cid:durableId="225999038">
    <w:abstractNumId w:val="2"/>
  </w:num>
  <w:num w:numId="7" w16cid:durableId="863515448">
    <w:abstractNumId w:val="3"/>
  </w:num>
  <w:num w:numId="8" w16cid:durableId="1040713075">
    <w:abstractNumId w:val="4"/>
  </w:num>
  <w:num w:numId="9" w16cid:durableId="637107655">
    <w:abstractNumId w:val="12"/>
  </w:num>
  <w:num w:numId="10" w16cid:durableId="2119837801">
    <w:abstractNumId w:val="9"/>
  </w:num>
  <w:num w:numId="11" w16cid:durableId="702250656">
    <w:abstractNumId w:val="16"/>
  </w:num>
  <w:num w:numId="12" w16cid:durableId="333186618">
    <w:abstractNumId w:val="7"/>
  </w:num>
  <w:num w:numId="13" w16cid:durableId="625236306">
    <w:abstractNumId w:val="5"/>
  </w:num>
  <w:num w:numId="14" w16cid:durableId="1803886333">
    <w:abstractNumId w:val="8"/>
  </w:num>
  <w:num w:numId="15" w16cid:durableId="110631309">
    <w:abstractNumId w:val="10"/>
  </w:num>
  <w:num w:numId="16" w16cid:durableId="299849630">
    <w:abstractNumId w:val="6"/>
  </w:num>
  <w:num w:numId="17" w16cid:durableId="1368726255">
    <w:abstractNumId w:val="18"/>
  </w:num>
  <w:num w:numId="18" w16cid:durableId="1960528906">
    <w:abstractNumId w:val="17"/>
  </w:num>
  <w:num w:numId="19" w16cid:durableId="1801802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bordersDoNotSurroundHeader/>
  <w:bordersDoNotSurroundFooter/>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xMDYwtTAzMTQ1NzVV0lEKTi0uzszPAykwNKgFACzxMuQtAAAA"/>
  </w:docVars>
  <w:rsids>
    <w:rsidRoot w:val="006E4797"/>
    <w:rsid w:val="000025E6"/>
    <w:rsid w:val="00003819"/>
    <w:rsid w:val="00004DE5"/>
    <w:rsid w:val="00005E22"/>
    <w:rsid w:val="00007A46"/>
    <w:rsid w:val="00007DA3"/>
    <w:rsid w:val="00010C01"/>
    <w:rsid w:val="000129EA"/>
    <w:rsid w:val="0001588D"/>
    <w:rsid w:val="0001641F"/>
    <w:rsid w:val="0002006D"/>
    <w:rsid w:val="000216AA"/>
    <w:rsid w:val="00027729"/>
    <w:rsid w:val="00027998"/>
    <w:rsid w:val="00027B9F"/>
    <w:rsid w:val="00032E4A"/>
    <w:rsid w:val="00043EF9"/>
    <w:rsid w:val="0004432E"/>
    <w:rsid w:val="0004625F"/>
    <w:rsid w:val="00052E83"/>
    <w:rsid w:val="00056960"/>
    <w:rsid w:val="00062FE3"/>
    <w:rsid w:val="00065CC9"/>
    <w:rsid w:val="00070C70"/>
    <w:rsid w:val="00071787"/>
    <w:rsid w:val="00072C04"/>
    <w:rsid w:val="0007362C"/>
    <w:rsid w:val="0007506F"/>
    <w:rsid w:val="00075CA0"/>
    <w:rsid w:val="00076C2B"/>
    <w:rsid w:val="00081AEC"/>
    <w:rsid w:val="000849B2"/>
    <w:rsid w:val="00087799"/>
    <w:rsid w:val="00090061"/>
    <w:rsid w:val="000903FD"/>
    <w:rsid w:val="00092EA5"/>
    <w:rsid w:val="000A0F9A"/>
    <w:rsid w:val="000A29BF"/>
    <w:rsid w:val="000A4D8C"/>
    <w:rsid w:val="000A6296"/>
    <w:rsid w:val="000B0C5B"/>
    <w:rsid w:val="000B32D3"/>
    <w:rsid w:val="000B50B5"/>
    <w:rsid w:val="000B6040"/>
    <w:rsid w:val="000B7939"/>
    <w:rsid w:val="000C293E"/>
    <w:rsid w:val="000C34B3"/>
    <w:rsid w:val="000D0284"/>
    <w:rsid w:val="000D08DE"/>
    <w:rsid w:val="000D102B"/>
    <w:rsid w:val="000D11F3"/>
    <w:rsid w:val="000D5B49"/>
    <w:rsid w:val="000D79A6"/>
    <w:rsid w:val="000D7F18"/>
    <w:rsid w:val="000E22A1"/>
    <w:rsid w:val="000E4C51"/>
    <w:rsid w:val="000F71C0"/>
    <w:rsid w:val="000F71D8"/>
    <w:rsid w:val="00100516"/>
    <w:rsid w:val="001022A6"/>
    <w:rsid w:val="00111713"/>
    <w:rsid w:val="001127B3"/>
    <w:rsid w:val="00112CB0"/>
    <w:rsid w:val="00134152"/>
    <w:rsid w:val="001447BF"/>
    <w:rsid w:val="00145B32"/>
    <w:rsid w:val="001505F4"/>
    <w:rsid w:val="00156DCE"/>
    <w:rsid w:val="00177F31"/>
    <w:rsid w:val="00186D81"/>
    <w:rsid w:val="001943D9"/>
    <w:rsid w:val="001A1C87"/>
    <w:rsid w:val="001B321C"/>
    <w:rsid w:val="001B3B38"/>
    <w:rsid w:val="001B5E54"/>
    <w:rsid w:val="001B73B4"/>
    <w:rsid w:val="001D326E"/>
    <w:rsid w:val="001D5DB8"/>
    <w:rsid w:val="001D63DB"/>
    <w:rsid w:val="001D693C"/>
    <w:rsid w:val="001E1686"/>
    <w:rsid w:val="001E1EFE"/>
    <w:rsid w:val="001E2AF3"/>
    <w:rsid w:val="001E54CE"/>
    <w:rsid w:val="001F0181"/>
    <w:rsid w:val="001F330B"/>
    <w:rsid w:val="001F4011"/>
    <w:rsid w:val="001F5593"/>
    <w:rsid w:val="001F59FB"/>
    <w:rsid w:val="001F5A87"/>
    <w:rsid w:val="0020288D"/>
    <w:rsid w:val="002055E3"/>
    <w:rsid w:val="00210D9E"/>
    <w:rsid w:val="00222666"/>
    <w:rsid w:val="00224016"/>
    <w:rsid w:val="00227529"/>
    <w:rsid w:val="00234A8C"/>
    <w:rsid w:val="002372CF"/>
    <w:rsid w:val="002408CF"/>
    <w:rsid w:val="002439A0"/>
    <w:rsid w:val="002445AB"/>
    <w:rsid w:val="00254E27"/>
    <w:rsid w:val="00255EEC"/>
    <w:rsid w:val="00260FA4"/>
    <w:rsid w:val="002614E6"/>
    <w:rsid w:val="00262BA9"/>
    <w:rsid w:val="0026477B"/>
    <w:rsid w:val="00266073"/>
    <w:rsid w:val="002661D7"/>
    <w:rsid w:val="00272986"/>
    <w:rsid w:val="00276C77"/>
    <w:rsid w:val="00277B7E"/>
    <w:rsid w:val="00280402"/>
    <w:rsid w:val="0028059D"/>
    <w:rsid w:val="002814EB"/>
    <w:rsid w:val="00282402"/>
    <w:rsid w:val="00282475"/>
    <w:rsid w:val="00282C83"/>
    <w:rsid w:val="00284751"/>
    <w:rsid w:val="00287011"/>
    <w:rsid w:val="00287C3F"/>
    <w:rsid w:val="00290DDF"/>
    <w:rsid w:val="00295391"/>
    <w:rsid w:val="002A0525"/>
    <w:rsid w:val="002B1FDB"/>
    <w:rsid w:val="002B2BEF"/>
    <w:rsid w:val="002B376E"/>
    <w:rsid w:val="002B37D0"/>
    <w:rsid w:val="002B61A9"/>
    <w:rsid w:val="002B74AF"/>
    <w:rsid w:val="002C22BC"/>
    <w:rsid w:val="002C2657"/>
    <w:rsid w:val="002C4F51"/>
    <w:rsid w:val="002C6BBD"/>
    <w:rsid w:val="002C79A7"/>
    <w:rsid w:val="002D0C84"/>
    <w:rsid w:val="002D29FD"/>
    <w:rsid w:val="002D46C8"/>
    <w:rsid w:val="002D722E"/>
    <w:rsid w:val="002E00F8"/>
    <w:rsid w:val="002E4906"/>
    <w:rsid w:val="002E6789"/>
    <w:rsid w:val="002E77F7"/>
    <w:rsid w:val="002F20C9"/>
    <w:rsid w:val="002F2E1F"/>
    <w:rsid w:val="002F66E1"/>
    <w:rsid w:val="00302B17"/>
    <w:rsid w:val="00303BF9"/>
    <w:rsid w:val="00304989"/>
    <w:rsid w:val="00314DF3"/>
    <w:rsid w:val="00321D05"/>
    <w:rsid w:val="003236E6"/>
    <w:rsid w:val="00330429"/>
    <w:rsid w:val="003410BE"/>
    <w:rsid w:val="0034281E"/>
    <w:rsid w:val="003448DD"/>
    <w:rsid w:val="00346322"/>
    <w:rsid w:val="00347CBB"/>
    <w:rsid w:val="00351087"/>
    <w:rsid w:val="003536A8"/>
    <w:rsid w:val="00355BB3"/>
    <w:rsid w:val="00357EBB"/>
    <w:rsid w:val="00362CCC"/>
    <w:rsid w:val="00377CEA"/>
    <w:rsid w:val="00380532"/>
    <w:rsid w:val="0038190D"/>
    <w:rsid w:val="00381B08"/>
    <w:rsid w:val="0038422F"/>
    <w:rsid w:val="00387C91"/>
    <w:rsid w:val="00390EC6"/>
    <w:rsid w:val="003960FD"/>
    <w:rsid w:val="0039674D"/>
    <w:rsid w:val="0039686A"/>
    <w:rsid w:val="003A3AAF"/>
    <w:rsid w:val="003A4AAA"/>
    <w:rsid w:val="003A5E1D"/>
    <w:rsid w:val="003A607F"/>
    <w:rsid w:val="003B5EC3"/>
    <w:rsid w:val="003B73FF"/>
    <w:rsid w:val="003C511D"/>
    <w:rsid w:val="003D4823"/>
    <w:rsid w:val="003D4FCB"/>
    <w:rsid w:val="003D6BC3"/>
    <w:rsid w:val="003D778B"/>
    <w:rsid w:val="003E5EA6"/>
    <w:rsid w:val="003F133D"/>
    <w:rsid w:val="003F22BF"/>
    <w:rsid w:val="003F2B63"/>
    <w:rsid w:val="003F2F5A"/>
    <w:rsid w:val="003F7C33"/>
    <w:rsid w:val="00402FF6"/>
    <w:rsid w:val="00405295"/>
    <w:rsid w:val="00420181"/>
    <w:rsid w:val="00420314"/>
    <w:rsid w:val="004210E0"/>
    <w:rsid w:val="00421EEA"/>
    <w:rsid w:val="004223D3"/>
    <w:rsid w:val="00422428"/>
    <w:rsid w:val="00430CBC"/>
    <w:rsid w:val="00437C14"/>
    <w:rsid w:val="0044197F"/>
    <w:rsid w:val="00444D8D"/>
    <w:rsid w:val="00447874"/>
    <w:rsid w:val="00447D40"/>
    <w:rsid w:val="00447E51"/>
    <w:rsid w:val="00450BD2"/>
    <w:rsid w:val="00452223"/>
    <w:rsid w:val="0045297C"/>
    <w:rsid w:val="00452A46"/>
    <w:rsid w:val="004541D2"/>
    <w:rsid w:val="00457021"/>
    <w:rsid w:val="004612C4"/>
    <w:rsid w:val="00463B71"/>
    <w:rsid w:val="00464032"/>
    <w:rsid w:val="00481BC0"/>
    <w:rsid w:val="0048548A"/>
    <w:rsid w:val="00485BC7"/>
    <w:rsid w:val="00485CB5"/>
    <w:rsid w:val="00487F27"/>
    <w:rsid w:val="004940FA"/>
    <w:rsid w:val="00494E86"/>
    <w:rsid w:val="00496097"/>
    <w:rsid w:val="004A067C"/>
    <w:rsid w:val="004A07D4"/>
    <w:rsid w:val="004A2EDA"/>
    <w:rsid w:val="004A433D"/>
    <w:rsid w:val="004A47C4"/>
    <w:rsid w:val="004A4D66"/>
    <w:rsid w:val="004B1989"/>
    <w:rsid w:val="004B2826"/>
    <w:rsid w:val="004B327D"/>
    <w:rsid w:val="004B3D83"/>
    <w:rsid w:val="004B626E"/>
    <w:rsid w:val="004B6731"/>
    <w:rsid w:val="004C1BE8"/>
    <w:rsid w:val="004C78CB"/>
    <w:rsid w:val="004D08E5"/>
    <w:rsid w:val="004D1110"/>
    <w:rsid w:val="004D46CD"/>
    <w:rsid w:val="004D57BB"/>
    <w:rsid w:val="004D5FA3"/>
    <w:rsid w:val="004E00F8"/>
    <w:rsid w:val="004E4BB7"/>
    <w:rsid w:val="004E5FD7"/>
    <w:rsid w:val="004F04B6"/>
    <w:rsid w:val="004F260D"/>
    <w:rsid w:val="004F7551"/>
    <w:rsid w:val="00505760"/>
    <w:rsid w:val="00506B3A"/>
    <w:rsid w:val="00513ED1"/>
    <w:rsid w:val="0051423E"/>
    <w:rsid w:val="005161C8"/>
    <w:rsid w:val="00517C37"/>
    <w:rsid w:val="0052087F"/>
    <w:rsid w:val="00521DE8"/>
    <w:rsid w:val="00531D5A"/>
    <w:rsid w:val="0053676F"/>
    <w:rsid w:val="00542C05"/>
    <w:rsid w:val="00543011"/>
    <w:rsid w:val="00545553"/>
    <w:rsid w:val="005468D7"/>
    <w:rsid w:val="0054770A"/>
    <w:rsid w:val="00550701"/>
    <w:rsid w:val="00550BAA"/>
    <w:rsid w:val="0055172E"/>
    <w:rsid w:val="00551D82"/>
    <w:rsid w:val="00560358"/>
    <w:rsid w:val="00563993"/>
    <w:rsid w:val="005654B1"/>
    <w:rsid w:val="00570E50"/>
    <w:rsid w:val="0057104F"/>
    <w:rsid w:val="005757FB"/>
    <w:rsid w:val="00580A8B"/>
    <w:rsid w:val="0058101E"/>
    <w:rsid w:val="005830A9"/>
    <w:rsid w:val="00584B1C"/>
    <w:rsid w:val="005959DF"/>
    <w:rsid w:val="005A0B50"/>
    <w:rsid w:val="005A1030"/>
    <w:rsid w:val="005A2102"/>
    <w:rsid w:val="005A3ED1"/>
    <w:rsid w:val="005A587A"/>
    <w:rsid w:val="005A76E2"/>
    <w:rsid w:val="005B4025"/>
    <w:rsid w:val="005B7A32"/>
    <w:rsid w:val="005B7D81"/>
    <w:rsid w:val="005C2D9D"/>
    <w:rsid w:val="005D790A"/>
    <w:rsid w:val="005E4DF5"/>
    <w:rsid w:val="005E69A4"/>
    <w:rsid w:val="005F032F"/>
    <w:rsid w:val="005F4D3B"/>
    <w:rsid w:val="005F556E"/>
    <w:rsid w:val="00601A56"/>
    <w:rsid w:val="00601EFC"/>
    <w:rsid w:val="00602ED6"/>
    <w:rsid w:val="00603BFE"/>
    <w:rsid w:val="00606EFD"/>
    <w:rsid w:val="006077E3"/>
    <w:rsid w:val="00615035"/>
    <w:rsid w:val="00617437"/>
    <w:rsid w:val="006209FD"/>
    <w:rsid w:val="00622578"/>
    <w:rsid w:val="0062286D"/>
    <w:rsid w:val="00623A70"/>
    <w:rsid w:val="0064047E"/>
    <w:rsid w:val="00643955"/>
    <w:rsid w:val="006525FC"/>
    <w:rsid w:val="0065346F"/>
    <w:rsid w:val="00656973"/>
    <w:rsid w:val="006606D2"/>
    <w:rsid w:val="00662B40"/>
    <w:rsid w:val="0066776E"/>
    <w:rsid w:val="006751FB"/>
    <w:rsid w:val="00683344"/>
    <w:rsid w:val="00685077"/>
    <w:rsid w:val="006870D6"/>
    <w:rsid w:val="006912EC"/>
    <w:rsid w:val="006970AD"/>
    <w:rsid w:val="00697EF1"/>
    <w:rsid w:val="006A07F2"/>
    <w:rsid w:val="006A77BA"/>
    <w:rsid w:val="006B0F71"/>
    <w:rsid w:val="006B5581"/>
    <w:rsid w:val="006B590E"/>
    <w:rsid w:val="006B5CE7"/>
    <w:rsid w:val="006B6F29"/>
    <w:rsid w:val="006C4743"/>
    <w:rsid w:val="006C476B"/>
    <w:rsid w:val="006C4BED"/>
    <w:rsid w:val="006C6084"/>
    <w:rsid w:val="006C7144"/>
    <w:rsid w:val="006D0F56"/>
    <w:rsid w:val="006D1803"/>
    <w:rsid w:val="006D294A"/>
    <w:rsid w:val="006D30BF"/>
    <w:rsid w:val="006D437A"/>
    <w:rsid w:val="006E4797"/>
    <w:rsid w:val="006E4D34"/>
    <w:rsid w:val="006E586D"/>
    <w:rsid w:val="006E58CD"/>
    <w:rsid w:val="006E5E77"/>
    <w:rsid w:val="006E7AFA"/>
    <w:rsid w:val="006F38A2"/>
    <w:rsid w:val="006F4B54"/>
    <w:rsid w:val="006F769E"/>
    <w:rsid w:val="006F7EC1"/>
    <w:rsid w:val="0070168C"/>
    <w:rsid w:val="00702739"/>
    <w:rsid w:val="0070444F"/>
    <w:rsid w:val="00710C3D"/>
    <w:rsid w:val="00711482"/>
    <w:rsid w:val="00711FE3"/>
    <w:rsid w:val="00712E83"/>
    <w:rsid w:val="00714BE0"/>
    <w:rsid w:val="00717EDD"/>
    <w:rsid w:val="00722D7E"/>
    <w:rsid w:val="00727266"/>
    <w:rsid w:val="0073082C"/>
    <w:rsid w:val="00730977"/>
    <w:rsid w:val="007311D4"/>
    <w:rsid w:val="007313A2"/>
    <w:rsid w:val="0073466E"/>
    <w:rsid w:val="00742D3F"/>
    <w:rsid w:val="00742DD4"/>
    <w:rsid w:val="007434DA"/>
    <w:rsid w:val="00743D47"/>
    <w:rsid w:val="00745257"/>
    <w:rsid w:val="00745C6D"/>
    <w:rsid w:val="00746396"/>
    <w:rsid w:val="00754E3F"/>
    <w:rsid w:val="007556AB"/>
    <w:rsid w:val="007605E1"/>
    <w:rsid w:val="00762EFB"/>
    <w:rsid w:val="007634E7"/>
    <w:rsid w:val="007662AA"/>
    <w:rsid w:val="00772D34"/>
    <w:rsid w:val="00780F72"/>
    <w:rsid w:val="00782D23"/>
    <w:rsid w:val="00783483"/>
    <w:rsid w:val="00785744"/>
    <w:rsid w:val="00793BC7"/>
    <w:rsid w:val="00794111"/>
    <w:rsid w:val="00796057"/>
    <w:rsid w:val="007979F5"/>
    <w:rsid w:val="007A0929"/>
    <w:rsid w:val="007A1632"/>
    <w:rsid w:val="007A1AFB"/>
    <w:rsid w:val="007A39EA"/>
    <w:rsid w:val="007A43F0"/>
    <w:rsid w:val="007A46A2"/>
    <w:rsid w:val="007A6C82"/>
    <w:rsid w:val="007B232C"/>
    <w:rsid w:val="007C1222"/>
    <w:rsid w:val="007C3B95"/>
    <w:rsid w:val="007D1A75"/>
    <w:rsid w:val="007D4634"/>
    <w:rsid w:val="007D700E"/>
    <w:rsid w:val="007E365F"/>
    <w:rsid w:val="007E605C"/>
    <w:rsid w:val="007F02CB"/>
    <w:rsid w:val="007F27CA"/>
    <w:rsid w:val="007F280F"/>
    <w:rsid w:val="007F44EC"/>
    <w:rsid w:val="008037F7"/>
    <w:rsid w:val="00807484"/>
    <w:rsid w:val="00810A64"/>
    <w:rsid w:val="00810E08"/>
    <w:rsid w:val="00811035"/>
    <w:rsid w:val="008163BF"/>
    <w:rsid w:val="00821B33"/>
    <w:rsid w:val="008225ED"/>
    <w:rsid w:val="008247E7"/>
    <w:rsid w:val="00825216"/>
    <w:rsid w:val="008257C2"/>
    <w:rsid w:val="00826CEF"/>
    <w:rsid w:val="00826EFB"/>
    <w:rsid w:val="00827A6F"/>
    <w:rsid w:val="008365C1"/>
    <w:rsid w:val="00837F29"/>
    <w:rsid w:val="008414BB"/>
    <w:rsid w:val="00841D5C"/>
    <w:rsid w:val="008428D0"/>
    <w:rsid w:val="00843622"/>
    <w:rsid w:val="00847D39"/>
    <w:rsid w:val="0085126A"/>
    <w:rsid w:val="00851862"/>
    <w:rsid w:val="00855C8F"/>
    <w:rsid w:val="0086665D"/>
    <w:rsid w:val="00872119"/>
    <w:rsid w:val="00872CD4"/>
    <w:rsid w:val="00874ED6"/>
    <w:rsid w:val="00887028"/>
    <w:rsid w:val="008878A3"/>
    <w:rsid w:val="00897C60"/>
    <w:rsid w:val="008A24BE"/>
    <w:rsid w:val="008A6D25"/>
    <w:rsid w:val="008B5B4D"/>
    <w:rsid w:val="008C1263"/>
    <w:rsid w:val="008C536C"/>
    <w:rsid w:val="008C6053"/>
    <w:rsid w:val="008D0657"/>
    <w:rsid w:val="008D1AE8"/>
    <w:rsid w:val="008D2109"/>
    <w:rsid w:val="008D3D33"/>
    <w:rsid w:val="008D525B"/>
    <w:rsid w:val="008D57A7"/>
    <w:rsid w:val="008D5E87"/>
    <w:rsid w:val="008D7767"/>
    <w:rsid w:val="008E2125"/>
    <w:rsid w:val="008E319C"/>
    <w:rsid w:val="008E4D36"/>
    <w:rsid w:val="008E6F2D"/>
    <w:rsid w:val="008F7417"/>
    <w:rsid w:val="0090037B"/>
    <w:rsid w:val="00907E94"/>
    <w:rsid w:val="0091286B"/>
    <w:rsid w:val="009130F1"/>
    <w:rsid w:val="009143DF"/>
    <w:rsid w:val="009251E1"/>
    <w:rsid w:val="00926DD5"/>
    <w:rsid w:val="00934A2E"/>
    <w:rsid w:val="00942AB6"/>
    <w:rsid w:val="00947865"/>
    <w:rsid w:val="00953513"/>
    <w:rsid w:val="009572FF"/>
    <w:rsid w:val="00963662"/>
    <w:rsid w:val="009645C4"/>
    <w:rsid w:val="0096516F"/>
    <w:rsid w:val="0096544C"/>
    <w:rsid w:val="009679C2"/>
    <w:rsid w:val="0097307F"/>
    <w:rsid w:val="00983170"/>
    <w:rsid w:val="0098391F"/>
    <w:rsid w:val="00985A7A"/>
    <w:rsid w:val="00986DDC"/>
    <w:rsid w:val="00992B88"/>
    <w:rsid w:val="0099512F"/>
    <w:rsid w:val="00995BEC"/>
    <w:rsid w:val="0099762C"/>
    <w:rsid w:val="009A3974"/>
    <w:rsid w:val="009A53F9"/>
    <w:rsid w:val="009B050B"/>
    <w:rsid w:val="009B1728"/>
    <w:rsid w:val="009B49AE"/>
    <w:rsid w:val="009C3E2C"/>
    <w:rsid w:val="009C5D02"/>
    <w:rsid w:val="009D3C95"/>
    <w:rsid w:val="009E077A"/>
    <w:rsid w:val="009E320B"/>
    <w:rsid w:val="009E55AB"/>
    <w:rsid w:val="009E5E37"/>
    <w:rsid w:val="009F106E"/>
    <w:rsid w:val="009F3601"/>
    <w:rsid w:val="009F4DA8"/>
    <w:rsid w:val="009F575D"/>
    <w:rsid w:val="00A0387F"/>
    <w:rsid w:val="00A0422A"/>
    <w:rsid w:val="00A1684A"/>
    <w:rsid w:val="00A17F68"/>
    <w:rsid w:val="00A202BB"/>
    <w:rsid w:val="00A204F0"/>
    <w:rsid w:val="00A26304"/>
    <w:rsid w:val="00A26A00"/>
    <w:rsid w:val="00A362F1"/>
    <w:rsid w:val="00A370DC"/>
    <w:rsid w:val="00A4226A"/>
    <w:rsid w:val="00A51619"/>
    <w:rsid w:val="00A57DA9"/>
    <w:rsid w:val="00A60B62"/>
    <w:rsid w:val="00A64186"/>
    <w:rsid w:val="00A646D9"/>
    <w:rsid w:val="00A70A02"/>
    <w:rsid w:val="00A71718"/>
    <w:rsid w:val="00A726C0"/>
    <w:rsid w:val="00A74F61"/>
    <w:rsid w:val="00A7583B"/>
    <w:rsid w:val="00A800B5"/>
    <w:rsid w:val="00A80330"/>
    <w:rsid w:val="00A911ED"/>
    <w:rsid w:val="00AA0C62"/>
    <w:rsid w:val="00AA3A15"/>
    <w:rsid w:val="00AA3B22"/>
    <w:rsid w:val="00AB2DA0"/>
    <w:rsid w:val="00AC3936"/>
    <w:rsid w:val="00AC75A4"/>
    <w:rsid w:val="00AD1C9F"/>
    <w:rsid w:val="00AD42B5"/>
    <w:rsid w:val="00AD7C0E"/>
    <w:rsid w:val="00AE27BB"/>
    <w:rsid w:val="00AF41D7"/>
    <w:rsid w:val="00B009F2"/>
    <w:rsid w:val="00B02040"/>
    <w:rsid w:val="00B025D6"/>
    <w:rsid w:val="00B0502D"/>
    <w:rsid w:val="00B06D40"/>
    <w:rsid w:val="00B11CB2"/>
    <w:rsid w:val="00B137EE"/>
    <w:rsid w:val="00B14D4D"/>
    <w:rsid w:val="00B179D6"/>
    <w:rsid w:val="00B243ED"/>
    <w:rsid w:val="00B30B70"/>
    <w:rsid w:val="00B337DC"/>
    <w:rsid w:val="00B33DEE"/>
    <w:rsid w:val="00B33FE2"/>
    <w:rsid w:val="00B50ADE"/>
    <w:rsid w:val="00B5237D"/>
    <w:rsid w:val="00B52694"/>
    <w:rsid w:val="00B54972"/>
    <w:rsid w:val="00B569E5"/>
    <w:rsid w:val="00B60042"/>
    <w:rsid w:val="00B646B3"/>
    <w:rsid w:val="00B658A7"/>
    <w:rsid w:val="00B674F8"/>
    <w:rsid w:val="00B70B1E"/>
    <w:rsid w:val="00B7547E"/>
    <w:rsid w:val="00B7786E"/>
    <w:rsid w:val="00B77A8F"/>
    <w:rsid w:val="00B81607"/>
    <w:rsid w:val="00B82613"/>
    <w:rsid w:val="00B84334"/>
    <w:rsid w:val="00B86ACE"/>
    <w:rsid w:val="00B91431"/>
    <w:rsid w:val="00B92EC5"/>
    <w:rsid w:val="00B943B1"/>
    <w:rsid w:val="00B9774A"/>
    <w:rsid w:val="00BA266F"/>
    <w:rsid w:val="00BA4E6D"/>
    <w:rsid w:val="00BA5B99"/>
    <w:rsid w:val="00BB7059"/>
    <w:rsid w:val="00BB7689"/>
    <w:rsid w:val="00BC124C"/>
    <w:rsid w:val="00BC25B8"/>
    <w:rsid w:val="00BD1F19"/>
    <w:rsid w:val="00BD2B87"/>
    <w:rsid w:val="00BD3753"/>
    <w:rsid w:val="00BD3FF7"/>
    <w:rsid w:val="00BD4CB8"/>
    <w:rsid w:val="00BE0066"/>
    <w:rsid w:val="00BE11BF"/>
    <w:rsid w:val="00BE22A2"/>
    <w:rsid w:val="00BE40AF"/>
    <w:rsid w:val="00BE68ED"/>
    <w:rsid w:val="00BF04B1"/>
    <w:rsid w:val="00BF25D1"/>
    <w:rsid w:val="00BF289B"/>
    <w:rsid w:val="00BF31B8"/>
    <w:rsid w:val="00C13702"/>
    <w:rsid w:val="00C147CE"/>
    <w:rsid w:val="00C15808"/>
    <w:rsid w:val="00C2384A"/>
    <w:rsid w:val="00C26E57"/>
    <w:rsid w:val="00C33D10"/>
    <w:rsid w:val="00C36D53"/>
    <w:rsid w:val="00C3767E"/>
    <w:rsid w:val="00C40B54"/>
    <w:rsid w:val="00C42B24"/>
    <w:rsid w:val="00C443EE"/>
    <w:rsid w:val="00C61561"/>
    <w:rsid w:val="00C61EDE"/>
    <w:rsid w:val="00C62082"/>
    <w:rsid w:val="00C64D5D"/>
    <w:rsid w:val="00C6545E"/>
    <w:rsid w:val="00C66BEA"/>
    <w:rsid w:val="00C700E2"/>
    <w:rsid w:val="00C7170E"/>
    <w:rsid w:val="00C72A2B"/>
    <w:rsid w:val="00C74069"/>
    <w:rsid w:val="00C74A4F"/>
    <w:rsid w:val="00C74B7A"/>
    <w:rsid w:val="00C75DE3"/>
    <w:rsid w:val="00C917E0"/>
    <w:rsid w:val="00CA0A2A"/>
    <w:rsid w:val="00CA2C81"/>
    <w:rsid w:val="00CB140B"/>
    <w:rsid w:val="00CB6559"/>
    <w:rsid w:val="00CC1B6C"/>
    <w:rsid w:val="00CC450A"/>
    <w:rsid w:val="00CC5AEB"/>
    <w:rsid w:val="00CC6471"/>
    <w:rsid w:val="00CD115A"/>
    <w:rsid w:val="00CD2C4D"/>
    <w:rsid w:val="00CD3EA4"/>
    <w:rsid w:val="00CD4CDE"/>
    <w:rsid w:val="00CD57A2"/>
    <w:rsid w:val="00CE0125"/>
    <w:rsid w:val="00CE181D"/>
    <w:rsid w:val="00CE2700"/>
    <w:rsid w:val="00CE2A43"/>
    <w:rsid w:val="00CE4B76"/>
    <w:rsid w:val="00CE594B"/>
    <w:rsid w:val="00CF294B"/>
    <w:rsid w:val="00CF31F4"/>
    <w:rsid w:val="00CF40CC"/>
    <w:rsid w:val="00CF4B83"/>
    <w:rsid w:val="00CF61A4"/>
    <w:rsid w:val="00CF6D7A"/>
    <w:rsid w:val="00D00A3E"/>
    <w:rsid w:val="00D01B52"/>
    <w:rsid w:val="00D03453"/>
    <w:rsid w:val="00D07058"/>
    <w:rsid w:val="00D20525"/>
    <w:rsid w:val="00D20A6C"/>
    <w:rsid w:val="00D22FEE"/>
    <w:rsid w:val="00D24070"/>
    <w:rsid w:val="00D24C11"/>
    <w:rsid w:val="00D25AA0"/>
    <w:rsid w:val="00D30CF2"/>
    <w:rsid w:val="00D3574C"/>
    <w:rsid w:val="00D35F51"/>
    <w:rsid w:val="00D4095D"/>
    <w:rsid w:val="00D436AF"/>
    <w:rsid w:val="00D44731"/>
    <w:rsid w:val="00D46C5D"/>
    <w:rsid w:val="00D5219E"/>
    <w:rsid w:val="00D53D99"/>
    <w:rsid w:val="00D53DF2"/>
    <w:rsid w:val="00D53EC4"/>
    <w:rsid w:val="00D60947"/>
    <w:rsid w:val="00D60EEE"/>
    <w:rsid w:val="00D835D6"/>
    <w:rsid w:val="00D8740B"/>
    <w:rsid w:val="00D92310"/>
    <w:rsid w:val="00D95851"/>
    <w:rsid w:val="00DA7A05"/>
    <w:rsid w:val="00DB02CA"/>
    <w:rsid w:val="00DB5598"/>
    <w:rsid w:val="00DB6F32"/>
    <w:rsid w:val="00DC1633"/>
    <w:rsid w:val="00DC1D9A"/>
    <w:rsid w:val="00DC3DD5"/>
    <w:rsid w:val="00DC3E7D"/>
    <w:rsid w:val="00DC6BD0"/>
    <w:rsid w:val="00DD0983"/>
    <w:rsid w:val="00DD5165"/>
    <w:rsid w:val="00DD732F"/>
    <w:rsid w:val="00DE0697"/>
    <w:rsid w:val="00DE1614"/>
    <w:rsid w:val="00E00F47"/>
    <w:rsid w:val="00E11931"/>
    <w:rsid w:val="00E122A0"/>
    <w:rsid w:val="00E128D3"/>
    <w:rsid w:val="00E1339C"/>
    <w:rsid w:val="00E2083F"/>
    <w:rsid w:val="00E23240"/>
    <w:rsid w:val="00E26C53"/>
    <w:rsid w:val="00E3297D"/>
    <w:rsid w:val="00E34556"/>
    <w:rsid w:val="00E35B55"/>
    <w:rsid w:val="00E37C29"/>
    <w:rsid w:val="00E40989"/>
    <w:rsid w:val="00E43509"/>
    <w:rsid w:val="00E439CE"/>
    <w:rsid w:val="00E44749"/>
    <w:rsid w:val="00E474DC"/>
    <w:rsid w:val="00E535C8"/>
    <w:rsid w:val="00E536E0"/>
    <w:rsid w:val="00E56F3C"/>
    <w:rsid w:val="00E57DE1"/>
    <w:rsid w:val="00E71B4E"/>
    <w:rsid w:val="00E71CBF"/>
    <w:rsid w:val="00E80584"/>
    <w:rsid w:val="00E811A0"/>
    <w:rsid w:val="00E822DE"/>
    <w:rsid w:val="00E83F45"/>
    <w:rsid w:val="00E86298"/>
    <w:rsid w:val="00E91DF1"/>
    <w:rsid w:val="00E924B9"/>
    <w:rsid w:val="00E93217"/>
    <w:rsid w:val="00E97C1D"/>
    <w:rsid w:val="00EA096D"/>
    <w:rsid w:val="00EA2229"/>
    <w:rsid w:val="00EA3CE1"/>
    <w:rsid w:val="00EA52C2"/>
    <w:rsid w:val="00EB1E68"/>
    <w:rsid w:val="00EB2AE2"/>
    <w:rsid w:val="00EB455B"/>
    <w:rsid w:val="00EB5DF0"/>
    <w:rsid w:val="00EB7F1D"/>
    <w:rsid w:val="00EC087E"/>
    <w:rsid w:val="00EC173B"/>
    <w:rsid w:val="00EC1B08"/>
    <w:rsid w:val="00EC3B7D"/>
    <w:rsid w:val="00ED0844"/>
    <w:rsid w:val="00ED095A"/>
    <w:rsid w:val="00ED26D3"/>
    <w:rsid w:val="00ED4579"/>
    <w:rsid w:val="00ED59E1"/>
    <w:rsid w:val="00EE048D"/>
    <w:rsid w:val="00EE05E9"/>
    <w:rsid w:val="00EF014D"/>
    <w:rsid w:val="00F00B0D"/>
    <w:rsid w:val="00F023CF"/>
    <w:rsid w:val="00F04A8F"/>
    <w:rsid w:val="00F05F9A"/>
    <w:rsid w:val="00F16B83"/>
    <w:rsid w:val="00F207E1"/>
    <w:rsid w:val="00F23811"/>
    <w:rsid w:val="00F249FF"/>
    <w:rsid w:val="00F25A1C"/>
    <w:rsid w:val="00F26AD2"/>
    <w:rsid w:val="00F30F0C"/>
    <w:rsid w:val="00F35223"/>
    <w:rsid w:val="00F373D8"/>
    <w:rsid w:val="00F4127C"/>
    <w:rsid w:val="00F52E4F"/>
    <w:rsid w:val="00F5495B"/>
    <w:rsid w:val="00F55312"/>
    <w:rsid w:val="00F62E71"/>
    <w:rsid w:val="00F64B2F"/>
    <w:rsid w:val="00F66F1C"/>
    <w:rsid w:val="00F6717F"/>
    <w:rsid w:val="00F705F9"/>
    <w:rsid w:val="00F72975"/>
    <w:rsid w:val="00F7582D"/>
    <w:rsid w:val="00F802B1"/>
    <w:rsid w:val="00F804A8"/>
    <w:rsid w:val="00F84D64"/>
    <w:rsid w:val="00F865F4"/>
    <w:rsid w:val="00F90D33"/>
    <w:rsid w:val="00F936CE"/>
    <w:rsid w:val="00F94E8E"/>
    <w:rsid w:val="00F96BEC"/>
    <w:rsid w:val="00FA2214"/>
    <w:rsid w:val="00FA221C"/>
    <w:rsid w:val="00FB2CDC"/>
    <w:rsid w:val="00FB5650"/>
    <w:rsid w:val="00FB76F8"/>
    <w:rsid w:val="00FC2678"/>
    <w:rsid w:val="00FC470D"/>
    <w:rsid w:val="00FC5B91"/>
    <w:rsid w:val="00FD1100"/>
    <w:rsid w:val="00FD4CCD"/>
    <w:rsid w:val="00FD51B6"/>
    <w:rsid w:val="00FD5BE0"/>
    <w:rsid w:val="00FD6897"/>
    <w:rsid w:val="00FE3C3D"/>
    <w:rsid w:val="00FF7E5E"/>
    <w:rsid w:val="0C9F14D9"/>
    <w:rsid w:val="18D93864"/>
    <w:rsid w:val="28B9697C"/>
    <w:rsid w:val="38E81A90"/>
    <w:rsid w:val="3A684831"/>
    <w:rsid w:val="4360590F"/>
    <w:rsid w:val="61D34DD3"/>
    <w:rsid w:val="65CA5DBC"/>
    <w:rsid w:val="727235F8"/>
    <w:rsid w:val="79653335"/>
    <w:rsid w:val="7FC42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390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1BF"/>
    <w:pPr>
      <w:widowControl w:val="0"/>
      <w:jc w:val="both"/>
    </w:pPr>
    <w:rPr>
      <w:rFonts w:eastAsia="Calibri"/>
      <w:sz w:val="24"/>
      <w:szCs w:val="24"/>
      <w:lang w:eastAsia="en-US"/>
    </w:rPr>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Title"/>
    <w:basedOn w:val="a"/>
    <w:next w:val="a"/>
    <w:uiPriority w:val="10"/>
    <w:qFormat/>
    <w:pPr>
      <w:keepNext/>
      <w:keepLines/>
      <w:spacing w:before="480" w:after="120"/>
    </w:pPr>
    <w:rPr>
      <w:b/>
      <w:sz w:val="72"/>
      <w:szCs w:val="72"/>
    </w:rPr>
  </w:style>
  <w:style w:type="character" w:styleId="a9">
    <w:name w:val="Emphasis"/>
    <w:basedOn w:val="a0"/>
    <w:uiPriority w:val="20"/>
    <w:qFormat/>
    <w:rPr>
      <w:i/>
    </w:rPr>
  </w:style>
  <w:style w:type="character" w:styleId="aa">
    <w:name w:val="Hyperlink"/>
    <w:basedOn w:val="a0"/>
    <w:uiPriority w:val="99"/>
    <w:unhideWhenUsed/>
    <w:qFormat/>
    <w:rPr>
      <w:color w:val="0000FF" w:themeColor="hyperlink"/>
      <w:u w:val="single"/>
    </w:rPr>
  </w:style>
  <w:style w:type="character" w:styleId="ab">
    <w:name w:val="annotation reference"/>
    <w:basedOn w:val="a0"/>
    <w:uiPriority w:val="99"/>
    <w:semiHidden/>
    <w:unhideWhenUsed/>
    <w:qFormat/>
    <w:rPr>
      <w:sz w:val="21"/>
      <w:szCs w:val="21"/>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6">
    <w:name w:val="页脚 字符"/>
    <w:basedOn w:val="a0"/>
    <w:link w:val="a5"/>
    <w:uiPriority w:val="99"/>
    <w:qFormat/>
    <w:rPr>
      <w:rFonts w:ascii="Calibri" w:eastAsia="Calibri" w:hAnsi="Calibri" w:cs="Calibri"/>
      <w:sz w:val="18"/>
      <w:szCs w:val="18"/>
      <w:lang w:eastAsia="en-US"/>
    </w:rPr>
  </w:style>
  <w:style w:type="character" w:customStyle="1" w:styleId="20">
    <w:name w:val="未处理的提及2"/>
    <w:basedOn w:val="a0"/>
    <w:uiPriority w:val="99"/>
    <w:semiHidden/>
    <w:unhideWhenUsed/>
    <w:rsid w:val="00811035"/>
    <w:rPr>
      <w:color w:val="605E5C"/>
      <w:shd w:val="clear" w:color="auto" w:fill="E1DFDD"/>
    </w:rPr>
  </w:style>
  <w:style w:type="paragraph" w:styleId="ac">
    <w:name w:val="List Paragraph"/>
    <w:basedOn w:val="a"/>
    <w:link w:val="ad"/>
    <w:uiPriority w:val="34"/>
    <w:qFormat/>
    <w:rsid w:val="007F280F"/>
    <w:pPr>
      <w:ind w:firstLineChars="200" w:firstLine="420"/>
    </w:pPr>
    <w:rPr>
      <w:rFonts w:asciiTheme="minorHAnsi" w:eastAsiaTheme="minorEastAsia" w:hAnsiTheme="minorHAnsi" w:cstheme="minorBidi"/>
      <w:kern w:val="2"/>
      <w:sz w:val="21"/>
      <w:szCs w:val="22"/>
      <w:lang w:eastAsia="zh-CN"/>
    </w:rPr>
  </w:style>
  <w:style w:type="paragraph" w:customStyle="1" w:styleId="Default">
    <w:name w:val="Default"/>
    <w:rsid w:val="00796057"/>
    <w:pPr>
      <w:widowControl w:val="0"/>
      <w:autoSpaceDE w:val="0"/>
      <w:autoSpaceDN w:val="0"/>
      <w:adjustRightInd w:val="0"/>
    </w:pPr>
    <w:rPr>
      <w:rFonts w:ascii="Arial" w:hAnsi="Arial" w:cs="Arial"/>
      <w:color w:val="000000"/>
      <w:sz w:val="24"/>
      <w:szCs w:val="24"/>
    </w:rPr>
  </w:style>
  <w:style w:type="character" w:customStyle="1" w:styleId="a4">
    <w:name w:val="批注文字 字符"/>
    <w:basedOn w:val="a0"/>
    <w:link w:val="a3"/>
    <w:uiPriority w:val="99"/>
    <w:qFormat/>
    <w:rsid w:val="00D24070"/>
    <w:rPr>
      <w:rFonts w:eastAsia="Calibri"/>
      <w:sz w:val="24"/>
      <w:szCs w:val="24"/>
      <w:lang w:eastAsia="en-US"/>
    </w:rPr>
  </w:style>
  <w:style w:type="character" w:styleId="ae">
    <w:name w:val="line number"/>
    <w:basedOn w:val="a0"/>
    <w:uiPriority w:val="99"/>
    <w:semiHidden/>
    <w:unhideWhenUsed/>
    <w:rsid w:val="0051423E"/>
  </w:style>
  <w:style w:type="paragraph" w:styleId="af">
    <w:name w:val="Revision"/>
    <w:hidden/>
    <w:uiPriority w:val="99"/>
    <w:semiHidden/>
    <w:rsid w:val="00C61EDE"/>
    <w:rPr>
      <w:rFonts w:eastAsia="Calibri"/>
      <w:sz w:val="24"/>
      <w:szCs w:val="24"/>
      <w:lang w:eastAsia="en-US"/>
    </w:rPr>
  </w:style>
  <w:style w:type="paragraph" w:styleId="af0">
    <w:name w:val="annotation subject"/>
    <w:basedOn w:val="a3"/>
    <w:next w:val="a3"/>
    <w:link w:val="af1"/>
    <w:uiPriority w:val="99"/>
    <w:semiHidden/>
    <w:unhideWhenUsed/>
    <w:rsid w:val="002B376E"/>
    <w:pPr>
      <w:jc w:val="both"/>
    </w:pPr>
    <w:rPr>
      <w:b/>
      <w:bCs/>
      <w:sz w:val="20"/>
      <w:szCs w:val="20"/>
    </w:rPr>
  </w:style>
  <w:style w:type="character" w:customStyle="1" w:styleId="af1">
    <w:name w:val="批注主题 字符"/>
    <w:basedOn w:val="a4"/>
    <w:link w:val="af0"/>
    <w:uiPriority w:val="99"/>
    <w:semiHidden/>
    <w:rsid w:val="002B376E"/>
    <w:rPr>
      <w:rFonts w:eastAsia="Calibri"/>
      <w:b/>
      <w:bCs/>
      <w:sz w:val="24"/>
      <w:szCs w:val="24"/>
      <w:lang w:eastAsia="en-US"/>
    </w:rPr>
  </w:style>
  <w:style w:type="paragraph" w:styleId="af2">
    <w:name w:val="Balloon Text"/>
    <w:basedOn w:val="a"/>
    <w:link w:val="af3"/>
    <w:uiPriority w:val="99"/>
    <w:semiHidden/>
    <w:unhideWhenUsed/>
    <w:rsid w:val="00BF31B8"/>
    <w:rPr>
      <w:rFonts w:ascii="Segoe UI" w:hAnsi="Segoe UI" w:cs="Segoe UI"/>
      <w:sz w:val="18"/>
      <w:szCs w:val="18"/>
    </w:rPr>
  </w:style>
  <w:style w:type="character" w:customStyle="1" w:styleId="af3">
    <w:name w:val="批注框文本 字符"/>
    <w:basedOn w:val="a0"/>
    <w:link w:val="af2"/>
    <w:uiPriority w:val="99"/>
    <w:semiHidden/>
    <w:rsid w:val="00BF31B8"/>
    <w:rPr>
      <w:rFonts w:ascii="Segoe UI" w:eastAsia="Calibri" w:hAnsi="Segoe UI" w:cs="Segoe UI"/>
      <w:sz w:val="18"/>
      <w:szCs w:val="18"/>
      <w:lang w:eastAsia="en-US"/>
    </w:rPr>
  </w:style>
  <w:style w:type="character" w:customStyle="1" w:styleId="30">
    <w:name w:val="未处理的提及3"/>
    <w:basedOn w:val="a0"/>
    <w:uiPriority w:val="99"/>
    <w:semiHidden/>
    <w:unhideWhenUsed/>
    <w:rsid w:val="00E2083F"/>
    <w:rPr>
      <w:color w:val="605E5C"/>
      <w:shd w:val="clear" w:color="auto" w:fill="E1DFDD"/>
    </w:rPr>
  </w:style>
  <w:style w:type="character" w:customStyle="1" w:styleId="40">
    <w:name w:val="未处理的提及4"/>
    <w:basedOn w:val="a0"/>
    <w:uiPriority w:val="99"/>
    <w:semiHidden/>
    <w:unhideWhenUsed/>
    <w:rsid w:val="00B025D6"/>
    <w:rPr>
      <w:color w:val="605E5C"/>
      <w:shd w:val="clear" w:color="auto" w:fill="E1DFDD"/>
    </w:rPr>
  </w:style>
  <w:style w:type="character" w:customStyle="1" w:styleId="author">
    <w:name w:val="author"/>
    <w:basedOn w:val="a0"/>
    <w:rsid w:val="000025E6"/>
  </w:style>
  <w:style w:type="character" w:customStyle="1" w:styleId="articletitle">
    <w:name w:val="articletitle"/>
    <w:basedOn w:val="a0"/>
    <w:rsid w:val="000025E6"/>
  </w:style>
  <w:style w:type="character" w:customStyle="1" w:styleId="pubyear">
    <w:name w:val="pubyear"/>
    <w:basedOn w:val="a0"/>
    <w:rsid w:val="000025E6"/>
  </w:style>
  <w:style w:type="character" w:customStyle="1" w:styleId="vol">
    <w:name w:val="vol"/>
    <w:basedOn w:val="a0"/>
    <w:rsid w:val="000025E6"/>
  </w:style>
  <w:style w:type="character" w:customStyle="1" w:styleId="pagefirst">
    <w:name w:val="pagefirst"/>
    <w:basedOn w:val="a0"/>
    <w:rsid w:val="000025E6"/>
  </w:style>
  <w:style w:type="character" w:customStyle="1" w:styleId="pagelast">
    <w:name w:val="pagelast"/>
    <w:basedOn w:val="a0"/>
    <w:rsid w:val="000025E6"/>
  </w:style>
  <w:style w:type="character" w:customStyle="1" w:styleId="nlmstring-name">
    <w:name w:val="nlm_string-name"/>
    <w:basedOn w:val="a0"/>
    <w:rsid w:val="000025E6"/>
  </w:style>
  <w:style w:type="character" w:customStyle="1" w:styleId="journalname">
    <w:name w:val="journalname"/>
    <w:basedOn w:val="a0"/>
    <w:rsid w:val="000025E6"/>
  </w:style>
  <w:style w:type="character" w:customStyle="1" w:styleId="year">
    <w:name w:val="year"/>
    <w:basedOn w:val="a0"/>
    <w:rsid w:val="000025E6"/>
  </w:style>
  <w:style w:type="character" w:customStyle="1" w:styleId="volume">
    <w:name w:val="volume"/>
    <w:basedOn w:val="a0"/>
    <w:rsid w:val="000025E6"/>
  </w:style>
  <w:style w:type="character" w:customStyle="1" w:styleId="issue">
    <w:name w:val="issue"/>
    <w:basedOn w:val="a0"/>
    <w:rsid w:val="000025E6"/>
  </w:style>
  <w:style w:type="character" w:customStyle="1" w:styleId="page">
    <w:name w:val="page"/>
    <w:basedOn w:val="a0"/>
    <w:rsid w:val="000025E6"/>
  </w:style>
  <w:style w:type="character" w:customStyle="1" w:styleId="ad">
    <w:name w:val="列表段落 字符"/>
    <w:basedOn w:val="a0"/>
    <w:link w:val="ac"/>
    <w:uiPriority w:val="34"/>
    <w:rsid w:val="0062286D"/>
    <w:rPr>
      <w:rFonts w:asciiTheme="minorHAnsi" w:eastAsiaTheme="minorEastAsia" w:hAnsiTheme="minorHAnsi" w:cstheme="minorBidi"/>
      <w:kern w:val="2"/>
      <w:sz w:val="21"/>
      <w:szCs w:val="22"/>
    </w:rPr>
  </w:style>
  <w:style w:type="character" w:customStyle="1" w:styleId="50">
    <w:name w:val="未处理的提及5"/>
    <w:basedOn w:val="a0"/>
    <w:uiPriority w:val="99"/>
    <w:semiHidden/>
    <w:unhideWhenUsed/>
    <w:rsid w:val="00A0387F"/>
    <w:rPr>
      <w:color w:val="605E5C"/>
      <w:shd w:val="clear" w:color="auto" w:fill="E1DFDD"/>
    </w:rPr>
  </w:style>
  <w:style w:type="paragraph" w:styleId="af4">
    <w:name w:val="Normal (Web)"/>
    <w:basedOn w:val="a"/>
    <w:uiPriority w:val="99"/>
    <w:semiHidden/>
    <w:unhideWhenUsed/>
    <w:rsid w:val="0053676F"/>
    <w:pPr>
      <w:widowControl/>
      <w:spacing w:before="100" w:beforeAutospacing="1" w:after="100" w:afterAutospacing="1"/>
      <w:jc w:val="left"/>
    </w:pPr>
    <w:rPr>
      <w:rFonts w:ascii="Times New Roman" w:eastAsia="Times New Roman" w:hAnsi="Times New Roman" w:cs="Times New Roman"/>
      <w:lang w:val="en-IN" w:eastAsia="en-IN"/>
    </w:rPr>
  </w:style>
  <w:style w:type="character" w:styleId="af5">
    <w:name w:val="Strong"/>
    <w:basedOn w:val="a0"/>
    <w:uiPriority w:val="22"/>
    <w:qFormat/>
    <w:rsid w:val="00712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15586">
      <w:bodyDiv w:val="1"/>
      <w:marLeft w:val="0"/>
      <w:marRight w:val="0"/>
      <w:marTop w:val="0"/>
      <w:marBottom w:val="0"/>
      <w:divBdr>
        <w:top w:val="none" w:sz="0" w:space="0" w:color="auto"/>
        <w:left w:val="none" w:sz="0" w:space="0" w:color="auto"/>
        <w:bottom w:val="none" w:sz="0" w:space="0" w:color="auto"/>
        <w:right w:val="none" w:sz="0" w:space="0" w:color="auto"/>
      </w:divBdr>
      <w:divsChild>
        <w:div w:id="1445883350">
          <w:marLeft w:val="0"/>
          <w:marRight w:val="0"/>
          <w:marTop w:val="0"/>
          <w:marBottom w:val="0"/>
          <w:divBdr>
            <w:top w:val="none" w:sz="0" w:space="0" w:color="auto"/>
            <w:left w:val="none" w:sz="0" w:space="0" w:color="auto"/>
            <w:bottom w:val="none" w:sz="0" w:space="0" w:color="auto"/>
            <w:right w:val="none" w:sz="0" w:space="0" w:color="auto"/>
          </w:divBdr>
        </w:div>
        <w:div w:id="1296371620">
          <w:marLeft w:val="0"/>
          <w:marRight w:val="0"/>
          <w:marTop w:val="0"/>
          <w:marBottom w:val="0"/>
          <w:divBdr>
            <w:top w:val="none" w:sz="0" w:space="0" w:color="auto"/>
            <w:left w:val="none" w:sz="0" w:space="0" w:color="auto"/>
            <w:bottom w:val="none" w:sz="0" w:space="0" w:color="auto"/>
            <w:right w:val="none" w:sz="0" w:space="0" w:color="auto"/>
          </w:divBdr>
        </w:div>
      </w:divsChild>
    </w:div>
    <w:div w:id="501554304">
      <w:bodyDiv w:val="1"/>
      <w:marLeft w:val="0"/>
      <w:marRight w:val="0"/>
      <w:marTop w:val="0"/>
      <w:marBottom w:val="0"/>
      <w:divBdr>
        <w:top w:val="none" w:sz="0" w:space="0" w:color="auto"/>
        <w:left w:val="none" w:sz="0" w:space="0" w:color="auto"/>
        <w:bottom w:val="none" w:sz="0" w:space="0" w:color="auto"/>
        <w:right w:val="none" w:sz="0" w:space="0" w:color="auto"/>
      </w:divBdr>
    </w:div>
    <w:div w:id="672877783">
      <w:bodyDiv w:val="1"/>
      <w:marLeft w:val="0"/>
      <w:marRight w:val="0"/>
      <w:marTop w:val="0"/>
      <w:marBottom w:val="0"/>
      <w:divBdr>
        <w:top w:val="none" w:sz="0" w:space="0" w:color="auto"/>
        <w:left w:val="none" w:sz="0" w:space="0" w:color="auto"/>
        <w:bottom w:val="none" w:sz="0" w:space="0" w:color="auto"/>
        <w:right w:val="none" w:sz="0" w:space="0" w:color="auto"/>
      </w:divBdr>
    </w:div>
    <w:div w:id="716859218">
      <w:bodyDiv w:val="1"/>
      <w:marLeft w:val="0"/>
      <w:marRight w:val="0"/>
      <w:marTop w:val="0"/>
      <w:marBottom w:val="0"/>
      <w:divBdr>
        <w:top w:val="none" w:sz="0" w:space="0" w:color="auto"/>
        <w:left w:val="none" w:sz="0" w:space="0" w:color="auto"/>
        <w:bottom w:val="none" w:sz="0" w:space="0" w:color="auto"/>
        <w:right w:val="none" w:sz="0" w:space="0" w:color="auto"/>
      </w:divBdr>
    </w:div>
    <w:div w:id="760954263">
      <w:bodyDiv w:val="1"/>
      <w:marLeft w:val="0"/>
      <w:marRight w:val="0"/>
      <w:marTop w:val="0"/>
      <w:marBottom w:val="0"/>
      <w:divBdr>
        <w:top w:val="none" w:sz="0" w:space="0" w:color="auto"/>
        <w:left w:val="none" w:sz="0" w:space="0" w:color="auto"/>
        <w:bottom w:val="none" w:sz="0" w:space="0" w:color="auto"/>
        <w:right w:val="none" w:sz="0" w:space="0" w:color="auto"/>
      </w:divBdr>
      <w:divsChild>
        <w:div w:id="869491986">
          <w:marLeft w:val="0"/>
          <w:marRight w:val="0"/>
          <w:marTop w:val="0"/>
          <w:marBottom w:val="0"/>
          <w:divBdr>
            <w:top w:val="none" w:sz="0" w:space="0" w:color="auto"/>
            <w:left w:val="none" w:sz="0" w:space="0" w:color="auto"/>
            <w:bottom w:val="none" w:sz="0" w:space="0" w:color="auto"/>
            <w:right w:val="none" w:sz="0" w:space="0" w:color="auto"/>
          </w:divBdr>
          <w:divsChild>
            <w:div w:id="671494753">
              <w:marLeft w:val="0"/>
              <w:marRight w:val="0"/>
              <w:marTop w:val="0"/>
              <w:marBottom w:val="0"/>
              <w:divBdr>
                <w:top w:val="none" w:sz="0" w:space="0" w:color="auto"/>
                <w:left w:val="none" w:sz="0" w:space="0" w:color="auto"/>
                <w:bottom w:val="none" w:sz="0" w:space="0" w:color="auto"/>
                <w:right w:val="none" w:sz="0" w:space="0" w:color="auto"/>
              </w:divBdr>
            </w:div>
            <w:div w:id="1515879437">
              <w:marLeft w:val="0"/>
              <w:marRight w:val="390"/>
              <w:marTop w:val="0"/>
              <w:marBottom w:val="0"/>
              <w:divBdr>
                <w:top w:val="none" w:sz="0" w:space="0" w:color="auto"/>
                <w:left w:val="none" w:sz="0" w:space="0" w:color="auto"/>
                <w:bottom w:val="none" w:sz="0" w:space="0" w:color="auto"/>
                <w:right w:val="none" w:sz="0" w:space="0" w:color="auto"/>
              </w:divBdr>
              <w:divsChild>
                <w:div w:id="517157530">
                  <w:marLeft w:val="0"/>
                  <w:marRight w:val="0"/>
                  <w:marTop w:val="0"/>
                  <w:marBottom w:val="0"/>
                  <w:divBdr>
                    <w:top w:val="single" w:sz="6" w:space="0" w:color="DCDCDC"/>
                    <w:left w:val="single" w:sz="6" w:space="0" w:color="DCDCDC"/>
                    <w:bottom w:val="single" w:sz="6" w:space="0" w:color="DCDCDC"/>
                    <w:right w:val="single" w:sz="6" w:space="24" w:color="DCDCDC"/>
                  </w:divBdr>
                  <w:divsChild>
                    <w:div w:id="1964263126">
                      <w:marLeft w:val="0"/>
                      <w:marRight w:val="0"/>
                      <w:marTop w:val="0"/>
                      <w:marBottom w:val="0"/>
                      <w:divBdr>
                        <w:top w:val="none" w:sz="0" w:space="0" w:color="auto"/>
                        <w:left w:val="none" w:sz="0" w:space="0" w:color="auto"/>
                        <w:bottom w:val="none" w:sz="0" w:space="0" w:color="auto"/>
                        <w:right w:val="none" w:sz="0" w:space="0" w:color="auto"/>
                      </w:divBdr>
                      <w:divsChild>
                        <w:div w:id="1499733154">
                          <w:marLeft w:val="0"/>
                          <w:marRight w:val="0"/>
                          <w:marTop w:val="0"/>
                          <w:marBottom w:val="0"/>
                          <w:divBdr>
                            <w:top w:val="none" w:sz="0" w:space="0" w:color="auto"/>
                            <w:left w:val="none" w:sz="0" w:space="0" w:color="auto"/>
                            <w:bottom w:val="none" w:sz="0" w:space="0" w:color="auto"/>
                            <w:right w:val="none" w:sz="0" w:space="0" w:color="auto"/>
                          </w:divBdr>
                          <w:divsChild>
                            <w:div w:id="1399596524">
                              <w:marLeft w:val="0"/>
                              <w:marRight w:val="0"/>
                              <w:marTop w:val="0"/>
                              <w:marBottom w:val="0"/>
                              <w:divBdr>
                                <w:top w:val="none" w:sz="0" w:space="0" w:color="auto"/>
                                <w:left w:val="none" w:sz="0" w:space="0" w:color="auto"/>
                                <w:bottom w:val="none" w:sz="0" w:space="0" w:color="auto"/>
                                <w:right w:val="none" w:sz="0" w:space="0" w:color="auto"/>
                              </w:divBdr>
                            </w:div>
                            <w:div w:id="17984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0238">
          <w:marLeft w:val="0"/>
          <w:marRight w:val="0"/>
          <w:marTop w:val="0"/>
          <w:marBottom w:val="0"/>
          <w:divBdr>
            <w:top w:val="none" w:sz="0" w:space="0" w:color="auto"/>
            <w:left w:val="none" w:sz="0" w:space="0" w:color="auto"/>
            <w:bottom w:val="none" w:sz="0" w:space="0" w:color="auto"/>
            <w:right w:val="none" w:sz="0" w:space="0" w:color="auto"/>
          </w:divBdr>
          <w:divsChild>
            <w:div w:id="584189792">
              <w:marLeft w:val="0"/>
              <w:marRight w:val="0"/>
              <w:marTop w:val="0"/>
              <w:marBottom w:val="0"/>
              <w:divBdr>
                <w:top w:val="none" w:sz="0" w:space="0" w:color="auto"/>
                <w:left w:val="none" w:sz="0" w:space="0" w:color="auto"/>
                <w:bottom w:val="none" w:sz="0" w:space="0" w:color="auto"/>
                <w:right w:val="none" w:sz="0" w:space="0" w:color="auto"/>
              </w:divBdr>
              <w:divsChild>
                <w:div w:id="784077158">
                  <w:marLeft w:val="0"/>
                  <w:marRight w:val="0"/>
                  <w:marTop w:val="0"/>
                  <w:marBottom w:val="0"/>
                  <w:divBdr>
                    <w:top w:val="none" w:sz="0" w:space="0" w:color="auto"/>
                    <w:left w:val="none" w:sz="0" w:space="0" w:color="auto"/>
                    <w:bottom w:val="none" w:sz="0" w:space="0" w:color="auto"/>
                    <w:right w:val="none" w:sz="0" w:space="0" w:color="auto"/>
                  </w:divBdr>
                  <w:divsChild>
                    <w:div w:id="667057759">
                      <w:marLeft w:val="0"/>
                      <w:marRight w:val="0"/>
                      <w:marTop w:val="0"/>
                      <w:marBottom w:val="0"/>
                      <w:divBdr>
                        <w:top w:val="single" w:sz="6" w:space="0" w:color="DEDEDE"/>
                        <w:left w:val="single" w:sz="6" w:space="0" w:color="DEDEDE"/>
                        <w:bottom w:val="single" w:sz="6" w:space="0" w:color="DEDEDE"/>
                        <w:right w:val="single" w:sz="6" w:space="0" w:color="DEDEDE"/>
                      </w:divBdr>
                      <w:divsChild>
                        <w:div w:id="2049598302">
                          <w:marLeft w:val="0"/>
                          <w:marRight w:val="0"/>
                          <w:marTop w:val="0"/>
                          <w:marBottom w:val="0"/>
                          <w:divBdr>
                            <w:top w:val="none" w:sz="0" w:space="0" w:color="auto"/>
                            <w:left w:val="none" w:sz="0" w:space="0" w:color="auto"/>
                            <w:bottom w:val="none" w:sz="0" w:space="0" w:color="auto"/>
                            <w:right w:val="none" w:sz="0" w:space="0" w:color="auto"/>
                          </w:divBdr>
                          <w:divsChild>
                            <w:div w:id="17854614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392235023">
                  <w:marLeft w:val="0"/>
                  <w:marRight w:val="0"/>
                  <w:marTop w:val="0"/>
                  <w:marBottom w:val="0"/>
                  <w:divBdr>
                    <w:top w:val="none" w:sz="0" w:space="0" w:color="auto"/>
                    <w:left w:val="none" w:sz="0" w:space="0" w:color="auto"/>
                    <w:bottom w:val="none" w:sz="0" w:space="0" w:color="auto"/>
                    <w:right w:val="none" w:sz="0" w:space="0" w:color="auto"/>
                  </w:divBdr>
                  <w:divsChild>
                    <w:div w:id="1969778022">
                      <w:marLeft w:val="0"/>
                      <w:marRight w:val="0"/>
                      <w:marTop w:val="0"/>
                      <w:marBottom w:val="0"/>
                      <w:divBdr>
                        <w:top w:val="none" w:sz="0" w:space="0" w:color="auto"/>
                        <w:left w:val="none" w:sz="0" w:space="0" w:color="auto"/>
                        <w:bottom w:val="none" w:sz="0" w:space="0" w:color="auto"/>
                        <w:right w:val="none" w:sz="0" w:space="0" w:color="auto"/>
                      </w:divBdr>
                      <w:divsChild>
                        <w:div w:id="773476791">
                          <w:marLeft w:val="0"/>
                          <w:marRight w:val="0"/>
                          <w:marTop w:val="0"/>
                          <w:marBottom w:val="0"/>
                          <w:divBdr>
                            <w:top w:val="single" w:sz="6" w:space="8" w:color="EEEEEE"/>
                            <w:left w:val="none" w:sz="0" w:space="0" w:color="auto"/>
                            <w:bottom w:val="single" w:sz="6" w:space="8" w:color="EEEEEE"/>
                            <w:right w:val="single" w:sz="6" w:space="8" w:color="EEEEEE"/>
                          </w:divBdr>
                          <w:divsChild>
                            <w:div w:id="21033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895805">
      <w:bodyDiv w:val="1"/>
      <w:marLeft w:val="0"/>
      <w:marRight w:val="0"/>
      <w:marTop w:val="0"/>
      <w:marBottom w:val="0"/>
      <w:divBdr>
        <w:top w:val="none" w:sz="0" w:space="0" w:color="auto"/>
        <w:left w:val="none" w:sz="0" w:space="0" w:color="auto"/>
        <w:bottom w:val="none" w:sz="0" w:space="0" w:color="auto"/>
        <w:right w:val="none" w:sz="0" w:space="0" w:color="auto"/>
      </w:divBdr>
    </w:div>
    <w:div w:id="985933633">
      <w:bodyDiv w:val="1"/>
      <w:marLeft w:val="0"/>
      <w:marRight w:val="0"/>
      <w:marTop w:val="0"/>
      <w:marBottom w:val="0"/>
      <w:divBdr>
        <w:top w:val="none" w:sz="0" w:space="0" w:color="auto"/>
        <w:left w:val="none" w:sz="0" w:space="0" w:color="auto"/>
        <w:bottom w:val="none" w:sz="0" w:space="0" w:color="auto"/>
        <w:right w:val="none" w:sz="0" w:space="0" w:color="auto"/>
      </w:divBdr>
    </w:div>
    <w:div w:id="993604983">
      <w:bodyDiv w:val="1"/>
      <w:marLeft w:val="0"/>
      <w:marRight w:val="0"/>
      <w:marTop w:val="0"/>
      <w:marBottom w:val="0"/>
      <w:divBdr>
        <w:top w:val="none" w:sz="0" w:space="0" w:color="auto"/>
        <w:left w:val="none" w:sz="0" w:space="0" w:color="auto"/>
        <w:bottom w:val="none" w:sz="0" w:space="0" w:color="auto"/>
        <w:right w:val="none" w:sz="0" w:space="0" w:color="auto"/>
      </w:divBdr>
    </w:div>
    <w:div w:id="1016883978">
      <w:bodyDiv w:val="1"/>
      <w:marLeft w:val="0"/>
      <w:marRight w:val="0"/>
      <w:marTop w:val="0"/>
      <w:marBottom w:val="0"/>
      <w:divBdr>
        <w:top w:val="none" w:sz="0" w:space="0" w:color="auto"/>
        <w:left w:val="none" w:sz="0" w:space="0" w:color="auto"/>
        <w:bottom w:val="none" w:sz="0" w:space="0" w:color="auto"/>
        <w:right w:val="none" w:sz="0" w:space="0" w:color="auto"/>
      </w:divBdr>
    </w:div>
    <w:div w:id="1031028155">
      <w:bodyDiv w:val="1"/>
      <w:marLeft w:val="0"/>
      <w:marRight w:val="0"/>
      <w:marTop w:val="0"/>
      <w:marBottom w:val="0"/>
      <w:divBdr>
        <w:top w:val="none" w:sz="0" w:space="0" w:color="auto"/>
        <w:left w:val="none" w:sz="0" w:space="0" w:color="auto"/>
        <w:bottom w:val="none" w:sz="0" w:space="0" w:color="auto"/>
        <w:right w:val="none" w:sz="0" w:space="0" w:color="auto"/>
      </w:divBdr>
    </w:div>
    <w:div w:id="1605722460">
      <w:bodyDiv w:val="1"/>
      <w:marLeft w:val="0"/>
      <w:marRight w:val="0"/>
      <w:marTop w:val="0"/>
      <w:marBottom w:val="0"/>
      <w:divBdr>
        <w:top w:val="none" w:sz="0" w:space="0" w:color="auto"/>
        <w:left w:val="none" w:sz="0" w:space="0" w:color="auto"/>
        <w:bottom w:val="none" w:sz="0" w:space="0" w:color="auto"/>
        <w:right w:val="none" w:sz="0" w:space="0" w:color="auto"/>
      </w:divBdr>
    </w:div>
    <w:div w:id="1655450817">
      <w:bodyDiv w:val="1"/>
      <w:marLeft w:val="0"/>
      <w:marRight w:val="0"/>
      <w:marTop w:val="0"/>
      <w:marBottom w:val="0"/>
      <w:divBdr>
        <w:top w:val="none" w:sz="0" w:space="0" w:color="auto"/>
        <w:left w:val="none" w:sz="0" w:space="0" w:color="auto"/>
        <w:bottom w:val="none" w:sz="0" w:space="0" w:color="auto"/>
        <w:right w:val="none" w:sz="0" w:space="0" w:color="auto"/>
      </w:divBdr>
    </w:div>
    <w:div w:id="1711955975">
      <w:bodyDiv w:val="1"/>
      <w:marLeft w:val="0"/>
      <w:marRight w:val="0"/>
      <w:marTop w:val="0"/>
      <w:marBottom w:val="0"/>
      <w:divBdr>
        <w:top w:val="none" w:sz="0" w:space="0" w:color="auto"/>
        <w:left w:val="none" w:sz="0" w:space="0" w:color="auto"/>
        <w:bottom w:val="none" w:sz="0" w:space="0" w:color="auto"/>
        <w:right w:val="none" w:sz="0" w:space="0" w:color="auto"/>
      </w:divBdr>
    </w:div>
    <w:div w:id="1856459659">
      <w:bodyDiv w:val="1"/>
      <w:marLeft w:val="0"/>
      <w:marRight w:val="0"/>
      <w:marTop w:val="0"/>
      <w:marBottom w:val="0"/>
      <w:divBdr>
        <w:top w:val="none" w:sz="0" w:space="0" w:color="auto"/>
        <w:left w:val="none" w:sz="0" w:space="0" w:color="auto"/>
        <w:bottom w:val="none" w:sz="0" w:space="0" w:color="auto"/>
        <w:right w:val="none" w:sz="0" w:space="0" w:color="auto"/>
      </w:divBdr>
    </w:div>
    <w:div w:id="193011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3601133923@163.com" TargetMode="Externa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zj_1120@163.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hanggenming@163.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ocean_elf@126.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Program%20Files\baidu-translate-client\resources\app.asar\app.html" TargetMode="External"/><Relationship Id="rId14" Type="http://schemas.openxmlformats.org/officeDocument/2006/relationships/hyperlink" Target="mailto:wordnet@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8F755C8-7368-46B2-B108-551239F603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3391</Words>
  <Characters>19330</Characters>
  <Application>Microsoft Office Word</Application>
  <DocSecurity>0</DocSecurity>
  <Lines>161</Lines>
  <Paragraphs>45</Paragraphs>
  <ScaleCrop>false</ScaleCrop>
  <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2023-03-11T08:49:00Z</cp:lastPrinted>
  <dcterms:created xsi:type="dcterms:W3CDTF">2023-10-05T21:40:00Z</dcterms:created>
  <dcterms:modified xsi:type="dcterms:W3CDTF">2023-10-09T03:38:00Z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