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Expanding the Toolkit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Axonal Transport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P. Tosolini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David Villarroel-Campos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Giampietro Schiavo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James N. Sleigh</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Neuromuscular Diseases, UCL Queen Square Institute of Neurology, University College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UCL Queen Square Motor Neuron Disease Centre, University College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UK Dementia Research Institute, University College London,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Villarroel-Campos</w:t>
        <w:tab/>
        <w:t xml:space="preserve">(david.villarroel.15@ucl.ac.uk</w:t>
      </w:r>
      <w:r>
        <w:rPr>
          <w:rFonts w:ascii="Calibri" w:hAnsi="Calibri" w:cs="Calibri" w:eastAsia="Calibri"/>
          <w:color w:val="auto"/>
          <w:spacing w:val="0"/>
          <w:position w:val="0"/>
          <w:sz w:val="24"/>
          <w:u w:val="single"/>
          <w:shd w:fill="auto" w:val="clear"/>
        </w:rPr>
        <w:t xml:space="preserve">)</w:t>
        <w:tab/>
      </w:r>
      <w:r>
        <w:rPr>
          <w:rFonts w:ascii="Calibri" w:hAnsi="Calibri" w:cs="Calibri" w:eastAsia="Calibri"/>
          <w:color w:val="auto"/>
          <w:spacing w:val="0"/>
          <w:position w:val="0"/>
          <w:sz w:val="24"/>
          <w:shd w:fill="auto" w:val="clear"/>
        </w:rPr>
        <w:t xml:space="preserve">0000-0003-4250-7216</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Giampietro Schiavo</w:t>
        <w:tab/>
        <w:tab/>
        <w:t xml:space="preserve">(giampietro.schiavo@ucl.ac.uk</w:t>
      </w:r>
      <w:r>
        <w:rPr>
          <w:rFonts w:ascii="Calibri" w:hAnsi="Calibri" w:cs="Calibri" w:eastAsia="Calibri"/>
          <w:color w:val="auto"/>
          <w:spacing w:val="0"/>
          <w:position w:val="0"/>
          <w:sz w:val="24"/>
          <w:u w:val="single"/>
          <w:shd w:fill="auto" w:val="clear"/>
        </w:rPr>
        <w:t xml:space="preserve">)</w:t>
        <w:tab/>
      </w:r>
      <w:r>
        <w:rPr>
          <w:rFonts w:ascii="Calibri" w:hAnsi="Calibri" w:cs="Calibri" w:eastAsia="Calibri"/>
          <w:color w:val="auto"/>
          <w:spacing w:val="0"/>
          <w:position w:val="0"/>
          <w:sz w:val="24"/>
          <w:shd w:fill="auto" w:val="clear"/>
        </w:rPr>
        <w:t xml:space="preserve">0000-0002-4319-8745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James N. Sleigh</w:t>
      </w:r>
      <w:r>
        <w:rPr>
          <w:rFonts w:ascii="Calibri" w:hAnsi="Calibri" w:cs="Calibri" w:eastAsia="Calibri"/>
          <w:color w:val="auto"/>
          <w:spacing w:val="0"/>
          <w:position w:val="0"/>
          <w:sz w:val="24"/>
          <w:shd w:fill="auto" w:val="clear"/>
        </w:rPr>
        <w:tab/>
        <w:tab/>
        <w:t xml:space="preserve">(</w:t>
      </w:r>
      <w:r>
        <w:rPr>
          <w:rFonts w:ascii="Calibri" w:hAnsi="Calibri" w:cs="Calibri" w:eastAsia="Calibri"/>
          <w:color w:val="000000"/>
          <w:spacing w:val="0"/>
          <w:position w:val="0"/>
          <w:sz w:val="24"/>
          <w:shd w:fill="auto" w:val="clear"/>
        </w:rPr>
        <w:t xml:space="preserve">j.sleigh@ucl.ac.uk</w:t>
      </w:r>
      <w:r>
        <w:rPr>
          <w:rFonts w:ascii="Calibri" w:hAnsi="Calibri" w:cs="Calibri" w:eastAsia="Calibri"/>
          <w:color w:val="auto"/>
          <w:spacing w:val="0"/>
          <w:position w:val="0"/>
          <w:sz w:val="24"/>
          <w:u w:val="single"/>
          <w:shd w:fill="auto" w:val="clear"/>
        </w:rPr>
        <w:t xml:space="preserve">)</w:t>
        <w:tab/>
        <w:tab/>
        <w:tab/>
      </w:r>
      <w:r>
        <w:rPr>
          <w:rFonts w:ascii="Calibri" w:hAnsi="Calibri" w:cs="Calibri" w:eastAsia="Calibri"/>
          <w:color w:val="auto"/>
          <w:spacing w:val="0"/>
          <w:position w:val="0"/>
          <w:sz w:val="24"/>
          <w:shd w:fill="auto" w:val="clear"/>
        </w:rPr>
        <w:t xml:space="preserve">0000-0002-3782-9045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P. Tosolini</w:t>
        <w:tab/>
        <w:tab/>
        <w:t xml:space="preserve">(</w:t>
      </w:r>
      <w:r>
        <w:rPr>
          <w:rFonts w:ascii="Calibri" w:hAnsi="Calibri" w:cs="Calibri" w:eastAsia="Calibri"/>
          <w:color w:val="000000"/>
          <w:spacing w:val="0"/>
          <w:position w:val="0"/>
          <w:sz w:val="24"/>
          <w:shd w:fill="auto" w:val="clear"/>
        </w:rPr>
        <w:t xml:space="preserve">a.tosolini@ucl.ac.uk</w:t>
      </w:r>
      <w:r>
        <w:rPr>
          <w:rFonts w:ascii="Calibri" w:hAnsi="Calibri" w:cs="Calibri" w:eastAsia="Calibri"/>
          <w:color w:val="auto"/>
          <w:spacing w:val="0"/>
          <w:position w:val="0"/>
          <w:sz w:val="24"/>
          <w:u w:val="single"/>
          <w:shd w:fill="auto" w:val="clear"/>
        </w:rPr>
        <w:t xml:space="preserve">)</w:t>
        <w:tab/>
      </w:r>
      <w:r>
        <w:rPr>
          <w:rFonts w:ascii="Calibri" w:hAnsi="Calibri" w:cs="Calibri" w:eastAsia="Calibri"/>
          <w:color w:val="auto"/>
          <w:spacing w:val="0"/>
          <w:position w:val="0"/>
          <w:sz w:val="24"/>
          <w:shd w:fill="auto" w:val="clear"/>
        </w:rPr>
        <w:tab/>
        <w:tab/>
        <w:t xml:space="preserve">0000-0001-7651-7442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transgenic fluorescent mice, detailed protocols are described to assess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axonal transport of signaling endosomes and mitochondria within motor and sensory axons of the intact sciatic nerve in live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Axonal transport maintains neuronal homeostasis by enabling the bidirectional trafficking of diverse organelles and cargoes. Disruptions in axonal transport have devastating consequences for individual neurons and their networks and contribute to a plethora of neurological disorders. As many of these conditions involve both cell autonomous and non-autonomous mechanisms and often display a spectrum of pathology across neuronal subtypes, methods to accurately identify and analyze neuronal subsets are imperative.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details protocols to assess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axonal transport of signaling endosomes and mitochondria in sciatic nerves of anesthetized mice. Stepwise instructions are provided to 1) distinguish motor versus sensory neurons </w:t>
      </w:r>
      <w:r>
        <w:rPr>
          <w:rFonts w:ascii="Calibri" w:hAnsi="Calibri" w:cs="Calibri" w:eastAsia="Calibri"/>
          <w:i/>
          <w:color w:val="auto"/>
          <w:spacing w:val="0"/>
          <w:position w:val="0"/>
          <w:sz w:val="24"/>
          <w:shd w:fill="auto" w:val="clear"/>
        </w:rPr>
        <w:t xml:space="preserve">in vivo, in situ,</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by using mice that selectively express fluorescent proteins within cholinergic motor neurons; and 2) separately or concurrently assess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axonal transport of signaling endosomes and mitochondria. These complementary intravital approaches facilitate the simultaneous imaging of different cargoes in distinct peripheral nerve axons to quantitatively monitor axonal transport in health and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peripheral nervous system (PNS) connects the central nervous system (CNS) to its distal targets, permitting the relay of efferent signals to exert motor control and afferent signals to provide sensory feedback. Using the many advances in mouse genetics, scientists have developed different mouse models to investigate many diseases/syndromes afflicting the PNS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 most neurodegenerative pathologies are multifactorial with cell autonomous and non-autonomous pathological contributions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untangling cell-/neuron-specific pathologies can provide crucial, novel, pathomechanistic clues.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this end, the development of bacterial artificial chromosome (BAC)-transgenic mice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has enabled selective endogenous expression of fluorescent proteins in targeted subsets of neurons. For example, BAC-transgenic mice are available that express green fluorescent protein (GFP) in cholinergic</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or glycinergic neurons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a variant red fluorescent protein (tdTomato) in parvalbumin-positive neurons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Alternatively, selective neuronal expression of fluorescent proteins can be achieved via Cre-</w:t>
      </w:r>
      <w:r>
        <w:rPr>
          <w:rFonts w:ascii="Calibri" w:hAnsi="Calibri" w:cs="Calibri" w:eastAsia="Calibri"/>
          <w:i/>
          <w:color w:val="auto"/>
          <w:spacing w:val="0"/>
          <w:position w:val="0"/>
          <w:sz w:val="24"/>
          <w:shd w:fill="auto" w:val="clear"/>
        </w:rPr>
        <w:t xml:space="preserve">loxP</w:t>
      </w:r>
      <w:r>
        <w:rPr>
          <w:rFonts w:ascii="Calibri" w:hAnsi="Calibri" w:cs="Calibri" w:eastAsia="Calibri"/>
          <w:color w:val="auto"/>
          <w:spacing w:val="0"/>
          <w:position w:val="0"/>
          <w:sz w:val="24"/>
          <w:shd w:fill="auto" w:val="clear"/>
        </w:rPr>
        <w:t xml:space="preserve"> technology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instance, mouse strains expressing Cre-recombinase in subsets of neurons (e.g., choline acetyltransferase (ChAT)-Cre) can be bred with mice that express a fluorescent protein (e.g., tdTomato or GFP) from a constitutive locus (e.g., Gt(ROSA)26Sor) under the control of a transcriptional repressor flanked by loxP sites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(e.g., generating mice that express tdTomato only in cholinergic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using Cre-</w:t>
      </w:r>
      <w:r>
        <w:rPr>
          <w:rFonts w:ascii="Calibri" w:hAnsi="Calibri" w:cs="Calibri" w:eastAsia="Calibri"/>
          <w:i/>
          <w:color w:val="auto"/>
          <w:spacing w:val="0"/>
          <w:position w:val="0"/>
          <w:sz w:val="24"/>
          <w:shd w:fill="auto" w:val="clear"/>
        </w:rPr>
        <w:t xml:space="preserve">lox</w:t>
      </w:r>
      <w:r>
        <w:rPr>
          <w:rFonts w:ascii="Calibri" w:hAnsi="Calibri" w:cs="Calibri" w:eastAsia="Calibri"/>
          <w:color w:val="auto"/>
          <w:spacing w:val="0"/>
          <w:position w:val="0"/>
          <w:sz w:val="24"/>
          <w:shd w:fill="auto" w:val="clear"/>
        </w:rPr>
        <w:t xml:space="preserve">P recombination, transgenic mice have been generated that express yellow fluorescent protein in axons of the descending corticospinal tract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recent advances in CRISPR/Cas9 gene editing, such as ORANGE, enable the fluorescent tagging of multiple endogenous neuronal proteins, with expression achievable at nanoscale resolution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in combination with Cre-expressing mouse strains, ORANGE-CAKE can be used to tag multiple endogenous proteins in individual neurons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Alternatively, viral-mediated neuronal tracing also allows the labeling of neuronal subsets and can be achieved with targeted combinations of viral serotypes and/or cell-specific promoters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neuronal labeling methods, mouse lines have also been engineered to express reporter proteins targeting specific organelles, such as mitochondria expressing cyan fluorescent protein (Mito.CFP)</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autophagosomes expressing GFP (LC3.GFP)</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Moreover, mouse lines have been engineered to assess calcium dynamics specifically in neurons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Thy1.GCaMP)</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Altogether, with the advancement of such models, novel experimental applications enable scientists to ask more precise biological and pathological questions about the CNS and PNS.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role of peripheral motor nerves is to transmit electrical signals to skeletal muscle to elicit movement. In addition, and occurring over longer time-scales, neurochemical and physiological messages in the form of diverse organelles (e.g., mitochondria, endolysosomes, signaling endosomes) traverse the cytoskeletal network in a uni- or bi-directional manner to help maintain neuronal homeostasis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Impairments in axonal transport have disastrous consequences for neuronal health and are linked to many neurodevelopmental and neurodegenerative diseases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At the molecular level, impairments in axonal transport can disrupt physiological events regulating synaptic signaling and plasticity, gene transcription, and local translation throughout the axon</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While there is a multitude of tools to study these events in cultured cells/neurons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assessing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axonal transport dynamics and axonal-linked biological events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are required to confirm key insights into physiological and pathological processes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years, the Schiavo Laboratory has optimized protocols to ask diverse questions about axonal transport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These experiments have expanded from the discovery that a fluorescently labeled atoxic fragment of tetanus neurotoxin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is internalized into axon terminals in skeletal muscle through interactions with nidogens and polysialogangliosides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Once internalized,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is retrogradely transported in Rab7-positive, neurotrophin-containing signaling endosomes that are destined for the cell bodies of motor and sensory neurons</w:t>
      </w:r>
      <w:r>
        <w:rPr>
          <w:rFonts w:ascii="Calibri" w:hAnsi="Calibri" w:cs="Calibri" w:eastAsia="Calibri"/>
          <w:color w:val="auto"/>
          <w:spacing w:val="0"/>
          <w:position w:val="0"/>
          <w:sz w:val="24"/>
          <w:shd w:fill="auto" w:val="clear"/>
          <w:vertAlign w:val="superscript"/>
        </w:rPr>
        <w:t xml:space="preserve">38,39,40,41</w:t>
      </w:r>
      <w:r>
        <w:rPr>
          <w:rFonts w:ascii="Calibri" w:hAnsi="Calibri" w:cs="Calibri" w:eastAsia="Calibri"/>
          <w:color w:val="auto"/>
          <w:spacing w:val="0"/>
          <w:position w:val="0"/>
          <w:sz w:val="24"/>
          <w:shd w:fill="auto" w:val="clear"/>
        </w:rPr>
        <w:t xml:space="preserve">. In parallel, advances in imaging technology have enabled the real-time imaging of peripheral nerve bundles and individual axons in live, anesthetized mice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first foray into assessing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axonal transport dynamics in pathology revealed presymptomatic impairments in the transport of signaling endosomes and mitochondria in the SOD1</w:t>
      </w:r>
      <w:r>
        <w:rPr>
          <w:rFonts w:ascii="Calibri" w:hAnsi="Calibri" w:cs="Calibri" w:eastAsia="Calibri"/>
          <w:color w:val="auto"/>
          <w:spacing w:val="0"/>
          <w:position w:val="0"/>
          <w:sz w:val="24"/>
          <w:shd w:fill="auto" w:val="clear"/>
          <w:vertAlign w:val="superscript"/>
        </w:rPr>
        <w:t xml:space="preserve">G93A</w:t>
      </w:r>
      <w:r>
        <w:rPr>
          <w:rFonts w:ascii="Calibri" w:hAnsi="Calibri" w:cs="Calibri" w:eastAsia="Calibri"/>
          <w:color w:val="auto"/>
          <w:spacing w:val="0"/>
          <w:position w:val="0"/>
          <w:sz w:val="24"/>
          <w:shd w:fill="auto" w:val="clear"/>
        </w:rPr>
        <w:t xml:space="preserve"> mouse model of amyotrophic lateral sclerosis (ALS)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Importantly, these defects are unlikely to simply represent secondary consequences of neurodegeneration, given the finding that motor neuron degeneration can occur in the absence of axonal transport perturbations in a mouse model of Kennedy’s disease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and a heterozygous mutant FUS model of ALS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Such axonal transport deficits can be remedied in ALS mice using inhibitors of specific kinases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or growth factor receptors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Moreover, treating neurons with a specific histone deacetylase blocker alters mitochondrial transport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an ever-expanding toolkit for assessing axonal transport dynamics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this video protocol outlines several applications that will permit further insights into different biological and pathological scenarios. First, transgenic mice that selectively express fluorescent proteins in cholinergic neurons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motor neurons) are used to discriminate between motor and sensory axons both</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Fluorescently labeled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is then loaded into signaling endosomes in three transgenic lines to differentiate axonal transport dynamics in distinct peripheral neurons. The next experimental protocol details a multiplex fluorescence approach to assess mitochondrial transport specifically in motor neurons by breeding ChAT.tdTomato mice with Mito-CFP mice. Finally, instructions are provided on how to concurrently image mitochondria and signaling endosomes within the same axon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mouse handling and experiments were performed in accordance with the Animals (Scientific Procedures) Act (1986) and were approved by the University College London - Queen Square Institute of Neurology Ethics Committee.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House all animals in individually ventilated cages in a temperature- and humidity-controlled environment and maintain them on a 12 h light/dark cycle with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access to food and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both male and female mice of the following transgenic strains: 1) heterozygous Tg(Chat-EGFP) GH293Gsat/Mmucd mice, referred to as ChAT.eGFP mice; 2) heterozygous B6.Cg-Tg(Hlxb9-GFP)1Tmj/J, referred to as HB9.GFP mice; and 3) heterozygous B6.Cg-Tg(Thy1-CFP/COX8A)S2Lich/J, referred to as Mito.CFP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Generate ChAT.tdTomato mice by crossing homozygous B6;129S6-</w:t>
      </w:r>
      <w:r>
        <w:rPr>
          <w:rFonts w:ascii="Calibri" w:hAnsi="Calibri" w:cs="Calibri" w:eastAsia="Calibri"/>
          <w:i/>
          <w:color w:val="auto"/>
          <w:spacing w:val="0"/>
          <w:position w:val="0"/>
          <w:sz w:val="24"/>
          <w:shd w:fill="auto" w:val="clear"/>
        </w:rPr>
        <w:t xml:space="preserve">Chat</w:t>
      </w:r>
      <w:r>
        <w:rPr>
          <w:rFonts w:ascii="Calibri" w:hAnsi="Calibri" w:cs="Calibri" w:eastAsia="Calibri"/>
          <w:i/>
          <w:color w:val="auto"/>
          <w:spacing w:val="0"/>
          <w:position w:val="0"/>
          <w:sz w:val="24"/>
          <w:shd w:fill="auto" w:val="clear"/>
          <w:vertAlign w:val="superscript"/>
        </w:rPr>
        <w:t xml:space="preserve">tm2(cre)Lowl</w:t>
      </w:r>
      <w:r>
        <w:rPr>
          <w:rFonts w:ascii="Calibri" w:hAnsi="Calibri" w:cs="Calibri" w:eastAsia="Calibri"/>
          <w:color w:val="auto"/>
          <w:spacing w:val="0"/>
          <w:position w:val="0"/>
          <w:sz w:val="24"/>
          <w:shd w:fill="auto" w:val="clear"/>
        </w:rPr>
        <w:t xml:space="preserve">/J, referred to as ChAT.Cre mice, with homozygous B6.Cg-</w:t>
      </w:r>
      <w:r>
        <w:rPr>
          <w:rFonts w:ascii="Calibri" w:hAnsi="Calibri" w:cs="Calibri" w:eastAsia="Calibri"/>
          <w:i/>
          <w:color w:val="auto"/>
          <w:spacing w:val="0"/>
          <w:position w:val="0"/>
          <w:sz w:val="24"/>
          <w:shd w:fill="auto" w:val="clear"/>
        </w:rPr>
        <w:t xml:space="preserve">Gt(ROSA)26Sor</w:t>
      </w:r>
      <w:r>
        <w:rPr>
          <w:rFonts w:ascii="Calibri" w:hAnsi="Calibri" w:cs="Calibri" w:eastAsia="Calibri"/>
          <w:i/>
          <w:color w:val="auto"/>
          <w:spacing w:val="0"/>
          <w:position w:val="0"/>
          <w:sz w:val="24"/>
          <w:shd w:fill="auto" w:val="clear"/>
          <w:vertAlign w:val="superscript"/>
        </w:rPr>
        <w:t xml:space="preserve">tm9(CAG-tdTomato)Hze</w:t>
      </w:r>
      <w:r>
        <w:rPr>
          <w:rFonts w:ascii="Calibri" w:hAnsi="Calibri" w:cs="Calibri" w:eastAsia="Calibri"/>
          <w:color w:val="auto"/>
          <w:spacing w:val="0"/>
          <w:position w:val="0"/>
          <w:sz w:val="24"/>
          <w:shd w:fill="auto" w:val="clear"/>
        </w:rPr>
        <w:t xml:space="preserve">/J, referred to as Rosa26.tdTomato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Generate ChAT.tdTomato::Mito.CFP mice by crossing heterozygous ChAT.tdTomato mice with heterozygous Mito.CFP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Intramuscular injections of fluorescent H</w:t>
      </w:r>
      <w:r>
        <w:rPr>
          <w:rFonts w:ascii="Calibri" w:hAnsi="Calibri" w:cs="Calibri" w:eastAsia="Calibri"/>
          <w:b/>
          <w:color w:val="auto"/>
          <w:spacing w:val="0"/>
          <w:position w:val="0"/>
          <w:sz w:val="24"/>
          <w:shd w:fill="auto" w:val="clear"/>
          <w:vertAlign w:val="subscript"/>
        </w:rPr>
        <w:t xml:space="preserve">C</w:t>
      </w:r>
      <w:r>
        <w:rPr>
          <w:rFonts w:ascii="Calibri" w:hAnsi="Calibri" w:cs="Calibri" w:eastAsia="Calibri"/>
          <w:b/>
          <w:color w:val="auto"/>
          <w:spacing w:val="0"/>
          <w:position w:val="0"/>
          <w:sz w:val="24"/>
          <w:shd w:fill="auto" w:val="clear"/>
        </w:rPr>
        <w:t xml:space="preserve">T</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Presurgery preparation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Express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perscript"/>
        </w:rPr>
        <w:t xml:space="preserve">441</w:t>
      </w:r>
      <w:r>
        <w:rPr>
          <w:rFonts w:ascii="Calibri" w:hAnsi="Calibri" w:cs="Calibri" w:eastAsia="Calibri"/>
          <w:color w:val="auto"/>
          <w:spacing w:val="0"/>
          <w:position w:val="0"/>
          <w:sz w:val="24"/>
          <w:shd w:fill="auto" w:val="clear"/>
        </w:rPr>
        <w:t xml:space="preserve">, residues 875-1315) fused to an improved cysteine-rich tag in bacteria as a glutathione-S-transferase fusion protein as per </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Label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with AlexaFlour555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maleimide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dialyze it in ice-cold dialysis buffer (10 mM HEPES-NaOH, 100 mM NaCl, pH 7.4), freeze it in liquid nitrogen, and store it at -80 &amp;#176;C. Before performing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first test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for successful uptake and transport in primary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Dilute fluorescent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(e.g.,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-555) to a final and experimentally consistent concentration ranging from 2.5 to 10 &amp;#181;g/&amp;#181;L in sterile phosphate-buffered saline (PBS) in a 0.2 mL tube. At this step, add more compounds/factors to the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solution if required (e.g., brain-derived neurotrophic factor).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volume must be appropriate for the size of the muscle(s) of interest. For example, prepare an injection volume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&amp;#181;L for the tibialis anterior (TA) muscle and ~1 &amp;#181;L for the smaller soleus muscle. Keep the working concentration of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between 2.5 and 10 &amp;#181;g/&amp;#181;L regardless of the final volume.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Mix the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solution using a pipette or vortex, and briefly spin down at low speed using a desktop centrifuge to collect the liquid and remove large bubbles. Protect the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from light and transport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Use a pulled glass micropipette for optimal intramuscular injections into smaller muscles (e.g., soleus) or for intrasciatic nerve injections. Pull graded glass micropipettes (as per </w:t>
      </w:r>
      <w:r>
        <w:rPr>
          <w:rFonts w:ascii="Calibri" w:hAnsi="Calibri" w:cs="Calibri" w:eastAsia="Calibri"/>
          <w:color w:val="auto"/>
          <w:spacing w:val="0"/>
          <w:position w:val="0"/>
          <w:sz w:val="24"/>
          <w:shd w:fill="FFFF00" w:val="clear"/>
          <w:vertAlign w:val="superscript"/>
        </w:rPr>
        <w:t xml:space="preserve">45</w:t>
      </w:r>
      <w:r>
        <w:rPr>
          <w:rFonts w:ascii="Calibri" w:hAnsi="Calibri" w:cs="Calibri" w:eastAsia="Calibri"/>
          <w:color w:val="auto"/>
          <w:spacing w:val="0"/>
          <w:position w:val="0"/>
          <w:sz w:val="24"/>
          <w:shd w:fill="FFFF00" w:val="clear"/>
        </w:rPr>
        <w:t xml:space="preserve">) before surgery.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enable pipetting and restrict flow up and out the back of the micropipette, carefully break off a small piece from the sharp tip using fine forceps under a dissecting microscope. Take care to dispose of the broken end in the appropriate bin.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Sterilize and clean all surgical tools prior to use.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Surgery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intramuscular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Prepare for surgery by securing a sterile surgical drape on a heat mat set to 37 &amp;#176;C. Position and focus the operating microscope. For surgery to commence, unpack onto the surgical drape the presterilized surgical tools along with surgical tape, sterile cotton swabs, 70% (v/v) ethanol in water, sterile saline, sutures, and a Hamilton needle or pulled glass micropipettes.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color w:val="auto"/>
          <w:spacing w:val="0"/>
          <w:position w:val="0"/>
          <w:sz w:val="24"/>
          <w:shd w:fill="auto" w:val="clear"/>
        </w:rPr>
        <w:t xml:space="preserve">Ensure the anesthetic machine has sufficient oxygen and isoflurane for the duration of the surgical procedure. Direct the flow of anesthesia to the induction chamber and switch on the anesthetic machine.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w:t>
        <w:tab/>
      </w:r>
      <w:r>
        <w:rPr>
          <w:rFonts w:ascii="Calibri" w:hAnsi="Calibri" w:cs="Calibri" w:eastAsia="Calibri"/>
          <w:color w:val="auto"/>
          <w:spacing w:val="0"/>
          <w:position w:val="0"/>
          <w:sz w:val="24"/>
          <w:shd w:fill="auto" w:val="clear"/>
        </w:rPr>
        <w:t xml:space="preserve">To begin, use an oxygen flow rate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L/min and 5% isoflurane. Place the mouse in the induction chamber to initiate anesthesia. </w:t>
      </w:r>
      <w:r>
        <w:rPr>
          <w:rFonts w:ascii="Calibri" w:hAnsi="Calibri" w:cs="Calibri" w:eastAsia="Calibri"/>
          <w:color w:val="auto"/>
          <w:spacing w:val="0"/>
          <w:position w:val="0"/>
          <w:sz w:val="24"/>
          <w:shd w:fill="FFFF00" w:val="clear"/>
        </w:rPr>
        <w:t xml:space="preserve">When the righting reflex is absent, reduce anesthesia to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isoflurane, direct the flow of anesthesia to the mouthpiece, and transfer the mouse to the mouthpiece located in a separate area of the surgical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Ensure both the corneal and pedal withdrawal reflexes are absent before shaving the area of fur covering the muscle(s) to be injected. When complete, remove as much shaved fur from the mouse as possible using the sticky side of surgical tape, and place the mouse on weighing scales to record its presurgical weight.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Carefully apply eye lubricant using a cotton swab and transfer the mouse and mouthpiece to the surgical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 to limit the amount of shaved fur that is also transferred to the surgical area. Use surgical tape to secure the head to the mouthpiece to prevent the mouse from slipping out. Using a separate cotton swab, apply ethanol to the shaved region to sterilize and reduce fur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r>
      <w:r>
        <w:rPr>
          <w:rFonts w:ascii="Calibri" w:hAnsi="Calibri" w:cs="Calibri" w:eastAsia="Calibri"/>
          <w:color w:val="auto"/>
          <w:spacing w:val="0"/>
          <w:position w:val="0"/>
          <w:sz w:val="24"/>
          <w:shd w:fill="auto" w:val="clear"/>
        </w:rPr>
        <w:t xml:space="preserve">Position the body according to the muscle to be injected. For example, </w:t>
      </w:r>
      <w:r>
        <w:rPr>
          <w:rFonts w:ascii="Calibri" w:hAnsi="Calibri" w:cs="Calibri" w:eastAsia="Calibri"/>
          <w:color w:val="auto"/>
          <w:spacing w:val="0"/>
          <w:position w:val="0"/>
          <w:sz w:val="24"/>
          <w:shd w:fill="FFFF00" w:val="clear"/>
        </w:rPr>
        <w:t xml:space="preserve">for the TA, place the mouse on its back and stretch out the hindlimb at ~10&amp;#176; from the midline. Alternatively, for soleus injections, place the animal on its side and extend the hindlimb at ~45&amp;#176; from the midline. When the hindlimb is in the correct position, use surgical tape across the foot to prevent unwanted movement during surgery.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injection procedures for TA, gastrocnemius, and soleus muscles have been previously detailed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Before making an incision, confirm that the anesthesia is sufficient by testing the pedal withdrawal reflex. Monitor the anesthesia continually and maintain it throughout the surgical procedure with regular assessment of breathing and the withdrawal reflex.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r>
      <w:r>
        <w:rPr>
          <w:rFonts w:ascii="Calibri" w:hAnsi="Calibri" w:cs="Calibri" w:eastAsia="Calibri"/>
          <w:color w:val="auto"/>
          <w:spacing w:val="0"/>
          <w:position w:val="0"/>
          <w:sz w:val="24"/>
          <w:shd w:fill="FFFF00" w:val="clear"/>
        </w:rPr>
        <w:t xml:space="preserve">At this point, draw the working H</w:t>
      </w:r>
      <w:r>
        <w:rPr>
          <w:rFonts w:ascii="Calibri" w:hAnsi="Calibri" w:cs="Calibri" w:eastAsia="Calibri"/>
          <w:color w:val="auto"/>
          <w:spacing w:val="0"/>
          <w:position w:val="0"/>
          <w:sz w:val="24"/>
          <w:shd w:fill="FFFF00" w:val="clear"/>
          <w:vertAlign w:val="subscript"/>
        </w:rPr>
        <w:t xml:space="preserve">C</w:t>
      </w:r>
      <w:r>
        <w:rPr>
          <w:rFonts w:ascii="Calibri" w:hAnsi="Calibri" w:cs="Calibri" w:eastAsia="Calibri"/>
          <w:color w:val="auto"/>
          <w:spacing w:val="0"/>
          <w:position w:val="0"/>
          <w:sz w:val="24"/>
          <w:shd w:fill="FFFF00" w:val="clear"/>
        </w:rPr>
        <w:t xml:space="preserve">T solution into the Hamilton syringe or pulled glass micropipette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Make a small incision over the muscle(s) of interest in the area(s) that correspond(s) with the motor end plate regions</w:t>
      </w:r>
      <w:r>
        <w:rPr>
          <w:rFonts w:ascii="Calibri" w:hAnsi="Calibri" w:cs="Calibri" w:eastAsia="Calibri"/>
          <w:color w:val="auto"/>
          <w:spacing w:val="0"/>
          <w:position w:val="0"/>
          <w:sz w:val="24"/>
          <w:shd w:fill="FFFF00" w:val="clear"/>
          <w:vertAlign w:val="superscript"/>
        </w:rPr>
        <w:t xml:space="preserve">45</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47</w:t>
      </w:r>
      <w:r>
        <w:rPr>
          <w:rFonts w:ascii="Calibri" w:hAnsi="Calibri" w:cs="Calibri" w:eastAsia="Calibri"/>
          <w:color w:val="auto"/>
          <w:spacing w:val="0"/>
          <w:position w:val="0"/>
          <w:sz w:val="24"/>
          <w:shd w:fill="FFFF00" w:val="clear"/>
        </w:rPr>
        <w:t xml:space="preserve">. Pierce the external fascia on the muscle and slowly inject the H</w:t>
      </w:r>
      <w:r>
        <w:rPr>
          <w:rFonts w:ascii="Calibri" w:hAnsi="Calibri" w:cs="Calibri" w:eastAsia="Calibri"/>
          <w:color w:val="auto"/>
          <w:spacing w:val="0"/>
          <w:position w:val="0"/>
          <w:sz w:val="24"/>
          <w:shd w:fill="FFFF00" w:val="clear"/>
          <w:vertAlign w:val="subscript"/>
        </w:rPr>
        <w:t xml:space="preserve">C</w:t>
      </w:r>
      <w:r>
        <w:rPr>
          <w:rFonts w:ascii="Calibri" w:hAnsi="Calibri" w:cs="Calibri" w:eastAsia="Calibri"/>
          <w:color w:val="auto"/>
          <w:spacing w:val="0"/>
          <w:position w:val="0"/>
          <w:sz w:val="24"/>
          <w:shd w:fill="FFFF00" w:val="clear"/>
        </w:rPr>
        <w:t xml:space="preserve">T as per </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 Leave the syringe/micropipette in position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s before slowly withdrawing.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Close the incisions with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sutures and transfer the mouse to an isolated recovery cage. Monitor the mouse post surgery for a minimum of 30 min, before returning it to the home cage. When the mouse has successfully recovered and postsurgical monitoring is complete, return the cage to normal housing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In vivo axonal transport</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Exposing the sciatic nerve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Set the microscope environmental chamber to 37 &amp;#176;C at least 1 h prior to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4"/>
          <w:shd w:fill="FFFF00" w:val="clear"/>
        </w:rPr>
        <w:t xml:space="preserve">Prepare to expose the sciatic nerve by arranging the surgical drape, tools, tape, sterile cotton swabs, 70% ethanol, and sterile saline around the surgical area. </w:t>
      </w:r>
      <w:r>
        <w:rPr>
          <w:rFonts w:ascii="Calibri" w:hAnsi="Calibri" w:cs="Calibri" w:eastAsia="Calibri"/>
          <w:color w:val="auto"/>
          <w:spacing w:val="0"/>
          <w:position w:val="0"/>
          <w:sz w:val="24"/>
          <w:shd w:fill="auto" w:val="clear"/>
        </w:rPr>
        <w:t xml:space="preserve">Ensure the anesthetic machine has sufficient stores of oxygen and isoflurane for up to 2 h per mouse. </w:t>
      </w:r>
      <w:r>
        <w:rPr>
          <w:rFonts w:ascii="Calibri" w:hAnsi="Calibri" w:cs="Calibri" w:eastAsia="Calibri"/>
          <w:color w:val="auto"/>
          <w:spacing w:val="0"/>
          <w:position w:val="0"/>
          <w:sz w:val="24"/>
          <w:shd w:fill="FFFF00" w:val="clear"/>
        </w:rPr>
        <w:t xml:space="preserve">Create a wedge out of parafilm or invisible tape by cutting it into a narrow rectangle (e.g., ~1 cm width) with an angled tip and place it underneath the exposed sciatic nerve to aid the imaging process.</w:t>
      </w:r>
      <w:r>
        <w:rPr>
          <w:rFonts w:ascii="Calibri" w:hAnsi="Calibri" w:cs="Calibri" w:eastAsia="Calibri"/>
          <w:color w:val="auto"/>
          <w:spacing w:val="0"/>
          <w:position w:val="0"/>
          <w:sz w:val="24"/>
          <w:shd w:fill="auto" w:val="clear"/>
        </w:rPr>
        <w:t xml:space="preserve"> Place the induction chamber on top of a heat mat and set it to body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Four hours is ample time for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to have been taken up and retrogradely transported from the site of injection to the sciatic nerve; hence, a single mouse can be readied for re-anesthesia after this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Direct the flow of anesthesia into the induction chamber, switch on the anesthetic machine with an oxygen flow rate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L/min and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isoflurane, and place the mouse in the induction chamber to initiate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axonal transport experiment is a terminal procedure, there is no need to lubricate the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00" w:val="clear"/>
        </w:rPr>
        <w:t xml:space="preserve">When the righting reflex is absent, reduce anesthesia to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isoflurane, direct the flow of anesthesia to the mouthpiece, and transfer the mouse to the mouthpiece. Use surgical tape to secure the head to the mouthpiece, extend the targeted hindlimb at ~45&amp;#176; from the midline, and use surgical tape over the foot to maintain this position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Reduced anesthesia is advantageous at this point as it can limit the impact of breathing artifacts during the imaging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Ensure corneal and pedal withdrawal reflexes are absent, and then use scissors to cut away the skin overlying the sciatic nerve</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 (i.e</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 large area extending from the central spinal cord to mid-lower hindlimb).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Remove the overlying biceps femoris muscle, as well as any other musculature/connective tissue that is near the sciatic nerve. Avoid damaging the sciatic nerve and any blood vessels, especially those located near the lateral aspect of the patella/proximal aspect of the lateral gastrocnemius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r>
      <w:r>
        <w:rPr>
          <w:rFonts w:ascii="Calibri" w:hAnsi="Calibri" w:cs="Calibri" w:eastAsia="Calibri"/>
          <w:color w:val="auto"/>
          <w:spacing w:val="0"/>
          <w:position w:val="0"/>
          <w:sz w:val="24"/>
          <w:shd w:fill="FFFF00" w:val="clear"/>
        </w:rPr>
        <w:t xml:space="preserve">When the intact sciatic nerve is sufficiently exposed, apply prewarmed sterile saline to the area around the sciatic nerve to prevent desiccation. Use curved forceps to disrupt the deep-lying connective tissue and place the pre-prepared parafilm ‘wedge’ underneath the nerve. When complete, place saline-soaked cotton wool on the exposed area and move the mouse into the induction chamber positioned on top of the heat mat (set to 37 &amp;#176;C), which should still be filled with isoflurane in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axonal imaging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Place a 22 x 64 mm coverglass on the customized microscope stage and secure its position with tape. Select and apply immersion oil to the objective, and then connect the microscope stage to the inverted microscope. Slowly raise the oil-immersed objective until contact is made between the oil and coverglass.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Either the 40x, 1.3 numerical aperture (NA) DIC Plan-Apochromat or 63x, 1.4 NA DIC Plan-Apochromat oil-immersion objectives can be used to image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transport in the sciatic nerve.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00" w:val="clear"/>
        </w:rPr>
        <w:t xml:space="preserve">Move the anesthetic mouthpiece onto the microscope stage and secure the anesthesia hoses with tape to prevent disturbance to the anesthesia. Remove the cotton wool from the sciatic nerve and transfer the mouse from the induction chamber to the mouthpiece, with the exposed nerve facing the coverglass. Use surgical tape to ensure the mouse’s head is fixed to the mouthpiece and maintain the lowest, effective level of anesthesia. Gently lift the mouse by its tail and add sterile saline to the coverslip near the exposed sciatic nerve to restrict desiccation and aid imaging.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Close all doors of the environmental chamber to ensure the area remains at body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auto"/>
          <w:spacing w:val="0"/>
          <w:position w:val="0"/>
          <w:sz w:val="24"/>
          <w:shd w:fill="FFFF00" w:val="clear"/>
        </w:rPr>
        <w:t xml:space="preserve">Using the oculars, locate the sciatic nerve, determine the optimal focal point, and select an area of interest containing motile axonal organelles.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Switch to the computer software by clicking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button (or equivalent), and select an area of interest. Use a digital zoom to obtain a total of &amp;gt;80x magnification and rotate the selected area to horizontally visualize the axons</w:t>
      </w:r>
      <w:r>
        <w:rPr>
          <w:rFonts w:ascii="Calibri" w:hAnsi="Calibri" w:cs="Calibri" w:eastAsia="Calibri"/>
          <w:color w:val="auto"/>
          <w:spacing w:val="0"/>
          <w:position w:val="0"/>
          <w:sz w:val="24"/>
          <w:shd w:fill="auto" w:val="clear"/>
        </w:rPr>
        <w:t xml:space="preserve"> (e.g., right-to-left moving retrograde cargo and left-to-right moving anterograde cargo).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directionality parameters are user-dependent but must remain consistent throughout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Optimize the signal intensity by adjusting parameters such as </w:t>
      </w:r>
      <w:r>
        <w:rPr>
          <w:rFonts w:ascii="Calibri" w:hAnsi="Calibri" w:cs="Calibri" w:eastAsia="Calibri"/>
          <w:b/>
          <w:color w:val="auto"/>
          <w:spacing w:val="0"/>
          <w:position w:val="0"/>
          <w:sz w:val="24"/>
          <w:shd w:fill="auto" w:val="clear"/>
        </w:rPr>
        <w:t xml:space="preserve">laser intensity (0.2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pinhole aperture (1 AU</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gain (Master) (700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1000)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digital offset (0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digital gain (1.0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To reduce the potential influence of phototoxicity, maintain </w:t>
      </w:r>
      <w:r>
        <w:rPr>
          <w:rFonts w:ascii="Calibri" w:hAnsi="Calibri" w:cs="Calibri" w:eastAsia="Calibri"/>
          <w:b/>
          <w:color w:val="auto"/>
          <w:spacing w:val="0"/>
          <w:position w:val="0"/>
          <w:sz w:val="24"/>
          <w:shd w:fill="auto" w:val="clear"/>
        </w:rPr>
        <w:t xml:space="preserve">laser intensity</w:t>
      </w:r>
      <w:r>
        <w:rPr>
          <w:rFonts w:ascii="Calibri" w:hAnsi="Calibri" w:cs="Calibri" w:eastAsia="Calibri"/>
          <w:color w:val="auto"/>
          <w:spacing w:val="0"/>
          <w:position w:val="0"/>
          <w:sz w:val="24"/>
          <w:shd w:fill="auto" w:val="clear"/>
        </w:rPr>
        <w:t xml:space="preserve"> at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where possible, with a </w:t>
      </w:r>
      <w:r>
        <w:rPr>
          <w:rFonts w:ascii="Calibri" w:hAnsi="Calibri" w:cs="Calibri" w:eastAsia="Calibri"/>
          <w:b/>
          <w:color w:val="auto"/>
          <w:spacing w:val="0"/>
          <w:position w:val="0"/>
          <w:sz w:val="24"/>
          <w:shd w:fill="auto" w:val="clear"/>
        </w:rPr>
        <w:t xml:space="preserve">maximum laser intensity</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Change all other parameters before adjusting the laser intensity for optimal signal detection.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Regions</w:t>
      </w:r>
      <w:r>
        <w:rPr>
          <w:rFonts w:ascii="Calibri" w:hAnsi="Calibri" w:cs="Calibri" w:eastAsia="Calibri"/>
          <w:color w:val="auto"/>
          <w:spacing w:val="0"/>
          <w:position w:val="0"/>
          <w:sz w:val="24"/>
          <w:shd w:fill="FFFF00" w:val="clear"/>
        </w:rPr>
        <w:t xml:space="preserve"> box (or equivalent), select a rectangular region of interest, then in the </w:t>
      </w:r>
      <w:r>
        <w:rPr>
          <w:rFonts w:ascii="Calibri" w:hAnsi="Calibri" w:cs="Calibri" w:eastAsia="Calibri"/>
          <w:b/>
          <w:color w:val="auto"/>
          <w:spacing w:val="0"/>
          <w:position w:val="0"/>
          <w:sz w:val="24"/>
          <w:shd w:fill="FFFF00" w:val="clear"/>
        </w:rPr>
        <w:t xml:space="preserve">Acquisition Mode</w:t>
      </w:r>
      <w:r>
        <w:rPr>
          <w:rFonts w:ascii="Calibri" w:hAnsi="Calibri" w:cs="Calibri" w:eastAsia="Calibri"/>
          <w:color w:val="auto"/>
          <w:spacing w:val="0"/>
          <w:position w:val="0"/>
          <w:sz w:val="24"/>
          <w:shd w:fill="FFFF00" w:val="clear"/>
        </w:rPr>
        <w:t xml:space="preserve"> (or equivalent), set the </w:t>
      </w:r>
      <w:r>
        <w:rPr>
          <w:rFonts w:ascii="Calibri" w:hAnsi="Calibri" w:cs="Calibri" w:eastAsia="Calibri"/>
          <w:b/>
          <w:color w:val="auto"/>
          <w:spacing w:val="0"/>
          <w:position w:val="0"/>
          <w:sz w:val="24"/>
          <w:shd w:fill="FFFF00" w:val="clear"/>
        </w:rPr>
        <w:t xml:space="preserve">frame size</w:t>
      </w:r>
      <w:r>
        <w:rPr>
          <w:rFonts w:ascii="Calibri" w:hAnsi="Calibri" w:cs="Calibri" w:eastAsia="Calibri"/>
          <w:color w:val="auto"/>
          <w:spacing w:val="0"/>
          <w:position w:val="0"/>
          <w:sz w:val="24"/>
          <w:shd w:fill="FFFF00" w:val="clear"/>
        </w:rPr>
        <w:t xml:space="preserve"> to a minimum </w:t>
      </w:r>
      <w:r>
        <w:rPr>
          <w:rFonts w:ascii="Calibri" w:hAnsi="Calibri" w:cs="Calibri" w:eastAsia="Calibri"/>
          <w:b/>
          <w:color w:val="auto"/>
          <w:spacing w:val="0"/>
          <w:position w:val="0"/>
          <w:sz w:val="24"/>
          <w:shd w:fill="FFFF00" w:val="clear"/>
        </w:rPr>
        <w:t xml:space="preserve">1024 x 1024 pixels</w:t>
      </w:r>
      <w:r>
        <w:rPr>
          <w:rFonts w:ascii="Calibri" w:hAnsi="Calibri" w:cs="Calibri" w:eastAsia="Calibri"/>
          <w:color w:val="auto"/>
          <w:spacing w:val="0"/>
          <w:position w:val="0"/>
          <w:sz w:val="24"/>
          <w:shd w:fill="FFFF00" w:val="clear"/>
        </w:rPr>
        <w:t xml:space="preserve">, and commence time-lapse acquisition of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 frames.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desired frame acquisition rate is user-dependent (e.g., transport has been successfully assessed with frame rates between 0.1 and 3 s) and can be adjusted with software parameters, such as </w:t>
      </w:r>
      <w:r>
        <w:rPr>
          <w:rFonts w:ascii="Calibri" w:hAnsi="Calibri" w:cs="Calibri" w:eastAsia="Calibri"/>
          <w:b/>
          <w:color w:val="auto"/>
          <w:spacing w:val="0"/>
          <w:position w:val="0"/>
          <w:sz w:val="24"/>
          <w:shd w:fill="auto" w:val="clear"/>
        </w:rPr>
        <w:t xml:space="preserve">region of interest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scan speed time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acquisition averaging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laser directionality</w:t>
      </w:r>
      <w:r>
        <w:rPr>
          <w:rFonts w:ascii="Calibri" w:hAnsi="Calibri" w:cs="Calibri" w:eastAsia="Calibri"/>
          <w:color w:val="auto"/>
          <w:spacing w:val="0"/>
          <w:position w:val="0"/>
          <w:sz w:val="24"/>
          <w:shd w:fill="auto" w:val="clear"/>
        </w:rPr>
        <w:t xml:space="preserve">. For example, to obtain a slower frame rate, increase the height/width of the region of interest, acquire slower scan speeds, increase the acquisition averaging, and use single laser directionality, and </w:t>
      </w:r>
      <w:r>
        <w:rPr>
          <w:rFonts w:ascii="Calibri" w:hAnsi="Calibri" w:cs="Calibri" w:eastAsia="Calibri"/>
          <w:i/>
          <w:color w:val="auto"/>
          <w:spacing w:val="0"/>
          <w:position w:val="0"/>
          <w:sz w:val="24"/>
          <w:shd w:fill="auto" w:val="clear"/>
        </w:rPr>
        <w:t xml:space="preserve">vice versa</w:t>
      </w:r>
      <w:r>
        <w:rPr>
          <w:rFonts w:ascii="Calibri" w:hAnsi="Calibri" w:cs="Calibri" w:eastAsia="Calibri"/>
          <w:color w:val="auto"/>
          <w:spacing w:val="0"/>
          <w:position w:val="0"/>
          <w:sz w:val="24"/>
          <w:shd w:fill="auto" w:val="clear"/>
        </w:rPr>
        <w:t xml:space="preserve"> for a faster frame rate. The </w:t>
      </w:r>
      <w:r>
        <w:rPr>
          <w:rFonts w:ascii="Calibri" w:hAnsi="Calibri" w:cs="Calibri" w:eastAsia="Calibri"/>
          <w:b/>
          <w:color w:val="auto"/>
          <w:spacing w:val="0"/>
          <w:position w:val="0"/>
          <w:sz w:val="24"/>
          <w:shd w:fill="auto" w:val="clear"/>
        </w:rPr>
        <w:t xml:space="preserve">frame acquisition rate</w:t>
      </w:r>
      <w:r>
        <w:rPr>
          <w:rFonts w:ascii="Calibri" w:hAnsi="Calibri" w:cs="Calibri" w:eastAsia="Calibri"/>
          <w:color w:val="auto"/>
          <w:spacing w:val="0"/>
          <w:position w:val="0"/>
          <w:sz w:val="24"/>
          <w:shd w:fill="auto" w:val="clear"/>
        </w:rPr>
        <w:t xml:space="preserve"> must remain consistent across comparable datasets because imaging at different frequencies may cause inconsistencies.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r>
      <w:r>
        <w:rPr>
          <w:rFonts w:ascii="Calibri" w:hAnsi="Calibri" w:cs="Calibri" w:eastAsia="Calibri"/>
          <w:color w:val="auto"/>
          <w:spacing w:val="0"/>
          <w:position w:val="0"/>
          <w:sz w:val="24"/>
          <w:shd w:fill="FFFF00" w:val="clear"/>
        </w:rPr>
        <w:t xml:space="preserve">Aim to capture a minimum of 10 motile cargoes from a minimum of three axons per mouse.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two-sample, two-sided power calculations (with standard power of 0.8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&amp;#946;) and type I error rate of 5% (&amp;#945;)), sample sizes of 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are sufficient to identify axonal transport differences between wild-type and disease models</w:t>
      </w:r>
      <w:r>
        <w:rPr>
          <w:rFonts w:ascii="Calibri" w:hAnsi="Calibri" w:cs="Calibri" w:eastAsia="Calibri"/>
          <w:color w:val="auto"/>
          <w:spacing w:val="0"/>
          <w:position w:val="0"/>
          <w:sz w:val="24"/>
          <w:shd w:fill="auto" w:val="clear"/>
          <w:vertAlign w:val="superscript"/>
        </w:rPr>
        <w:t xml:space="preserve">35,43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Once imaging is complete, cull the mouse immediately while under anesthesia (e.g., cervical dislocation). Postmortem tissue, such as muscles and sciatic nerves, can also be harvested for further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details a versatile protocol that expands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axonal transport toolkit.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demonstrates that motor neuron axons can be differentiated from both sensory neuron axons and Schwann cells by using transgenic mice. </w:t>
      </w: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depicts eGFP expression in cholinergic motor axons from a live, anesthetized ChAT.eGFP mouse.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uses an alternative method to attain tdTomato expression in a freshly excised nerve (i.e., no additional tissue processing) from a ChAT.tdTomato mouse. Hence, using transgenic strains such as ChAT.eGFP, ChAT.tdTomato or Hb9.GFP enables motor axon-specific labeling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axons can also be identified by injecting tracers/markers (e.g.,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or adenoviruses encoding eGFP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into skeletal muscles.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highlights such an application, depicting eight robustly expressing ChAT.eGFP-positive axons that contain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T-555-positive signaling endosomes (white arrows), ~4 h post probe injection into the TA muscle. Using this experimental design, we could identify TA-innervating &amp;#945;-motor neurons, which are predominantly fast-fatigable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 further five ChAT.eGFP axons with less robust eGFP expression (orange asterisks) were partially out of focus and likely to be located deeper within the sciatic nerve.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we identified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T-555-positive signaling endosomes in eGFP-negative sensory axons (yellow arrows). As such, using this experimental paradigm, one can specifically assess and compare the axonal transport of signaling endosomes in motor versus sensory neurons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Indeed</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using this transgenic reporter strain,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discovered that transport of signaling endosomes in ChAT.eGFP-positive motor axons is faster than in ChAT.eGFP-negative sensory axons, which can be reliably differentiated using axon widths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previously identified motor neuron axons using the ChAT.eGFP mouse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We now report that HB9.GFP mice can also be used to achieve motor neuron axon identification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Indeed,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presents a series of time-lapse images of HB9.GFP axons containing retrogradely moving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T-555-positive signaling endosomes. Note that, unlike ChAT-driven expression, GFP has a more punctate/granular pattern in HB9.GFP axons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reason for this is unclear.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previously described how to monitor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mitochondrial dynamics in sciatic nerves via intrasciatic nerve injections of the mitochondrial-targeting dye, tetramethylrhodamine, ethyl ester, perchlorate (TMRE)</w:t>
      </w:r>
      <w:r>
        <w:rPr>
          <w:rFonts w:ascii="Calibri" w:hAnsi="Calibri" w:cs="Calibri" w:eastAsia="Calibri"/>
          <w:color w:val="auto"/>
          <w:spacing w:val="0"/>
          <w:position w:val="0"/>
          <w:sz w:val="24"/>
          <w:shd w:fill="auto" w:val="clear"/>
          <w:vertAlign w:val="superscript"/>
        </w:rPr>
        <w:t xml:space="preserve">32,36</w:t>
      </w:r>
      <w:r>
        <w:rPr>
          <w:rFonts w:ascii="Calibri" w:hAnsi="Calibri" w:cs="Calibri" w:eastAsia="Calibri"/>
          <w:color w:val="auto"/>
          <w:spacing w:val="0"/>
          <w:position w:val="0"/>
          <w:sz w:val="24"/>
          <w:shd w:fill="auto" w:val="clear"/>
        </w:rPr>
        <w:t xml:space="preserve">. To reliably differentiate motor versus sensory mitochondria, the Mito.CFP Mouse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expresses CFP under the </w:t>
      </w:r>
      <w:r>
        <w:rPr>
          <w:rFonts w:ascii="Calibri" w:hAnsi="Calibri" w:cs="Calibri" w:eastAsia="Calibri"/>
          <w:i/>
          <w:color w:val="auto"/>
          <w:spacing w:val="0"/>
          <w:position w:val="0"/>
          <w:sz w:val="24"/>
          <w:shd w:fill="auto" w:val="clear"/>
        </w:rPr>
        <w:t xml:space="preserve">Thy1</w:t>
      </w:r>
      <w:r>
        <w:rPr>
          <w:rFonts w:ascii="Calibri" w:hAnsi="Calibri" w:cs="Calibri" w:eastAsia="Calibri"/>
          <w:color w:val="auto"/>
          <w:spacing w:val="0"/>
          <w:position w:val="0"/>
          <w:sz w:val="24"/>
          <w:shd w:fill="auto" w:val="clear"/>
        </w:rPr>
        <w:t xml:space="preserve"> promoter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can be crossed with transgenic mice that express a fluorescent reporter gene in specific neuronal types. Indeed, by breeding Mito.CFP mice with ChAT.tdTomato mice (referred to as ChAT.tdTomato::Mito.CFP), we could visualize mitochondria specifically in motor axons,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this live multiplex example, five ChAT.tdTomato axons could be visualized, four of which contain CFP-positive mitochondria. Moreover, the node of Ranvier (white arrow in panel iii) could also be identified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Furthermore, the nodes of Ranvier are clearly detectable in ChAT.eGFP, HB9.GFP and Mito.CFP mice (not shown). These double-transgenic strains enable time-lapse intravital imaging of live, anesthetized mice to monitor motor neuron-specific mitochondrial content and axonal transport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signaling endosomes and mitochondria can be concurrently visualized within the same axons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by injecting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into the muscles of Mito.CFP mice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Intramuscular injections of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T-555 were performed in TA muscle in a Mito.CFP mouse ~4 h prior to imaging. Both mitochondria (i panels) and signaling endosomes (ii panels) were simultaneously visualized in muscle-specific axons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axons innervating the TA). Indeed, anterogradely (yellow triangles) and retrogradely (green triangles and circles) moving organelles as well as stalled organelles (orange triangles and circles) can be observed. Using this experimental paradigm, one can assess the complex functional interactions between axonal mitochondria and signaling endosomes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Overall, we demonstrate several different experimental approaches to assess axonal transport of signaling endosomes and/or mitochondria, specifically in cholinergic motor neurons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Sciatic nerve motor axons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single-plane image of eGFP-positive motor axons obtained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from a ChAT.eGFP mouse.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single-plane image of tdTomato-positive motor axons in an excised sciatic nerve from a ChAT.tdTomato mouse. Distinctions in axon caliber result from differences in mouse age and size. Scale bars = 50 &amp;#181;m. Abbreviations: eGFP = enhanced green fluorescent protein; ChAT = choline O-acetyltransferase.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axonal transport of signaling endosomes in live sciatic nerve motor and sensory neurons of a ChAT.eGFP mouse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cholinergic axons expressing eGFP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containing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T-555-positive signaling endosomes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merge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white arrows highlight eGFP-positive motor axons containing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T-555-positive signaling endosomes, the blue arrows identify motor axons lacking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T-555-positive signaling endosomes, and the yellow arrows highlight eGFP-negative sensory axons transporting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T-555-positive signaling endosomes. Orange asterisks identify motor axons with weaker eGFP expression. Scale bar = 25 &amp;#181;m. Abbreviations: eGFP = enhanced green fluorescent protein; ChAT = choline O-acetyltransferase; HcT 555 = tetanus toxin-binding domain.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Time-lapse image series representing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axonal transport of signaling endosomes in live motor neurons of an HB9.GFP mouse.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Time-lapse images taken every 3 s depicting motor neuron axons expressing green fluorescent protein (i) and containing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T-555-positive signaling endosomes (ii), and the merge (iii). Retrograde movement is from right to left. Scale bar = 10 &amp;#181;m. Abbreviations: GFP = green fluorescent protein; HcT 555 = tetanus toxin-binding domain.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axonal transport of mitochondria in live sciatic nerve motor neurons of a ChAT.tdTomato:: Mito.CFP: mouse.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tdTomato-positive motor axons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containing CFP-positive mitochondria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merge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inset images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iii contain a higher magnification from each panel. The white arrow represents a suspected node of Ranvier. Scale bars = 25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10 &amp;#181;m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iii). Abbreviations: ChAT = choline O-acetyltransferase; CFP = cyan fluorescent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Time-lapse image series representing concurrent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axonal transport of mitochondria and signaling endosomes in live sciatic nerve motor neurons of a Mito.CFP mouse.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Time-lapse images taken every 3 s depicting axonal transport of both mitochondria (i) and signaling endosomes (ii) within the same sciatic nerve axon (iii). The yellow triangles identify anterogradely moving cargoes, the green circles/triangles identify retrogradely moving cargoes, and the orange circles/triangles identify stationary cargoes. Anterograde movement is from left to right, whereas retrograde movement is in the opposite direction. Scale bar = 10 &amp;#181;m. Abbreviations: HcT 555 = tetanus toxin-binding domain; CFP = cyan fluorescent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steps to assess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axonal transport of signaling endosomes and mitochondria. Indeed, an experimental setup is provided that enables users to 1) distinguish motor from sensory neurons </w:t>
      </w:r>
      <w:r>
        <w:rPr>
          <w:rFonts w:ascii="Calibri" w:hAnsi="Calibri" w:cs="Calibri" w:eastAsia="Calibri"/>
          <w:i/>
          <w:color w:val="auto"/>
          <w:spacing w:val="0"/>
          <w:position w:val="0"/>
          <w:sz w:val="24"/>
          <w:shd w:fill="auto" w:val="clear"/>
        </w:rPr>
        <w:t xml:space="preserve">in vivo, in situ</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by using mice expressing fluorescent reporter proteins selectively expressed in motor neurons; 2) assess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axonal transport of signaling endosomes specifically in motor neuron axons using three different transgenic mice; 3) investigate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axonal transport of mitochondria specifically in motor neuron axons; and 4) concurrently assess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transport dynamics of signaling endosomes and mitochondria within the same axon. This approach has vast potential for investigating axonal transport in basal conditions and can be used to assess pathological perturbations in different diseases affecting peripheral motor and sensory nerves.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previous experimental paradigms as a foundation</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here we have detailed novel, robust ways to differentiate axonal transport occurring in motor versus sensory neurons using transgenic reporter mice. Using the Mito.CFP mouse, this approach has been further developed to assess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mitochondrial transport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avoiding intrasciatic nerve injections of TMRE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This circumvents possible neural damage and perturbations in axonal transport caused by the intraneuronal injection of the probe. Furthermore, this protocol allows the visualization of axonal transport of multiple organelles in motor axons innervating muscles with distinct physiological properties (e.g., fast-twitch fatigable muscles vs. slow-twitch fatigue-resistant muscles). As such, signaling endosome and/or mitochondrial axonal transport dynamics can be assessed in different subsets of &amp;#945;-motor neurons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Moreover, the axonal transport of those organelles in pathology can also be assessed through crossbreeding with mouse models of different neurodegenerative diseases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axonal transport toolkit is continuously expanding</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protocols have been developed to assess transport dynamics using cultured mouse ventral horn explants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or excised mouse nerve-muscle preparations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Furthermore, the development of protocols to assess axonal transport in induced human pluripotent stem cell (hiPSC)-derived cortical</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neurons or hiPSC-derived spinal motor neurons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has enabled investigation of human neurons with disease-causing mutations. Such cutting-edge protocols in mouse tissue and human cells can provide critical insights into neuronal function, facilitate novel pathomechanistic discovery in neurodegenerative disease models, and be used to test therapeutic molecules and strategies.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w:t>
      </w:r>
      <w:r>
        <w:rPr>
          <w:rFonts w:ascii="Calibri" w:hAnsi="Calibri" w:cs="Calibri" w:eastAsia="Calibri"/>
          <w:b/>
          <w:color w:val="auto"/>
          <w:spacing w:val="0"/>
          <w:position w:val="0"/>
          <w:sz w:val="24"/>
          <w:shd w:fill="auto" w:val="clear"/>
        </w:rPr>
        <w:t xml:space="preserve">critical steps</w:t>
      </w:r>
      <w:r>
        <w:rPr>
          <w:rFonts w:ascii="Calibri" w:hAnsi="Calibri" w:cs="Calibri" w:eastAsia="Calibri"/>
          <w:color w:val="auto"/>
          <w:spacing w:val="0"/>
          <w:position w:val="0"/>
          <w:sz w:val="24"/>
          <w:shd w:fill="auto" w:val="clear"/>
        </w:rPr>
        <w:t xml:space="preserve"> need to be followed for the successful implementation of these techniques, and some important notes have been provided in the protocol section. The major requirement for intravital confocal imaging is the equipment to maintain anesthesia and optimum temperature. Indeed, a specialized mobile anesthetic system is needed for 1) induction of anesthesia, 2) dissection/tissue processing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exposing the sciatic nerve), and 3) maintaining anesthesia during intravital imaging (as previously detailed in </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Especially when using higher magnification objectives (e.g., 40x or 63x), the depth of anesthesia can impact the image quality, as deeper anesthesia induces large ‘gaspy’ breaths that result in frequent shifts in focus. Such large movements will undoubtedly impact post imaging transport analyses (e.g., tracking cargoes using the Fiji plugins TrackMate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or KymoAnalyzer</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as the breathing movements produce artifacts in time-lapse videos that can render them unsuitable for automated tracking or require more time-consuming assessment. Moreover, we have also observed imaging artifacts caused by pulsating arteries within the sciatic nerve, which can only be resolved by choosing a different imaging region. The microscope must be equipped with an environmental chamber capable of maintaining constant body temperature, as temperature and pH influence axonal transport</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Furthermore, the application of analgesics post surgery should be avoided, as they can alter transport dynamics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If the experimental design is longitudinal and requires repeated imaging (e.g., </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 dissection protocols need to be appropriately adjusted to be minimally invasive and may require additional ethical/licence approval.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Certain </w:t>
      </w:r>
      <w:r>
        <w:rPr>
          <w:rFonts w:ascii="Calibri" w:hAnsi="Calibri" w:cs="Calibri" w:eastAsia="Calibri"/>
          <w:b/>
          <w:color w:val="auto"/>
          <w:spacing w:val="0"/>
          <w:position w:val="0"/>
          <w:sz w:val="24"/>
          <w:shd w:fill="auto" w:val="clear"/>
        </w:rPr>
        <w:t xml:space="preserve">experimental considerations</w:t>
      </w:r>
      <w:r>
        <w:rPr>
          <w:rFonts w:ascii="Calibri" w:hAnsi="Calibri" w:cs="Calibri" w:eastAsia="Calibri"/>
          <w:color w:val="auto"/>
          <w:spacing w:val="0"/>
          <w:position w:val="0"/>
          <w:sz w:val="24"/>
          <w:shd w:fill="auto" w:val="clear"/>
        </w:rPr>
        <w:t xml:space="preserve"> need to be kept in mind. First, most of the protocols detailed herein involve the use of transgenic mice that possess fluorescent reporter proteins in mitochondria or motor neuron axons. Each of these mouse lines should be bred and imaged as hemi-/heterozygote. The exceptions, however, are the ChAT.Cre and Rosa26.tdTomato mouse lines that can be separately maintained as homozygotes, with the resulting hemizygote offspring enabling tdTomato expression in cholinergic neurons after Cre-</w:t>
      </w:r>
      <w:r>
        <w:rPr>
          <w:rFonts w:ascii="Calibri" w:hAnsi="Calibri" w:cs="Calibri" w:eastAsia="Calibri"/>
          <w:i/>
          <w:color w:val="auto"/>
          <w:spacing w:val="0"/>
          <w:position w:val="0"/>
          <w:sz w:val="24"/>
          <w:shd w:fill="auto" w:val="clear"/>
        </w:rPr>
        <w:t xml:space="preserve">loxP</w:t>
      </w:r>
      <w:r>
        <w:rPr>
          <w:rFonts w:ascii="Calibri" w:hAnsi="Calibri" w:cs="Calibri" w:eastAsia="Calibri"/>
          <w:color w:val="auto"/>
          <w:spacing w:val="0"/>
          <w:position w:val="0"/>
          <w:sz w:val="24"/>
          <w:shd w:fill="auto" w:val="clear"/>
        </w:rPr>
        <w:t xml:space="preserve"> recombination. When cross-breeding transgenic hemi-/heterozygote mice (e.g., Mito.CFP) with other transgenic hemi-/heterozygote mice (e.g., ChAT.eGFP), one needs to carefully consider the breeding strategy, as obtaining the desired numbers of double-mutant progeny can be time-consuming. Moreover, when breeding the F1 generation of ChAT.Cre and Rosa26.tdTomato mice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ChAT.tdTomato) with additional transgenic strains (e.g., Mito.CFP), one should expect even fewer mice carrying the desired triple transgenes. In addition, one must also consider the potential fluorophore overlap when breeding two-reporter mice with nearby wavelength properties (e.g., Mito-CFP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excitation: 435 nm, emission: 485 nm, bred with ChAT.eGFP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excitation: 488 nm, emission: 510 nm), although it may be possible to overcome this problem with spectral unmixing</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has some </w:t>
      </w:r>
      <w:r>
        <w:rPr>
          <w:rFonts w:ascii="Calibri" w:hAnsi="Calibri" w:cs="Calibri" w:eastAsia="Calibri"/>
          <w:b/>
          <w:color w:val="auto"/>
          <w:spacing w:val="0"/>
          <w:position w:val="0"/>
          <w:sz w:val="24"/>
          <w:shd w:fill="auto" w:val="clear"/>
        </w:rPr>
        <w:t xml:space="preserve">limitations </w:t>
      </w:r>
      <w:r>
        <w:rPr>
          <w:rFonts w:ascii="Calibri" w:hAnsi="Calibri" w:cs="Calibri" w:eastAsia="Calibri"/>
          <w:color w:val="auto"/>
          <w:spacing w:val="0"/>
          <w:position w:val="0"/>
          <w:sz w:val="24"/>
          <w:shd w:fill="auto" w:val="clear"/>
        </w:rPr>
        <w:t xml:space="preserve">to be considered. In this work and our previous protocols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we have shown how several genetically encoded markers and different staining methods can be used to label and track distinct organelles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However, not all probes are suitable for this experimental approach. We assessed injections into either TA or soleus muscle of cholera toxin beta subunit (CTB)-488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&amp;#181;g/&amp;#181;L ~4 h before imaging), a probe routinely used to label motor neuron cell bodies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retrograde tracer experiments</w:t>
      </w:r>
      <w:r>
        <w:rPr>
          <w:rFonts w:ascii="Calibri" w:hAnsi="Calibri" w:cs="Calibri" w:eastAsia="Calibri"/>
          <w:color w:val="auto"/>
          <w:spacing w:val="0"/>
          <w:position w:val="0"/>
          <w:sz w:val="24"/>
          <w:shd w:fill="auto" w:val="clear"/>
          <w:vertAlign w:val="superscript"/>
        </w:rPr>
        <w:t xml:space="preserve">59,60</w:t>
      </w:r>
      <w:r>
        <w:rPr>
          <w:rFonts w:ascii="Calibri" w:hAnsi="Calibri" w:cs="Calibri" w:eastAsia="Calibri"/>
          <w:color w:val="auto"/>
          <w:spacing w:val="0"/>
          <w:position w:val="0"/>
          <w:sz w:val="24"/>
          <w:shd w:fill="auto" w:val="clear"/>
        </w:rPr>
        <w:t xml:space="preserve">. However, when injected alone or co-injected with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T-555, the CTB-488 labeling was poor despite using concentrations similar to those used for successful retrograde motor neuron tracing. Thus, we conclude that, despite CTB being an excellent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marker of signaling endosomes in neuronal cultures</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T remains the gold-standard probe to identify signaling endosomes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in sciatic nerve axons.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different routes, we also tested probes routinely used for labeling lysosomes, such as LysoTracker green DND-26, and markers of active lysosomal hydrolases, such as BODIPY-FL-pepstatin A for Cathepsin D</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and Magic Red for Cathepsin B, but with no success. We tried intramuscular delivery of BODIPY-FL-pepstatin A (2.5 &amp;#181;g into the TA ~4 h before imaging), as well as intrasciatic injection of 2 &amp;#181;L of LysoTracker (10 &amp;#181;M), BODIPY-FL-pepstatin A (10 &amp;#181;M) or Magic Red (1/10) 30 min and 1 h before imaging. Despite these probes highlighting the nerve, we were unable to find clearly labeled organelles. The probes accumulated around axons, likely being retained by Schwann cells. Hence, the unsuccessful labeling of lysosomes may be due to deficient probe delivery into neurons, although the existence of more suitable concentrations cannot be ruled out. Given that TMRE labeling works under similar conditions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intrasciatic injections), the labeling intensity may be dye-dependent and must be tested for each marker independently. However, we conclude that targeting lysosomes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with these probes is not feasible at the concentrations stated above.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Methods of anesthesia can alter distinct physiological readouts (e.g., cochlea function</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and cortical electrophysiology</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however, whether anesthesia influences axonal transport in the sciatic nerve is currently unknown. Given the reduced neuromuscular activity under isoflurane-induced anesthesia, it is possible that transport kinetics differ compared to the wakeful state. However, the only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study that has directly investigated this revealed that transport of dense core vesicles in thalamocortical projections does not differ between anesthetized and awake mice</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Furthermore, because distinctions in transport between wild-type and disease model mice are detectable under anesthesia</w:t>
      </w:r>
      <w:r>
        <w:rPr>
          <w:rFonts w:ascii="Calibri" w:hAnsi="Calibri" w:cs="Calibri" w:eastAsia="Calibri"/>
          <w:color w:val="auto"/>
          <w:spacing w:val="0"/>
          <w:position w:val="0"/>
          <w:sz w:val="24"/>
          <w:shd w:fill="auto" w:val="clear"/>
          <w:vertAlign w:val="superscript"/>
        </w:rPr>
        <w:t xml:space="preserve">35,43</w:t>
      </w:r>
      <w:r>
        <w:rPr>
          <w:rFonts w:ascii="Calibri" w:hAnsi="Calibri" w:cs="Calibri" w:eastAsia="Calibri"/>
          <w:color w:val="auto"/>
          <w:spacing w:val="0"/>
          <w:position w:val="0"/>
          <w:sz w:val="24"/>
          <w:shd w:fill="auto" w:val="clear"/>
        </w:rPr>
        <w:t xml:space="preserve">, it is clear that isoflurane exposure does not prevent the identification of perturbances in signaling endosome or mitochondrial trafficking.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w:t>
      </w:r>
      <w:r>
        <w:rPr>
          <w:rFonts w:ascii="Calibri" w:hAnsi="Calibri" w:cs="Calibri" w:eastAsia="Calibri"/>
          <w:b/>
          <w:color w:val="auto"/>
          <w:spacing w:val="0"/>
          <w:position w:val="0"/>
          <w:sz w:val="24"/>
          <w:shd w:fill="auto" w:val="clear"/>
        </w:rPr>
        <w:t xml:space="preserve">other potential applications</w:t>
      </w:r>
      <w:r>
        <w:rPr>
          <w:rFonts w:ascii="Calibri" w:hAnsi="Calibri" w:cs="Calibri" w:eastAsia="Calibri"/>
          <w:color w:val="auto"/>
          <w:spacing w:val="0"/>
          <w:position w:val="0"/>
          <w:sz w:val="24"/>
          <w:shd w:fill="auto" w:val="clear"/>
        </w:rPr>
        <w:t xml:space="preserve">, which have been described below. Breeding of the transgenic mice described in this protocol (e.g., Mito.CFP, ChAT.eGFP) with neurodegenerative disease mouse models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will enable neuron subtype- and/or cargo-specific investigations. Moreover, recently developed mouse Cre lines</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would also permit the visualization of fluorescent reporter proteins in distinct sensory axon populations. For example, Rosa26.tdTomato mice can be crossed with a neuropeptide Y receptor-2-expressing (Npy2r).Cre mouse to enable tdTomato fluorescence in myelinated A-fiber nociceptors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Furthermore, temporal control can also be achieved by using inducible Cre systems (e.g., tamoxifen)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Another potential application relies on the availability of transgenic mice expressing fluorescent reporter proteins in Schwann cells. Indeed, S100-GFP</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and PLP-GFP</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mice enable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imaging of Schwann cells and have been at the forefront of research involved in Schwann cell migration during peripheral nerve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these applications and complementing the Mito.CFP mouse is the availability of several transgenic mouse lines that express fluorescent proteins in distinct organelles, such as mitochondria and autophagosomes. For example, investigating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mitochondrial transport might be possible with the mito::mKate2 mouse</w:t>
      </w:r>
      <w:r>
        <w:rPr>
          <w:rFonts w:ascii="Calibri" w:hAnsi="Calibri" w:cs="Calibri" w:eastAsia="Calibri"/>
          <w:color w:val="auto"/>
          <w:spacing w:val="0"/>
          <w:position w:val="0"/>
          <w:sz w:val="24"/>
          <w:shd w:fill="auto" w:val="clear"/>
          <w:vertAlign w:val="superscript"/>
        </w:rPr>
        <w:t xml:space="preserve">71</w:t>
      </w:r>
      <w:r>
        <w:rPr>
          <w:rFonts w:ascii="Calibri" w:hAnsi="Calibri" w:cs="Calibri" w:eastAsia="Calibri"/>
          <w:color w:val="auto"/>
          <w:spacing w:val="0"/>
          <w:position w:val="0"/>
          <w:sz w:val="24"/>
          <w:shd w:fill="auto" w:val="clear"/>
        </w:rPr>
        <w:t xml:space="preserve"> or the photoconvertible mitoDendra mouse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Moreover,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mitophagosome transport may be possible using the pH-sensitive mito-Keima mouse</w:t>
      </w:r>
      <w:r>
        <w:rPr>
          <w:rFonts w:ascii="Calibri" w:hAnsi="Calibri" w:cs="Calibri" w:eastAsia="Calibri"/>
          <w:color w:val="auto"/>
          <w:spacing w:val="0"/>
          <w:position w:val="0"/>
          <w:sz w:val="24"/>
          <w:shd w:fill="auto" w:val="clear"/>
          <w:vertAlign w:val="superscript"/>
        </w:rPr>
        <w:t xml:space="preserve">72</w:t>
      </w:r>
      <w:r>
        <w:rPr>
          <w:rFonts w:ascii="Calibri" w:hAnsi="Calibri" w:cs="Calibri" w:eastAsia="Calibri"/>
          <w:color w:val="auto"/>
          <w:spacing w:val="0"/>
          <w:position w:val="0"/>
          <w:sz w:val="24"/>
          <w:shd w:fill="auto" w:val="clear"/>
        </w:rPr>
        <w:t xml:space="preserve"> and the mito-QC mouse</w:t>
      </w:r>
      <w:r>
        <w:rPr>
          <w:rFonts w:ascii="Calibri" w:hAnsi="Calibri" w:cs="Calibri" w:eastAsia="Calibri"/>
          <w:color w:val="auto"/>
          <w:spacing w:val="0"/>
          <w:position w:val="0"/>
          <w:sz w:val="24"/>
          <w:shd w:fill="auto" w:val="clear"/>
          <w:vertAlign w:val="superscript"/>
        </w:rPr>
        <w:t xml:space="preserve">73</w:t>
      </w:r>
      <w:r>
        <w:rPr>
          <w:rFonts w:ascii="Calibri" w:hAnsi="Calibri" w:cs="Calibri" w:eastAsia="Calibri"/>
          <w:color w:val="auto"/>
          <w:spacing w:val="0"/>
          <w:position w:val="0"/>
          <w:sz w:val="24"/>
          <w:shd w:fill="auto" w:val="clear"/>
        </w:rPr>
        <w:t xml:space="preserve"> for mitophagy analyses. Furthermore, the lysosomal labeling difficulties we encountered may be overcome by using mice expressing LAMP1-GFP, with the caveat that LAMP1 is also present in endocytic organelles distinct from lysosomes</w:t>
      </w:r>
      <w:r>
        <w:rPr>
          <w:rFonts w:ascii="Calibri" w:hAnsi="Calibri" w:cs="Calibri" w:eastAsia="Calibri"/>
          <w:color w:val="auto"/>
          <w:spacing w:val="0"/>
          <w:position w:val="0"/>
          <w:sz w:val="24"/>
          <w:shd w:fill="auto" w:val="clear"/>
          <w:vertAlign w:val="superscript"/>
        </w:rPr>
        <w:t xml:space="preserve">74</w:t>
      </w:r>
      <w:r>
        <w:rPr>
          <w:rFonts w:ascii="Calibri" w:hAnsi="Calibri" w:cs="Calibri" w:eastAsia="Calibri"/>
          <w:color w:val="auto"/>
          <w:spacing w:val="0"/>
          <w:position w:val="0"/>
          <w:sz w:val="24"/>
          <w:shd w:fill="auto" w:val="clear"/>
        </w:rPr>
        <w:t xml:space="preserve">. In summary, we have provided novel ways to assess axonal transport of multiple organelles in specific peripheral nerve axons and diverse transgenic mice. We believe that these can be extremely useful experimental tools to understand the basal physiology of axons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can untangle important pathomechanisms driving the neurodegeneration of peripheral nerves.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Robert M. Brownstone (Queen Square Institute of Neurology, University College London) for sharing the ChAT-eGFP, ChAT.Cre and Rosa26.tdTomato mice, and Pietro Fratta (Queen Square Institute of Neurology, University College London) for sharing the HB9.GFP mouse. We would like to thank Elena Rhymes, Charlotte Kremers, and Qiuhan Lang (Queen Square Institute of Neurology, University College London) for critical reading of the manuscript. This work was supported by a Junior Non-Clinical Fellowship from the Motor Neuron Disease Association (UK) (Tosolini/Oct20/973-799) (APT), the Wellcome Trust Senior Investigator Awards (107116/Z/15/Z and 223022/Z/21/Z) (GS), a UK Dementia Research Institute Foundation award (GS); and a Medical Research Council Career Development Award (MR/S006990/1) (JNS).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Webster, R. G. Animal models of the neuromuscular junction, vitally informative for understanding function and the molecular mechanisms of congenital myasthenic syndromes.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1326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Sleigh, J. N., Gillingwater, T. H., Talbot, K. The contribution of mouse models to understanding the pathogenesis of spinal muscular atrophy.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 Giorgio, F., Maduro, C., Fisher, E. M. C., Acevedo-Arozena, A. Transgenic and physiological mouse models give insights into different aspects of amyotrophic lateral sclerosis.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dmm037424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Ilieva, H., Polymenidou, M., Cleveland, D. W. Non-cell autonomous toxicity in neurodegenerative disorders: ALS and beyond.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(6), 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Brown, R. H., Al-Chalabi, A. Amyotrophic lateral sclerosis.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(2),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Gong, S. et al. A gene expression atlas of the central nervous system based on bacterial artificial chromosomes.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425</w:t>
      </w:r>
      <w:r>
        <w:rPr>
          <w:rFonts w:ascii="Calibri" w:hAnsi="Calibri" w:cs="Calibri" w:eastAsia="Calibri"/>
          <w:color w:val="auto"/>
          <w:spacing w:val="0"/>
          <w:position w:val="0"/>
          <w:sz w:val="24"/>
          <w:shd w:fill="auto" w:val="clear"/>
        </w:rPr>
        <w:t xml:space="preserve"> (6961), 917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Tallini, Y. N. et al. BAC transgenic mice express enhanced green fluorescent protein in central and peripheral cholinergic neurons. </w:t>
      </w:r>
      <w:r>
        <w:rPr>
          <w:rFonts w:ascii="Calibri" w:hAnsi="Calibri" w:cs="Calibri" w:eastAsia="Calibri"/>
          <w:i/>
          <w:color w:val="auto"/>
          <w:spacing w:val="0"/>
          <w:position w:val="0"/>
          <w:sz w:val="24"/>
          <w:shd w:fill="auto" w:val="clear"/>
        </w:rPr>
        <w:t xml:space="preserve">Physiological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Zeilhofer, H. U. et al. Glycinergic neurons expressing enhanced green fluorescent protein in bacterial artificial chromosome transgenic mice.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482</w:t>
      </w:r>
      <w:r>
        <w:rPr>
          <w:rFonts w:ascii="Calibri" w:hAnsi="Calibri" w:cs="Calibri" w:eastAsia="Calibri"/>
          <w:color w:val="auto"/>
          <w:spacing w:val="0"/>
          <w:position w:val="0"/>
          <w:sz w:val="24"/>
          <w:shd w:fill="auto" w:val="clear"/>
        </w:rPr>
        <w:t xml:space="preserve"> (2),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Kaiser, T., Ting, J. T., Monteiro, P., Feng, G. Transgenic labeling of parvalbumin-expressing neurons with tdTomato.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Zheng, B., Sage, M., Sheppeard, E. A., Jurecic, V., Bradley, A. Engineering mouse chromosomes with Cre-loxP: range, efficiency, and somatic applications.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648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Madisen, L. et al. A robust and high-throughput Cre reporting and characterization system for the whole mouse brain.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Bareyre, F. M., Kerschensteiner, M., Misgeld, T., Sanes, J. R. Transgenic labeling of the corticospinal tract for monitoring axonal responses to spinal cord injury.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1355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Willems, J. et al. ORANGE: A CRISPR/Cas9-based genome editing toolbox for epitope tagging of endogenous proteins in neurons.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e3000665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Huh, Y., Oh, M. S., Leblanc, P., Kim, K.-S. Gene transfer in the nervous system and implications for transsynaptic neuronal tracing. </w:t>
      </w:r>
      <w:r>
        <w:rPr>
          <w:rFonts w:ascii="Calibri" w:hAnsi="Calibri" w:cs="Calibri" w:eastAsia="Calibri"/>
          <w:i/>
          <w:color w:val="auto"/>
          <w:spacing w:val="0"/>
          <w:position w:val="0"/>
          <w:sz w:val="24"/>
          <w:shd w:fill="auto" w:val="clear"/>
        </w:rPr>
        <w:t xml:space="preserve">Expert Opinion on Biological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763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Tosolini, A. P., Morris, R. Targeting motor end plates for delivery of adenoviruses: an approach to maximize uptake and transduction of spinal cord motor neurons.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33058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Andrews, M. R. Gene therapy in the CNS-one size does not fit all.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K&amp;#252;gler, S. Tissue-specific promoters in the CNS.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1382</w:t>
      </w:r>
      <w:r>
        <w:rPr>
          <w:rFonts w:ascii="Calibri" w:hAnsi="Calibri" w:cs="Calibri" w:eastAsia="Calibri"/>
          <w:color w:val="auto"/>
          <w:spacing w:val="0"/>
          <w:position w:val="0"/>
          <w:sz w:val="24"/>
          <w:shd w:fill="auto" w:val="clear"/>
        </w:rPr>
        <w:t xml:space="preserve">,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Misgeld, T., Kerschensteiner, M., Bareyre, F. M., Burgess, R. W., Lichtman, J. W. Imaging axonal transport of mitochondria in vivo.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Mizushima, N., Yamamoto, A., Matsui, M., Yoshimori, T., Ohsumi, Y. In vivo analysis of autophagy in response to nutrient starvation using transgenic mice expressing a fluorescent autophagosome marker.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1101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Dana,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Thy1-GCaMP6 transgenic mice for neuronal population imaging in vivo.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e108697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Chen, Q. et al. Imaging neural activity using Thy1-GCaMP transgenic mice.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Maday, S., Twelvetrees, A. E., Moughamian, A. J., Holzbaur, E. L. F. Axonal transport: cargo-specific mechanisms of motility and regulation.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 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Terenzio, M., Schiavo, G., Fainzilber, M. Compartmentalized signaling in neurons: from cell biology to neuroscience.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667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Abouward, R., Schiavo, G. Walking the line: mechanisms underlying directional mRNA transport and localisation in neurons and beyond.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(6), 2665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Sleigh, J. N., Rossor, A. M., Fellows, A. D., Tosolini, A. P., Schiavo, G. Axonal transport and neurological disease.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691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Bronfman, F. C., Moya-Alvarado, G. BDNF/TrkB signaling endosomes mediate long-distance dendritic growth by activating CREB/PI3K-mTOR-dependent translation in neuronal cell bodies.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doi:10.1101/2020.08.22.262923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Nagano, S., Araki, T. Axonal Transport and Local Translation of mRNA in Neurodegenerative Diseases.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697973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Boecker, C. A., Olenick, M. A., Gallagher, E. R., Ward, M. E., Holzbaur, E. L. F. ToolBox: Live Imaging of intracellular organelle transport in induced pluripotent stem cell-derived neurons.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Surana, S. et al. The evolution of the axonal transport toolkit.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Sleigh, J. N., Vagnoni, A., Twelvetrees, A. E., Schiavo, G. Methodological advances in imaging intravital axonal transport. </w:t>
      </w:r>
      <w:r>
        <w:rPr>
          <w:rFonts w:ascii="Calibri" w:hAnsi="Calibri" w:cs="Calibri" w:eastAsia="Calibri"/>
          <w:i/>
          <w:color w:val="auto"/>
          <w:spacing w:val="0"/>
          <w:position w:val="0"/>
          <w:sz w:val="24"/>
          <w:shd w:fill="auto" w:val="clear"/>
        </w:rPr>
        <w:t xml:space="preserve">F1000Research.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200, doi:10.12688/f1000research.10433.1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Gibbs, K. L., Kalmar, B., Sleigh, J. N., Greensmith, L., Schiavo, 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axonal transport in murine motor and sensory neurons.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Sleigh, J. N., Tosolini, A. P., Schiavo, G.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of anterograde and retrograde axonal transport in rodent peripheral nerves.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2143</w:t>
      </w:r>
      <w:r>
        <w:rPr>
          <w:rFonts w:ascii="Calibri" w:hAnsi="Calibri" w:cs="Calibri" w:eastAsia="Calibri"/>
          <w:color w:val="auto"/>
          <w:spacing w:val="0"/>
          <w:position w:val="0"/>
          <w:sz w:val="24"/>
          <w:shd w:fill="auto" w:val="clear"/>
        </w:rPr>
        <w:t xml:space="preserve">,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Gibbs, K. L. et al. Inhibiting p38 MAPK alpha rescues axonal retrograde transport defects in a mouse model of ALS. </w:t>
      </w:r>
      <w:r>
        <w:rPr>
          <w:rFonts w:ascii="Calibri" w:hAnsi="Calibri" w:cs="Calibri" w:eastAsia="Calibri"/>
          <w:i/>
          <w:color w:val="auto"/>
          <w:spacing w:val="0"/>
          <w:position w:val="0"/>
          <w:sz w:val="24"/>
          <w:shd w:fill="auto" w:val="clear"/>
        </w:rPr>
        <w:t xml:space="preserve">Cell Death &amp;amp;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596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Fellows, A. D., Rhymes, E. R., Gibbs, K. L., Greensmith, L., Schiavo, G. IGF1R regulates retrograde axonal transport of signalling endosomes in motor neurons.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e49129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Bilsland, L. G., Sahai, E., Kelly, G., Golding, M., Greensmith, L., Schiavo, G. Deficits in axonal transport precede ALS symptoms in vivo.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(47), 20523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20528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Kalinski, A. L. et al. Deacetylation of Miro1 by HDAC6 blocks mitochondrial transport and mediates axon growth inhibition.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(6), 1871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Bercsenyi, K. et al. Tetanus toxin entry. Nidogens are therapeutic targets for the prevention of tetanus.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(6213), 1118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Deinhardt, K. et al. Rab5 and Rab7 control endocytic sorting along the axonal retrograde transport pathway.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Debaisieux, S., Encheva, V., Chakravarty, P., Snijders, A. P., Schiavo, G. Analysis of signaling endosome composition and dynamics using SILAC in embryonic stem cell-derived neurons.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542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Surana, S. et al. The travel diaries of tetanus and botulinum neurotoxins. </w:t>
      </w:r>
      <w:r>
        <w:rPr>
          <w:rFonts w:ascii="Calibri" w:hAnsi="Calibri" w:cs="Calibri" w:eastAsia="Calibri"/>
          <w:i/>
          <w:color w:val="auto"/>
          <w:spacing w:val="0"/>
          <w:position w:val="0"/>
          <w:sz w:val="24"/>
          <w:shd w:fill="auto" w:val="clear"/>
        </w:rPr>
        <w:t xml:space="preserve">Toxicon.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Villarroel-Campos, D., Schiavo, G., Lazo, O. M. The many disguises of the signalling endosome.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(21), 3615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Malik, B. et al. Absence of disturbed axonal transport in spinal and bulbar muscular atrophy.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 1776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Sleigh, J. N. et al. Mice carrying ALS mutant TDP-43, but not mutant FUS, display in vivo defects in axonal transport of signaling endosomes.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(11), 3655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3662.e2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Restani, L. et al. Botulinum neurotoxins A and E undergo retrograde axonal transport in primary motor neurons.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e1003087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Mohan, R., Tosolini, A. P., Morris, R. Intramuscular injections along the motor end plates: a minimally invasive approach to shuttle tracers directly into motor neurons.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(101), e52846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Tosolini, A. P., Mohan, R., Morris, R. Targeting the full length of the motor end plate regions in the mouse forelimb increases the uptake of fluoro-gold into corresponding spinal cord motor neurons.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58, doi:10.3389/fneur.2013.00058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Mohan, R., Tosolini, A. P., Morris, R. Targeting the motor end plates in the mouse hindlimb gives access to a greater number of spinal cord motor neurons: an approach to maximize retrograde transport.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Stifani, N. Motor neurons and the generation of spinal motor neuron diversity.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Altman, T., Maimon, R., Ionescu, A., Pery, T. G., Perlson, E. Axonal transport of organelles in motor neuron cultures using microfluidic chambers system.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(159), doi:10.3791/60993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Boyer, N. P., Azcorra, M., Jung, P., Brown, A. Imaging and analysis of neurofilament transport in excised mouse tibial nerve.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(162), doi:10.3791/61264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Mou, Y., Mukte, S., Chai, E., Dein, J., Li, X.-J. Analyzing mitochondrial transport and morphology in human induced pluripotent stem cell-derived neurons in hereditary spastic paraplegia.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(156), doi:10.3791/60548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Stoklund Dittlau,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Generation of human motor units with functional neuromuscular junctions in microfluidic devices.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(175), doi:10.3791/62959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Tinevez, J.-Y. et al. TrackMate: An open and extensible platform for single-particle tracking.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Neumann, S., Chassefeyre, R., Campbell, G. E., Encalada, S. E. KymoAnalyzer: a software tool for the quantitative analysis of intracellular transport in neurons.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Bohnert, S., Schiavo, G. Tetanus toxin is transported in a novel neuronal compartment characterized by a specialized pH regulation.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(51), 42336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42344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Kanai, A. et al. Low-concentration lidocaine rapidly inhibits axonal transport in cultured mouse dorsal root ganglion neurons.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(3), 675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Bolea, I., Gan, W.-B., Manfedi, G., Magran&amp;#233;, J. Imaging of mitochondrial dynamics in motor and sensory axons of living mice.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547</w:t>
      </w:r>
      <w:r>
        <w:rPr>
          <w:rFonts w:ascii="Calibri" w:hAnsi="Calibri" w:cs="Calibri" w:eastAsia="Calibri"/>
          <w:color w:val="auto"/>
          <w:spacing w:val="0"/>
          <w:position w:val="0"/>
          <w:sz w:val="24"/>
          <w:shd w:fill="auto" w:val="clear"/>
        </w:rPr>
        <w:t xml:space="preserve">,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Cohen, S., Valm, A. M., Lippincott-Schwartz, J. Multispectral live-cell imaging. </w:t>
      </w:r>
      <w:r>
        <w:rPr>
          <w:rFonts w:ascii="Calibri" w:hAnsi="Calibri" w:cs="Calibri" w:eastAsia="Calibri"/>
          <w:i/>
          <w:color w:val="auto"/>
          <w:spacing w:val="0"/>
          <w:position w:val="0"/>
          <w:sz w:val="24"/>
          <w:shd w:fill="auto" w:val="clear"/>
        </w:rPr>
        <w:t xml:space="preserve">Current Protocols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 e46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Blum, J. A. et al. Single-cell transcriptomic analysis of the adult mouse spinal cord reveals molecular diversity of autonomic and skeletal motor neurons.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572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Xu, J. et al. An approach to maximize retrograde transport based on the spatial distribution of motor endplates in mouse hindlimb muscles.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707982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Wang, T. et al. Flux of signalling endosomes undergoing axonal retrograde transport is encoded by presynaptic activity and TrkB.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12976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Chen, C. S., Chen, W. N., Zhou, M., Arttamangkul, S., Haugland, R. P. Probing the cathepsin D using a BODIPY FL-pepstatin A: applications in fluorescence polarization and microscopy. </w:t>
      </w:r>
      <w:r>
        <w:rPr>
          <w:rFonts w:ascii="Calibri" w:hAnsi="Calibri" w:cs="Calibri" w:eastAsia="Calibri"/>
          <w:i/>
          <w:color w:val="auto"/>
          <w:spacing w:val="0"/>
          <w:position w:val="0"/>
          <w:sz w:val="24"/>
          <w:shd w:fill="auto" w:val="clear"/>
        </w:rPr>
        <w:t xml:space="preserve">Journal of Biochemical and Biophysical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Cederholm, J. M. E. et al. Differential actions of isoflurane and ketamine-based anaesthetics on cochlear function in the mouse.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Michelson, N. J., Kozai, T. D. Y. Isoflurane and ketamine differentially influence spontaneous and evoked laminar electrophysiology in mouse V1.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(5), 2232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Knabbe, J., Nassal, J. P., Verhage, M., Kuner, T. Secretory vesicle trafficking in awake and anaesthetized mice: differential speeds in axons versus synapses.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596</w:t>
      </w:r>
      <w:r>
        <w:rPr>
          <w:rFonts w:ascii="Calibri" w:hAnsi="Calibri" w:cs="Calibri" w:eastAsia="Calibri"/>
          <w:color w:val="auto"/>
          <w:spacing w:val="0"/>
          <w:position w:val="0"/>
          <w:sz w:val="24"/>
          <w:shd w:fill="auto" w:val="clear"/>
        </w:rPr>
        <w:t xml:space="preserve"> (16), 3759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Gong,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Targeting Cre recombinase to specific neuron populations with bacterial artificial chromosome constructs.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(37), 9817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9823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Arcourt,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Touch receptor-derived sensory information alleviates acute pain signaling and fine-tunes nociceptive reflex coordination.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Valny, M., Honsa, P., Kirdajova, D., Kamenik, Z., Anderova, M. Tamoxifen in the mouse brain: implications for fate-mapping studies using the tamoxifen-inducible Cre-loxP system.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Hayashi,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double-transgenic mouse used to track migrating Schwann cells and regenerating axons following engraftment of injured nerves.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(1),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Chen, B., Chen, Q., Parkinson, D. B., Dun, X.-P. Analysis of schwann cell migration and axon regeneration following nerve injury in the sciatic nerve bridge.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308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Barrasso, A. P., Tong, X., Poch&amp;#233;, R. A. The mito::mKate2 mouse: A far-red fluorescent reporter mouse line for tracking mitochondrial dynamics in vivo.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 doi:10.1002/dvg.23087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Sun, N. et al. A fluorescence-based imaging method to measure in vitro and in vivo mitophagy using mt-Keima.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1576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McWilliams, T. G. et al. mito-QC illuminates mitophagy and mitochondrial architecture in vivo.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(3),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Cheng, X.-T. et al. Characterization of LAMP1-labeled nondegradative lysosomal and endocytic compartments in neurons.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(9), 3127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3139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