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A713" w14:textId="1402C191" w:rsidR="00911276" w:rsidRPr="00ED59A2" w:rsidRDefault="00911276" w:rsidP="00911276">
      <w:pPr>
        <w:rPr>
          <w:b/>
        </w:rPr>
      </w:pPr>
      <w:r w:rsidRPr="00ED59A2">
        <w:rPr>
          <w:b/>
        </w:rPr>
        <w:t>TITLE:</w:t>
      </w:r>
    </w:p>
    <w:p w14:paraId="59AAC127" w14:textId="5A65FA79" w:rsidR="006E4797" w:rsidRPr="00ED59A2" w:rsidRDefault="00A82C78" w:rsidP="00911276">
      <w:pPr>
        <w:rPr>
          <w:bCs/>
        </w:rPr>
      </w:pPr>
      <w:r w:rsidRPr="00ED59A2">
        <w:rPr>
          <w:bCs/>
        </w:rPr>
        <w:t xml:space="preserve">Measurement </w:t>
      </w:r>
      <w:r w:rsidR="00911276" w:rsidRPr="00ED59A2">
        <w:rPr>
          <w:bCs/>
        </w:rPr>
        <w:t>of Tissue Non-Heme Iron Content Using a Bathophenanthroline-Based Colorimetric Assay</w:t>
      </w:r>
    </w:p>
    <w:p w14:paraId="06C0C87E" w14:textId="305BBB2E" w:rsidR="006E4797" w:rsidRPr="00ED59A2" w:rsidRDefault="006E4797" w:rsidP="00911276">
      <w:pPr>
        <w:rPr>
          <w:b/>
        </w:rPr>
      </w:pPr>
    </w:p>
    <w:p w14:paraId="4A288FE1" w14:textId="1886E8EF" w:rsidR="00911276" w:rsidRPr="00ED59A2" w:rsidRDefault="00911276" w:rsidP="00911276">
      <w:pPr>
        <w:rPr>
          <w:b/>
        </w:rPr>
      </w:pPr>
      <w:r w:rsidRPr="00ED59A2">
        <w:rPr>
          <w:b/>
        </w:rPr>
        <w:t>AUTHORS AND AFFILIATIONS:</w:t>
      </w:r>
    </w:p>
    <w:p w14:paraId="00535F2C" w14:textId="1265BBEE" w:rsidR="006E4797" w:rsidRPr="00BB5D06" w:rsidRDefault="00A82C78" w:rsidP="00911276">
      <w:r w:rsidRPr="005C0491">
        <w:t>Tiago L Duarte</w:t>
      </w:r>
      <w:r w:rsidR="005F66E0" w:rsidRPr="005C0491">
        <w:rPr>
          <w:vertAlign w:val="superscript"/>
        </w:rPr>
        <w:t>1,2*</w:t>
      </w:r>
      <w:r w:rsidRPr="005C0491">
        <w:t>, João V Neves</w:t>
      </w:r>
      <w:r w:rsidR="005F66E0" w:rsidRPr="005C0491">
        <w:rPr>
          <w:vertAlign w:val="superscript"/>
        </w:rPr>
        <w:t>1,3,</w:t>
      </w:r>
      <w:r w:rsidR="000230A2" w:rsidRPr="005C0491">
        <w:rPr>
          <w:vertAlign w:val="superscript"/>
        </w:rPr>
        <w:t>4</w:t>
      </w:r>
      <w:r w:rsidR="005F66E0" w:rsidRPr="005C0491">
        <w:rPr>
          <w:vertAlign w:val="superscript"/>
        </w:rPr>
        <w:t>*</w:t>
      </w:r>
    </w:p>
    <w:p w14:paraId="0621726C" w14:textId="77777777" w:rsidR="009D6AE4" w:rsidRPr="005C0491" w:rsidRDefault="009D6AE4" w:rsidP="00911276"/>
    <w:p w14:paraId="016D85B4" w14:textId="15E67422" w:rsidR="00A82C78" w:rsidRPr="00ED59A2" w:rsidRDefault="005F66E0" w:rsidP="00911276">
      <w:pPr>
        <w:rPr>
          <w:lang w:val="pt-PT"/>
        </w:rPr>
      </w:pPr>
      <w:r w:rsidRPr="00ED59A2">
        <w:rPr>
          <w:vertAlign w:val="superscript"/>
          <w:lang w:val="pt-PT"/>
        </w:rPr>
        <w:t>1</w:t>
      </w:r>
      <w:r w:rsidRPr="00ED59A2">
        <w:rPr>
          <w:lang w:val="pt-PT"/>
        </w:rPr>
        <w:t>i3S</w:t>
      </w:r>
      <w:r w:rsidR="000230A2" w:rsidRPr="00ED59A2">
        <w:rPr>
          <w:lang w:val="pt-PT"/>
        </w:rPr>
        <w:t xml:space="preserve"> </w:t>
      </w:r>
      <w:r w:rsidRPr="00ED59A2">
        <w:rPr>
          <w:lang w:val="pt-PT"/>
        </w:rPr>
        <w:t>-</w:t>
      </w:r>
      <w:r w:rsidR="000230A2" w:rsidRPr="00ED59A2">
        <w:rPr>
          <w:lang w:val="pt-PT"/>
        </w:rPr>
        <w:t xml:space="preserve"> </w:t>
      </w:r>
      <w:r w:rsidR="00A82C78" w:rsidRPr="00ED59A2">
        <w:rPr>
          <w:lang w:val="pt-PT"/>
        </w:rPr>
        <w:t>Instituto de Invest</w:t>
      </w:r>
      <w:r w:rsidRPr="00ED59A2">
        <w:rPr>
          <w:lang w:val="pt-PT"/>
        </w:rPr>
        <w:t>igação e Inovação em Saúde</w:t>
      </w:r>
      <w:r w:rsidR="00A82C78" w:rsidRPr="00ED59A2">
        <w:rPr>
          <w:lang w:val="pt-PT"/>
        </w:rPr>
        <w:t xml:space="preserve">, Universidade do Porto, </w:t>
      </w:r>
      <w:r w:rsidRPr="00ED59A2">
        <w:rPr>
          <w:lang w:val="pt-PT"/>
        </w:rPr>
        <w:t xml:space="preserve">4200-135 </w:t>
      </w:r>
      <w:r w:rsidR="00A82C78" w:rsidRPr="00ED59A2">
        <w:rPr>
          <w:lang w:val="pt-PT"/>
        </w:rPr>
        <w:t>Porto, Portugal</w:t>
      </w:r>
    </w:p>
    <w:p w14:paraId="2F12312C" w14:textId="3C84F917" w:rsidR="005F66E0" w:rsidRPr="00ED59A2" w:rsidRDefault="005F66E0" w:rsidP="00911276">
      <w:pPr>
        <w:rPr>
          <w:lang w:val="pt-PT"/>
        </w:rPr>
      </w:pPr>
      <w:r w:rsidRPr="00ED59A2">
        <w:rPr>
          <w:vertAlign w:val="superscript"/>
          <w:lang w:val="pt-PT"/>
        </w:rPr>
        <w:t>2</w:t>
      </w:r>
      <w:r w:rsidRPr="00ED59A2">
        <w:rPr>
          <w:lang w:val="pt-PT"/>
        </w:rPr>
        <w:t>Basic and Clinical Research on Iron Biology, IBMC</w:t>
      </w:r>
      <w:r w:rsidR="000230A2" w:rsidRPr="00ED59A2">
        <w:rPr>
          <w:lang w:val="pt-PT"/>
        </w:rPr>
        <w:t xml:space="preserve"> </w:t>
      </w:r>
      <w:r w:rsidRPr="00ED59A2">
        <w:rPr>
          <w:lang w:val="pt-PT"/>
        </w:rPr>
        <w:t>-</w:t>
      </w:r>
      <w:r w:rsidR="000230A2" w:rsidRPr="00ED59A2">
        <w:rPr>
          <w:lang w:val="pt-PT"/>
        </w:rPr>
        <w:t xml:space="preserve"> </w:t>
      </w:r>
      <w:r w:rsidRPr="00ED59A2">
        <w:rPr>
          <w:lang w:val="pt-PT"/>
        </w:rPr>
        <w:t>Instituto de Biologia Molecular e Celular, Universidade do Porto, 4200-135 Porto, Portugal</w:t>
      </w:r>
    </w:p>
    <w:p w14:paraId="225923BF" w14:textId="2E7837AE" w:rsidR="00A82C78" w:rsidRPr="00ED59A2" w:rsidRDefault="005F66E0" w:rsidP="00911276">
      <w:pPr>
        <w:rPr>
          <w:lang w:val="pt-PT"/>
        </w:rPr>
      </w:pPr>
      <w:r w:rsidRPr="00ED59A2">
        <w:rPr>
          <w:vertAlign w:val="superscript"/>
          <w:lang w:val="pt-PT"/>
        </w:rPr>
        <w:t>3</w:t>
      </w:r>
      <w:r w:rsidR="00A82C78" w:rsidRPr="00ED59A2">
        <w:rPr>
          <w:lang w:val="pt-PT"/>
        </w:rPr>
        <w:t>Iron and Innate Immunity, IBMC-Instituto de Biologia Molecular e Celular, Universidade do Porto, 4200-135 Porto, Portugal</w:t>
      </w:r>
    </w:p>
    <w:p w14:paraId="0CA765D4" w14:textId="5B663587" w:rsidR="000230A2" w:rsidRPr="00ED59A2" w:rsidRDefault="000230A2" w:rsidP="00911276">
      <w:pPr>
        <w:rPr>
          <w:lang w:val="pt-PT"/>
        </w:rPr>
      </w:pPr>
      <w:r w:rsidRPr="00ED59A2">
        <w:rPr>
          <w:vertAlign w:val="superscript"/>
          <w:lang w:val="pt-PT"/>
        </w:rPr>
        <w:t>4</w:t>
      </w:r>
      <w:r w:rsidRPr="00ED59A2">
        <w:rPr>
          <w:lang w:val="pt-PT"/>
        </w:rPr>
        <w:t>ICBAS - Instituto de Ciências Biomédicas Abel Salazar, Universidade do Porto, 4050-313Porto, Portugal</w:t>
      </w:r>
    </w:p>
    <w:p w14:paraId="7B2069BC" w14:textId="77777777" w:rsidR="009D6AE4" w:rsidRPr="00ED59A2" w:rsidRDefault="009D6AE4" w:rsidP="00911276">
      <w:pPr>
        <w:rPr>
          <w:lang w:val="pt-PT"/>
        </w:rPr>
      </w:pPr>
    </w:p>
    <w:p w14:paraId="6217E256" w14:textId="54AFBBC8" w:rsidR="005F66E0" w:rsidRPr="00ED59A2" w:rsidRDefault="005F66E0" w:rsidP="00911276">
      <w:r w:rsidRPr="00ED59A2">
        <w:t>*</w:t>
      </w:r>
      <w:r w:rsidR="00E7496C" w:rsidRPr="00ED59A2">
        <w:t>The</w:t>
      </w:r>
      <w:r w:rsidR="00911276" w:rsidRPr="00ED59A2">
        <w:t>se</w:t>
      </w:r>
      <w:r w:rsidR="00E7496C" w:rsidRPr="00ED59A2">
        <w:t xml:space="preserve"> authors contributed equally</w:t>
      </w:r>
    </w:p>
    <w:p w14:paraId="74C3D5B9" w14:textId="77777777" w:rsidR="00911276" w:rsidRPr="00ED59A2" w:rsidRDefault="00911276" w:rsidP="00911276"/>
    <w:p w14:paraId="204C5478" w14:textId="77336D61" w:rsidR="00911276" w:rsidRPr="00ED59A2" w:rsidRDefault="005F66E0" w:rsidP="00911276">
      <w:pPr>
        <w:rPr>
          <w:lang w:val="en-GB"/>
        </w:rPr>
      </w:pPr>
      <w:r w:rsidRPr="00ED59A2">
        <w:rPr>
          <w:lang w:val="en-GB"/>
        </w:rPr>
        <w:t>Correspond</w:t>
      </w:r>
      <w:r w:rsidR="009C1D52">
        <w:rPr>
          <w:lang w:val="en-GB"/>
        </w:rPr>
        <w:t>ing</w:t>
      </w:r>
      <w:r w:rsidR="00911276" w:rsidRPr="00ED59A2">
        <w:rPr>
          <w:lang w:val="en-GB"/>
        </w:rPr>
        <w:t xml:space="preserve"> Authors:</w:t>
      </w:r>
    </w:p>
    <w:p w14:paraId="27E996E7" w14:textId="54FCD9BD" w:rsidR="00911276" w:rsidRPr="005C0491" w:rsidRDefault="00911276" w:rsidP="00911276">
      <w:pPr>
        <w:rPr>
          <w:lang w:val="pt-PT"/>
        </w:rPr>
      </w:pPr>
      <w:r w:rsidRPr="00ED59A2">
        <w:rPr>
          <w:lang w:val="pt-PT"/>
        </w:rPr>
        <w:t>Tiago L Duarte</w:t>
      </w:r>
      <w:r w:rsidR="00D45893">
        <w:rPr>
          <w:lang w:val="pt-PT"/>
        </w:rPr>
        <w:tab/>
      </w:r>
      <w:r w:rsidR="00D45893">
        <w:rPr>
          <w:lang w:val="pt-PT"/>
        </w:rPr>
        <w:tab/>
      </w:r>
      <w:r w:rsidRPr="005C0491">
        <w:rPr>
          <w:lang w:val="pt-PT"/>
        </w:rPr>
        <w:t>(tduarte@ibmc.up.pt)</w:t>
      </w:r>
    </w:p>
    <w:p w14:paraId="141ABDE5" w14:textId="033A051A" w:rsidR="006E4797" w:rsidRPr="005C0491" w:rsidRDefault="00911276" w:rsidP="00911276">
      <w:pPr>
        <w:rPr>
          <w:lang w:val="pt-PT"/>
        </w:rPr>
      </w:pPr>
      <w:r w:rsidRPr="00ED59A2">
        <w:rPr>
          <w:lang w:val="pt-PT"/>
        </w:rPr>
        <w:t>João V Neves</w:t>
      </w:r>
      <w:r w:rsidR="00D45893">
        <w:rPr>
          <w:lang w:val="pt-PT"/>
        </w:rPr>
        <w:tab/>
      </w:r>
      <w:r w:rsidR="00D45893">
        <w:rPr>
          <w:lang w:val="pt-PT"/>
        </w:rPr>
        <w:tab/>
      </w:r>
      <w:r w:rsidRPr="005C0491">
        <w:rPr>
          <w:lang w:val="pt-PT"/>
        </w:rPr>
        <w:t>(</w:t>
      </w:r>
      <w:r w:rsidR="00865524" w:rsidRPr="005C0491">
        <w:rPr>
          <w:lang w:val="pt-PT"/>
        </w:rPr>
        <w:t>jneves@ibmc.up.pt</w:t>
      </w:r>
      <w:r w:rsidRPr="005C0491">
        <w:rPr>
          <w:lang w:val="pt-PT"/>
        </w:rPr>
        <w:t>)</w:t>
      </w:r>
    </w:p>
    <w:p w14:paraId="44255ECE" w14:textId="77777777" w:rsidR="00865524" w:rsidRPr="005C0491" w:rsidRDefault="00865524" w:rsidP="00911276">
      <w:pPr>
        <w:rPr>
          <w:lang w:val="pt-PT"/>
        </w:rPr>
      </w:pPr>
    </w:p>
    <w:p w14:paraId="60F3B8D4" w14:textId="143D3416" w:rsidR="006E4797" w:rsidRPr="00ED59A2" w:rsidRDefault="00551D82" w:rsidP="00911276">
      <w:r w:rsidRPr="00ED59A2">
        <w:rPr>
          <w:b/>
        </w:rPr>
        <w:t>SUMMARY:</w:t>
      </w:r>
    </w:p>
    <w:p w14:paraId="01069787" w14:textId="6173BF97" w:rsidR="006E4797" w:rsidRPr="00ED59A2" w:rsidRDefault="0058655B" w:rsidP="00911276">
      <w:r w:rsidRPr="00ED59A2">
        <w:t xml:space="preserve">Here, a protocol for the measurement of the non-heme iron content </w:t>
      </w:r>
      <w:r w:rsidR="006E7BD7" w:rsidRPr="00ED59A2">
        <w:t>in</w:t>
      </w:r>
      <w:r w:rsidRPr="00ED59A2">
        <w:t xml:space="preserve"> animal tissues</w:t>
      </w:r>
      <w:r w:rsidR="003051DC" w:rsidRPr="00ED59A2">
        <w:t xml:space="preserve"> is provided</w:t>
      </w:r>
      <w:r w:rsidRPr="00ED59A2">
        <w:t xml:space="preserve">, using a simple, well-established colorimetric assay that </w:t>
      </w:r>
      <w:r w:rsidR="00AB1B32" w:rsidRPr="00ED59A2">
        <w:t>can</w:t>
      </w:r>
      <w:r w:rsidR="009D31BF" w:rsidRPr="00ED59A2">
        <w:t xml:space="preserve"> </w:t>
      </w:r>
      <w:r w:rsidR="005F1E44" w:rsidRPr="00ED59A2">
        <w:t>be easily implemented in most laboratories</w:t>
      </w:r>
      <w:r w:rsidRPr="00ED59A2">
        <w:t>.</w:t>
      </w:r>
    </w:p>
    <w:p w14:paraId="74EFC8D7" w14:textId="77777777" w:rsidR="006E4797" w:rsidRPr="00ED59A2" w:rsidRDefault="006E4797" w:rsidP="00911276"/>
    <w:p w14:paraId="2DF8E628" w14:textId="13896952" w:rsidR="006E4797" w:rsidRPr="00ED59A2" w:rsidRDefault="00551D82" w:rsidP="00911276">
      <w:r w:rsidRPr="00ED59A2">
        <w:rPr>
          <w:b/>
        </w:rPr>
        <w:t>ABSTRACT:</w:t>
      </w:r>
    </w:p>
    <w:p w14:paraId="2B5E7F0E" w14:textId="6BF31A86" w:rsidR="00AB1B32" w:rsidRPr="00ED59A2" w:rsidRDefault="00574C7B" w:rsidP="00911276">
      <w:r w:rsidRPr="00ED59A2">
        <w:t>Iron is an essential micronutrient</w:t>
      </w:r>
      <w:r w:rsidR="002E61E0" w:rsidRPr="00ED59A2">
        <w:t>. B</w:t>
      </w:r>
      <w:r w:rsidR="00DC090D" w:rsidRPr="00ED59A2">
        <w:t xml:space="preserve">oth </w:t>
      </w:r>
      <w:r w:rsidRPr="00ED59A2">
        <w:t xml:space="preserve">iron overload </w:t>
      </w:r>
      <w:r w:rsidR="00DC090D" w:rsidRPr="00ED59A2">
        <w:t>and</w:t>
      </w:r>
      <w:r w:rsidRPr="00ED59A2">
        <w:t xml:space="preserve"> deficiency</w:t>
      </w:r>
      <w:r w:rsidR="00DC090D" w:rsidRPr="00ED59A2">
        <w:t xml:space="preserve"> are highly detrimental to humans</w:t>
      </w:r>
      <w:r w:rsidR="002E61E0" w:rsidRPr="00ED59A2">
        <w:t xml:space="preserve">, </w:t>
      </w:r>
      <w:r w:rsidR="00F65904" w:rsidRPr="00ED59A2">
        <w:t>and</w:t>
      </w:r>
      <w:r w:rsidR="002E61E0" w:rsidRPr="00ED59A2">
        <w:t xml:space="preserve"> tissue iron levels are </w:t>
      </w:r>
      <w:r w:rsidR="009C1D52">
        <w:t>finely</w:t>
      </w:r>
      <w:r w:rsidR="009C1D52" w:rsidRPr="00ED59A2">
        <w:t xml:space="preserve"> </w:t>
      </w:r>
      <w:r w:rsidR="002E61E0" w:rsidRPr="00ED59A2">
        <w:t>regulated</w:t>
      </w:r>
      <w:r w:rsidRPr="00ED59A2">
        <w:t>.</w:t>
      </w:r>
      <w:r w:rsidR="00DC090D" w:rsidRPr="00ED59A2">
        <w:t xml:space="preserve"> </w:t>
      </w:r>
      <w:r w:rsidR="002E61E0" w:rsidRPr="00ED59A2">
        <w:t>The use of e</w:t>
      </w:r>
      <w:r w:rsidRPr="00ED59A2">
        <w:t>xperimental animal models of iron overload or deficiency ha</w:t>
      </w:r>
      <w:r w:rsidR="002E61E0" w:rsidRPr="00ED59A2">
        <w:t>s</w:t>
      </w:r>
      <w:r w:rsidRPr="00ED59A2">
        <w:t xml:space="preserve"> been instrumental </w:t>
      </w:r>
      <w:r w:rsidR="002E61E0" w:rsidRPr="00ED59A2">
        <w:t xml:space="preserve">to </w:t>
      </w:r>
      <w:r w:rsidRPr="00ED59A2">
        <w:t>advanc</w:t>
      </w:r>
      <w:r w:rsidR="002E61E0" w:rsidRPr="00ED59A2">
        <w:t xml:space="preserve">e </w:t>
      </w:r>
      <w:r w:rsidRPr="00ED59A2">
        <w:t xml:space="preserve">knowledge </w:t>
      </w:r>
      <w:r w:rsidR="00DC090D" w:rsidRPr="00ED59A2">
        <w:t xml:space="preserve">of the mechanisms involved in the systemic and cellular regulation of iron homeostasis. </w:t>
      </w:r>
      <w:r w:rsidR="00AB1B32" w:rsidRPr="00ED59A2">
        <w:t xml:space="preserve">The measurement of total iron levels in </w:t>
      </w:r>
      <w:r w:rsidR="00CB3FF3" w:rsidRPr="00ED59A2">
        <w:t xml:space="preserve">animal </w:t>
      </w:r>
      <w:r w:rsidR="00AB1B32" w:rsidRPr="00ED59A2">
        <w:t>tissues is commonly performed with atomic absorption spectroscopy</w:t>
      </w:r>
      <w:r w:rsidR="00CB3FF3" w:rsidRPr="00ED59A2">
        <w:t xml:space="preserve"> </w:t>
      </w:r>
      <w:r w:rsidR="00AB1B32" w:rsidRPr="00ED59A2">
        <w:t xml:space="preserve">or </w:t>
      </w:r>
      <w:r w:rsidRPr="00ED59A2">
        <w:t xml:space="preserve">with </w:t>
      </w:r>
      <w:r w:rsidR="00CB3FF3" w:rsidRPr="00ED59A2">
        <w:t>a colorimetric assay</w:t>
      </w:r>
      <w:r w:rsidR="00AB1B32" w:rsidRPr="00ED59A2">
        <w:t xml:space="preserve"> </w:t>
      </w:r>
      <w:r w:rsidR="00CB3FF3" w:rsidRPr="00ED59A2">
        <w:t>based on the reaction of non-heme iron with a bathophenanthroline reagent</w:t>
      </w:r>
      <w:r w:rsidR="00AB1B32" w:rsidRPr="00ED59A2">
        <w:t xml:space="preserve">. </w:t>
      </w:r>
      <w:r w:rsidR="001A7126" w:rsidRPr="00ED59A2">
        <w:t xml:space="preserve">For many years, </w:t>
      </w:r>
      <w:r w:rsidR="00AF41F7" w:rsidRPr="00ED59A2">
        <w:t xml:space="preserve">the colorimetric assay </w:t>
      </w:r>
      <w:r w:rsidR="007037FA">
        <w:t xml:space="preserve">has been used </w:t>
      </w:r>
      <w:r w:rsidR="00AF41F7" w:rsidRPr="00ED59A2">
        <w:t>for the measurement of the non-heme iron content in a wide range of animal tissues</w:t>
      </w:r>
      <w:r w:rsidR="00CB3FF3" w:rsidRPr="00ED59A2">
        <w:t xml:space="preserve">. </w:t>
      </w:r>
      <w:r w:rsidR="001A7126" w:rsidRPr="00ED59A2">
        <w:t>Unlike</w:t>
      </w:r>
      <w:r w:rsidR="00AB1B32" w:rsidRPr="00ED59A2">
        <w:t xml:space="preserve"> </w:t>
      </w:r>
      <w:r w:rsidR="003B4B04" w:rsidRPr="00ED59A2">
        <w:t>atomic absorption spectroscopy</w:t>
      </w:r>
      <w:r w:rsidR="00AB1B32" w:rsidRPr="00ED59A2">
        <w:t xml:space="preserve">, </w:t>
      </w:r>
      <w:r w:rsidRPr="00ED59A2">
        <w:t>it</w:t>
      </w:r>
      <w:r w:rsidR="00AF41F7" w:rsidRPr="00ED59A2">
        <w:t xml:space="preserve"> excludes the contribution of heme iron derived from hemoglobin contained in red blood cells. Moreover, it </w:t>
      </w:r>
      <w:r w:rsidR="00AB1B32" w:rsidRPr="00ED59A2">
        <w:t xml:space="preserve">does not require sophisticated analytical </w:t>
      </w:r>
      <w:r w:rsidR="001850A2" w:rsidRPr="00ED59A2">
        <w:t xml:space="preserve">skills or highly expensive equipment, </w:t>
      </w:r>
      <w:r w:rsidR="00AB1B32" w:rsidRPr="00ED59A2">
        <w:t xml:space="preserve">and </w:t>
      </w:r>
      <w:r w:rsidR="00CB3FF3" w:rsidRPr="00ED59A2">
        <w:t>can</w:t>
      </w:r>
      <w:r w:rsidR="00AB1B32" w:rsidRPr="00ED59A2">
        <w:t xml:space="preserve"> thus be easily implemented in most laboratories. Finally, the </w:t>
      </w:r>
      <w:r w:rsidR="00AF41F7" w:rsidRPr="00ED59A2">
        <w:t xml:space="preserve">colorimetric </w:t>
      </w:r>
      <w:r w:rsidR="00AB1B32" w:rsidRPr="00ED59A2">
        <w:t>assay can</w:t>
      </w:r>
      <w:r w:rsidR="00AF41F7" w:rsidRPr="00ED59A2">
        <w:t xml:space="preserve"> </w:t>
      </w:r>
      <w:r w:rsidR="00AB1B32" w:rsidRPr="00ED59A2">
        <w:t xml:space="preserve">be </w:t>
      </w:r>
      <w:r w:rsidRPr="00ED59A2">
        <w:t xml:space="preserve">either </w:t>
      </w:r>
      <w:r w:rsidR="00AF41F7" w:rsidRPr="00ED59A2">
        <w:t xml:space="preserve">cuvette-based or </w:t>
      </w:r>
      <w:r w:rsidR="00AB1B32" w:rsidRPr="00ED59A2">
        <w:t>adapted to a microplate format, allowing higher sample throughput.</w:t>
      </w:r>
      <w:r w:rsidR="00E70ECC" w:rsidRPr="00ED59A2">
        <w:t xml:space="preserve"> </w:t>
      </w:r>
      <w:r w:rsidR="00B51121" w:rsidRPr="00ED59A2">
        <w:t>The present work</w:t>
      </w:r>
      <w:r w:rsidR="00E70ECC" w:rsidRPr="00ED59A2">
        <w:t xml:space="preserve"> provide</w:t>
      </w:r>
      <w:r w:rsidR="00B51121" w:rsidRPr="00ED59A2">
        <w:t>s</w:t>
      </w:r>
      <w:r w:rsidR="00E70ECC" w:rsidRPr="00ED59A2">
        <w:t xml:space="preserve"> a </w:t>
      </w:r>
      <w:r w:rsidRPr="00ED59A2">
        <w:t xml:space="preserve">well-established </w:t>
      </w:r>
      <w:r w:rsidR="00E70ECC" w:rsidRPr="00ED59A2">
        <w:t xml:space="preserve">protocol that is suited for the detection of alterations in tissue iron levels in </w:t>
      </w:r>
      <w:r w:rsidR="008B3FA2" w:rsidRPr="00ED59A2">
        <w:t xml:space="preserve">a variety of </w:t>
      </w:r>
      <w:r w:rsidR="00E70ECC" w:rsidRPr="00ED59A2">
        <w:t xml:space="preserve">experimental animal models of iron overload or </w:t>
      </w:r>
      <w:r w:rsidRPr="00ED59A2">
        <w:t xml:space="preserve">iron </w:t>
      </w:r>
      <w:r w:rsidR="00E70ECC" w:rsidRPr="00ED59A2">
        <w:t>deficiency.</w:t>
      </w:r>
    </w:p>
    <w:p w14:paraId="3E7CCAAC" w14:textId="6E2567FE" w:rsidR="00AB1B32" w:rsidRPr="00ED59A2" w:rsidRDefault="00AB1B32" w:rsidP="00911276"/>
    <w:p w14:paraId="0646E204" w14:textId="374FEA91" w:rsidR="006E4797" w:rsidRPr="00ED59A2" w:rsidRDefault="00551D82" w:rsidP="00911276">
      <w:r w:rsidRPr="00ED59A2">
        <w:rPr>
          <w:b/>
        </w:rPr>
        <w:t>INTRODUCTION:</w:t>
      </w:r>
    </w:p>
    <w:p w14:paraId="3E3248BB" w14:textId="63E256F6" w:rsidR="00253483" w:rsidRPr="00ED59A2" w:rsidRDefault="00253483" w:rsidP="00911276">
      <w:r w:rsidRPr="00ED59A2">
        <w:lastRenderedPageBreak/>
        <w:t>Iron is an essential micronutrient, required for the function of proteins involved in crucial biological processes such as oxygen transport, energy production</w:t>
      </w:r>
      <w:r w:rsidR="00911276" w:rsidRPr="00ED59A2">
        <w:t>,</w:t>
      </w:r>
      <w:r w:rsidRPr="00ED59A2">
        <w:t xml:space="preserve"> or DNA synthesis. Importantly, both iron excess and </w:t>
      </w:r>
      <w:r w:rsidR="00911276" w:rsidRPr="00ED59A2">
        <w:t xml:space="preserve">iron </w:t>
      </w:r>
      <w:r w:rsidRPr="00ED59A2">
        <w:t>deficiency are highly detrimental to human health</w:t>
      </w:r>
      <w:r w:rsidR="00F65904" w:rsidRPr="00ED59A2">
        <w:t>, and</w:t>
      </w:r>
      <w:r w:rsidRPr="00ED59A2">
        <w:t xml:space="preserve"> </w:t>
      </w:r>
      <w:r w:rsidR="007267F8" w:rsidRPr="00ED59A2">
        <w:t>t</w:t>
      </w:r>
      <w:r w:rsidR="00F65904" w:rsidRPr="00ED59A2">
        <w:t xml:space="preserve">issue </w:t>
      </w:r>
      <w:r w:rsidRPr="00ED59A2">
        <w:t xml:space="preserve">iron levels </w:t>
      </w:r>
      <w:r w:rsidR="00F65904" w:rsidRPr="00ED59A2">
        <w:t>are finely</w:t>
      </w:r>
      <w:r w:rsidRPr="00ED59A2">
        <w:t xml:space="preserve"> regulated. Abnormal dietary iron absorption, </w:t>
      </w:r>
      <w:r w:rsidR="00911276" w:rsidRPr="00ED59A2">
        <w:t>iron-</w:t>
      </w:r>
      <w:r w:rsidR="00AA270B" w:rsidRPr="00ED59A2">
        <w:t xml:space="preserve">deficient diets, </w:t>
      </w:r>
      <w:r w:rsidRPr="00ED59A2">
        <w:t>repeated blood transfusions</w:t>
      </w:r>
      <w:r w:rsidR="00911276" w:rsidRPr="00ED59A2">
        <w:t>,</w:t>
      </w:r>
      <w:r w:rsidRPr="00ED59A2">
        <w:t xml:space="preserve"> and chronic inflammation are common causes of iron-associated disorders that affect billions of people worldwide</w:t>
      </w:r>
      <w:r w:rsidR="005B0C4F" w:rsidRPr="00ED59A2">
        <w:rPr>
          <w:vertAlign w:val="superscript"/>
        </w:rPr>
        <w:t>1</w:t>
      </w:r>
      <w:r w:rsidR="007F6D72">
        <w:rPr>
          <w:vertAlign w:val="superscript"/>
        </w:rPr>
        <w:t>–</w:t>
      </w:r>
      <w:r w:rsidR="005B0C4F" w:rsidRPr="00ED59A2">
        <w:rPr>
          <w:vertAlign w:val="superscript"/>
        </w:rPr>
        <w:t>3</w:t>
      </w:r>
      <w:r w:rsidRPr="00ED59A2">
        <w:t>.</w:t>
      </w:r>
    </w:p>
    <w:p w14:paraId="4F498E17" w14:textId="77777777" w:rsidR="00911276" w:rsidRPr="00ED59A2" w:rsidRDefault="00911276" w:rsidP="00911276"/>
    <w:p w14:paraId="2A1D11E4" w14:textId="67F958E5" w:rsidR="00253483" w:rsidRPr="00ED59A2" w:rsidRDefault="00253483" w:rsidP="00911276">
      <w:r w:rsidRPr="00ED59A2">
        <w:t>Experimental animal models of iron overload or deficiency have been instrumental to advance our knowledge of the mechanisms involved in the systemic and cellular regulation of iron homeostasis</w:t>
      </w:r>
      <w:r w:rsidR="005B0C4F" w:rsidRPr="00ED59A2">
        <w:rPr>
          <w:vertAlign w:val="superscript"/>
        </w:rPr>
        <w:t>4</w:t>
      </w:r>
      <w:r w:rsidRPr="00ED59A2">
        <w:t xml:space="preserve">. Despite the substantial progress made during the last two decades, many key aspects remain elusive. In </w:t>
      </w:r>
      <w:r w:rsidR="00911276" w:rsidRPr="00ED59A2">
        <w:t xml:space="preserve">the </w:t>
      </w:r>
      <w:r w:rsidRPr="00ED59A2">
        <w:t>coming years, the accurate measurement of total iron levels in animal tissues will remain a critical step to advance research in the iron biology field.</w:t>
      </w:r>
    </w:p>
    <w:p w14:paraId="5ED2A7FE" w14:textId="77777777" w:rsidR="00911276" w:rsidRPr="00ED59A2" w:rsidRDefault="00911276" w:rsidP="00911276"/>
    <w:p w14:paraId="69AE73F4" w14:textId="7D2F1520" w:rsidR="001B46F1" w:rsidRPr="00ED59A2" w:rsidRDefault="00253483" w:rsidP="00911276">
      <w:r w:rsidRPr="00ED59A2">
        <w:t>Most laboratories quantify tissue iron with either atomic absorption spectroscopy (AAS), inductively coupled plasma mass spectrometry (ICP-MS</w:t>
      </w:r>
      <w:r w:rsidR="0077713A" w:rsidRPr="00ED59A2">
        <w:t>)</w:t>
      </w:r>
      <w:r w:rsidR="00911276" w:rsidRPr="00ED59A2">
        <w:t>,</w:t>
      </w:r>
      <w:r w:rsidRPr="00ED59A2">
        <w:t xml:space="preserve"> or a colorimetric assay based on the reaction of non-heme iron with a bathophenanthroline reagent. The latter is based on the original method described by Torrance and Bothwell </w:t>
      </w:r>
      <w:r w:rsidR="00FC2D03" w:rsidRPr="00ED59A2">
        <w:t xml:space="preserve">over </w:t>
      </w:r>
      <w:r w:rsidRPr="00ED59A2">
        <w:t>50 years ago</w:t>
      </w:r>
      <w:r w:rsidR="005B0C4F" w:rsidRPr="00ED59A2">
        <w:rPr>
          <w:vertAlign w:val="superscript"/>
        </w:rPr>
        <w:t>5</w:t>
      </w:r>
      <w:r w:rsidR="007F6D72">
        <w:rPr>
          <w:vertAlign w:val="superscript"/>
        </w:rPr>
        <w:t>–</w:t>
      </w:r>
      <w:r w:rsidR="005B0C4F" w:rsidRPr="00ED59A2">
        <w:rPr>
          <w:vertAlign w:val="superscript"/>
        </w:rPr>
        <w:t>6</w:t>
      </w:r>
      <w:r w:rsidRPr="00ED59A2">
        <w:t xml:space="preserve">. </w:t>
      </w:r>
      <w:r w:rsidR="001B46F1" w:rsidRPr="00ED59A2">
        <w:t>While a</w:t>
      </w:r>
      <w:r w:rsidR="008B3FA2" w:rsidRPr="00ED59A2">
        <w:t xml:space="preserve"> variation of this method </w:t>
      </w:r>
      <w:r w:rsidR="002840AA" w:rsidRPr="00ED59A2">
        <w:t>was subsequently developed employ</w:t>
      </w:r>
      <w:r w:rsidR="008B3FA2" w:rsidRPr="00ED59A2">
        <w:t xml:space="preserve">ing ferrozine as </w:t>
      </w:r>
      <w:r w:rsidR="001B46F1" w:rsidRPr="00ED59A2">
        <w:t>an alternative to bathophenanthroline</w:t>
      </w:r>
      <w:r w:rsidR="002840AA" w:rsidRPr="00ED59A2">
        <w:rPr>
          <w:vertAlign w:val="superscript"/>
        </w:rPr>
        <w:t>7</w:t>
      </w:r>
      <w:r w:rsidR="001B46F1" w:rsidRPr="00ED59A2">
        <w:t>, the latter remains the most widely cited chromogenic reagent in the literature.</w:t>
      </w:r>
    </w:p>
    <w:p w14:paraId="3AC4E812" w14:textId="77777777" w:rsidR="00911276" w:rsidRPr="00ED59A2" w:rsidRDefault="00911276" w:rsidP="00911276"/>
    <w:p w14:paraId="2738AC93" w14:textId="124A63D7" w:rsidR="00253483" w:rsidRPr="00ED59A2" w:rsidRDefault="00253483" w:rsidP="00D84C9F">
      <w:r w:rsidRPr="00ED59A2">
        <w:t xml:space="preserve">The method of choice often depends on the available expertise and infrastructure. While AAS and ICP-MS are more sensitive, the colorimetric assay remains widely used because it presents the following important advantages: </w:t>
      </w:r>
      <w:proofErr w:type="spellStart"/>
      <w:r w:rsidRPr="00ED59A2">
        <w:t>i</w:t>
      </w:r>
      <w:proofErr w:type="spellEnd"/>
      <w:r w:rsidRPr="00ED59A2">
        <w:t xml:space="preserve">) it excludes the contribution of heme iron derived from hemoglobin contained in red blood cells; ii) it does not require sophisticated analytical </w:t>
      </w:r>
      <w:r w:rsidR="001850A2" w:rsidRPr="00ED59A2">
        <w:t>skills or highly expensive equipment</w:t>
      </w:r>
      <w:r w:rsidRPr="00ED59A2">
        <w:t xml:space="preserve">; and iii) the original cuvette-based assay can be adapted to a microplate format, allowing higher sample throughput. </w:t>
      </w:r>
      <w:r w:rsidR="00B358F8" w:rsidRPr="00ED59A2">
        <w:t xml:space="preserve">The </w:t>
      </w:r>
      <w:r w:rsidR="00D84C9F" w:rsidRPr="00ED59A2">
        <w:t>colorimetric</w:t>
      </w:r>
      <w:r w:rsidR="00D84C9F" w:rsidRPr="00ED59A2" w:rsidDel="009C1D52">
        <w:t xml:space="preserve"> </w:t>
      </w:r>
      <w:r w:rsidR="009C1D52">
        <w:t>approach presented in this work</w:t>
      </w:r>
      <w:r w:rsidR="00B358F8" w:rsidRPr="00ED59A2">
        <w:t xml:space="preserve"> </w:t>
      </w:r>
      <w:r w:rsidR="009C1D52">
        <w:t xml:space="preserve">is </w:t>
      </w:r>
      <w:r w:rsidRPr="00ED59A2">
        <w:t>routinely use</w:t>
      </w:r>
      <w:r w:rsidR="009C1D52">
        <w:t>d</w:t>
      </w:r>
      <w:r w:rsidRPr="00ED59A2">
        <w:t xml:space="preserve"> to quantify alterations in tissue non-heme iron levels in a variety of experimental animal models of iron overload or iron deficiency, from rodents to fish and fruit fly. </w:t>
      </w:r>
      <w:r w:rsidR="00D84C9F">
        <w:t>Here</w:t>
      </w:r>
      <w:r w:rsidRPr="00ED59A2">
        <w:t>, a protocol for the measurement of the non-heme iron content in animal tissues</w:t>
      </w:r>
      <w:r w:rsidR="00B4138F" w:rsidRPr="00ED59A2">
        <w:t xml:space="preserve"> is provided</w:t>
      </w:r>
      <w:r w:rsidRPr="00ED59A2">
        <w:t>, using a simple, well-established, colorimetric assay that most laboratories should find easy to implement.</w:t>
      </w:r>
    </w:p>
    <w:p w14:paraId="1AB9E42A" w14:textId="77777777" w:rsidR="00253483" w:rsidRPr="00ED59A2" w:rsidRDefault="00253483" w:rsidP="00911276">
      <w:pPr>
        <w:rPr>
          <w:b/>
        </w:rPr>
      </w:pPr>
    </w:p>
    <w:p w14:paraId="786F9278" w14:textId="390A4527" w:rsidR="00FC035B" w:rsidRPr="00ED59A2" w:rsidRDefault="00551D82" w:rsidP="00911276">
      <w:r w:rsidRPr="00ED59A2">
        <w:rPr>
          <w:b/>
        </w:rPr>
        <w:t>PROTOCOL:</w:t>
      </w:r>
    </w:p>
    <w:p w14:paraId="79F84712" w14:textId="3EDFD389" w:rsidR="006E48DA" w:rsidRPr="00ED59A2" w:rsidRDefault="00AE2A5D" w:rsidP="00911276">
      <w:r w:rsidRPr="00ED59A2">
        <w:t xml:space="preserve">C57BL/6 mice were </w:t>
      </w:r>
      <w:r w:rsidR="00D647D8">
        <w:t xml:space="preserve">commercially </w:t>
      </w:r>
      <w:r w:rsidRPr="00ED59A2">
        <w:t>purchased</w:t>
      </w:r>
      <w:r w:rsidR="005C0491">
        <w:t xml:space="preserve"> and</w:t>
      </w:r>
      <w:r w:rsidRPr="00ED59A2">
        <w:t xml:space="preserve"> </w:t>
      </w:r>
      <w:r w:rsidR="005C0491">
        <w:t>h</w:t>
      </w:r>
      <w:r w:rsidRPr="00ED59A2">
        <w:t>epcidin-null (</w:t>
      </w:r>
      <w:r w:rsidRPr="00ED59A2">
        <w:rPr>
          <w:i/>
        </w:rPr>
        <w:t>Hamp1</w:t>
      </w:r>
      <w:r w:rsidRPr="00ED59A2">
        <w:rPr>
          <w:vertAlign w:val="superscript"/>
        </w:rPr>
        <w:t>−/−</w:t>
      </w:r>
      <w:r w:rsidRPr="00ED59A2">
        <w:t xml:space="preserve">) mice on a C57BL/6 </w:t>
      </w:r>
      <w:r w:rsidR="00DC18DF" w:rsidRPr="00ED59A2">
        <w:t>background</w:t>
      </w:r>
      <w:r w:rsidR="00DC18DF" w:rsidRPr="00ED59A2">
        <w:rPr>
          <w:vertAlign w:val="superscript"/>
        </w:rPr>
        <w:t>8</w:t>
      </w:r>
      <w:r w:rsidR="00DC18DF" w:rsidRPr="00ED59A2">
        <w:t xml:space="preserve"> </w:t>
      </w:r>
      <w:r w:rsidRPr="00ED59A2">
        <w:t xml:space="preserve">were a kind gift from Sophie </w:t>
      </w:r>
      <w:proofErr w:type="spellStart"/>
      <w:r w:rsidRPr="00ED59A2">
        <w:t>Vaulont</w:t>
      </w:r>
      <w:proofErr w:type="spellEnd"/>
      <w:r w:rsidRPr="00ED59A2">
        <w:t xml:space="preserve"> (</w:t>
      </w:r>
      <w:proofErr w:type="spellStart"/>
      <w:r w:rsidRPr="00ED59A2">
        <w:t>Institut</w:t>
      </w:r>
      <w:proofErr w:type="spellEnd"/>
      <w:r w:rsidRPr="00ED59A2">
        <w:t xml:space="preserve"> Cochin, France)</w:t>
      </w:r>
      <w:r w:rsidR="00C87819" w:rsidRPr="00ED59A2">
        <w:t>. Animals were housed at the i3S animal facility under specific pathogen-free conditions, in a temperature- and light-controlled environment, with free access to standard rodent chow and water</w:t>
      </w:r>
      <w:r w:rsidRPr="00ED59A2">
        <w:t>.</w:t>
      </w:r>
      <w:r w:rsidR="00C53466" w:rsidRPr="00ED59A2">
        <w:t xml:space="preserve"> European sea bass (</w:t>
      </w:r>
      <w:proofErr w:type="spellStart"/>
      <w:r w:rsidR="00C53466" w:rsidRPr="00ED59A2">
        <w:rPr>
          <w:i/>
        </w:rPr>
        <w:t>Dicentrarchus</w:t>
      </w:r>
      <w:proofErr w:type="spellEnd"/>
      <w:r w:rsidR="00C53466" w:rsidRPr="00ED59A2">
        <w:rPr>
          <w:i/>
        </w:rPr>
        <w:t xml:space="preserve"> </w:t>
      </w:r>
      <w:proofErr w:type="spellStart"/>
      <w:r w:rsidR="00C53466" w:rsidRPr="00ED59A2">
        <w:rPr>
          <w:i/>
        </w:rPr>
        <w:t>labrax</w:t>
      </w:r>
      <w:proofErr w:type="spellEnd"/>
      <w:r w:rsidR="00C53466" w:rsidRPr="00ED59A2">
        <w:t>)</w:t>
      </w:r>
      <w:r w:rsidR="007267F8" w:rsidRPr="00ED59A2">
        <w:t xml:space="preserve"> were purchased from </w:t>
      </w:r>
      <w:r w:rsidR="005C0491">
        <w:t xml:space="preserve">a commercial fish farm </w:t>
      </w:r>
      <w:r w:rsidR="007267F8" w:rsidRPr="00ED59A2">
        <w:t xml:space="preserve">and housed at the ICBAS animal facility, in a temperature- and light-controlled environment, </w:t>
      </w:r>
      <w:r w:rsidR="00664863" w:rsidRPr="00ED59A2">
        <w:t xml:space="preserve">and fed daily </w:t>
      </w:r>
      <w:r w:rsidR="00664863" w:rsidRPr="00ED59A2">
        <w:rPr>
          <w:i/>
        </w:rPr>
        <w:t>ad libitum</w:t>
      </w:r>
      <w:r w:rsidR="00664863" w:rsidRPr="00ED59A2">
        <w:t xml:space="preserve"> with</w:t>
      </w:r>
      <w:r w:rsidR="007267F8" w:rsidRPr="00ED59A2">
        <w:t xml:space="preserve"> standard sea bass feed</w:t>
      </w:r>
      <w:r w:rsidR="00FC740D" w:rsidRPr="00ED59A2">
        <w:t>.</w:t>
      </w:r>
      <w:r w:rsidRPr="00ED59A2">
        <w:t xml:space="preserve"> </w:t>
      </w:r>
      <w:r w:rsidR="006E48DA" w:rsidRPr="00ED59A2">
        <w:t xml:space="preserve">All procedures involving </w:t>
      </w:r>
      <w:r w:rsidR="00F0201B" w:rsidRPr="00ED59A2">
        <w:t xml:space="preserve">vertebrate animals </w:t>
      </w:r>
      <w:r w:rsidR="006E48DA" w:rsidRPr="00ED59A2">
        <w:t xml:space="preserve">were </w:t>
      </w:r>
      <w:r w:rsidR="00717176" w:rsidRPr="00ED59A2">
        <w:t xml:space="preserve">approved by the i3S Animal Ethics Committee and </w:t>
      </w:r>
      <w:r w:rsidR="00552396" w:rsidRPr="00ED59A2">
        <w:t xml:space="preserve">the national authority, </w:t>
      </w:r>
      <w:proofErr w:type="spellStart"/>
      <w:r w:rsidR="00717176" w:rsidRPr="00ED59A2">
        <w:t>Direção</w:t>
      </w:r>
      <w:proofErr w:type="spellEnd"/>
      <w:r w:rsidR="00717176" w:rsidRPr="00ED59A2">
        <w:t xml:space="preserve">-Geral de </w:t>
      </w:r>
      <w:proofErr w:type="spellStart"/>
      <w:r w:rsidR="00717176" w:rsidRPr="00ED59A2">
        <w:t>Alimentação</w:t>
      </w:r>
      <w:proofErr w:type="spellEnd"/>
      <w:r w:rsidR="00717176" w:rsidRPr="00ED59A2">
        <w:t xml:space="preserve"> e </w:t>
      </w:r>
      <w:proofErr w:type="spellStart"/>
      <w:r w:rsidR="00717176" w:rsidRPr="00ED59A2">
        <w:t>Veterinária</w:t>
      </w:r>
      <w:proofErr w:type="spellEnd"/>
      <w:r w:rsidR="00717176" w:rsidRPr="00ED59A2">
        <w:t xml:space="preserve"> (DGAV).</w:t>
      </w:r>
      <w:r w:rsidR="006E48DA" w:rsidRPr="00ED59A2">
        <w:t xml:space="preserve"> Information about commercial reagents</w:t>
      </w:r>
      <w:r w:rsidR="00D647D8">
        <w:t>,</w:t>
      </w:r>
      <w:r w:rsidR="006E48DA" w:rsidRPr="00ED59A2">
        <w:t xml:space="preserve"> equipment</w:t>
      </w:r>
      <w:r w:rsidR="00220EF3">
        <w:t>,</w:t>
      </w:r>
      <w:r w:rsidR="006E48DA" w:rsidRPr="00ED59A2">
        <w:t xml:space="preserve"> </w:t>
      </w:r>
      <w:r w:rsidR="00D647D8">
        <w:t xml:space="preserve">and animals </w:t>
      </w:r>
      <w:r w:rsidR="00EB198A" w:rsidRPr="00ED59A2">
        <w:t xml:space="preserve">is </w:t>
      </w:r>
      <w:r w:rsidR="006E48DA" w:rsidRPr="00ED59A2">
        <w:t xml:space="preserve">listed in the </w:t>
      </w:r>
      <w:r w:rsidR="006E48DA" w:rsidRPr="00ED59A2">
        <w:rPr>
          <w:b/>
          <w:bCs/>
        </w:rPr>
        <w:t>Table of Materials</w:t>
      </w:r>
      <w:r w:rsidR="006E48DA" w:rsidRPr="00ED59A2">
        <w:t>.</w:t>
      </w:r>
    </w:p>
    <w:p w14:paraId="02AB3EB5" w14:textId="7E914C57" w:rsidR="00FC035B" w:rsidRPr="00ED59A2" w:rsidRDefault="00FC035B" w:rsidP="00911276"/>
    <w:p w14:paraId="32BB1876" w14:textId="77777777" w:rsidR="00FC035B" w:rsidRPr="00ED59A2" w:rsidRDefault="00FC035B" w:rsidP="00911276">
      <w:pPr>
        <w:rPr>
          <w:b/>
        </w:rPr>
      </w:pPr>
      <w:r w:rsidRPr="00ED59A2">
        <w:rPr>
          <w:b/>
        </w:rPr>
        <w:t>1. Solution preparation</w:t>
      </w:r>
    </w:p>
    <w:p w14:paraId="4EA626EE" w14:textId="660D5DCD" w:rsidR="00FC035B" w:rsidRPr="00ED59A2" w:rsidRDefault="00FC035B" w:rsidP="00911276"/>
    <w:p w14:paraId="29D47F6E" w14:textId="4AE4E248" w:rsidR="0036756B" w:rsidRPr="00ED59A2" w:rsidRDefault="00F0201B" w:rsidP="00911276">
      <w:r w:rsidRPr="00ED59A2">
        <w:t xml:space="preserve">NOTE: </w:t>
      </w:r>
      <w:r w:rsidR="00F1207D" w:rsidRPr="00ED59A2">
        <w:t>H</w:t>
      </w:r>
      <w:r w:rsidR="0036756B" w:rsidRPr="00ED59A2">
        <w:t xml:space="preserve">andle and prepare </w:t>
      </w:r>
      <w:r w:rsidR="00F1207D" w:rsidRPr="00ED59A2">
        <w:t xml:space="preserve">all reagents and solutions </w:t>
      </w:r>
      <w:r w:rsidR="0036756B" w:rsidRPr="00ED59A2">
        <w:t xml:space="preserve">with </w:t>
      </w:r>
      <w:r w:rsidR="00911276" w:rsidRPr="00ED59A2">
        <w:t>iron-</w:t>
      </w:r>
      <w:r w:rsidR="0036756B" w:rsidRPr="00ED59A2">
        <w:t xml:space="preserve">free glassware or disposable plasticware. </w:t>
      </w:r>
      <w:r w:rsidR="00F1207D" w:rsidRPr="00ED59A2">
        <w:t>Do not allow</w:t>
      </w:r>
      <w:r w:rsidR="00CF1BA5" w:rsidRPr="00ED59A2">
        <w:t xml:space="preserve"> metallic laboratory material</w:t>
      </w:r>
      <w:r w:rsidR="00F1207D" w:rsidRPr="00ED59A2">
        <w:t>s</w:t>
      </w:r>
      <w:r w:rsidR="00CF1BA5" w:rsidRPr="00ED59A2">
        <w:t xml:space="preserve"> (e.g.</w:t>
      </w:r>
      <w:r w:rsidR="00220EF3">
        <w:t>,</w:t>
      </w:r>
      <w:r w:rsidR="00CF1BA5" w:rsidRPr="00ED59A2">
        <w:t xml:space="preserve"> stainless steel spatulas) </w:t>
      </w:r>
      <w:r w:rsidR="00F1207D" w:rsidRPr="00ED59A2">
        <w:t>to</w:t>
      </w:r>
      <w:r w:rsidR="00CF1BA5" w:rsidRPr="00ED59A2">
        <w:t xml:space="preserve"> </w:t>
      </w:r>
      <w:proofErr w:type="gramStart"/>
      <w:r w:rsidR="00CF1BA5" w:rsidRPr="00ED59A2">
        <w:t>come in contact with</w:t>
      </w:r>
      <w:proofErr w:type="gramEnd"/>
      <w:r w:rsidR="00CF1BA5" w:rsidRPr="00ED59A2">
        <w:t xml:space="preserve"> any reagent or solution, due to the risk of iron contamination. </w:t>
      </w:r>
      <w:r w:rsidR="00F1207D" w:rsidRPr="00ED59A2">
        <w:t>M</w:t>
      </w:r>
      <w:r w:rsidR="00CF1BA5" w:rsidRPr="00ED59A2">
        <w:t xml:space="preserve">ake sure </w:t>
      </w:r>
      <w:r w:rsidR="00F1207D" w:rsidRPr="00ED59A2">
        <w:t xml:space="preserve">any reusable glassware </w:t>
      </w:r>
      <w:r w:rsidR="00CF1BA5" w:rsidRPr="00ED59A2">
        <w:t>is iron</w:t>
      </w:r>
      <w:r w:rsidR="00F1207D" w:rsidRPr="00ED59A2">
        <w:t>-</w:t>
      </w:r>
      <w:r w:rsidR="00CF1BA5" w:rsidRPr="00ED59A2">
        <w:t xml:space="preserve">free. </w:t>
      </w:r>
      <w:r w:rsidR="00F1207D" w:rsidRPr="00ED59A2">
        <w:t>Wash t</w:t>
      </w:r>
      <w:r w:rsidR="009A3B2A" w:rsidRPr="00ED59A2">
        <w:t>he</w:t>
      </w:r>
      <w:r w:rsidR="00CF1BA5" w:rsidRPr="00ED59A2">
        <w:t xml:space="preserve"> material</w:t>
      </w:r>
      <w:r w:rsidR="00F1207D" w:rsidRPr="00ED59A2">
        <w:t>s</w:t>
      </w:r>
      <w:r w:rsidR="00CF1BA5" w:rsidRPr="00ED59A2">
        <w:t xml:space="preserve"> </w:t>
      </w:r>
      <w:r w:rsidR="009A3B2A" w:rsidRPr="00ED59A2">
        <w:t>with</w:t>
      </w:r>
      <w:r w:rsidR="00CF1BA5" w:rsidRPr="00ED59A2">
        <w:t xml:space="preserve"> appropriate laboratory detergent for 30</w:t>
      </w:r>
      <w:r w:rsidR="00220EF3">
        <w:t>–</w:t>
      </w:r>
      <w:r w:rsidR="00CF1BA5" w:rsidRPr="00ED59A2">
        <w:t>60 min, rinse</w:t>
      </w:r>
      <w:r w:rsidRPr="00ED59A2">
        <w:t xml:space="preserve"> with</w:t>
      </w:r>
      <w:r w:rsidR="00933AEA" w:rsidRPr="00ED59A2">
        <w:t xml:space="preserve"> deionized water, soak </w:t>
      </w:r>
      <w:r w:rsidR="009D2F77" w:rsidRPr="00ED59A2">
        <w:t xml:space="preserve">overnight </w:t>
      </w:r>
      <w:r w:rsidR="00933AEA" w:rsidRPr="00ED59A2">
        <w:t>in a</w:t>
      </w:r>
      <w:r w:rsidR="00CF1BA5" w:rsidRPr="00ED59A2">
        <w:t xml:space="preserve"> 37% nitric acid solution dilute</w:t>
      </w:r>
      <w:r w:rsidR="009D2F77" w:rsidRPr="00ED59A2">
        <w:t xml:space="preserve">d 1:3 </w:t>
      </w:r>
      <w:r w:rsidRPr="00ED59A2">
        <w:t xml:space="preserve">with </w:t>
      </w:r>
      <w:r w:rsidR="00CF1BA5" w:rsidRPr="00ED59A2">
        <w:t xml:space="preserve">deionized water, rinse again </w:t>
      </w:r>
      <w:r w:rsidRPr="00ED59A2">
        <w:t xml:space="preserve">with </w:t>
      </w:r>
      <w:r w:rsidR="00CF1BA5" w:rsidRPr="00ED59A2">
        <w:t>deionized water</w:t>
      </w:r>
      <w:r w:rsidR="00220EF3">
        <w:t>,</w:t>
      </w:r>
      <w:r w:rsidR="00CF1BA5" w:rsidRPr="00ED59A2">
        <w:t xml:space="preserve"> and </w:t>
      </w:r>
      <w:r w:rsidR="009A3B2A" w:rsidRPr="00ED59A2">
        <w:t xml:space="preserve">allow to </w:t>
      </w:r>
      <w:r w:rsidR="00CF1BA5" w:rsidRPr="00ED59A2">
        <w:t>dry.</w:t>
      </w:r>
    </w:p>
    <w:p w14:paraId="2472E023" w14:textId="77777777" w:rsidR="0036756B" w:rsidRPr="00ED59A2" w:rsidRDefault="0036756B" w:rsidP="00911276"/>
    <w:p w14:paraId="57305DEA" w14:textId="49C9C051" w:rsidR="00FC035B" w:rsidRPr="00ED59A2" w:rsidRDefault="00933AEA" w:rsidP="00911276">
      <w:r w:rsidRPr="00ED59A2">
        <w:t>1.</w:t>
      </w:r>
      <w:r w:rsidR="00F0201B" w:rsidRPr="00ED59A2">
        <w:t>1.</w:t>
      </w:r>
      <w:r w:rsidRPr="00ED59A2">
        <w:t xml:space="preserve"> Acid mixture</w:t>
      </w:r>
      <w:r w:rsidR="00911276" w:rsidRPr="00ED59A2">
        <w:t xml:space="preserve">: </w:t>
      </w:r>
      <w:r w:rsidR="00EA6307" w:rsidRPr="00ED59A2">
        <w:t>A</w:t>
      </w:r>
      <w:r w:rsidR="00F0201B" w:rsidRPr="00ED59A2">
        <w:t xml:space="preserve">dd </w:t>
      </w:r>
      <w:r w:rsidR="00E7394D" w:rsidRPr="00ED59A2">
        <w:t xml:space="preserve">10 g of </w:t>
      </w:r>
      <w:r w:rsidR="00FC740D" w:rsidRPr="00ED59A2">
        <w:t>trichloroacetic</w:t>
      </w:r>
      <w:r w:rsidR="00E7394D" w:rsidRPr="00ED59A2">
        <w:t xml:space="preserve"> acid to 82</w:t>
      </w:r>
      <w:r w:rsidR="00DD0182" w:rsidRPr="00ED59A2">
        <w:t>.</w:t>
      </w:r>
      <w:r w:rsidR="00E7394D" w:rsidRPr="00ED59A2">
        <w:t xml:space="preserve">2 </w:t>
      </w:r>
      <w:r w:rsidR="00DD0182" w:rsidRPr="00ED59A2">
        <w:t>m</w:t>
      </w:r>
      <w:r w:rsidR="00911276" w:rsidRPr="00ED59A2">
        <w:t>L</w:t>
      </w:r>
      <w:r w:rsidR="00E7394D" w:rsidRPr="00ED59A2">
        <w:t xml:space="preserve"> of 37% hydrochloric acid</w:t>
      </w:r>
      <w:r w:rsidR="0082427C" w:rsidRPr="00ED59A2">
        <w:t xml:space="preserve"> in a glass bottle</w:t>
      </w:r>
      <w:r w:rsidR="00E7394D" w:rsidRPr="00ED59A2">
        <w:t>, thoroughly dissolve, and</w:t>
      </w:r>
      <w:r w:rsidR="00F0201B" w:rsidRPr="00ED59A2">
        <w:t xml:space="preserve"> adjust</w:t>
      </w:r>
      <w:r w:rsidR="00E7394D" w:rsidRPr="00ED59A2">
        <w:t xml:space="preserve"> the final volume to 1</w:t>
      </w:r>
      <w:r w:rsidR="00211FEC" w:rsidRPr="00ED59A2">
        <w:t>00</w:t>
      </w:r>
      <w:r w:rsidR="00E7394D" w:rsidRPr="00ED59A2">
        <w:t xml:space="preserve"> m</w:t>
      </w:r>
      <w:r w:rsidR="00911276" w:rsidRPr="00ED59A2">
        <w:t>L</w:t>
      </w:r>
      <w:r w:rsidR="00E7394D" w:rsidRPr="00ED59A2">
        <w:t xml:space="preserve"> with d</w:t>
      </w:r>
      <w:r w:rsidR="008D5E88" w:rsidRPr="00ED59A2">
        <w:t>eionized</w:t>
      </w:r>
      <w:r w:rsidR="00FC035B" w:rsidRPr="00ED59A2">
        <w:t xml:space="preserve"> water. Shake before use. </w:t>
      </w:r>
      <w:r w:rsidR="00F0201B" w:rsidRPr="00ED59A2">
        <w:t>Alternatively</w:t>
      </w:r>
      <w:r w:rsidR="00E7394D" w:rsidRPr="00ED59A2">
        <w:t xml:space="preserve">, </w:t>
      </w:r>
      <w:r w:rsidR="00F0201B" w:rsidRPr="00ED59A2">
        <w:t>use</w:t>
      </w:r>
      <w:r w:rsidR="009A3B2A" w:rsidRPr="00ED59A2">
        <w:t xml:space="preserve"> </w:t>
      </w:r>
      <w:r w:rsidR="00146D36" w:rsidRPr="00ED59A2">
        <w:t xml:space="preserve">only </w:t>
      </w:r>
      <w:r w:rsidR="00CF1BA5" w:rsidRPr="00ED59A2">
        <w:t xml:space="preserve">37% hydrochloric acid </w:t>
      </w:r>
      <w:r w:rsidR="00F0201B" w:rsidRPr="00ED59A2">
        <w:t>for tissue digestion</w:t>
      </w:r>
      <w:r w:rsidR="00220EF3">
        <w:t>.</w:t>
      </w:r>
    </w:p>
    <w:p w14:paraId="4227E31C" w14:textId="77777777" w:rsidR="00EA6307" w:rsidRPr="00ED59A2" w:rsidRDefault="00EA6307" w:rsidP="00911276"/>
    <w:p w14:paraId="7561C860" w14:textId="15BB6968" w:rsidR="00EA6307" w:rsidRPr="00ED59A2" w:rsidRDefault="00C5109E" w:rsidP="00911276">
      <w:r w:rsidRPr="00ED59A2">
        <w:t>NOTE: The solution is stable for at least 2 months when stored in dark brown glass reagent bottles.</w:t>
      </w:r>
    </w:p>
    <w:p w14:paraId="2804EBBA" w14:textId="77777777" w:rsidR="00C5109E" w:rsidRPr="00ED59A2" w:rsidRDefault="00C5109E" w:rsidP="00911276"/>
    <w:p w14:paraId="558870C3" w14:textId="3EFBD147" w:rsidR="00F0201B" w:rsidRPr="00ED59A2" w:rsidRDefault="00F0201B" w:rsidP="00911276">
      <w:r w:rsidRPr="00ED59A2">
        <w:t>CAUTION: Hydrochloric acid</w:t>
      </w:r>
      <w:r w:rsidR="00B43379" w:rsidRPr="00ED59A2">
        <w:t xml:space="preserve"> and </w:t>
      </w:r>
      <w:r w:rsidR="00211FEC" w:rsidRPr="00ED59A2">
        <w:t>trichloroacetic</w:t>
      </w:r>
      <w:r w:rsidRPr="00ED59A2">
        <w:t xml:space="preserve"> acid are corrosive, and concentrated forms release toxic acidic vapors. Wear protective garment</w:t>
      </w:r>
      <w:r w:rsidR="00911276" w:rsidRPr="00ED59A2">
        <w:t>s</w:t>
      </w:r>
      <w:r w:rsidRPr="00ED59A2">
        <w:t>, chemical-resistant gloves</w:t>
      </w:r>
      <w:r w:rsidR="00911276" w:rsidRPr="00ED59A2">
        <w:t>,</w:t>
      </w:r>
      <w:r w:rsidRPr="00ED59A2">
        <w:t xml:space="preserve"> and chemical splash goggles at all times when handling acids. Avoid breathing them in and always handle acids while under a fume hood.</w:t>
      </w:r>
    </w:p>
    <w:p w14:paraId="366B82DF" w14:textId="77777777" w:rsidR="00F0201B" w:rsidRPr="00ED59A2" w:rsidRDefault="00F0201B" w:rsidP="00911276"/>
    <w:p w14:paraId="758FB199" w14:textId="4B0FEFF2" w:rsidR="00FC035B" w:rsidRPr="00ED59A2" w:rsidRDefault="00F0201B" w:rsidP="00911276">
      <w:r w:rsidRPr="00ED59A2">
        <w:t>1.</w:t>
      </w:r>
      <w:r w:rsidR="00FC035B" w:rsidRPr="00ED59A2">
        <w:t>2</w:t>
      </w:r>
      <w:r w:rsidR="00933AEA" w:rsidRPr="00ED59A2">
        <w:t>. S</w:t>
      </w:r>
      <w:r w:rsidR="00721B9B" w:rsidRPr="00ED59A2">
        <w:t>aturated s</w:t>
      </w:r>
      <w:r w:rsidR="00933AEA" w:rsidRPr="00ED59A2">
        <w:t>odium acetate</w:t>
      </w:r>
      <w:r w:rsidR="00911276" w:rsidRPr="00ED59A2">
        <w:t>:</w:t>
      </w:r>
      <w:r w:rsidR="00933AEA" w:rsidRPr="00ED59A2">
        <w:t xml:space="preserve"> </w:t>
      </w:r>
      <w:r w:rsidR="00721B9B" w:rsidRPr="00ED59A2">
        <w:t>A</w:t>
      </w:r>
      <w:r w:rsidR="00FC035B" w:rsidRPr="00ED59A2">
        <w:t xml:space="preserve">dd 228 g of </w:t>
      </w:r>
      <w:r w:rsidR="00B4138F" w:rsidRPr="00ED59A2">
        <w:t xml:space="preserve">anhydrous </w:t>
      </w:r>
      <w:r w:rsidR="00FC035B" w:rsidRPr="00ED59A2">
        <w:t xml:space="preserve">sodium acetate to 400 mL of </w:t>
      </w:r>
      <w:r w:rsidR="008D5E88" w:rsidRPr="00ED59A2">
        <w:t>deionized</w:t>
      </w:r>
      <w:r w:rsidR="00FC035B" w:rsidRPr="00ED59A2">
        <w:t xml:space="preserve"> water in a glass bottle and agitate overnight at room temperature. </w:t>
      </w:r>
      <w:r w:rsidR="00E7394D" w:rsidRPr="00ED59A2">
        <w:t xml:space="preserve">Let the solution rest </w:t>
      </w:r>
      <w:r w:rsidR="0082427C" w:rsidRPr="00ED59A2">
        <w:t xml:space="preserve">and precipitate </w:t>
      </w:r>
      <w:r w:rsidR="00E7394D" w:rsidRPr="00ED59A2">
        <w:t>for a day. If no precipitation occurs, continue adding small amounts of sodium acetate</w:t>
      </w:r>
      <w:r w:rsidR="00FC035B" w:rsidRPr="00ED59A2">
        <w:t>. Store the solution in a glass bottle.</w:t>
      </w:r>
    </w:p>
    <w:p w14:paraId="55DCBCA0" w14:textId="77777777" w:rsidR="00933AEA" w:rsidRPr="00ED59A2" w:rsidRDefault="00933AEA" w:rsidP="00911276">
      <w:pPr>
        <w:rPr>
          <w:highlight w:val="green"/>
        </w:rPr>
      </w:pPr>
    </w:p>
    <w:p w14:paraId="20639AE2" w14:textId="5BE3CD4C" w:rsidR="005C12FF" w:rsidRPr="00ED59A2" w:rsidRDefault="00F0201B" w:rsidP="00911276">
      <w:r w:rsidRPr="00ED59A2">
        <w:t>1.</w:t>
      </w:r>
      <w:r w:rsidR="00FC035B" w:rsidRPr="00ED59A2">
        <w:t>3</w:t>
      </w:r>
      <w:r w:rsidR="00933AEA" w:rsidRPr="00ED59A2">
        <w:t>. Chromogen Reagent</w:t>
      </w:r>
      <w:r w:rsidR="00911276" w:rsidRPr="00ED59A2">
        <w:t>:</w:t>
      </w:r>
      <w:r w:rsidR="00933AEA" w:rsidRPr="00ED59A2">
        <w:t xml:space="preserve"> </w:t>
      </w:r>
      <w:r w:rsidR="00FC035B" w:rsidRPr="00ED59A2">
        <w:t xml:space="preserve">To prepare </w:t>
      </w:r>
      <w:r w:rsidR="00E7394D" w:rsidRPr="00ED59A2">
        <w:t>1 m</w:t>
      </w:r>
      <w:r w:rsidR="00911276" w:rsidRPr="00ED59A2">
        <w:t>L</w:t>
      </w:r>
      <w:r w:rsidR="00E7394D" w:rsidRPr="00ED59A2">
        <w:t xml:space="preserve"> of</w:t>
      </w:r>
      <w:r w:rsidR="00933AEA" w:rsidRPr="00ED59A2">
        <w:t xml:space="preserve"> chromogen r</w:t>
      </w:r>
      <w:r w:rsidR="00FC035B" w:rsidRPr="00ED59A2">
        <w:t xml:space="preserve">eagent, </w:t>
      </w:r>
      <w:r w:rsidR="00933AEA" w:rsidRPr="00ED59A2">
        <w:t xml:space="preserve">add 1 mg of 4,7-diphenyl-1,10-phenanthroline </w:t>
      </w:r>
      <w:proofErr w:type="spellStart"/>
      <w:r w:rsidR="00933AEA" w:rsidRPr="00ED59A2">
        <w:t>disulfonic</w:t>
      </w:r>
      <w:proofErr w:type="spellEnd"/>
      <w:r w:rsidR="00933AEA" w:rsidRPr="00ED59A2">
        <w:t xml:space="preserve"> acid disodium salt to 500 </w:t>
      </w:r>
      <w:r w:rsidRPr="00ED59A2">
        <w:t>µ</w:t>
      </w:r>
      <w:r w:rsidR="00933AEA" w:rsidRPr="00ED59A2">
        <w:t xml:space="preserve">L of deionized water and 10 </w:t>
      </w:r>
      <w:r w:rsidRPr="00ED59A2">
        <w:t>µ</w:t>
      </w:r>
      <w:r w:rsidR="00933AEA" w:rsidRPr="00ED59A2">
        <w:t>L of concentrated (100%) thioglycolic acid, and thoroughly dissolve. Make up the final volume to 1 mL with deionized water.</w:t>
      </w:r>
    </w:p>
    <w:p w14:paraId="463C5F9A" w14:textId="77777777" w:rsidR="005C12FF" w:rsidRPr="00ED59A2" w:rsidRDefault="005C12FF" w:rsidP="00911276"/>
    <w:p w14:paraId="249D2163" w14:textId="2AAE4147" w:rsidR="00FC035B" w:rsidRPr="00ED59A2" w:rsidRDefault="005C12FF" w:rsidP="00911276">
      <w:r w:rsidRPr="00ED59A2">
        <w:t xml:space="preserve">NOTE: </w:t>
      </w:r>
      <w:r w:rsidR="00A9174D" w:rsidRPr="00ED59A2">
        <w:t xml:space="preserve">Prepare as much chromogen reagent as needed. The </w:t>
      </w:r>
      <w:r w:rsidR="00FC035B" w:rsidRPr="00ED59A2">
        <w:t xml:space="preserve">solution is stable for 1 month when </w:t>
      </w:r>
      <w:r w:rsidR="00E9636F" w:rsidRPr="00ED59A2">
        <w:t>protected from light</w:t>
      </w:r>
      <w:r w:rsidR="00FC035B" w:rsidRPr="00ED59A2">
        <w:t>.</w:t>
      </w:r>
    </w:p>
    <w:p w14:paraId="1250B68C" w14:textId="77777777" w:rsidR="00933AEA" w:rsidRPr="00ED59A2" w:rsidRDefault="00933AEA" w:rsidP="00911276"/>
    <w:p w14:paraId="41B05E76" w14:textId="4D47CFB3" w:rsidR="003A1F1F" w:rsidRPr="00ED59A2" w:rsidRDefault="00F0201B" w:rsidP="00911276">
      <w:r w:rsidRPr="00ED59A2">
        <w:t>1.</w:t>
      </w:r>
      <w:r w:rsidR="00933AEA" w:rsidRPr="00ED59A2">
        <w:t>4. Working Chromogen Reagent (WCR)</w:t>
      </w:r>
      <w:r w:rsidR="00911276" w:rsidRPr="00ED59A2">
        <w:t>:</w:t>
      </w:r>
      <w:r w:rsidR="003A1F1F" w:rsidRPr="00ED59A2">
        <w:t xml:space="preserve"> Add </w:t>
      </w:r>
      <w:r w:rsidR="00FC035B" w:rsidRPr="00ED59A2">
        <w:t xml:space="preserve">1 volume of the </w:t>
      </w:r>
      <w:r w:rsidR="008D5E88" w:rsidRPr="00ED59A2">
        <w:t>C</w:t>
      </w:r>
      <w:r w:rsidR="00FC035B" w:rsidRPr="00ED59A2">
        <w:t xml:space="preserve">hromogen </w:t>
      </w:r>
      <w:r w:rsidR="008D5E88" w:rsidRPr="00ED59A2">
        <w:t>R</w:t>
      </w:r>
      <w:r w:rsidR="00FC035B" w:rsidRPr="00ED59A2">
        <w:t>eagent to 5 volumes of saturated sodium acetate and 5 volumes of deioni</w:t>
      </w:r>
      <w:r w:rsidR="008D5E88" w:rsidRPr="00ED59A2">
        <w:t>z</w:t>
      </w:r>
      <w:r w:rsidR="00FC035B" w:rsidRPr="00ED59A2">
        <w:t>ed water.</w:t>
      </w:r>
    </w:p>
    <w:p w14:paraId="6549EA36" w14:textId="77777777" w:rsidR="003A1F1F" w:rsidRPr="00ED59A2" w:rsidRDefault="003A1F1F" w:rsidP="00911276"/>
    <w:p w14:paraId="3B168E89" w14:textId="44E3A8F0" w:rsidR="00FC035B" w:rsidRPr="00ED59A2" w:rsidRDefault="003A1F1F" w:rsidP="00911276">
      <w:r w:rsidRPr="00ED59A2">
        <w:t xml:space="preserve">NOTE: </w:t>
      </w:r>
      <w:r w:rsidR="00FC035B" w:rsidRPr="00ED59A2">
        <w:t>This solution should be prepared freshly on the day of use.</w:t>
      </w:r>
    </w:p>
    <w:p w14:paraId="13C69AFE" w14:textId="77777777" w:rsidR="00933AEA" w:rsidRPr="00ED59A2" w:rsidRDefault="00933AEA" w:rsidP="00911276"/>
    <w:p w14:paraId="26BA1D84" w14:textId="56F7DFDE" w:rsidR="005C12FF" w:rsidRPr="00ED59A2" w:rsidRDefault="00F0201B" w:rsidP="00911276">
      <w:r w:rsidRPr="00ED59A2">
        <w:t>1.</w:t>
      </w:r>
      <w:r w:rsidR="00FC035B" w:rsidRPr="00ED59A2">
        <w:t>5</w:t>
      </w:r>
      <w:r w:rsidR="00933AEA" w:rsidRPr="00ED59A2">
        <w:t>. Stock Iron Standard Solution</w:t>
      </w:r>
      <w:r w:rsidR="00911276" w:rsidRPr="00ED59A2">
        <w:t>:</w:t>
      </w:r>
      <w:r w:rsidR="00933AEA" w:rsidRPr="00ED59A2">
        <w:t xml:space="preserve"> </w:t>
      </w:r>
      <w:r w:rsidR="00FC035B" w:rsidRPr="00ED59A2">
        <w:t xml:space="preserve">To prepare </w:t>
      </w:r>
      <w:r w:rsidR="00411C05" w:rsidRPr="00ED59A2">
        <w:t xml:space="preserve">a 20 mM </w:t>
      </w:r>
      <w:r w:rsidR="007715A0" w:rsidRPr="00ED59A2">
        <w:t xml:space="preserve">stock </w:t>
      </w:r>
      <w:r w:rsidR="00411C05" w:rsidRPr="00ED59A2">
        <w:t xml:space="preserve">iron </w:t>
      </w:r>
      <w:r w:rsidR="00933AEA" w:rsidRPr="00ED59A2">
        <w:t>solution</w:t>
      </w:r>
      <w:r w:rsidR="00FC035B" w:rsidRPr="00ED59A2">
        <w:t xml:space="preserve">, place </w:t>
      </w:r>
      <w:r w:rsidR="003A1F1F" w:rsidRPr="00ED59A2">
        <w:t>111.5</w:t>
      </w:r>
      <w:r w:rsidR="00FC035B" w:rsidRPr="00ED59A2">
        <w:t xml:space="preserve"> mg of </w:t>
      </w:r>
      <w:r w:rsidR="008D5E88" w:rsidRPr="00ED59A2">
        <w:t>c</w:t>
      </w:r>
      <w:r w:rsidR="00FC035B" w:rsidRPr="00ED59A2">
        <w:t>arbonyl iron powder in a 2</w:t>
      </w:r>
      <w:r w:rsidR="003A1F1F" w:rsidRPr="00ED59A2">
        <w:t>5</w:t>
      </w:r>
      <w:r w:rsidR="00FC035B" w:rsidRPr="00ED59A2">
        <w:t>0 mL volumetric flas</w:t>
      </w:r>
      <w:r w:rsidR="00211FEC" w:rsidRPr="00ED59A2">
        <w:t>k</w:t>
      </w:r>
      <w:r w:rsidR="00FC035B" w:rsidRPr="00ED59A2">
        <w:t xml:space="preserve"> containing </w:t>
      </w:r>
      <w:r w:rsidR="003A1F1F" w:rsidRPr="00ED59A2">
        <w:t>5</w:t>
      </w:r>
      <w:r w:rsidR="003D5FF1">
        <w:t>,</w:t>
      </w:r>
      <w:r w:rsidR="003A1F1F" w:rsidRPr="00ED59A2">
        <w:t xml:space="preserve">480 </w:t>
      </w:r>
      <w:r w:rsidR="00FC035B" w:rsidRPr="00ED59A2">
        <w:t xml:space="preserve">µL </w:t>
      </w:r>
      <w:r w:rsidRPr="00ED59A2">
        <w:t>of 37% hydrochloric acid</w:t>
      </w:r>
      <w:r w:rsidR="00FC035B" w:rsidRPr="00ED59A2">
        <w:t>. Leave to dissolve overnight at room temperature (or incubate in a boiling water bath)</w:t>
      </w:r>
      <w:r w:rsidR="00911276" w:rsidRPr="00ED59A2">
        <w:t>. T</w:t>
      </w:r>
      <w:r w:rsidR="00FC035B" w:rsidRPr="00ED59A2">
        <w:t>h</w:t>
      </w:r>
      <w:r w:rsidR="00911276" w:rsidRPr="00ED59A2">
        <w:t>en, m</w:t>
      </w:r>
      <w:r w:rsidR="00FC035B" w:rsidRPr="00ED59A2">
        <w:t xml:space="preserve">ake </w:t>
      </w:r>
      <w:r w:rsidR="00911276" w:rsidRPr="00ED59A2">
        <w:t xml:space="preserve">up </w:t>
      </w:r>
      <w:r w:rsidR="00FC035B" w:rsidRPr="00ED59A2">
        <w:t xml:space="preserve">the solution to a final volume of </w:t>
      </w:r>
      <w:r w:rsidR="003A1F1F" w:rsidRPr="00ED59A2">
        <w:t xml:space="preserve">100 </w:t>
      </w:r>
      <w:r w:rsidR="00FC035B" w:rsidRPr="00ED59A2">
        <w:t>mL with deioni</w:t>
      </w:r>
      <w:r w:rsidR="008D5E88" w:rsidRPr="00ED59A2">
        <w:t>z</w:t>
      </w:r>
      <w:r w:rsidR="00FC035B" w:rsidRPr="00ED59A2">
        <w:t>ed water.</w:t>
      </w:r>
    </w:p>
    <w:p w14:paraId="40364243" w14:textId="77777777" w:rsidR="005C12FF" w:rsidRPr="00ED59A2" w:rsidRDefault="005C12FF" w:rsidP="00911276"/>
    <w:p w14:paraId="0ECBCFCE" w14:textId="7E541951" w:rsidR="00721B9B" w:rsidRPr="00ED59A2" w:rsidRDefault="005C12FF" w:rsidP="00911276">
      <w:r w:rsidRPr="00ED59A2">
        <w:t xml:space="preserve">NOTE: </w:t>
      </w:r>
      <w:r w:rsidR="00FC035B" w:rsidRPr="00ED59A2">
        <w:t>Th</w:t>
      </w:r>
      <w:r w:rsidR="008D5E88" w:rsidRPr="00ED59A2">
        <w:t>e</w:t>
      </w:r>
      <w:r w:rsidR="00FC035B" w:rsidRPr="00ED59A2">
        <w:t xml:space="preserve"> standard solution can be kept indefinitely when stored in a tightly sealed vessel.</w:t>
      </w:r>
    </w:p>
    <w:p w14:paraId="12F68F5F" w14:textId="5DAD5025" w:rsidR="00933AEA" w:rsidRPr="00ED59A2" w:rsidRDefault="00933AEA" w:rsidP="00911276"/>
    <w:p w14:paraId="72F77621" w14:textId="7B5C382D" w:rsidR="003A1F1F" w:rsidRPr="00ED59A2" w:rsidRDefault="00F0201B" w:rsidP="00911276">
      <w:r w:rsidRPr="00ED59A2">
        <w:t>1.</w:t>
      </w:r>
      <w:r w:rsidR="006B7E9A" w:rsidRPr="00ED59A2">
        <w:t xml:space="preserve">6. </w:t>
      </w:r>
      <w:r w:rsidR="00FC035B" w:rsidRPr="00ED59A2">
        <w:t>Working Iron Standard Solution (WISS)</w:t>
      </w:r>
      <w:r w:rsidR="00911276" w:rsidRPr="00ED59A2">
        <w:t xml:space="preserve">: </w:t>
      </w:r>
      <w:r w:rsidR="008F6A8A" w:rsidRPr="00ED59A2">
        <w:t xml:space="preserve">Add </w:t>
      </w:r>
      <w:r w:rsidR="006B7E9A" w:rsidRPr="00ED59A2">
        <w:t>13.5</w:t>
      </w:r>
      <w:r w:rsidR="00FC035B" w:rsidRPr="00ED59A2">
        <w:t xml:space="preserve"> µL of </w:t>
      </w:r>
      <w:r w:rsidRPr="00ED59A2">
        <w:t xml:space="preserve">37% </w:t>
      </w:r>
      <w:r w:rsidR="008D5E88" w:rsidRPr="00ED59A2">
        <w:t>h</w:t>
      </w:r>
      <w:r w:rsidR="00FC035B" w:rsidRPr="00ED59A2">
        <w:t xml:space="preserve">ydrochloric acid to </w:t>
      </w:r>
      <w:r w:rsidR="006B7E9A" w:rsidRPr="00ED59A2">
        <w:t>500</w:t>
      </w:r>
      <w:r w:rsidR="00FC035B" w:rsidRPr="00ED59A2">
        <w:t xml:space="preserve"> </w:t>
      </w:r>
      <w:r w:rsidR="006B7E9A" w:rsidRPr="00ED59A2">
        <w:t>µ</w:t>
      </w:r>
      <w:r w:rsidR="00FC035B" w:rsidRPr="00ED59A2">
        <w:t>L of deioni</w:t>
      </w:r>
      <w:r w:rsidR="008D5E88" w:rsidRPr="00ED59A2">
        <w:t>z</w:t>
      </w:r>
      <w:r w:rsidR="00FC035B" w:rsidRPr="00ED59A2">
        <w:t xml:space="preserve">ed water. Add </w:t>
      </w:r>
      <w:r w:rsidR="006B7E9A" w:rsidRPr="00ED59A2">
        <w:t>10</w:t>
      </w:r>
      <w:r w:rsidR="00FC035B" w:rsidRPr="00ED59A2">
        <w:t xml:space="preserve"> µL of the Stock Iron Standard Solution and make up the final volume </w:t>
      </w:r>
      <w:r w:rsidR="00B113BB" w:rsidRPr="00ED59A2">
        <w:t xml:space="preserve">to </w:t>
      </w:r>
      <w:r w:rsidR="006B7E9A" w:rsidRPr="00ED59A2">
        <w:t>1</w:t>
      </w:r>
      <w:r w:rsidR="00FC035B" w:rsidRPr="00ED59A2">
        <w:t xml:space="preserve"> mL with deioni</w:t>
      </w:r>
      <w:r w:rsidR="008D5E88" w:rsidRPr="00ED59A2">
        <w:t>z</w:t>
      </w:r>
      <w:r w:rsidR="00FC035B" w:rsidRPr="00ED59A2">
        <w:t>ed water</w:t>
      </w:r>
      <w:r w:rsidR="00B113BB" w:rsidRPr="00ED59A2">
        <w:t xml:space="preserve"> </w:t>
      </w:r>
      <w:r w:rsidR="00A15736" w:rsidRPr="00ED59A2">
        <w:t>(11.169 µg</w:t>
      </w:r>
      <w:r w:rsidR="00D87EEC" w:rsidRPr="00ED59A2">
        <w:t xml:space="preserve"> </w:t>
      </w:r>
      <w:r w:rsidR="00C24136">
        <w:t xml:space="preserve">of </w:t>
      </w:r>
      <w:r w:rsidR="00D87EEC" w:rsidRPr="00ED59A2">
        <w:t>Fe</w:t>
      </w:r>
      <w:r w:rsidR="00A15736" w:rsidRPr="00ED59A2">
        <w:t>/mL</w:t>
      </w:r>
      <w:r w:rsidR="00C0159D" w:rsidRPr="00ED59A2">
        <w:t>, 200 µM</w:t>
      </w:r>
      <w:r w:rsidR="00060E35">
        <w:t>;</w:t>
      </w:r>
      <w:r w:rsidR="005C0491">
        <w:t xml:space="preserve"> measured by AAS</w:t>
      </w:r>
      <w:r w:rsidR="00A15736" w:rsidRPr="00ED59A2">
        <w:t>)</w:t>
      </w:r>
      <w:r w:rsidR="00FC035B" w:rsidRPr="00ED59A2">
        <w:t>.</w:t>
      </w:r>
    </w:p>
    <w:p w14:paraId="1AEBD9C1" w14:textId="77777777" w:rsidR="003A1F1F" w:rsidRPr="00ED59A2" w:rsidRDefault="003A1F1F" w:rsidP="00911276"/>
    <w:p w14:paraId="64C934C9" w14:textId="57F133CF" w:rsidR="00FC035B" w:rsidRPr="00ED59A2" w:rsidRDefault="003A1F1F" w:rsidP="00911276">
      <w:r w:rsidRPr="00ED59A2">
        <w:t xml:space="preserve">NOTE: </w:t>
      </w:r>
      <w:r w:rsidR="00FC035B" w:rsidRPr="00ED59A2">
        <w:t>Th</w:t>
      </w:r>
      <w:r w:rsidR="008D5E88" w:rsidRPr="00ED59A2">
        <w:t>e</w:t>
      </w:r>
      <w:r w:rsidR="00E51700" w:rsidRPr="00ED59A2">
        <w:t xml:space="preserve"> </w:t>
      </w:r>
      <w:r w:rsidR="00FC035B" w:rsidRPr="00ED59A2">
        <w:t>working solution should be prepared freshly on the day of use.</w:t>
      </w:r>
    </w:p>
    <w:p w14:paraId="272A945B" w14:textId="15FAF9C9" w:rsidR="00FC035B" w:rsidRPr="00ED59A2" w:rsidRDefault="00FC035B" w:rsidP="00911276"/>
    <w:p w14:paraId="404FDFC3" w14:textId="77777777" w:rsidR="00FC035B" w:rsidRPr="00ED59A2" w:rsidRDefault="00FC035B" w:rsidP="00911276">
      <w:pPr>
        <w:rPr>
          <w:b/>
          <w:highlight w:val="yellow"/>
        </w:rPr>
      </w:pPr>
      <w:r w:rsidRPr="00ED59A2">
        <w:rPr>
          <w:b/>
          <w:highlight w:val="yellow"/>
        </w:rPr>
        <w:t>2. Sample drying</w:t>
      </w:r>
    </w:p>
    <w:p w14:paraId="53480FC2" w14:textId="7932285C" w:rsidR="00FC035B" w:rsidRPr="00ED59A2" w:rsidRDefault="00FC035B" w:rsidP="00911276">
      <w:pPr>
        <w:rPr>
          <w:highlight w:val="yellow"/>
        </w:rPr>
      </w:pPr>
    </w:p>
    <w:p w14:paraId="0E91701A" w14:textId="1BE40B03" w:rsidR="00FC035B" w:rsidRPr="00ED59A2" w:rsidRDefault="00F0201B" w:rsidP="00911276">
      <w:pPr>
        <w:rPr>
          <w:highlight w:val="yellow"/>
        </w:rPr>
      </w:pPr>
      <w:r w:rsidRPr="00ED59A2">
        <w:rPr>
          <w:highlight w:val="yellow"/>
        </w:rPr>
        <w:t>2.</w:t>
      </w:r>
      <w:r w:rsidR="007A73E6" w:rsidRPr="00ED59A2">
        <w:rPr>
          <w:highlight w:val="yellow"/>
        </w:rPr>
        <w:t xml:space="preserve">1. </w:t>
      </w:r>
      <w:r w:rsidR="00FC035B" w:rsidRPr="00ED59A2">
        <w:rPr>
          <w:highlight w:val="yellow"/>
        </w:rPr>
        <w:t>Cut a sample of tissue weighing</w:t>
      </w:r>
      <w:r w:rsidRPr="00ED59A2">
        <w:rPr>
          <w:highlight w:val="yellow"/>
        </w:rPr>
        <w:t xml:space="preserve"> </w:t>
      </w:r>
      <w:r w:rsidR="000A1F2D" w:rsidRPr="00ED59A2">
        <w:rPr>
          <w:highlight w:val="yellow"/>
        </w:rPr>
        <w:t>10</w:t>
      </w:r>
      <w:r w:rsidR="003D5FF1">
        <w:rPr>
          <w:highlight w:val="yellow"/>
        </w:rPr>
        <w:t>–</w:t>
      </w:r>
      <w:r w:rsidR="000A1F2D" w:rsidRPr="00ED59A2">
        <w:rPr>
          <w:highlight w:val="yellow"/>
        </w:rPr>
        <w:t>100</w:t>
      </w:r>
      <w:r w:rsidR="006B7E9A" w:rsidRPr="00ED59A2">
        <w:rPr>
          <w:highlight w:val="yellow"/>
        </w:rPr>
        <w:t xml:space="preserve"> </w:t>
      </w:r>
      <w:r w:rsidR="00FC035B" w:rsidRPr="00ED59A2">
        <w:rPr>
          <w:highlight w:val="yellow"/>
        </w:rPr>
        <w:t>mg</w:t>
      </w:r>
      <w:r w:rsidR="00D85A50" w:rsidRPr="00ED59A2">
        <w:rPr>
          <w:highlight w:val="yellow"/>
        </w:rPr>
        <w:t xml:space="preserve"> with a scalpel blade</w:t>
      </w:r>
      <w:r w:rsidR="00911276" w:rsidRPr="00ED59A2">
        <w:rPr>
          <w:highlight w:val="yellow"/>
        </w:rPr>
        <w:t>.</w:t>
      </w:r>
      <w:r w:rsidR="00FC035B" w:rsidRPr="00ED59A2">
        <w:rPr>
          <w:highlight w:val="yellow"/>
        </w:rPr>
        <w:t xml:space="preserve"> </w:t>
      </w:r>
      <w:r w:rsidR="00911276" w:rsidRPr="00ED59A2">
        <w:rPr>
          <w:highlight w:val="yellow"/>
        </w:rPr>
        <w:t>W</w:t>
      </w:r>
      <w:r w:rsidR="00FC035B" w:rsidRPr="00ED59A2">
        <w:rPr>
          <w:highlight w:val="yellow"/>
        </w:rPr>
        <w:t>eigh it accurately</w:t>
      </w:r>
      <w:r w:rsidR="00146D36" w:rsidRPr="00ED59A2">
        <w:rPr>
          <w:highlight w:val="yellow"/>
        </w:rPr>
        <w:t xml:space="preserve"> in an analytical/precision balance</w:t>
      </w:r>
      <w:r w:rsidR="004113A1" w:rsidRPr="00ED59A2">
        <w:rPr>
          <w:highlight w:val="yellow"/>
        </w:rPr>
        <w:t xml:space="preserve"> over a small piece of parafilm</w:t>
      </w:r>
      <w:r w:rsidR="00FC035B" w:rsidRPr="00ED59A2">
        <w:rPr>
          <w:highlight w:val="yellow"/>
        </w:rPr>
        <w:t xml:space="preserve"> (</w:t>
      </w:r>
      <w:r w:rsidR="007A73E6" w:rsidRPr="00ED59A2">
        <w:rPr>
          <w:highlight w:val="yellow"/>
        </w:rPr>
        <w:t>Fresh W</w:t>
      </w:r>
      <w:r w:rsidR="00FC035B" w:rsidRPr="00ED59A2">
        <w:rPr>
          <w:highlight w:val="yellow"/>
        </w:rPr>
        <w:t>eight).</w:t>
      </w:r>
    </w:p>
    <w:p w14:paraId="7754D4D0" w14:textId="77777777" w:rsidR="008D0066" w:rsidRPr="00ED59A2" w:rsidRDefault="008D0066" w:rsidP="00911276">
      <w:pPr>
        <w:rPr>
          <w:highlight w:val="yellow"/>
        </w:rPr>
      </w:pPr>
    </w:p>
    <w:p w14:paraId="4C7E0835" w14:textId="168744E3" w:rsidR="00F0201B" w:rsidRPr="00ED59A2" w:rsidRDefault="00F0201B" w:rsidP="00911276">
      <w:pPr>
        <w:rPr>
          <w:highlight w:val="yellow"/>
        </w:rPr>
      </w:pPr>
      <w:r w:rsidRPr="00ED59A2">
        <w:rPr>
          <w:highlight w:val="yellow"/>
        </w:rPr>
        <w:t>2.</w:t>
      </w:r>
      <w:r w:rsidR="00911276" w:rsidRPr="00ED59A2">
        <w:rPr>
          <w:highlight w:val="yellow"/>
        </w:rPr>
        <w:t>2</w:t>
      </w:r>
      <w:r w:rsidR="00B53F0C" w:rsidRPr="00ED59A2">
        <w:rPr>
          <w:highlight w:val="yellow"/>
        </w:rPr>
        <w:t xml:space="preserve">. </w:t>
      </w:r>
      <w:r w:rsidR="00217D99" w:rsidRPr="00ED59A2">
        <w:rPr>
          <w:highlight w:val="yellow"/>
        </w:rPr>
        <w:t xml:space="preserve">Using plastic tweezers, place </w:t>
      </w:r>
      <w:r w:rsidR="00B53F0C" w:rsidRPr="00ED59A2">
        <w:rPr>
          <w:highlight w:val="yellow"/>
        </w:rPr>
        <w:t>the piece of tissue in a 24-well plate (</w:t>
      </w:r>
      <w:r w:rsidRPr="00ED59A2">
        <w:rPr>
          <w:highlight w:val="yellow"/>
        </w:rPr>
        <w:t xml:space="preserve">unlidded </w:t>
      </w:r>
      <w:r w:rsidR="00B53F0C" w:rsidRPr="00ED59A2">
        <w:rPr>
          <w:highlight w:val="yellow"/>
        </w:rPr>
        <w:t xml:space="preserve">to allow for water evaporation) and </w:t>
      </w:r>
      <w:r w:rsidR="00814E5C" w:rsidRPr="00ED59A2">
        <w:rPr>
          <w:highlight w:val="yellow"/>
        </w:rPr>
        <w:t>let it dry</w:t>
      </w:r>
      <w:r w:rsidR="006F4959" w:rsidRPr="00ED59A2">
        <w:rPr>
          <w:highlight w:val="yellow"/>
        </w:rPr>
        <w:t xml:space="preserve"> </w:t>
      </w:r>
      <w:r w:rsidR="00B53F0C" w:rsidRPr="00ED59A2">
        <w:rPr>
          <w:highlight w:val="yellow"/>
        </w:rPr>
        <w:t xml:space="preserve">on a </w:t>
      </w:r>
      <w:r w:rsidR="008D0066" w:rsidRPr="00ED59A2">
        <w:rPr>
          <w:highlight w:val="yellow"/>
        </w:rPr>
        <w:t>standard incubator at 65</w:t>
      </w:r>
      <w:r w:rsidR="006F4959" w:rsidRPr="00ED59A2">
        <w:rPr>
          <w:highlight w:val="yellow"/>
        </w:rPr>
        <w:t xml:space="preserve"> </w:t>
      </w:r>
      <w:r w:rsidRPr="00ED59A2">
        <w:rPr>
          <w:highlight w:val="yellow"/>
        </w:rPr>
        <w:t>°</w:t>
      </w:r>
      <w:r w:rsidR="008D0066" w:rsidRPr="00ED59A2">
        <w:rPr>
          <w:highlight w:val="yellow"/>
        </w:rPr>
        <w:t xml:space="preserve">C for </w:t>
      </w:r>
      <w:r w:rsidR="00705FBC" w:rsidRPr="00ED59A2">
        <w:rPr>
          <w:highlight w:val="yellow"/>
        </w:rPr>
        <w:t>48</w:t>
      </w:r>
      <w:r w:rsidR="00EB198A" w:rsidRPr="00ED59A2">
        <w:rPr>
          <w:highlight w:val="yellow"/>
        </w:rPr>
        <w:t xml:space="preserve"> </w:t>
      </w:r>
      <w:r w:rsidR="008D0066" w:rsidRPr="00ED59A2">
        <w:rPr>
          <w:highlight w:val="yellow"/>
        </w:rPr>
        <w:t>h.</w:t>
      </w:r>
    </w:p>
    <w:p w14:paraId="63183F40" w14:textId="4EB28831" w:rsidR="000F04E0" w:rsidRPr="00ED59A2" w:rsidRDefault="000F04E0" w:rsidP="00911276">
      <w:pPr>
        <w:rPr>
          <w:highlight w:val="yellow"/>
        </w:rPr>
      </w:pPr>
    </w:p>
    <w:p w14:paraId="745B0700" w14:textId="5E6A874A" w:rsidR="005B51AC" w:rsidRPr="00ED59A2" w:rsidRDefault="00FF1E6A" w:rsidP="00911276">
      <w:pPr>
        <w:rPr>
          <w:highlight w:val="yellow"/>
        </w:rPr>
      </w:pPr>
      <w:r w:rsidRPr="00ED59A2">
        <w:rPr>
          <w:highlight w:val="yellow"/>
        </w:rPr>
        <w:t>2.</w:t>
      </w:r>
      <w:r w:rsidR="00911276" w:rsidRPr="00ED59A2">
        <w:rPr>
          <w:highlight w:val="yellow"/>
        </w:rPr>
        <w:t>3</w:t>
      </w:r>
      <w:r w:rsidR="00F82937">
        <w:rPr>
          <w:highlight w:val="yellow"/>
        </w:rPr>
        <w:t>.</w:t>
      </w:r>
      <w:r w:rsidR="007A73E6" w:rsidRPr="00ED59A2">
        <w:rPr>
          <w:highlight w:val="yellow"/>
        </w:rPr>
        <w:t xml:space="preserve"> Alternatively, </w:t>
      </w:r>
      <w:r w:rsidR="00C20B77" w:rsidRPr="00ED59A2">
        <w:rPr>
          <w:highlight w:val="yellow"/>
        </w:rPr>
        <w:t xml:space="preserve">use </w:t>
      </w:r>
      <w:r w:rsidR="007A73E6" w:rsidRPr="00ED59A2">
        <w:rPr>
          <w:highlight w:val="yellow"/>
        </w:rPr>
        <w:t xml:space="preserve">a laboratory microwave digestion oven for drying tissue samples. </w:t>
      </w:r>
      <w:r w:rsidR="00FA3997" w:rsidRPr="00ED59A2">
        <w:rPr>
          <w:highlight w:val="yellow"/>
        </w:rPr>
        <w:t>Using plastic tweezers, p</w:t>
      </w:r>
      <w:r w:rsidR="00FC035B" w:rsidRPr="00ED59A2">
        <w:rPr>
          <w:highlight w:val="yellow"/>
        </w:rPr>
        <w:t xml:space="preserve">lace the </w:t>
      </w:r>
      <w:r w:rsidR="006F4959" w:rsidRPr="00ED59A2">
        <w:rPr>
          <w:highlight w:val="yellow"/>
        </w:rPr>
        <w:t xml:space="preserve">weighed </w:t>
      </w:r>
      <w:r w:rsidR="00FC035B" w:rsidRPr="00ED59A2">
        <w:rPr>
          <w:highlight w:val="yellow"/>
        </w:rPr>
        <w:t xml:space="preserve">piece of tissue in </w:t>
      </w:r>
      <w:r w:rsidR="007A73E6" w:rsidRPr="00ED59A2">
        <w:rPr>
          <w:highlight w:val="yellow"/>
        </w:rPr>
        <w:t>a</w:t>
      </w:r>
      <w:r w:rsidR="006F4959" w:rsidRPr="00ED59A2">
        <w:rPr>
          <w:highlight w:val="yellow"/>
        </w:rPr>
        <w:t>n</w:t>
      </w:r>
      <w:r w:rsidR="00FC035B" w:rsidRPr="00ED59A2">
        <w:rPr>
          <w:highlight w:val="yellow"/>
        </w:rPr>
        <w:t xml:space="preserve"> </w:t>
      </w:r>
      <w:r w:rsidRPr="00ED59A2">
        <w:rPr>
          <w:highlight w:val="yellow"/>
        </w:rPr>
        <w:t>iron-</w:t>
      </w:r>
      <w:r w:rsidR="006F4959" w:rsidRPr="00ED59A2">
        <w:rPr>
          <w:highlight w:val="yellow"/>
        </w:rPr>
        <w:t xml:space="preserve">free </w:t>
      </w:r>
      <w:r w:rsidR="00911276" w:rsidRPr="00ED59A2">
        <w:rPr>
          <w:highlight w:val="yellow"/>
        </w:rPr>
        <w:t xml:space="preserve">Teflon </w:t>
      </w:r>
      <w:r w:rsidR="00FC035B" w:rsidRPr="00ED59A2">
        <w:rPr>
          <w:highlight w:val="yellow"/>
        </w:rPr>
        <w:t xml:space="preserve">cup and dry it in </w:t>
      </w:r>
      <w:r w:rsidR="007A73E6" w:rsidRPr="00ED59A2">
        <w:rPr>
          <w:highlight w:val="yellow"/>
        </w:rPr>
        <w:t>the microwave</w:t>
      </w:r>
      <w:r w:rsidR="007E6837" w:rsidRPr="00ED59A2">
        <w:rPr>
          <w:highlight w:val="yellow"/>
        </w:rPr>
        <w:t xml:space="preserve">. </w:t>
      </w:r>
      <w:r w:rsidR="00FA3997" w:rsidRPr="00ED59A2">
        <w:rPr>
          <w:highlight w:val="yellow"/>
        </w:rPr>
        <w:t>Set t</w:t>
      </w:r>
      <w:r w:rsidRPr="00ED59A2">
        <w:rPr>
          <w:highlight w:val="yellow"/>
        </w:rPr>
        <w:t xml:space="preserve">he operating parameters </w:t>
      </w:r>
      <w:r w:rsidR="00FA3997" w:rsidRPr="00ED59A2">
        <w:rPr>
          <w:highlight w:val="yellow"/>
        </w:rPr>
        <w:t xml:space="preserve">according to </w:t>
      </w:r>
      <w:r w:rsidR="00911276" w:rsidRPr="00ED59A2">
        <w:rPr>
          <w:highlight w:val="yellow"/>
        </w:rPr>
        <w:t xml:space="preserve">the </w:t>
      </w:r>
      <w:r w:rsidRPr="00ED59A2">
        <w:rPr>
          <w:highlight w:val="yellow"/>
        </w:rPr>
        <w:t>instrument</w:t>
      </w:r>
      <w:r w:rsidR="00FA3997" w:rsidRPr="00ED59A2">
        <w:rPr>
          <w:highlight w:val="yellow"/>
        </w:rPr>
        <w:t>’s instructions manual</w:t>
      </w:r>
      <w:r w:rsidRPr="00ED59A2">
        <w:rPr>
          <w:highlight w:val="yellow"/>
        </w:rPr>
        <w:t>.</w:t>
      </w:r>
    </w:p>
    <w:p w14:paraId="3B7ACC2E" w14:textId="77777777" w:rsidR="005B51AC" w:rsidRPr="00ED59A2" w:rsidRDefault="005B51AC" w:rsidP="00911276">
      <w:pPr>
        <w:rPr>
          <w:highlight w:val="yellow"/>
        </w:rPr>
      </w:pPr>
    </w:p>
    <w:p w14:paraId="7C865B20" w14:textId="0AFF58C7" w:rsidR="00FC035B" w:rsidRPr="00ED59A2" w:rsidRDefault="005B51AC" w:rsidP="00911276">
      <w:pPr>
        <w:rPr>
          <w:highlight w:val="yellow"/>
        </w:rPr>
      </w:pPr>
      <w:r w:rsidRPr="00ED59A2">
        <w:rPr>
          <w:highlight w:val="yellow"/>
        </w:rPr>
        <w:t xml:space="preserve">NOTE: </w:t>
      </w:r>
      <w:r w:rsidR="00FA3997" w:rsidRPr="00ED59A2">
        <w:rPr>
          <w:highlight w:val="yellow"/>
        </w:rPr>
        <w:t xml:space="preserve">As a reference, </w:t>
      </w:r>
      <w:r w:rsidRPr="00ED59A2">
        <w:rPr>
          <w:highlight w:val="yellow"/>
        </w:rPr>
        <w:t xml:space="preserve">operating parameters </w:t>
      </w:r>
      <w:r w:rsidR="00FA3997" w:rsidRPr="00ED59A2">
        <w:rPr>
          <w:highlight w:val="yellow"/>
        </w:rPr>
        <w:t>f</w:t>
      </w:r>
      <w:r w:rsidR="00FF1E6A" w:rsidRPr="00ED59A2">
        <w:rPr>
          <w:highlight w:val="yellow"/>
        </w:rPr>
        <w:t xml:space="preserve">or </w:t>
      </w:r>
      <w:r w:rsidRPr="00ED59A2">
        <w:rPr>
          <w:highlight w:val="yellow"/>
        </w:rPr>
        <w:t xml:space="preserve">drying </w:t>
      </w:r>
      <w:r w:rsidR="00FF1E6A" w:rsidRPr="00ED59A2">
        <w:rPr>
          <w:highlight w:val="yellow"/>
        </w:rPr>
        <w:t>liver samples</w:t>
      </w:r>
      <w:r w:rsidRPr="00ED59A2">
        <w:rPr>
          <w:highlight w:val="yellow"/>
        </w:rPr>
        <w:t xml:space="preserve"> using the specific digestion oven (see </w:t>
      </w:r>
      <w:r w:rsidRPr="00ED59A2">
        <w:rPr>
          <w:b/>
          <w:bCs/>
          <w:highlight w:val="yellow"/>
        </w:rPr>
        <w:t>Table of Materials</w:t>
      </w:r>
      <w:r w:rsidRPr="00ED59A2">
        <w:rPr>
          <w:highlight w:val="yellow"/>
        </w:rPr>
        <w:t>) are</w:t>
      </w:r>
      <w:r w:rsidR="0019683A" w:rsidRPr="00ED59A2">
        <w:rPr>
          <w:highlight w:val="yellow"/>
        </w:rPr>
        <w:t xml:space="preserve"> shown in </w:t>
      </w:r>
      <w:r w:rsidR="00C635A2" w:rsidRPr="00ED59A2">
        <w:rPr>
          <w:b/>
          <w:bCs/>
          <w:highlight w:val="yellow"/>
        </w:rPr>
        <w:t>Table 1</w:t>
      </w:r>
      <w:r w:rsidR="00C635A2" w:rsidRPr="00ED59A2">
        <w:rPr>
          <w:highlight w:val="yellow"/>
        </w:rPr>
        <w:t>.</w:t>
      </w:r>
    </w:p>
    <w:p w14:paraId="70048DAD" w14:textId="3F3E0582" w:rsidR="00FC035B" w:rsidRPr="00ED59A2" w:rsidRDefault="00FC035B" w:rsidP="00911276">
      <w:pPr>
        <w:rPr>
          <w:highlight w:val="yellow"/>
        </w:rPr>
      </w:pPr>
    </w:p>
    <w:p w14:paraId="5E182757" w14:textId="37D4FF05" w:rsidR="00FC035B" w:rsidRPr="00ED59A2" w:rsidRDefault="00FF1E6A" w:rsidP="00911276">
      <w:pPr>
        <w:rPr>
          <w:highlight w:val="yellow"/>
        </w:rPr>
      </w:pPr>
      <w:r w:rsidRPr="00ED59A2">
        <w:rPr>
          <w:highlight w:val="yellow"/>
        </w:rPr>
        <w:t>2.</w:t>
      </w:r>
      <w:r w:rsidR="00F82937">
        <w:rPr>
          <w:highlight w:val="yellow"/>
        </w:rPr>
        <w:t>4</w:t>
      </w:r>
      <w:r w:rsidR="00E4384D" w:rsidRPr="00ED59A2">
        <w:rPr>
          <w:highlight w:val="yellow"/>
        </w:rPr>
        <w:t xml:space="preserve">. </w:t>
      </w:r>
      <w:r w:rsidR="00FA3997" w:rsidRPr="00ED59A2">
        <w:rPr>
          <w:highlight w:val="yellow"/>
        </w:rPr>
        <w:t xml:space="preserve">Using plastic tweezers, </w:t>
      </w:r>
      <w:r w:rsidR="0093243E" w:rsidRPr="00ED59A2">
        <w:rPr>
          <w:highlight w:val="yellow"/>
        </w:rPr>
        <w:t>place</w:t>
      </w:r>
      <w:r w:rsidR="00FA3997" w:rsidRPr="00ED59A2">
        <w:rPr>
          <w:highlight w:val="yellow"/>
        </w:rPr>
        <w:t xml:space="preserve"> </w:t>
      </w:r>
      <w:r w:rsidR="0093243E" w:rsidRPr="00ED59A2">
        <w:rPr>
          <w:highlight w:val="yellow"/>
        </w:rPr>
        <w:t xml:space="preserve">each dried piece of tissue over a small piece of parafilm inside an analytical/precision balance </w:t>
      </w:r>
      <w:r w:rsidR="00FA3997" w:rsidRPr="00ED59A2">
        <w:rPr>
          <w:highlight w:val="yellow"/>
        </w:rPr>
        <w:t>and w</w:t>
      </w:r>
      <w:r w:rsidR="00FC035B" w:rsidRPr="00ED59A2">
        <w:rPr>
          <w:highlight w:val="yellow"/>
        </w:rPr>
        <w:t xml:space="preserve">eigh </w:t>
      </w:r>
      <w:r w:rsidR="0093243E" w:rsidRPr="00ED59A2">
        <w:rPr>
          <w:highlight w:val="yellow"/>
        </w:rPr>
        <w:t>it</w:t>
      </w:r>
      <w:r w:rsidRPr="00ED59A2">
        <w:rPr>
          <w:highlight w:val="yellow"/>
        </w:rPr>
        <w:t xml:space="preserve"> </w:t>
      </w:r>
      <w:r w:rsidR="00FC035B" w:rsidRPr="00ED59A2">
        <w:rPr>
          <w:highlight w:val="yellow"/>
        </w:rPr>
        <w:t>accurately</w:t>
      </w:r>
      <w:r w:rsidR="00C20B77" w:rsidRPr="00ED59A2">
        <w:rPr>
          <w:highlight w:val="yellow"/>
        </w:rPr>
        <w:t xml:space="preserve"> </w:t>
      </w:r>
      <w:r w:rsidR="00FC035B" w:rsidRPr="00ED59A2">
        <w:rPr>
          <w:highlight w:val="yellow"/>
        </w:rPr>
        <w:t>(Dry Weight)</w:t>
      </w:r>
      <w:r w:rsidR="00E4384D" w:rsidRPr="00ED59A2">
        <w:rPr>
          <w:highlight w:val="yellow"/>
        </w:rPr>
        <w:t>.</w:t>
      </w:r>
    </w:p>
    <w:p w14:paraId="4E1ED0A5" w14:textId="4EC6133B" w:rsidR="00814E5C" w:rsidRPr="00ED59A2" w:rsidRDefault="00814E5C" w:rsidP="00911276">
      <w:pPr>
        <w:rPr>
          <w:b/>
          <w:highlight w:val="yellow"/>
        </w:rPr>
      </w:pPr>
    </w:p>
    <w:p w14:paraId="1C8E1F58" w14:textId="132D94F3" w:rsidR="00FC035B" w:rsidRPr="00ED59A2" w:rsidRDefault="00C635A2" w:rsidP="00911276">
      <w:pPr>
        <w:rPr>
          <w:b/>
          <w:highlight w:val="yellow"/>
        </w:rPr>
      </w:pPr>
      <w:r w:rsidRPr="00ED59A2">
        <w:rPr>
          <w:b/>
          <w:highlight w:val="yellow"/>
        </w:rPr>
        <w:t xml:space="preserve">3. </w:t>
      </w:r>
      <w:r w:rsidR="00FC035B" w:rsidRPr="00ED59A2">
        <w:rPr>
          <w:b/>
          <w:highlight w:val="yellow"/>
        </w:rPr>
        <w:t>Sample acidic digestion</w:t>
      </w:r>
    </w:p>
    <w:p w14:paraId="1355313D" w14:textId="77777777" w:rsidR="00FC035B" w:rsidRPr="00ED59A2" w:rsidRDefault="00FC035B" w:rsidP="00911276">
      <w:pPr>
        <w:rPr>
          <w:highlight w:val="yellow"/>
        </w:rPr>
      </w:pPr>
    </w:p>
    <w:p w14:paraId="464EA277" w14:textId="4E045058" w:rsidR="00FC035B" w:rsidRPr="00ED59A2" w:rsidRDefault="00FF1E6A" w:rsidP="00911276">
      <w:pPr>
        <w:rPr>
          <w:highlight w:val="yellow"/>
        </w:rPr>
      </w:pPr>
      <w:r w:rsidRPr="00ED59A2">
        <w:rPr>
          <w:highlight w:val="yellow"/>
        </w:rPr>
        <w:t>3.</w:t>
      </w:r>
      <w:r w:rsidR="000230A2" w:rsidRPr="00ED59A2">
        <w:rPr>
          <w:highlight w:val="yellow"/>
        </w:rPr>
        <w:t xml:space="preserve">1. </w:t>
      </w:r>
      <w:r w:rsidR="00B777BA" w:rsidRPr="00ED59A2">
        <w:rPr>
          <w:highlight w:val="yellow"/>
        </w:rPr>
        <w:t>Using plastic tweezers, t</w:t>
      </w:r>
      <w:r w:rsidR="00FC035B" w:rsidRPr="00ED59A2">
        <w:rPr>
          <w:highlight w:val="yellow"/>
        </w:rPr>
        <w:t>ransfer each dried piece of tissue into a 1.5 mL microcentrifug</w:t>
      </w:r>
      <w:r w:rsidR="00E4384D" w:rsidRPr="00ED59A2">
        <w:rPr>
          <w:highlight w:val="yellow"/>
        </w:rPr>
        <w:t>e tube.</w:t>
      </w:r>
    </w:p>
    <w:p w14:paraId="40C96F1A" w14:textId="77777777" w:rsidR="00FF1E6A" w:rsidRPr="00ED59A2" w:rsidRDefault="00FF1E6A" w:rsidP="00911276">
      <w:pPr>
        <w:rPr>
          <w:highlight w:val="yellow"/>
        </w:rPr>
      </w:pPr>
    </w:p>
    <w:p w14:paraId="51BB76A3" w14:textId="639ABA10" w:rsidR="00FC035B" w:rsidRPr="00ED59A2" w:rsidRDefault="00FF1E6A" w:rsidP="00911276">
      <w:pPr>
        <w:rPr>
          <w:highlight w:val="yellow"/>
        </w:rPr>
      </w:pPr>
      <w:r w:rsidRPr="00ED59A2">
        <w:rPr>
          <w:highlight w:val="yellow"/>
        </w:rPr>
        <w:t>3.</w:t>
      </w:r>
      <w:r w:rsidR="00FC035B" w:rsidRPr="00ED59A2">
        <w:rPr>
          <w:highlight w:val="yellow"/>
        </w:rPr>
        <w:t>2.</w:t>
      </w:r>
      <w:r w:rsidR="000230A2" w:rsidRPr="00ED59A2">
        <w:rPr>
          <w:highlight w:val="yellow"/>
        </w:rPr>
        <w:t xml:space="preserve"> </w:t>
      </w:r>
      <w:r w:rsidR="00FC035B" w:rsidRPr="00ED59A2">
        <w:rPr>
          <w:highlight w:val="yellow"/>
        </w:rPr>
        <w:t xml:space="preserve">Add 1 mL of </w:t>
      </w:r>
      <w:r w:rsidR="00911276" w:rsidRPr="00ED59A2">
        <w:rPr>
          <w:highlight w:val="yellow"/>
        </w:rPr>
        <w:t xml:space="preserve">the </w:t>
      </w:r>
      <w:r w:rsidR="00FC035B" w:rsidRPr="00ED59A2">
        <w:rPr>
          <w:highlight w:val="yellow"/>
        </w:rPr>
        <w:t xml:space="preserve">acid mixture and close </w:t>
      </w:r>
      <w:r w:rsidR="00814E5C" w:rsidRPr="00ED59A2">
        <w:rPr>
          <w:highlight w:val="yellow"/>
        </w:rPr>
        <w:t xml:space="preserve">the </w:t>
      </w:r>
      <w:r w:rsidR="005B51AC" w:rsidRPr="00ED59A2">
        <w:rPr>
          <w:highlight w:val="yellow"/>
        </w:rPr>
        <w:t>microcentrifuge</w:t>
      </w:r>
      <w:r w:rsidR="00814E5C" w:rsidRPr="00ED59A2">
        <w:rPr>
          <w:highlight w:val="yellow"/>
        </w:rPr>
        <w:t xml:space="preserve"> tube. Prepare a</w:t>
      </w:r>
      <w:r w:rsidR="002E7E71">
        <w:rPr>
          <w:highlight w:val="yellow"/>
        </w:rPr>
        <w:t>n acid</w:t>
      </w:r>
      <w:r w:rsidR="00814E5C" w:rsidRPr="00ED59A2">
        <w:rPr>
          <w:highlight w:val="yellow"/>
        </w:rPr>
        <w:t xml:space="preserve"> blank</w:t>
      </w:r>
      <w:r w:rsidR="00FC035B" w:rsidRPr="00ED59A2">
        <w:rPr>
          <w:highlight w:val="yellow"/>
        </w:rPr>
        <w:t xml:space="preserve"> in the same way, except that the tissue is omitted.</w:t>
      </w:r>
    </w:p>
    <w:p w14:paraId="5100C6B6" w14:textId="25D41D2B" w:rsidR="00FF1E6A" w:rsidRPr="00ED59A2" w:rsidRDefault="00FF1E6A" w:rsidP="00911276">
      <w:pPr>
        <w:rPr>
          <w:highlight w:val="yellow"/>
        </w:rPr>
      </w:pPr>
    </w:p>
    <w:p w14:paraId="58AB828C" w14:textId="117B52CB" w:rsidR="00FF1E6A" w:rsidRPr="00ED59A2" w:rsidRDefault="00FF1E6A" w:rsidP="00911276">
      <w:pPr>
        <w:rPr>
          <w:highlight w:val="yellow"/>
        </w:rPr>
      </w:pPr>
      <w:r w:rsidRPr="00ED59A2">
        <w:rPr>
          <w:highlight w:val="yellow"/>
        </w:rPr>
        <w:t>CAUTION: The acid mixture is corrosive and releases toxic vapors. Wear protective garment</w:t>
      </w:r>
      <w:r w:rsidR="00911276" w:rsidRPr="00ED59A2">
        <w:rPr>
          <w:highlight w:val="yellow"/>
        </w:rPr>
        <w:t>s</w:t>
      </w:r>
      <w:r w:rsidRPr="00ED59A2">
        <w:rPr>
          <w:highlight w:val="yellow"/>
        </w:rPr>
        <w:t>, chemical-resistant gloves</w:t>
      </w:r>
      <w:r w:rsidR="00911276" w:rsidRPr="00ED59A2">
        <w:rPr>
          <w:highlight w:val="yellow"/>
        </w:rPr>
        <w:t>,</w:t>
      </w:r>
      <w:r w:rsidRPr="00ED59A2">
        <w:rPr>
          <w:highlight w:val="yellow"/>
        </w:rPr>
        <w:t xml:space="preserve"> and chemical splash goggles when handling the acid mixture. Avoid breathing it in and always handle it while under a fume hood.</w:t>
      </w:r>
    </w:p>
    <w:p w14:paraId="556FC76C" w14:textId="77777777" w:rsidR="00FF1E6A" w:rsidRPr="00ED59A2" w:rsidRDefault="00FF1E6A" w:rsidP="00911276">
      <w:pPr>
        <w:rPr>
          <w:highlight w:val="yellow"/>
        </w:rPr>
      </w:pPr>
    </w:p>
    <w:p w14:paraId="1FC32907" w14:textId="7E2D15BE" w:rsidR="00FC035B" w:rsidRPr="00ED59A2" w:rsidRDefault="00FF1E6A" w:rsidP="00911276">
      <w:pPr>
        <w:rPr>
          <w:highlight w:val="yellow"/>
        </w:rPr>
      </w:pPr>
      <w:r w:rsidRPr="00ED59A2">
        <w:rPr>
          <w:highlight w:val="yellow"/>
        </w:rPr>
        <w:t>3.</w:t>
      </w:r>
      <w:r w:rsidR="00FC035B" w:rsidRPr="00ED59A2">
        <w:rPr>
          <w:highlight w:val="yellow"/>
        </w:rPr>
        <w:t>3.</w:t>
      </w:r>
      <w:r w:rsidR="000230A2" w:rsidRPr="00ED59A2">
        <w:rPr>
          <w:highlight w:val="yellow"/>
        </w:rPr>
        <w:t xml:space="preserve"> </w:t>
      </w:r>
      <w:r w:rsidR="00FC035B" w:rsidRPr="00ED59A2">
        <w:rPr>
          <w:highlight w:val="yellow"/>
        </w:rPr>
        <w:t>Digest the tissues by incubating the</w:t>
      </w:r>
      <w:r w:rsidR="0093243E" w:rsidRPr="00ED59A2">
        <w:rPr>
          <w:highlight w:val="yellow"/>
        </w:rPr>
        <w:t xml:space="preserve"> microcentrifuge tubes</w:t>
      </w:r>
      <w:r w:rsidR="00FC035B" w:rsidRPr="00ED59A2">
        <w:rPr>
          <w:highlight w:val="yellow"/>
        </w:rPr>
        <w:t xml:space="preserve"> in an </w:t>
      </w:r>
      <w:r w:rsidR="00814E5C" w:rsidRPr="00ED59A2">
        <w:rPr>
          <w:highlight w:val="yellow"/>
        </w:rPr>
        <w:t>incubator</w:t>
      </w:r>
      <w:r w:rsidR="00FC035B" w:rsidRPr="00ED59A2">
        <w:rPr>
          <w:highlight w:val="yellow"/>
        </w:rPr>
        <w:t xml:space="preserve"> at 65 </w:t>
      </w:r>
      <w:r w:rsidR="008D5E88" w:rsidRPr="00ED59A2">
        <w:rPr>
          <w:highlight w:val="yellow"/>
        </w:rPr>
        <w:t>°</w:t>
      </w:r>
      <w:r w:rsidR="00FC035B" w:rsidRPr="00ED59A2">
        <w:rPr>
          <w:highlight w:val="yellow"/>
        </w:rPr>
        <w:t>C for 20 h.</w:t>
      </w:r>
    </w:p>
    <w:p w14:paraId="21920CE5" w14:textId="77777777" w:rsidR="00FF1E6A" w:rsidRPr="00ED59A2" w:rsidRDefault="00FF1E6A" w:rsidP="00911276">
      <w:pPr>
        <w:rPr>
          <w:highlight w:val="yellow"/>
        </w:rPr>
      </w:pPr>
    </w:p>
    <w:p w14:paraId="70259F1D" w14:textId="01483431" w:rsidR="00FF1E6A" w:rsidRPr="00ED59A2" w:rsidRDefault="00FF1E6A" w:rsidP="00911276">
      <w:pPr>
        <w:rPr>
          <w:highlight w:val="yellow"/>
        </w:rPr>
      </w:pPr>
      <w:r w:rsidRPr="00ED59A2">
        <w:rPr>
          <w:highlight w:val="yellow"/>
        </w:rPr>
        <w:t>3.</w:t>
      </w:r>
      <w:r w:rsidR="00FC035B" w:rsidRPr="00ED59A2">
        <w:rPr>
          <w:highlight w:val="yellow"/>
        </w:rPr>
        <w:t>4.</w:t>
      </w:r>
      <w:r w:rsidR="000230A2" w:rsidRPr="00ED59A2">
        <w:rPr>
          <w:highlight w:val="yellow"/>
        </w:rPr>
        <w:t xml:space="preserve"> </w:t>
      </w:r>
      <w:r w:rsidR="00FC035B" w:rsidRPr="00ED59A2">
        <w:rPr>
          <w:highlight w:val="yellow"/>
        </w:rPr>
        <w:t xml:space="preserve">After cooling to room temperature, transfer 500 µL of the clear (yellow) acid extract (supernatant) into a </w:t>
      </w:r>
      <w:r w:rsidRPr="00ED59A2">
        <w:rPr>
          <w:highlight w:val="yellow"/>
        </w:rPr>
        <w:t xml:space="preserve">new </w:t>
      </w:r>
      <w:r w:rsidR="00FC035B" w:rsidRPr="00ED59A2">
        <w:rPr>
          <w:highlight w:val="yellow"/>
        </w:rPr>
        <w:t>1.5 mL microcentrifuge tube</w:t>
      </w:r>
      <w:r w:rsidR="0093243E" w:rsidRPr="00ED59A2">
        <w:rPr>
          <w:highlight w:val="yellow"/>
        </w:rPr>
        <w:t xml:space="preserve"> </w:t>
      </w:r>
      <w:r w:rsidR="00911276" w:rsidRPr="00ED59A2">
        <w:rPr>
          <w:highlight w:val="yellow"/>
        </w:rPr>
        <w:t xml:space="preserve">using </w:t>
      </w:r>
      <w:r w:rsidR="0093243E" w:rsidRPr="00ED59A2">
        <w:rPr>
          <w:highlight w:val="yellow"/>
        </w:rPr>
        <w:t>a micropipette fitted with plastic tips</w:t>
      </w:r>
      <w:r w:rsidR="00FC035B" w:rsidRPr="00ED59A2">
        <w:rPr>
          <w:highlight w:val="yellow"/>
        </w:rPr>
        <w:t>.</w:t>
      </w:r>
      <w:r w:rsidR="006B7E9A" w:rsidRPr="00ED59A2">
        <w:rPr>
          <w:highlight w:val="yellow"/>
        </w:rPr>
        <w:t xml:space="preserve"> </w:t>
      </w:r>
      <w:r w:rsidR="006B7E9A" w:rsidRPr="00ED59A2">
        <w:t>If it is</w:t>
      </w:r>
      <w:r w:rsidR="000230A2" w:rsidRPr="00ED59A2">
        <w:t xml:space="preserve"> not possible to obtain a clear </w:t>
      </w:r>
      <w:r w:rsidR="006B7E9A" w:rsidRPr="00ED59A2">
        <w:t xml:space="preserve">supernatant, </w:t>
      </w:r>
      <w:r w:rsidR="00C20B77" w:rsidRPr="00ED59A2">
        <w:t xml:space="preserve">perform </w:t>
      </w:r>
      <w:r w:rsidR="006B7E9A" w:rsidRPr="00ED59A2">
        <w:t>a short centrifugation spin.</w:t>
      </w:r>
    </w:p>
    <w:p w14:paraId="76E92532" w14:textId="77777777" w:rsidR="00FF1E6A" w:rsidRPr="00ED59A2" w:rsidRDefault="00FF1E6A" w:rsidP="00911276">
      <w:pPr>
        <w:rPr>
          <w:highlight w:val="yellow"/>
        </w:rPr>
      </w:pPr>
    </w:p>
    <w:p w14:paraId="570309A0" w14:textId="08CE153A" w:rsidR="00FF1E6A" w:rsidRPr="00ED59A2" w:rsidRDefault="00FF1E6A" w:rsidP="00911276">
      <w:r w:rsidRPr="00ED59A2">
        <w:lastRenderedPageBreak/>
        <w:t>CAUTION: The supernatant is highly acidic. Wear protective garment</w:t>
      </w:r>
      <w:r w:rsidR="00911276" w:rsidRPr="00ED59A2">
        <w:t>s</w:t>
      </w:r>
      <w:r w:rsidRPr="00ED59A2">
        <w:t>, chemical-resistant gloves</w:t>
      </w:r>
      <w:r w:rsidR="00911276" w:rsidRPr="00ED59A2">
        <w:t>,</w:t>
      </w:r>
      <w:r w:rsidRPr="00ED59A2">
        <w:t xml:space="preserve"> and chemical splash goggles when handling the supernatants. Always handle them while under a fume hood.</w:t>
      </w:r>
    </w:p>
    <w:p w14:paraId="1507363E" w14:textId="77777777" w:rsidR="00FF1E6A" w:rsidRPr="00ED59A2" w:rsidRDefault="00FF1E6A" w:rsidP="00911276">
      <w:pPr>
        <w:rPr>
          <w:highlight w:val="yellow"/>
        </w:rPr>
      </w:pPr>
    </w:p>
    <w:p w14:paraId="1D09B4E8" w14:textId="4B26D571" w:rsidR="00FC035B" w:rsidRPr="00ED59A2" w:rsidRDefault="00FF1E6A" w:rsidP="00911276">
      <w:pPr>
        <w:rPr>
          <w:highlight w:val="yellow"/>
        </w:rPr>
      </w:pPr>
      <w:r w:rsidRPr="00ED59A2">
        <w:rPr>
          <w:highlight w:val="yellow"/>
        </w:rPr>
        <w:t xml:space="preserve">NOTE: At this point, the </w:t>
      </w:r>
      <w:r w:rsidR="006F7195" w:rsidRPr="00ED59A2">
        <w:rPr>
          <w:highlight w:val="yellow"/>
        </w:rPr>
        <w:t>a</w:t>
      </w:r>
      <w:r w:rsidR="00591EF0" w:rsidRPr="00ED59A2">
        <w:rPr>
          <w:highlight w:val="yellow"/>
        </w:rPr>
        <w:t>cid extracts</w:t>
      </w:r>
      <w:r w:rsidR="00814E5C" w:rsidRPr="00ED59A2">
        <w:rPr>
          <w:highlight w:val="yellow"/>
        </w:rPr>
        <w:t xml:space="preserve"> can be immediately used for the colorimetric assay or frozen </w:t>
      </w:r>
      <w:r w:rsidR="00C169C4">
        <w:rPr>
          <w:highlight w:val="yellow"/>
        </w:rPr>
        <w:t xml:space="preserve">at -20 °C </w:t>
      </w:r>
      <w:r w:rsidR="00814E5C" w:rsidRPr="00ED59A2">
        <w:rPr>
          <w:highlight w:val="yellow"/>
        </w:rPr>
        <w:t>for later use</w:t>
      </w:r>
      <w:r w:rsidRPr="00ED59A2">
        <w:rPr>
          <w:highlight w:val="yellow"/>
        </w:rPr>
        <w:t>.</w:t>
      </w:r>
      <w:r w:rsidR="00814E5C" w:rsidRPr="00ED59A2">
        <w:rPr>
          <w:highlight w:val="yellow"/>
        </w:rPr>
        <w:t xml:space="preserve"> </w:t>
      </w:r>
      <w:r w:rsidR="00C20B77" w:rsidRPr="00ED59A2">
        <w:rPr>
          <w:highlight w:val="yellow"/>
        </w:rPr>
        <w:t>C</w:t>
      </w:r>
      <w:r w:rsidR="00814E5C" w:rsidRPr="00ED59A2">
        <w:rPr>
          <w:highlight w:val="yellow"/>
        </w:rPr>
        <w:t xml:space="preserve">ompletely thaw </w:t>
      </w:r>
      <w:r w:rsidR="00C20B77" w:rsidRPr="00ED59A2">
        <w:rPr>
          <w:highlight w:val="yellow"/>
        </w:rPr>
        <w:t xml:space="preserve">frozen samples </w:t>
      </w:r>
      <w:r w:rsidR="00814E5C" w:rsidRPr="00ED59A2">
        <w:rPr>
          <w:highlight w:val="yellow"/>
        </w:rPr>
        <w:t>to room temperature and vortex</w:t>
      </w:r>
      <w:r w:rsidR="00C20B77" w:rsidRPr="00ED59A2">
        <w:rPr>
          <w:highlight w:val="yellow"/>
        </w:rPr>
        <w:t xml:space="preserve"> them</w:t>
      </w:r>
      <w:r w:rsidR="00814E5C" w:rsidRPr="00ED59A2">
        <w:rPr>
          <w:highlight w:val="yellow"/>
        </w:rPr>
        <w:t xml:space="preserve"> </w:t>
      </w:r>
      <w:r w:rsidRPr="00ED59A2">
        <w:rPr>
          <w:highlight w:val="yellow"/>
        </w:rPr>
        <w:t xml:space="preserve">prior to </w:t>
      </w:r>
      <w:r w:rsidR="00814E5C" w:rsidRPr="00ED59A2">
        <w:rPr>
          <w:highlight w:val="yellow"/>
        </w:rPr>
        <w:t>use.</w:t>
      </w:r>
    </w:p>
    <w:p w14:paraId="186DE713" w14:textId="77777777" w:rsidR="00FC035B" w:rsidRPr="00ED59A2" w:rsidRDefault="00FC035B" w:rsidP="00911276">
      <w:pPr>
        <w:rPr>
          <w:highlight w:val="yellow"/>
        </w:rPr>
      </w:pPr>
    </w:p>
    <w:p w14:paraId="4B467F9F" w14:textId="695BBD8E" w:rsidR="00FC035B" w:rsidRPr="00ED59A2" w:rsidRDefault="00C635A2" w:rsidP="00911276">
      <w:pPr>
        <w:rPr>
          <w:b/>
          <w:highlight w:val="yellow"/>
        </w:rPr>
      </w:pPr>
      <w:r w:rsidRPr="00ED59A2">
        <w:rPr>
          <w:b/>
          <w:highlight w:val="yellow"/>
        </w:rPr>
        <w:t xml:space="preserve">4. </w:t>
      </w:r>
      <w:r w:rsidR="00FC035B" w:rsidRPr="00ED59A2">
        <w:rPr>
          <w:b/>
          <w:highlight w:val="yellow"/>
        </w:rPr>
        <w:t>Color development</w:t>
      </w:r>
    </w:p>
    <w:p w14:paraId="6A9AC7AF" w14:textId="77777777" w:rsidR="00FC035B" w:rsidRPr="00ED59A2" w:rsidRDefault="00FC035B" w:rsidP="00911276">
      <w:pPr>
        <w:rPr>
          <w:highlight w:val="yellow"/>
        </w:rPr>
      </w:pPr>
    </w:p>
    <w:p w14:paraId="593E70CD" w14:textId="7722BE7B" w:rsidR="00556CEC" w:rsidRPr="00ED59A2" w:rsidRDefault="00FF1E6A" w:rsidP="00911276">
      <w:pPr>
        <w:rPr>
          <w:highlight w:val="yellow"/>
        </w:rPr>
      </w:pPr>
      <w:r w:rsidRPr="00ED59A2">
        <w:rPr>
          <w:highlight w:val="yellow"/>
        </w:rPr>
        <w:t>4.</w:t>
      </w:r>
      <w:r w:rsidR="00556CEC" w:rsidRPr="00ED59A2">
        <w:rPr>
          <w:highlight w:val="yellow"/>
        </w:rPr>
        <w:t xml:space="preserve">1. </w:t>
      </w:r>
      <w:r w:rsidR="00C20B77" w:rsidRPr="00ED59A2">
        <w:rPr>
          <w:highlight w:val="yellow"/>
        </w:rPr>
        <w:t>Prepare c</w:t>
      </w:r>
      <w:r w:rsidR="007E6BC9" w:rsidRPr="00ED59A2">
        <w:rPr>
          <w:highlight w:val="yellow"/>
        </w:rPr>
        <w:t>hromogen reactions</w:t>
      </w:r>
      <w:r w:rsidR="00556CEC" w:rsidRPr="00ED59A2">
        <w:rPr>
          <w:highlight w:val="yellow"/>
        </w:rPr>
        <w:t xml:space="preserve"> </w:t>
      </w:r>
      <w:r w:rsidR="0093243E" w:rsidRPr="00ED59A2">
        <w:rPr>
          <w:highlight w:val="yellow"/>
        </w:rPr>
        <w:t xml:space="preserve">as indicated in </w:t>
      </w:r>
      <w:r w:rsidR="0093243E" w:rsidRPr="00ED59A2">
        <w:rPr>
          <w:b/>
          <w:bCs/>
          <w:highlight w:val="yellow"/>
        </w:rPr>
        <w:t>Table 2</w:t>
      </w:r>
      <w:r w:rsidR="0093243E" w:rsidRPr="00ED59A2">
        <w:rPr>
          <w:highlight w:val="yellow"/>
        </w:rPr>
        <w:t xml:space="preserve"> </w:t>
      </w:r>
      <w:r w:rsidR="00556CEC" w:rsidRPr="00ED59A2">
        <w:t xml:space="preserve">in </w:t>
      </w:r>
      <w:r w:rsidR="00FC035B" w:rsidRPr="00ED59A2">
        <w:t xml:space="preserve">1.5 mL </w:t>
      </w:r>
      <w:r w:rsidR="007E6BC9" w:rsidRPr="00ED59A2">
        <w:t xml:space="preserve">microcentrifuge </w:t>
      </w:r>
      <w:r w:rsidR="00FC035B" w:rsidRPr="00ED59A2">
        <w:t>tube</w:t>
      </w:r>
      <w:r w:rsidR="007E6BC9" w:rsidRPr="00ED59A2">
        <w:t>s</w:t>
      </w:r>
      <w:r w:rsidR="00556CEC" w:rsidRPr="00ED59A2">
        <w:t xml:space="preserve"> or, for higher throughput, </w:t>
      </w:r>
      <w:r w:rsidR="00565C82" w:rsidRPr="00ED59A2">
        <w:rPr>
          <w:highlight w:val="yellow"/>
        </w:rPr>
        <w:t xml:space="preserve">directly into </w:t>
      </w:r>
      <w:r w:rsidR="00911276" w:rsidRPr="00ED59A2">
        <w:rPr>
          <w:highlight w:val="yellow"/>
        </w:rPr>
        <w:t xml:space="preserve">the </w:t>
      </w:r>
      <w:r w:rsidR="00565C82" w:rsidRPr="00ED59A2">
        <w:rPr>
          <w:highlight w:val="yellow"/>
        </w:rPr>
        <w:t>flat bottom, 96-well, clear, untreated polystyrene microplates</w:t>
      </w:r>
      <w:r w:rsidR="00D85A50" w:rsidRPr="00ED59A2">
        <w:rPr>
          <w:highlight w:val="yellow"/>
        </w:rPr>
        <w:t xml:space="preserve">. </w:t>
      </w:r>
      <w:r w:rsidR="001301D7" w:rsidRPr="00ED59A2">
        <w:rPr>
          <w:highlight w:val="yellow"/>
        </w:rPr>
        <w:t>Prepare a</w:t>
      </w:r>
      <w:r w:rsidRPr="00ED59A2">
        <w:rPr>
          <w:highlight w:val="yellow"/>
        </w:rPr>
        <w:t xml:space="preserve">ll </w:t>
      </w:r>
      <w:r w:rsidR="00243134" w:rsidRPr="00ED59A2">
        <w:rPr>
          <w:highlight w:val="yellow"/>
        </w:rPr>
        <w:t>reactions</w:t>
      </w:r>
      <w:r w:rsidR="0093243E" w:rsidRPr="00ED59A2">
        <w:rPr>
          <w:highlight w:val="yellow"/>
        </w:rPr>
        <w:t xml:space="preserve"> (</w:t>
      </w:r>
      <w:r w:rsidR="002E7E71">
        <w:rPr>
          <w:highlight w:val="yellow"/>
        </w:rPr>
        <w:t xml:space="preserve">acid </w:t>
      </w:r>
      <w:r w:rsidR="0093243E" w:rsidRPr="00ED59A2">
        <w:rPr>
          <w:highlight w:val="yellow"/>
        </w:rPr>
        <w:t>blank, standard</w:t>
      </w:r>
      <w:r w:rsidR="00911276" w:rsidRPr="00ED59A2">
        <w:rPr>
          <w:highlight w:val="yellow"/>
        </w:rPr>
        <w:t>,</w:t>
      </w:r>
      <w:r w:rsidR="0093243E" w:rsidRPr="00ED59A2">
        <w:rPr>
          <w:highlight w:val="yellow"/>
        </w:rPr>
        <w:t xml:space="preserve"> and sample)</w:t>
      </w:r>
      <w:r w:rsidRPr="00ED59A2">
        <w:rPr>
          <w:highlight w:val="yellow"/>
        </w:rPr>
        <w:t xml:space="preserve"> at least in duplicate.</w:t>
      </w:r>
    </w:p>
    <w:p w14:paraId="2AA5C7CD" w14:textId="34EEDCCA" w:rsidR="00243134" w:rsidRPr="00ED59A2" w:rsidRDefault="00243134" w:rsidP="00911276">
      <w:pPr>
        <w:rPr>
          <w:highlight w:val="yellow"/>
        </w:rPr>
      </w:pPr>
    </w:p>
    <w:p w14:paraId="5D4EB881" w14:textId="56E852ED" w:rsidR="00BD48DF" w:rsidRPr="00ED59A2" w:rsidRDefault="00243134" w:rsidP="00911276">
      <w:pPr>
        <w:rPr>
          <w:highlight w:val="yellow"/>
        </w:rPr>
      </w:pPr>
      <w:r w:rsidRPr="00ED59A2">
        <w:rPr>
          <w:highlight w:val="yellow"/>
        </w:rPr>
        <w:t>4.2. Incubate at room temperature for 15 min.</w:t>
      </w:r>
    </w:p>
    <w:p w14:paraId="5C86C85A" w14:textId="55D7FB64" w:rsidR="00FC035B" w:rsidRPr="00ED59A2" w:rsidRDefault="00FC035B" w:rsidP="00911276">
      <w:pPr>
        <w:rPr>
          <w:highlight w:val="yellow"/>
        </w:rPr>
      </w:pPr>
    </w:p>
    <w:p w14:paraId="39C0FE89" w14:textId="3D0C5021" w:rsidR="00FC035B" w:rsidRPr="00ED59A2" w:rsidRDefault="00C635A2" w:rsidP="00911276">
      <w:pPr>
        <w:rPr>
          <w:b/>
          <w:highlight w:val="yellow"/>
        </w:rPr>
      </w:pPr>
      <w:r w:rsidRPr="00ED59A2">
        <w:rPr>
          <w:b/>
          <w:highlight w:val="yellow"/>
        </w:rPr>
        <w:t xml:space="preserve">5. </w:t>
      </w:r>
      <w:r w:rsidR="00FC035B" w:rsidRPr="00ED59A2">
        <w:rPr>
          <w:b/>
          <w:highlight w:val="yellow"/>
        </w:rPr>
        <w:t>Absorbance reading</w:t>
      </w:r>
    </w:p>
    <w:p w14:paraId="3BF19F71" w14:textId="77777777" w:rsidR="00FC035B" w:rsidRPr="00ED59A2" w:rsidRDefault="00FC035B" w:rsidP="00911276">
      <w:pPr>
        <w:rPr>
          <w:highlight w:val="yellow"/>
        </w:rPr>
      </w:pPr>
    </w:p>
    <w:p w14:paraId="77EE958F" w14:textId="08977724" w:rsidR="00243134" w:rsidRPr="00ED59A2" w:rsidRDefault="00243134" w:rsidP="00911276">
      <w:r w:rsidRPr="00ED59A2">
        <w:rPr>
          <w:highlight w:val="yellow"/>
        </w:rPr>
        <w:t>5.</w:t>
      </w:r>
      <w:r w:rsidR="000230A2" w:rsidRPr="00ED59A2">
        <w:rPr>
          <w:highlight w:val="yellow"/>
        </w:rPr>
        <w:t xml:space="preserve">1. </w:t>
      </w:r>
      <w:r w:rsidRPr="00ED59A2">
        <w:rPr>
          <w:highlight w:val="yellow"/>
        </w:rPr>
        <w:t>M</w:t>
      </w:r>
      <w:r w:rsidR="00FC035B" w:rsidRPr="00ED59A2">
        <w:rPr>
          <w:highlight w:val="yellow"/>
        </w:rPr>
        <w:t xml:space="preserve">easure </w:t>
      </w:r>
      <w:r w:rsidRPr="00ED59A2">
        <w:rPr>
          <w:highlight w:val="yellow"/>
        </w:rPr>
        <w:t xml:space="preserve">sample </w:t>
      </w:r>
      <w:r w:rsidR="00FC035B" w:rsidRPr="00ED59A2">
        <w:rPr>
          <w:highlight w:val="yellow"/>
        </w:rPr>
        <w:t xml:space="preserve">absorbance in a </w:t>
      </w:r>
      <w:r w:rsidR="00FC035B" w:rsidRPr="00ED59A2">
        <w:t>spectrophotometer</w:t>
      </w:r>
      <w:r w:rsidR="00BD48DF" w:rsidRPr="00ED59A2">
        <w:t xml:space="preserve"> or </w:t>
      </w:r>
      <w:r w:rsidR="00BD48DF" w:rsidRPr="00ED59A2">
        <w:rPr>
          <w:highlight w:val="yellow"/>
        </w:rPr>
        <w:t>plate reader</w:t>
      </w:r>
      <w:r w:rsidR="00FC035B" w:rsidRPr="00ED59A2">
        <w:rPr>
          <w:highlight w:val="yellow"/>
        </w:rPr>
        <w:t xml:space="preserve"> at a wavelength of 535 nm against </w:t>
      </w:r>
      <w:r w:rsidR="00911276" w:rsidRPr="00ED59A2">
        <w:rPr>
          <w:highlight w:val="yellow"/>
        </w:rPr>
        <w:t xml:space="preserve">a </w:t>
      </w:r>
      <w:r w:rsidR="00FC035B" w:rsidRPr="00ED59A2">
        <w:rPr>
          <w:highlight w:val="yellow"/>
        </w:rPr>
        <w:t>d</w:t>
      </w:r>
      <w:r w:rsidR="000230A2" w:rsidRPr="00ED59A2">
        <w:rPr>
          <w:highlight w:val="yellow"/>
        </w:rPr>
        <w:t>eionized</w:t>
      </w:r>
      <w:r w:rsidR="00FC035B" w:rsidRPr="00ED59A2">
        <w:rPr>
          <w:highlight w:val="yellow"/>
        </w:rPr>
        <w:t xml:space="preserve"> water </w:t>
      </w:r>
      <w:r w:rsidR="002D0B3F">
        <w:rPr>
          <w:highlight w:val="yellow"/>
        </w:rPr>
        <w:t>reference</w:t>
      </w:r>
      <w:r w:rsidR="00FC035B" w:rsidRPr="00ED59A2">
        <w:rPr>
          <w:highlight w:val="yellow"/>
        </w:rPr>
        <w:t xml:space="preserve">. </w:t>
      </w:r>
      <w:r w:rsidR="00911276" w:rsidRPr="00ED59A2">
        <w:t>P</w:t>
      </w:r>
      <w:r w:rsidR="00BD48DF" w:rsidRPr="00ED59A2">
        <w:t xml:space="preserve">lates </w:t>
      </w:r>
      <w:r w:rsidR="00911276" w:rsidRPr="00ED59A2">
        <w:t xml:space="preserve">can be read </w:t>
      </w:r>
      <w:r w:rsidR="00BD48DF" w:rsidRPr="00ED59A2">
        <w:t>unlidded or lidded</w:t>
      </w:r>
      <w:r w:rsidR="00911276" w:rsidRPr="00ED59A2">
        <w:t xml:space="preserve">. In the </w:t>
      </w:r>
      <w:r w:rsidR="00B113BB" w:rsidRPr="00ED59A2">
        <w:t>lidded</w:t>
      </w:r>
      <w:r w:rsidR="00911276" w:rsidRPr="00ED59A2">
        <w:t xml:space="preserve"> case</w:t>
      </w:r>
      <w:r w:rsidR="001301D7" w:rsidRPr="00ED59A2">
        <w:t xml:space="preserve">, </w:t>
      </w:r>
      <w:r w:rsidRPr="00ED59A2">
        <w:t>remove</w:t>
      </w:r>
      <w:r w:rsidR="001301D7" w:rsidRPr="00ED59A2">
        <w:t xml:space="preserve"> any condensation </w:t>
      </w:r>
      <w:r w:rsidR="0093243E" w:rsidRPr="00ED59A2">
        <w:t xml:space="preserve">formed </w:t>
      </w:r>
      <w:r w:rsidR="001301D7" w:rsidRPr="00ED59A2">
        <w:t>due to the release of acid vapors</w:t>
      </w:r>
      <w:r w:rsidRPr="00ED59A2">
        <w:t xml:space="preserve"> from</w:t>
      </w:r>
      <w:r w:rsidR="00BD48DF" w:rsidRPr="00ED59A2">
        <w:t xml:space="preserve"> the lid</w:t>
      </w:r>
      <w:r w:rsidRPr="00ED59A2">
        <w:t xml:space="preserve"> just prior to the measurement to avoid possible interference with the absorbance reading</w:t>
      </w:r>
      <w:r w:rsidR="00BD48DF" w:rsidRPr="00ED59A2">
        <w:t>).</w:t>
      </w:r>
    </w:p>
    <w:p w14:paraId="089946D2" w14:textId="77777777" w:rsidR="00243134" w:rsidRPr="00ED59A2" w:rsidRDefault="00243134" w:rsidP="00911276"/>
    <w:p w14:paraId="3C924CE4" w14:textId="45D2FBFF" w:rsidR="00243134" w:rsidRPr="00ED59A2" w:rsidRDefault="00243134" w:rsidP="00911276">
      <w:r w:rsidRPr="00ED59A2">
        <w:t xml:space="preserve">NOTE: The optical absorbance of the </w:t>
      </w:r>
      <w:r w:rsidR="00D647D8">
        <w:t>acid</w:t>
      </w:r>
      <w:r w:rsidR="00D647D8" w:rsidRPr="00ED59A2">
        <w:t xml:space="preserve"> </w:t>
      </w:r>
      <w:r w:rsidRPr="00ED59A2">
        <w:t xml:space="preserve">blank read against deionized water </w:t>
      </w:r>
      <w:r w:rsidR="00B113BB" w:rsidRPr="00ED59A2">
        <w:t xml:space="preserve">(reference) </w:t>
      </w:r>
      <w:r w:rsidRPr="00ED59A2">
        <w:t>should be less than 0.015; the optical absorbance of the standard</w:t>
      </w:r>
      <w:r w:rsidR="008F3BA5" w:rsidRPr="00ED59A2">
        <w:t xml:space="preserve"> and samples</w:t>
      </w:r>
      <w:r w:rsidRPr="00ED59A2">
        <w:t xml:space="preserve"> should be</w:t>
      </w:r>
      <w:r w:rsidR="00911276" w:rsidRPr="00ED59A2">
        <w:t xml:space="preserve"> between</w:t>
      </w:r>
      <w:r w:rsidRPr="00ED59A2">
        <w:t xml:space="preserve"> 0.100 </w:t>
      </w:r>
      <w:r w:rsidR="00911276" w:rsidRPr="00ED59A2">
        <w:t xml:space="preserve">and </w:t>
      </w:r>
      <w:r w:rsidRPr="00ED59A2">
        <w:t>1.000. For samples with very high or very low iron content, the volume</w:t>
      </w:r>
      <w:r w:rsidR="00D647D8">
        <w:t>s</w:t>
      </w:r>
      <w:r w:rsidRPr="00ED59A2">
        <w:t xml:space="preserve"> of </w:t>
      </w:r>
      <w:r w:rsidR="000B487F" w:rsidRPr="00ED59A2">
        <w:t>acid extract (</w:t>
      </w:r>
      <w:r w:rsidRPr="00ED59A2">
        <w:t>supernatant</w:t>
      </w:r>
      <w:r w:rsidR="00591EF0" w:rsidRPr="00ED59A2">
        <w:t>)</w:t>
      </w:r>
      <w:r w:rsidR="00D647D8">
        <w:t xml:space="preserve"> and diH</w:t>
      </w:r>
      <w:r w:rsidR="00D647D8" w:rsidRPr="004D0188">
        <w:rPr>
          <w:vertAlign w:val="subscript"/>
        </w:rPr>
        <w:t>2</w:t>
      </w:r>
      <w:r w:rsidR="00D647D8">
        <w:t>0</w:t>
      </w:r>
      <w:r w:rsidRPr="00ED59A2">
        <w:t xml:space="preserve"> may need to be adjusted</w:t>
      </w:r>
      <w:r w:rsidR="00D647D8">
        <w:t xml:space="preserve"> (</w:t>
      </w:r>
      <w:r w:rsidR="00D647D8" w:rsidRPr="004D0188">
        <w:rPr>
          <w:b/>
          <w:bCs/>
        </w:rPr>
        <w:t>Table 2</w:t>
      </w:r>
      <w:r w:rsidR="00D647D8">
        <w:t>)</w:t>
      </w:r>
      <w:r w:rsidRPr="00ED59A2">
        <w:t xml:space="preserve">: if absorbance is greater than 1.0, </w:t>
      </w:r>
      <w:r w:rsidR="001301D7" w:rsidRPr="00ED59A2">
        <w:t xml:space="preserve">use </w:t>
      </w:r>
      <w:r w:rsidR="00F541CB" w:rsidRPr="00ED59A2">
        <w:t xml:space="preserve">a smaller </w:t>
      </w:r>
      <w:r w:rsidRPr="00ED59A2">
        <w:t xml:space="preserve">sample </w:t>
      </w:r>
      <w:r w:rsidR="00F541CB" w:rsidRPr="00ED59A2">
        <w:t>(</w:t>
      </w:r>
      <w:r w:rsidRPr="00ED59A2">
        <w:t>supernatant</w:t>
      </w:r>
      <w:r w:rsidR="00F541CB" w:rsidRPr="00ED59A2">
        <w:t>) volume</w:t>
      </w:r>
      <w:r w:rsidR="001301D7" w:rsidRPr="00ED59A2">
        <w:t>;</w:t>
      </w:r>
      <w:r w:rsidRPr="00ED59A2">
        <w:t xml:space="preserve"> when absorbance is lower than 0.1, </w:t>
      </w:r>
      <w:r w:rsidR="001301D7" w:rsidRPr="00ED59A2">
        <w:t xml:space="preserve">use </w:t>
      </w:r>
      <w:r w:rsidRPr="00ED59A2">
        <w:t xml:space="preserve">a higher volume of the supernatant. </w:t>
      </w:r>
      <w:r w:rsidR="00F541CB" w:rsidRPr="00ED59A2">
        <w:t>Sample volume (</w:t>
      </w:r>
      <w:proofErr w:type="spellStart"/>
      <w:r w:rsidR="00F541CB" w:rsidRPr="00ED59A2">
        <w:t>V</w:t>
      </w:r>
      <w:r w:rsidR="00F541CB" w:rsidRPr="00ED59A2">
        <w:rPr>
          <w:vertAlign w:val="subscript"/>
        </w:rPr>
        <w:t>smp</w:t>
      </w:r>
      <w:proofErr w:type="spellEnd"/>
      <w:r w:rsidR="00F541CB" w:rsidRPr="00ED59A2">
        <w:t>)</w:t>
      </w:r>
      <w:r w:rsidRPr="00ED59A2">
        <w:t xml:space="preserve"> is </w:t>
      </w:r>
      <w:proofErr w:type="gramStart"/>
      <w:r w:rsidR="008F3BA5" w:rsidRPr="00ED59A2">
        <w:t xml:space="preserve">taken into </w:t>
      </w:r>
      <w:r w:rsidRPr="00ED59A2">
        <w:t>account</w:t>
      </w:r>
      <w:proofErr w:type="gramEnd"/>
      <w:r w:rsidRPr="00ED59A2">
        <w:t xml:space="preserve"> when calculating each sample</w:t>
      </w:r>
      <w:r w:rsidR="00F541CB" w:rsidRPr="00ED59A2">
        <w:t>’s</w:t>
      </w:r>
      <w:r w:rsidRPr="00ED59A2">
        <w:t xml:space="preserve"> tissue iron content (see </w:t>
      </w:r>
      <w:r w:rsidR="00911276" w:rsidRPr="00ED59A2">
        <w:t>s</w:t>
      </w:r>
      <w:r w:rsidRPr="00ED59A2">
        <w:t>tep 6).</w:t>
      </w:r>
    </w:p>
    <w:p w14:paraId="74B83C46" w14:textId="77777777" w:rsidR="00FC035B" w:rsidRPr="00ED59A2" w:rsidRDefault="00FC035B" w:rsidP="00911276"/>
    <w:p w14:paraId="5AED3B8B" w14:textId="608DAAD8" w:rsidR="00FC035B" w:rsidRPr="00ED59A2" w:rsidRDefault="00C635A2" w:rsidP="00911276">
      <w:pPr>
        <w:rPr>
          <w:b/>
        </w:rPr>
      </w:pPr>
      <w:r w:rsidRPr="00ED59A2">
        <w:rPr>
          <w:b/>
        </w:rPr>
        <w:t xml:space="preserve">6. </w:t>
      </w:r>
      <w:r w:rsidR="00FC035B" w:rsidRPr="00ED59A2">
        <w:rPr>
          <w:b/>
        </w:rPr>
        <w:t>Calculation of tissue iron content</w:t>
      </w:r>
    </w:p>
    <w:p w14:paraId="5A1235E9" w14:textId="77777777" w:rsidR="00FC035B" w:rsidRPr="00ED59A2" w:rsidRDefault="00FC035B" w:rsidP="00911276"/>
    <w:p w14:paraId="07AB1380" w14:textId="1C5A5663" w:rsidR="00FC035B" w:rsidRPr="00ED59A2" w:rsidRDefault="00243134" w:rsidP="00911276">
      <w:r w:rsidRPr="00ED59A2">
        <w:t>6.</w:t>
      </w:r>
      <w:r w:rsidR="00C635A2" w:rsidRPr="00ED59A2">
        <w:t xml:space="preserve">1. </w:t>
      </w:r>
      <w:r w:rsidR="001301D7" w:rsidRPr="00ED59A2">
        <w:t>Calculate n</w:t>
      </w:r>
      <w:r w:rsidR="00FC035B" w:rsidRPr="00ED59A2">
        <w:t xml:space="preserve">on-heme tissue iron content </w:t>
      </w:r>
      <w:r w:rsidR="003E34C3" w:rsidRPr="00ED59A2">
        <w:t>with the following equation</w:t>
      </w:r>
      <w:r w:rsidR="00FC035B" w:rsidRPr="00ED59A2">
        <w:t>:</w:t>
      </w:r>
    </w:p>
    <w:p w14:paraId="02AD1EE1" w14:textId="77777777" w:rsidR="00FC035B" w:rsidRPr="00ED59A2" w:rsidRDefault="00FC035B" w:rsidP="00911276"/>
    <w:p w14:paraId="4917BF89" w14:textId="35C24F6F" w:rsidR="00FC035B" w:rsidRPr="00ED59A2" w:rsidRDefault="00FC035B" w:rsidP="00911276">
      <w:r w:rsidRPr="00ED59A2">
        <w:t xml:space="preserve">Tissue </w:t>
      </w:r>
      <w:r w:rsidR="00243134" w:rsidRPr="00ED59A2">
        <w:t xml:space="preserve">iron </w:t>
      </w:r>
      <w:r w:rsidRPr="00ED59A2">
        <w:t xml:space="preserve">(µg/g dry tissue) = </w:t>
      </w:r>
      <w:r w:rsidR="00632F6C" w:rsidRPr="00ED59A2">
        <w:rPr>
          <w:position w:val="-60"/>
          <w:lang w:val="en-GB"/>
        </w:rPr>
        <w:object w:dxaOrig="2560" w:dyaOrig="1359" w14:anchorId="263BD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pt;height:1in" o:ole="">
            <v:imagedata r:id="rId8" o:title=""/>
          </v:shape>
          <o:OLEObject Type="Embed" ProgID="Equation.3" ShapeID="_x0000_i1025" DrawAspect="Content" ObjectID="_1701530409" r:id="rId9"/>
        </w:object>
      </w:r>
    </w:p>
    <w:p w14:paraId="2F1BC0CA" w14:textId="77777777" w:rsidR="00FC035B" w:rsidRPr="00ED59A2" w:rsidRDefault="00FC035B" w:rsidP="00911276"/>
    <w:p w14:paraId="56BFCCF0" w14:textId="0B8422A3" w:rsidR="00FC035B" w:rsidRPr="00ED59A2" w:rsidRDefault="00FC035B" w:rsidP="00911276">
      <w:r w:rsidRPr="00ED59A2">
        <w:t>A</w:t>
      </w:r>
      <w:r w:rsidRPr="00ED59A2">
        <w:rPr>
          <w:vertAlign w:val="subscript"/>
        </w:rPr>
        <w:t>T</w:t>
      </w:r>
      <w:r w:rsidRPr="00ED59A2">
        <w:t xml:space="preserve"> = absorbance of test</w:t>
      </w:r>
      <w:r w:rsidR="00151B57">
        <w:t xml:space="preserve"> sample</w:t>
      </w:r>
    </w:p>
    <w:p w14:paraId="1725FEF0" w14:textId="2F4E1D47" w:rsidR="00FC035B" w:rsidRPr="00ED59A2" w:rsidRDefault="00FC035B" w:rsidP="00911276">
      <w:r w:rsidRPr="00ED59A2">
        <w:t>A</w:t>
      </w:r>
      <w:r w:rsidRPr="00ED59A2">
        <w:rPr>
          <w:vertAlign w:val="subscript"/>
        </w:rPr>
        <w:t>B</w:t>
      </w:r>
      <w:r w:rsidRPr="00ED59A2">
        <w:t xml:space="preserve"> = absorbance of </w:t>
      </w:r>
      <w:r w:rsidR="005C0491">
        <w:t xml:space="preserve">acid </w:t>
      </w:r>
      <w:r w:rsidRPr="00ED59A2">
        <w:t>blank</w:t>
      </w:r>
    </w:p>
    <w:p w14:paraId="27B1F84F" w14:textId="34787340" w:rsidR="00FC035B" w:rsidRPr="00ED59A2" w:rsidRDefault="00FC035B" w:rsidP="00911276">
      <w:r w:rsidRPr="00ED59A2">
        <w:t>A</w:t>
      </w:r>
      <w:r w:rsidRPr="00ED59A2">
        <w:rPr>
          <w:vertAlign w:val="subscript"/>
        </w:rPr>
        <w:t>S</w:t>
      </w:r>
      <w:r w:rsidRPr="00ED59A2">
        <w:t xml:space="preserve"> = absorbance of standard</w:t>
      </w:r>
    </w:p>
    <w:p w14:paraId="718FAE3C" w14:textId="5EF02581" w:rsidR="00FC035B" w:rsidRPr="00ED59A2" w:rsidRDefault="00FC035B" w:rsidP="00911276">
      <w:pPr>
        <w:rPr>
          <w:lang w:val="en-GB"/>
        </w:rPr>
      </w:pPr>
      <w:r w:rsidRPr="00ED59A2">
        <w:rPr>
          <w:lang w:val="en-GB"/>
        </w:rPr>
        <w:lastRenderedPageBreak/>
        <w:t>Fe</w:t>
      </w:r>
      <w:r w:rsidR="00AD5930" w:rsidRPr="00ED59A2">
        <w:rPr>
          <w:vertAlign w:val="subscript"/>
          <w:lang w:val="en-GB"/>
        </w:rPr>
        <w:t>s</w:t>
      </w:r>
      <w:r w:rsidRPr="00ED59A2">
        <w:rPr>
          <w:lang w:val="en-GB"/>
        </w:rPr>
        <w:t xml:space="preserve"> = iron concentration of</w:t>
      </w:r>
      <w:r w:rsidR="00AD5930" w:rsidRPr="00ED59A2">
        <w:rPr>
          <w:lang w:val="en-GB"/>
        </w:rPr>
        <w:t xml:space="preserve"> </w:t>
      </w:r>
      <w:r w:rsidR="008871B6">
        <w:rPr>
          <w:lang w:val="en-GB"/>
        </w:rPr>
        <w:t>WISS</w:t>
      </w:r>
      <w:r w:rsidR="008F3BA5" w:rsidRPr="00ED59A2">
        <w:rPr>
          <w:lang w:val="en-GB"/>
        </w:rPr>
        <w:t xml:space="preserve"> (µg Fe/mL)</w:t>
      </w:r>
    </w:p>
    <w:p w14:paraId="301C3533" w14:textId="04E1845B" w:rsidR="00FC035B" w:rsidRPr="00ED59A2" w:rsidRDefault="00FC035B" w:rsidP="00911276">
      <w:r w:rsidRPr="00ED59A2">
        <w:t>W = weight of dry tissue (g)</w:t>
      </w:r>
    </w:p>
    <w:p w14:paraId="1EC6DEFF" w14:textId="5B38FEA6" w:rsidR="00FC035B" w:rsidRPr="00ED59A2" w:rsidRDefault="00FC035B" w:rsidP="00911276">
      <w:proofErr w:type="spellStart"/>
      <w:r w:rsidRPr="00ED59A2">
        <w:t>V</w:t>
      </w:r>
      <w:r w:rsidR="00AD5930" w:rsidRPr="00ED59A2">
        <w:rPr>
          <w:vertAlign w:val="subscript"/>
        </w:rPr>
        <w:t>s</w:t>
      </w:r>
      <w:r w:rsidR="00D536D8" w:rsidRPr="00ED59A2">
        <w:rPr>
          <w:vertAlign w:val="subscript"/>
        </w:rPr>
        <w:t>mp</w:t>
      </w:r>
      <w:proofErr w:type="spellEnd"/>
      <w:r w:rsidRPr="00ED59A2">
        <w:t xml:space="preserve"> = sample volume (</w:t>
      </w:r>
      <w:r w:rsidR="00536FCA" w:rsidRPr="00ED59A2">
        <w:t xml:space="preserve">variable </w:t>
      </w:r>
      <w:r w:rsidR="00AD5930" w:rsidRPr="00ED59A2">
        <w:t>volume</w:t>
      </w:r>
      <w:r w:rsidRPr="00ED59A2">
        <w:t xml:space="preserve"> of </w:t>
      </w:r>
      <w:r w:rsidR="00911276" w:rsidRPr="00ED59A2">
        <w:t>S</w:t>
      </w:r>
      <w:r w:rsidR="00B06C67" w:rsidRPr="00ED59A2">
        <w:t xml:space="preserve">upernatant in </w:t>
      </w:r>
      <w:r w:rsidR="00B06C67" w:rsidRPr="00ED59A2">
        <w:rPr>
          <w:b/>
          <w:bCs/>
        </w:rPr>
        <w:t>Table 2</w:t>
      </w:r>
      <w:r w:rsidR="00B06C67" w:rsidRPr="00ED59A2">
        <w:t xml:space="preserve"> converted to</w:t>
      </w:r>
      <w:r w:rsidR="00B35BC9" w:rsidRPr="00ED59A2">
        <w:t xml:space="preserve"> </w:t>
      </w:r>
      <w:r w:rsidR="00D3388B" w:rsidRPr="00ED59A2">
        <w:t>m</w:t>
      </w:r>
      <w:r w:rsidR="00B35BC9" w:rsidRPr="00ED59A2">
        <w:t>L</w:t>
      </w:r>
      <w:r w:rsidRPr="00ED59A2">
        <w:t>)</w:t>
      </w:r>
    </w:p>
    <w:p w14:paraId="5B05B840" w14:textId="2FA8815C" w:rsidR="00AD5930" w:rsidRPr="00ED59A2" w:rsidRDefault="00AD5930" w:rsidP="00911276">
      <w:proofErr w:type="spellStart"/>
      <w:r w:rsidRPr="00ED59A2">
        <w:t>V</w:t>
      </w:r>
      <w:r w:rsidRPr="00ED59A2">
        <w:rPr>
          <w:vertAlign w:val="subscript"/>
        </w:rPr>
        <w:t>f</w:t>
      </w:r>
      <w:proofErr w:type="spellEnd"/>
      <w:r w:rsidRPr="00ED59A2">
        <w:t xml:space="preserve"> = final volume of acid mixture after overnight incubation at 65 °C (</w:t>
      </w:r>
      <w:r w:rsidR="00FD24BB" w:rsidRPr="00ED59A2">
        <w:t>corresponding to</w:t>
      </w:r>
      <w:r w:rsidR="00536FCA" w:rsidRPr="00ED59A2">
        <w:t xml:space="preserve"> </w:t>
      </w:r>
      <w:r w:rsidR="00B35BC9" w:rsidRPr="00ED59A2">
        <w:t xml:space="preserve">acid volume plus </w:t>
      </w:r>
      <w:r w:rsidR="00FD24BB" w:rsidRPr="00ED59A2">
        <w:t xml:space="preserve">dry </w:t>
      </w:r>
      <w:r w:rsidR="00B35BC9" w:rsidRPr="00ED59A2">
        <w:t>tissue volume in</w:t>
      </w:r>
      <w:r w:rsidRPr="00ED59A2">
        <w:t xml:space="preserve"> </w:t>
      </w:r>
      <w:r w:rsidR="008216AD" w:rsidRPr="00ED59A2">
        <w:t>mL</w:t>
      </w:r>
      <w:r w:rsidR="00536FCA" w:rsidRPr="00ED59A2">
        <w:t>; if sample weights do not differ significantly, assume a constant volume</w:t>
      </w:r>
      <w:r w:rsidR="00FD24BB" w:rsidRPr="00ED59A2">
        <w:t xml:space="preserve"> </w:t>
      </w:r>
      <w:r w:rsidR="00664863" w:rsidRPr="00ED59A2">
        <w:t>≈</w:t>
      </w:r>
      <w:r w:rsidR="00FD24BB" w:rsidRPr="00ED59A2">
        <w:t xml:space="preserve"> 1 mL</w:t>
      </w:r>
      <w:r w:rsidRPr="00ED59A2">
        <w:t>)</w:t>
      </w:r>
    </w:p>
    <w:p w14:paraId="0154959B" w14:textId="74BBB510" w:rsidR="00D536D8" w:rsidRPr="00ED59A2" w:rsidRDefault="00D536D8" w:rsidP="00911276">
      <w:proofErr w:type="spellStart"/>
      <w:r w:rsidRPr="00ED59A2">
        <w:t>V</w:t>
      </w:r>
      <w:r w:rsidRPr="00ED59A2">
        <w:rPr>
          <w:vertAlign w:val="subscript"/>
        </w:rPr>
        <w:t>std</w:t>
      </w:r>
      <w:proofErr w:type="spellEnd"/>
      <w:r w:rsidRPr="00ED59A2">
        <w:t xml:space="preserve"> = </w:t>
      </w:r>
      <w:r w:rsidR="00FD24BB" w:rsidRPr="00ED59A2">
        <w:t>iron s</w:t>
      </w:r>
      <w:r w:rsidRPr="00ED59A2">
        <w:t>tandard volume (volume of WISS</w:t>
      </w:r>
      <w:r w:rsidR="00B06C67" w:rsidRPr="00ED59A2">
        <w:t xml:space="preserve"> in </w:t>
      </w:r>
      <w:r w:rsidR="00B06C67" w:rsidRPr="00ED59A2">
        <w:rPr>
          <w:b/>
          <w:bCs/>
        </w:rPr>
        <w:t>Table 2</w:t>
      </w:r>
      <w:r w:rsidR="00B06C67" w:rsidRPr="00ED59A2">
        <w:t xml:space="preserve"> converted to</w:t>
      </w:r>
      <w:r w:rsidRPr="00ED59A2">
        <w:t xml:space="preserve"> </w:t>
      </w:r>
      <w:r w:rsidR="00D3388B" w:rsidRPr="00ED59A2">
        <w:t>m</w:t>
      </w:r>
      <w:r w:rsidRPr="00ED59A2">
        <w:t>L)</w:t>
      </w:r>
    </w:p>
    <w:p w14:paraId="73BC131B" w14:textId="601E2537" w:rsidR="00D536D8" w:rsidRPr="00ED59A2" w:rsidRDefault="00D536D8" w:rsidP="00911276">
      <w:proofErr w:type="spellStart"/>
      <w:r w:rsidRPr="00ED59A2">
        <w:t>V</w:t>
      </w:r>
      <w:r w:rsidRPr="00ED59A2">
        <w:rPr>
          <w:vertAlign w:val="subscript"/>
        </w:rPr>
        <w:t>rv</w:t>
      </w:r>
      <w:proofErr w:type="spellEnd"/>
      <w:r w:rsidRPr="00ED59A2">
        <w:t xml:space="preserve"> = final reaction volume (</w:t>
      </w:r>
      <w:r w:rsidR="00B06C67" w:rsidRPr="00ED59A2">
        <w:t xml:space="preserve">Total </w:t>
      </w:r>
      <w:r w:rsidRPr="00ED59A2">
        <w:t xml:space="preserve">volume in </w:t>
      </w:r>
      <w:r w:rsidR="00B06C67" w:rsidRPr="00ED59A2">
        <w:rPr>
          <w:b/>
          <w:bCs/>
        </w:rPr>
        <w:t>Table 2</w:t>
      </w:r>
      <w:r w:rsidR="00B06C67" w:rsidRPr="00ED59A2">
        <w:t xml:space="preserve"> converted to </w:t>
      </w:r>
      <w:r w:rsidR="00D3388B" w:rsidRPr="00ED59A2">
        <w:t>m</w:t>
      </w:r>
      <w:r w:rsidR="00632F6C" w:rsidRPr="00ED59A2">
        <w:t>L</w:t>
      </w:r>
      <w:r w:rsidRPr="00ED59A2">
        <w:t>)</w:t>
      </w:r>
    </w:p>
    <w:p w14:paraId="0975BD7C" w14:textId="77777777" w:rsidR="00FB34D1" w:rsidRPr="00ED59A2" w:rsidRDefault="00FB34D1" w:rsidP="0091127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8AF3300" w14:textId="122751B1" w:rsidR="006E4797" w:rsidRPr="00ED59A2" w:rsidRDefault="00EB354D" w:rsidP="00911276">
      <w:pPr>
        <w:pBdr>
          <w:top w:val="nil"/>
          <w:left w:val="nil"/>
          <w:bottom w:val="nil"/>
          <w:right w:val="nil"/>
          <w:between w:val="nil"/>
        </w:pBdr>
      </w:pPr>
      <w:r w:rsidRPr="00ED59A2">
        <w:rPr>
          <w:b/>
        </w:rPr>
        <w:t>REPRESENTATIVE RESULTS:</w:t>
      </w:r>
    </w:p>
    <w:p w14:paraId="6C5B1A32" w14:textId="348E13A0" w:rsidR="00243821" w:rsidRPr="00ED59A2" w:rsidRDefault="00362BF4" w:rsidP="00911276">
      <w:pPr>
        <w:rPr>
          <w:b/>
        </w:rPr>
      </w:pPr>
      <w:r w:rsidRPr="00ED59A2">
        <w:rPr>
          <w:b/>
        </w:rPr>
        <w:t>Cuvette v</w:t>
      </w:r>
      <w:r w:rsidR="005B51AC" w:rsidRPr="00ED59A2">
        <w:rPr>
          <w:b/>
        </w:rPr>
        <w:t>ersus</w:t>
      </w:r>
      <w:r w:rsidRPr="00ED59A2">
        <w:rPr>
          <w:b/>
        </w:rPr>
        <w:t xml:space="preserve"> </w:t>
      </w:r>
      <w:r w:rsidR="002B793C" w:rsidRPr="00ED59A2">
        <w:rPr>
          <w:b/>
        </w:rPr>
        <w:t xml:space="preserve">96-well </w:t>
      </w:r>
      <w:r w:rsidRPr="00ED59A2">
        <w:rPr>
          <w:b/>
        </w:rPr>
        <w:t>microplate comparison</w:t>
      </w:r>
    </w:p>
    <w:p w14:paraId="1274E98F" w14:textId="6EE93D61" w:rsidR="00EB354D" w:rsidRPr="00ED59A2" w:rsidRDefault="0010799E" w:rsidP="00911276">
      <w:r w:rsidRPr="00ED59A2">
        <w:t xml:space="preserve">The measurement of </w:t>
      </w:r>
      <w:r w:rsidR="009A3B2A" w:rsidRPr="00ED59A2">
        <w:t xml:space="preserve">tissue </w:t>
      </w:r>
      <w:r w:rsidRPr="00ED59A2">
        <w:t xml:space="preserve">non-heme iron by reaction with </w:t>
      </w:r>
      <w:r w:rsidR="00623C91" w:rsidRPr="00ED59A2">
        <w:t xml:space="preserve">a </w:t>
      </w:r>
      <w:r w:rsidRPr="00ED59A2">
        <w:t xml:space="preserve">bathophenanthroline </w:t>
      </w:r>
      <w:r w:rsidR="00623C91" w:rsidRPr="00ED59A2">
        <w:t xml:space="preserve">reagent </w:t>
      </w:r>
      <w:r w:rsidR="0048475F" w:rsidRPr="00ED59A2">
        <w:t>originally described by Torrance and Bothwell</w:t>
      </w:r>
      <w:r w:rsidR="005B0C4F" w:rsidRPr="00ED59A2">
        <w:rPr>
          <w:vertAlign w:val="superscript"/>
        </w:rPr>
        <w:t>5</w:t>
      </w:r>
      <w:r w:rsidR="006B1E1F">
        <w:rPr>
          <w:vertAlign w:val="superscript"/>
        </w:rPr>
        <w:t>–</w:t>
      </w:r>
      <w:r w:rsidR="005B0C4F" w:rsidRPr="00ED59A2">
        <w:rPr>
          <w:vertAlign w:val="superscript"/>
        </w:rPr>
        <w:t>6</w:t>
      </w:r>
      <w:r w:rsidRPr="00ED59A2">
        <w:t xml:space="preserve"> relies on the use of a spectrophotometer for </w:t>
      </w:r>
      <w:r w:rsidR="0048475F" w:rsidRPr="00ED59A2">
        <w:t xml:space="preserve">absorbance </w:t>
      </w:r>
      <w:r w:rsidRPr="00ED59A2">
        <w:t>reading</w:t>
      </w:r>
      <w:r w:rsidR="0048475F" w:rsidRPr="00ED59A2">
        <w:t xml:space="preserve">. Hence, the volumes </w:t>
      </w:r>
      <w:r w:rsidR="00F1061A" w:rsidRPr="00ED59A2">
        <w:t xml:space="preserve">employed in the chromogen reaction are compatible with the size of a regular spectrophotometer cuvette. </w:t>
      </w:r>
      <w:r w:rsidR="002D6513" w:rsidRPr="00ED59A2">
        <w:t>Th</w:t>
      </w:r>
      <w:r w:rsidR="001A6557" w:rsidRPr="00ED59A2">
        <w:t>e present work</w:t>
      </w:r>
      <w:r w:rsidR="002D6513" w:rsidRPr="00ED59A2">
        <w:t xml:space="preserve"> describes </w:t>
      </w:r>
      <w:r w:rsidR="00F1061A" w:rsidRPr="00ED59A2">
        <w:t>a</w:t>
      </w:r>
      <w:r w:rsidRPr="00ED59A2">
        <w:t xml:space="preserve"> method</w:t>
      </w:r>
      <w:r w:rsidR="00F1061A" w:rsidRPr="00ED59A2">
        <w:t xml:space="preserve"> adaptation in which the chromogen reactions are prepared </w:t>
      </w:r>
      <w:r w:rsidR="00B36138" w:rsidRPr="00ED59A2">
        <w:t xml:space="preserve">directly </w:t>
      </w:r>
      <w:r w:rsidR="00F1061A" w:rsidRPr="00ED59A2">
        <w:t xml:space="preserve">in a 96-well microplate </w:t>
      </w:r>
      <w:r w:rsidR="00B36138" w:rsidRPr="00ED59A2">
        <w:t>for</w:t>
      </w:r>
      <w:r w:rsidR="00F1061A" w:rsidRPr="00ED59A2">
        <w:t xml:space="preserve"> absorbance </w:t>
      </w:r>
      <w:r w:rsidR="00B36138" w:rsidRPr="00ED59A2">
        <w:t>measurement</w:t>
      </w:r>
      <w:r w:rsidR="00F1061A" w:rsidRPr="00ED59A2">
        <w:t xml:space="preserve"> in a microplate reader, requir</w:t>
      </w:r>
      <w:r w:rsidR="00B36138" w:rsidRPr="00ED59A2">
        <w:t>ing</w:t>
      </w:r>
      <w:r w:rsidR="00F1061A" w:rsidRPr="00ED59A2">
        <w:t xml:space="preserve"> smaller reagent volumes and allow</w:t>
      </w:r>
      <w:r w:rsidR="00B36138" w:rsidRPr="00ED59A2">
        <w:t>ing</w:t>
      </w:r>
      <w:r w:rsidR="00F1061A" w:rsidRPr="00ED59A2">
        <w:t xml:space="preserve"> </w:t>
      </w:r>
      <w:r w:rsidR="00311B1A" w:rsidRPr="00ED59A2">
        <w:t>higher throughput.</w:t>
      </w:r>
    </w:p>
    <w:p w14:paraId="09273733" w14:textId="77777777" w:rsidR="005B51AC" w:rsidRPr="00ED59A2" w:rsidRDefault="005B51AC" w:rsidP="00911276"/>
    <w:p w14:paraId="222DEF74" w14:textId="4FD02226" w:rsidR="00EB354D" w:rsidRPr="00ED59A2" w:rsidRDefault="00F1061A" w:rsidP="00911276">
      <w:r w:rsidRPr="00ED59A2">
        <w:t xml:space="preserve">To </w:t>
      </w:r>
      <w:r w:rsidR="00B36138" w:rsidRPr="00ED59A2">
        <w:t>compare</w:t>
      </w:r>
      <w:r w:rsidRPr="00ED59A2">
        <w:t xml:space="preserve"> the sensitivity of both approaches, a serial dilution of the </w:t>
      </w:r>
      <w:r w:rsidR="00412F76" w:rsidRPr="00ED59A2">
        <w:t xml:space="preserve">working </w:t>
      </w:r>
      <w:r w:rsidRPr="00ED59A2">
        <w:t>iron standard</w:t>
      </w:r>
      <w:r w:rsidR="00412F76" w:rsidRPr="00ED59A2">
        <w:t xml:space="preserve"> solution (WISS)</w:t>
      </w:r>
      <w:r w:rsidRPr="00ED59A2">
        <w:t xml:space="preserve"> </w:t>
      </w:r>
      <w:r w:rsidR="002D6513" w:rsidRPr="00ED59A2">
        <w:t xml:space="preserve">was initially </w:t>
      </w:r>
      <w:r w:rsidR="005B51AC" w:rsidRPr="00ED59A2">
        <w:t>prepared,</w:t>
      </w:r>
      <w:r w:rsidR="002D6513" w:rsidRPr="00ED59A2">
        <w:t xml:space="preserve"> </w:t>
      </w:r>
      <w:r w:rsidRPr="00ED59A2">
        <w:t>and</w:t>
      </w:r>
      <w:r w:rsidR="00412F76" w:rsidRPr="00ED59A2">
        <w:t xml:space="preserve"> </w:t>
      </w:r>
      <w:r w:rsidR="0032045B" w:rsidRPr="00ED59A2">
        <w:t xml:space="preserve">the </w:t>
      </w:r>
      <w:r w:rsidR="00412F76" w:rsidRPr="00ED59A2">
        <w:t xml:space="preserve">chromogen reactions </w:t>
      </w:r>
      <w:r w:rsidR="002D6513" w:rsidRPr="00ED59A2">
        <w:t xml:space="preserve">were assembled </w:t>
      </w:r>
      <w:r w:rsidR="00412F76" w:rsidRPr="00ED59A2">
        <w:t xml:space="preserve">either in 1.5 mL tubes or in 96-well plates, as indicated in </w:t>
      </w:r>
      <w:r w:rsidR="00412F76" w:rsidRPr="00ED59A2">
        <w:rPr>
          <w:b/>
          <w:bCs/>
        </w:rPr>
        <w:t xml:space="preserve">Table </w:t>
      </w:r>
      <w:r w:rsidR="00961409" w:rsidRPr="00ED59A2">
        <w:rPr>
          <w:b/>
          <w:bCs/>
        </w:rPr>
        <w:t>2</w:t>
      </w:r>
      <w:r w:rsidR="00412F76" w:rsidRPr="00ED59A2">
        <w:t>.</w:t>
      </w:r>
      <w:r w:rsidRPr="00ED59A2">
        <w:t xml:space="preserve"> </w:t>
      </w:r>
      <w:r w:rsidR="0032045B" w:rsidRPr="00ED59A2">
        <w:t>Absorbance was measured in a spectrophotometer</w:t>
      </w:r>
      <w:r w:rsidR="00623C91" w:rsidRPr="00ED59A2">
        <w:t xml:space="preserve"> (with cuvette)</w:t>
      </w:r>
      <w:r w:rsidR="0032045B" w:rsidRPr="00ED59A2">
        <w:t xml:space="preserve"> or in a microplate reader, respectively. Representative </w:t>
      </w:r>
      <w:r w:rsidR="00362BF4" w:rsidRPr="00ED59A2">
        <w:t xml:space="preserve">standard curves generated </w:t>
      </w:r>
      <w:r w:rsidR="00412F76" w:rsidRPr="00ED59A2">
        <w:t xml:space="preserve">with </w:t>
      </w:r>
      <w:r w:rsidR="0032045B" w:rsidRPr="00ED59A2">
        <w:t xml:space="preserve">the two </w:t>
      </w:r>
      <w:r w:rsidR="00412F76" w:rsidRPr="00ED59A2">
        <w:t>approaches</w:t>
      </w:r>
      <w:r w:rsidR="0032045B" w:rsidRPr="00ED59A2">
        <w:t xml:space="preserve"> are depicted in </w:t>
      </w:r>
      <w:r w:rsidR="0032045B" w:rsidRPr="00ED59A2">
        <w:rPr>
          <w:b/>
          <w:bCs/>
        </w:rPr>
        <w:t xml:space="preserve">Figure </w:t>
      </w:r>
      <w:r w:rsidR="00915223" w:rsidRPr="00ED59A2">
        <w:rPr>
          <w:b/>
          <w:bCs/>
        </w:rPr>
        <w:t>1A</w:t>
      </w:r>
      <w:r w:rsidR="00412F76" w:rsidRPr="00ED59A2">
        <w:t>.</w:t>
      </w:r>
      <w:r w:rsidR="004D1F10" w:rsidRPr="00ED59A2">
        <w:t xml:space="preserve"> </w:t>
      </w:r>
      <w:r w:rsidR="0055515A" w:rsidRPr="00ED59A2">
        <w:t>I</w:t>
      </w:r>
      <w:r w:rsidR="00362BF4" w:rsidRPr="00ED59A2">
        <w:t>n both cases</w:t>
      </w:r>
      <w:r w:rsidR="0055515A" w:rsidRPr="00ED59A2">
        <w:t>,</w:t>
      </w:r>
      <w:r w:rsidR="00362BF4" w:rsidRPr="00ED59A2">
        <w:t xml:space="preserve"> linearity was very high (r</w:t>
      </w:r>
      <w:r w:rsidR="00362BF4" w:rsidRPr="00ED59A2">
        <w:rPr>
          <w:vertAlign w:val="superscript"/>
        </w:rPr>
        <w:t>2</w:t>
      </w:r>
      <w:r w:rsidR="006B1E1F" w:rsidRPr="00BB5D06">
        <w:t xml:space="preserve"> </w:t>
      </w:r>
      <w:r w:rsidR="00266F51" w:rsidRPr="00ED59A2">
        <w:t>=</w:t>
      </w:r>
      <w:r w:rsidR="006B1E1F">
        <w:t xml:space="preserve"> </w:t>
      </w:r>
      <w:r w:rsidR="00362BF4" w:rsidRPr="00ED59A2">
        <w:t>0</w:t>
      </w:r>
      <w:r w:rsidR="00311B1A" w:rsidRPr="00ED59A2">
        <w:t>.</w:t>
      </w:r>
      <w:r w:rsidR="00362BF4" w:rsidRPr="00ED59A2">
        <w:t>9996 and r</w:t>
      </w:r>
      <w:r w:rsidR="00362BF4" w:rsidRPr="00ED59A2">
        <w:rPr>
          <w:vertAlign w:val="superscript"/>
        </w:rPr>
        <w:t>2</w:t>
      </w:r>
      <w:r w:rsidR="006B1E1F" w:rsidRPr="00BB5D06">
        <w:t xml:space="preserve"> </w:t>
      </w:r>
      <w:r w:rsidR="00362BF4" w:rsidRPr="00ED59A2">
        <w:t>=</w:t>
      </w:r>
      <w:r w:rsidR="006B1E1F">
        <w:t xml:space="preserve"> </w:t>
      </w:r>
      <w:r w:rsidR="00362BF4" w:rsidRPr="00ED59A2">
        <w:t>0</w:t>
      </w:r>
      <w:r w:rsidR="00311B1A" w:rsidRPr="00ED59A2">
        <w:t>.</w:t>
      </w:r>
      <w:r w:rsidR="00362BF4" w:rsidRPr="00ED59A2">
        <w:t>9997 for microplate and cuvette, respectively)</w:t>
      </w:r>
      <w:r w:rsidR="004D1F10" w:rsidRPr="00ED59A2">
        <w:t xml:space="preserve"> across the iron concentrations tested</w:t>
      </w:r>
      <w:r w:rsidR="00311B1A" w:rsidRPr="00ED59A2">
        <w:t>.</w:t>
      </w:r>
    </w:p>
    <w:p w14:paraId="34F85954" w14:textId="77777777" w:rsidR="005B51AC" w:rsidRPr="00ED59A2" w:rsidRDefault="005B51AC" w:rsidP="00911276"/>
    <w:p w14:paraId="30E31566" w14:textId="2FD9B24D" w:rsidR="00BE09BA" w:rsidRPr="00ED59A2" w:rsidRDefault="004D1F10" w:rsidP="00911276">
      <w:r w:rsidRPr="00ED59A2">
        <w:t xml:space="preserve">Noteworthy, </w:t>
      </w:r>
      <w:r w:rsidR="00B43379" w:rsidRPr="00ED59A2">
        <w:t xml:space="preserve">a WISS containing </w:t>
      </w:r>
      <w:r w:rsidR="00B43379" w:rsidRPr="00ED59A2">
        <w:rPr>
          <w:lang w:val="en-GB"/>
        </w:rPr>
        <w:t xml:space="preserve">11.169 µg </w:t>
      </w:r>
      <w:r w:rsidR="006B1E1F">
        <w:rPr>
          <w:lang w:val="en-GB"/>
        </w:rPr>
        <w:t xml:space="preserve">of </w:t>
      </w:r>
      <w:r w:rsidR="00B43379" w:rsidRPr="00ED59A2">
        <w:rPr>
          <w:lang w:val="en-GB"/>
        </w:rPr>
        <w:t>Fe/mL</w:t>
      </w:r>
      <w:r w:rsidR="002D6513" w:rsidRPr="00ED59A2">
        <w:rPr>
          <w:lang w:val="en-GB"/>
        </w:rPr>
        <w:t xml:space="preserve"> was used</w:t>
      </w:r>
      <w:r w:rsidRPr="00ED59A2">
        <w:rPr>
          <w:lang w:val="en-GB"/>
        </w:rPr>
        <w:t xml:space="preserve">. </w:t>
      </w:r>
      <w:r w:rsidR="00F76408" w:rsidRPr="00ED59A2">
        <w:rPr>
          <w:lang w:val="en-GB"/>
        </w:rPr>
        <w:t>The present d</w:t>
      </w:r>
      <w:r w:rsidR="00873499" w:rsidRPr="00ED59A2">
        <w:rPr>
          <w:lang w:val="en-GB"/>
        </w:rPr>
        <w:t xml:space="preserve">ata </w:t>
      </w:r>
      <w:r w:rsidR="006B1E1F" w:rsidRPr="00ED59A2">
        <w:rPr>
          <w:lang w:val="en-GB"/>
        </w:rPr>
        <w:t>sho</w:t>
      </w:r>
      <w:r w:rsidR="006B1E1F">
        <w:rPr>
          <w:lang w:val="en-GB"/>
        </w:rPr>
        <w:t>ws</w:t>
      </w:r>
      <w:r w:rsidR="006B1E1F" w:rsidRPr="00ED59A2">
        <w:t xml:space="preserve"> </w:t>
      </w:r>
      <w:r w:rsidR="00847C78" w:rsidRPr="00ED59A2">
        <w:t xml:space="preserve">that </w:t>
      </w:r>
      <w:r w:rsidR="00266F51" w:rsidRPr="00ED59A2">
        <w:t xml:space="preserve">lower iron </w:t>
      </w:r>
      <w:r w:rsidR="00362BF4" w:rsidRPr="00ED59A2">
        <w:t>concentration</w:t>
      </w:r>
      <w:r w:rsidR="00266F51" w:rsidRPr="00ED59A2">
        <w:t>s</w:t>
      </w:r>
      <w:r w:rsidR="00362BF4" w:rsidRPr="00ED59A2">
        <w:t xml:space="preserve"> </w:t>
      </w:r>
      <w:r w:rsidR="0055515A" w:rsidRPr="00ED59A2">
        <w:t>may</w:t>
      </w:r>
      <w:r w:rsidR="00847C78" w:rsidRPr="00ED59A2">
        <w:t xml:space="preserve"> be used </w:t>
      </w:r>
      <w:r w:rsidR="00873499" w:rsidRPr="00ED59A2">
        <w:t>to prepare</w:t>
      </w:r>
      <w:r w:rsidR="00847C78" w:rsidRPr="00ED59A2">
        <w:t xml:space="preserve"> the</w:t>
      </w:r>
      <w:r w:rsidR="00266F51" w:rsidRPr="00ED59A2">
        <w:t xml:space="preserve"> standard</w:t>
      </w:r>
      <w:r w:rsidR="00847C78" w:rsidRPr="00ED59A2">
        <w:t>.</w:t>
      </w:r>
      <w:r w:rsidR="00266F51" w:rsidRPr="00ED59A2">
        <w:t xml:space="preserve"> </w:t>
      </w:r>
      <w:r w:rsidR="002D6513" w:rsidRPr="00ED59A2">
        <w:t>H</w:t>
      </w:r>
      <w:r w:rsidR="000A35A0" w:rsidRPr="00ED59A2">
        <w:t xml:space="preserve">owever, the use of </w:t>
      </w:r>
      <w:r w:rsidR="00B43379" w:rsidRPr="00ED59A2">
        <w:t xml:space="preserve">a WISS with </w:t>
      </w:r>
      <w:r w:rsidR="000A35A0" w:rsidRPr="00ED59A2">
        <w:t>h</w:t>
      </w:r>
      <w:r w:rsidR="00266F51" w:rsidRPr="00ED59A2">
        <w:t xml:space="preserve">igher </w:t>
      </w:r>
      <w:r w:rsidR="000A35A0" w:rsidRPr="00ED59A2">
        <w:t xml:space="preserve">iron </w:t>
      </w:r>
      <w:r w:rsidR="00266F51" w:rsidRPr="00ED59A2">
        <w:t>concentrations</w:t>
      </w:r>
      <w:r w:rsidR="002D6513" w:rsidRPr="00ED59A2">
        <w:t xml:space="preserve"> is not recommended, as this </w:t>
      </w:r>
      <w:r w:rsidR="00F76408" w:rsidRPr="00ED59A2">
        <w:t xml:space="preserve">could </w:t>
      </w:r>
      <w:r w:rsidR="00873499" w:rsidRPr="00ED59A2">
        <w:t xml:space="preserve">lead to absorbance values that </w:t>
      </w:r>
      <w:r w:rsidR="000A35A0" w:rsidRPr="00ED59A2">
        <w:t xml:space="preserve">exceed </w:t>
      </w:r>
      <w:r w:rsidR="00266F51" w:rsidRPr="00ED59A2">
        <w:t xml:space="preserve">the </w:t>
      </w:r>
      <w:r w:rsidR="002C54DE" w:rsidRPr="00ED59A2">
        <w:t>spectrophotometer’s linear dynamic range of detection</w:t>
      </w:r>
      <w:r w:rsidR="00266F51" w:rsidRPr="00ED59A2">
        <w:t xml:space="preserve">, </w:t>
      </w:r>
      <w:r w:rsidR="00BE09BA" w:rsidRPr="00ED59A2">
        <w:t>causing standard curves to plateau</w:t>
      </w:r>
      <w:r w:rsidR="00362BF4" w:rsidRPr="00ED59A2">
        <w:t>.</w:t>
      </w:r>
    </w:p>
    <w:p w14:paraId="35BA9AE4" w14:textId="77777777" w:rsidR="005B51AC" w:rsidRPr="00ED59A2" w:rsidRDefault="005B51AC" w:rsidP="00911276"/>
    <w:p w14:paraId="77AE9EBF" w14:textId="4D99FEE7" w:rsidR="00947289" w:rsidRPr="00ED59A2" w:rsidRDefault="00BE09BA" w:rsidP="00911276">
      <w:r w:rsidRPr="00ED59A2">
        <w:t xml:space="preserve">To further compare the cuvette- and microplate-based assays, non-heme </w:t>
      </w:r>
      <w:r w:rsidR="00362BF4" w:rsidRPr="00ED59A2">
        <w:t xml:space="preserve">iron content </w:t>
      </w:r>
      <w:r w:rsidR="002D6513" w:rsidRPr="00ED59A2">
        <w:t xml:space="preserve">was measured </w:t>
      </w:r>
      <w:r w:rsidR="00362BF4" w:rsidRPr="00ED59A2">
        <w:t xml:space="preserve">in </w:t>
      </w:r>
      <w:r w:rsidRPr="00ED59A2">
        <w:t>a total of 55</w:t>
      </w:r>
      <w:r w:rsidR="00362BF4" w:rsidRPr="00ED59A2">
        <w:t xml:space="preserve"> mouse tissue samples</w:t>
      </w:r>
      <w:r w:rsidRPr="00ED59A2">
        <w:t xml:space="preserve"> (liver, spleen, heart, lung, bone marrow)</w:t>
      </w:r>
      <w:r w:rsidR="00362BF4" w:rsidRPr="00ED59A2">
        <w:t xml:space="preserve">. </w:t>
      </w:r>
      <w:r w:rsidR="002D6513" w:rsidRPr="00ED59A2">
        <w:t>A</w:t>
      </w:r>
      <w:r w:rsidR="00362BF4" w:rsidRPr="00ED59A2">
        <w:t xml:space="preserve"> </w:t>
      </w:r>
      <w:r w:rsidR="00A41E17" w:rsidRPr="00ED59A2">
        <w:t xml:space="preserve">very </w:t>
      </w:r>
      <w:r w:rsidR="00362BF4" w:rsidRPr="00ED59A2">
        <w:t xml:space="preserve">high </w:t>
      </w:r>
      <w:r w:rsidRPr="00ED59A2">
        <w:t xml:space="preserve">degree of </w:t>
      </w:r>
      <w:r w:rsidR="00362BF4" w:rsidRPr="00ED59A2">
        <w:t xml:space="preserve">correlation </w:t>
      </w:r>
      <w:r w:rsidR="00020111" w:rsidRPr="00ED59A2">
        <w:t xml:space="preserve">was observed </w:t>
      </w:r>
      <w:r w:rsidRPr="00ED59A2">
        <w:t xml:space="preserve">between </w:t>
      </w:r>
      <w:r w:rsidR="00A569E5" w:rsidRPr="00ED59A2">
        <w:t xml:space="preserve">the </w:t>
      </w:r>
      <w:r w:rsidRPr="00ED59A2">
        <w:t>two</w:t>
      </w:r>
      <w:r w:rsidRPr="00ED59A2" w:rsidDel="00BE09BA">
        <w:t xml:space="preserve"> </w:t>
      </w:r>
      <w:r w:rsidR="00A569E5" w:rsidRPr="00ED59A2">
        <w:t>methodologies</w:t>
      </w:r>
      <w:r w:rsidR="00EB354D" w:rsidRPr="00ED59A2">
        <w:t xml:space="preserve"> </w:t>
      </w:r>
      <w:r w:rsidR="00266F51" w:rsidRPr="00ED59A2">
        <w:t>(r</w:t>
      </w:r>
      <w:r w:rsidR="007F7299">
        <w:t xml:space="preserve"> </w:t>
      </w:r>
      <w:r w:rsidR="00266F51" w:rsidRPr="00ED59A2">
        <w:t>=</w:t>
      </w:r>
      <w:r w:rsidR="007F7299">
        <w:t xml:space="preserve"> </w:t>
      </w:r>
      <w:r w:rsidR="00266F51" w:rsidRPr="00ED59A2">
        <w:t>0</w:t>
      </w:r>
      <w:r w:rsidR="00311B1A" w:rsidRPr="00ED59A2">
        <w:t>.</w:t>
      </w:r>
      <w:r w:rsidR="00266F51" w:rsidRPr="00ED59A2">
        <w:t>99</w:t>
      </w:r>
      <w:r w:rsidR="004C1991" w:rsidRPr="00ED59A2">
        <w:t>9</w:t>
      </w:r>
      <w:r w:rsidR="0098513B" w:rsidRPr="00ED59A2">
        <w:t>, p</w:t>
      </w:r>
      <w:r w:rsidR="007F7299">
        <w:t xml:space="preserve"> </w:t>
      </w:r>
      <w:r w:rsidR="0098513B" w:rsidRPr="00ED59A2">
        <w:t>&lt;</w:t>
      </w:r>
      <w:r w:rsidR="007F7299">
        <w:t xml:space="preserve"> </w:t>
      </w:r>
      <w:r w:rsidR="0098513B" w:rsidRPr="00ED59A2">
        <w:t>0.0001</w:t>
      </w:r>
      <w:r w:rsidR="00266F51" w:rsidRPr="00ED59A2">
        <w:t>)</w:t>
      </w:r>
      <w:r w:rsidR="002D6513" w:rsidRPr="00ED59A2">
        <w:t>,</w:t>
      </w:r>
      <w:r w:rsidR="00EB354D" w:rsidRPr="00ED59A2">
        <w:t xml:space="preserve"> </w:t>
      </w:r>
      <w:r w:rsidR="00362BF4" w:rsidRPr="00ED59A2">
        <w:t>indicating that the microplate</w:t>
      </w:r>
      <w:r w:rsidR="00A41E17" w:rsidRPr="00ED59A2">
        <w:t>-based</w:t>
      </w:r>
      <w:r w:rsidR="00362BF4" w:rsidRPr="00ED59A2">
        <w:t xml:space="preserve"> method is a</w:t>
      </w:r>
      <w:r w:rsidR="002B793C" w:rsidRPr="00ED59A2">
        <w:t xml:space="preserve"> valid alternative to</w:t>
      </w:r>
      <w:r w:rsidR="00362BF4" w:rsidRPr="00ED59A2">
        <w:t xml:space="preserve"> the </w:t>
      </w:r>
      <w:r w:rsidR="002B793C" w:rsidRPr="00ED59A2">
        <w:t xml:space="preserve">original </w:t>
      </w:r>
      <w:r w:rsidR="00325BE4" w:rsidRPr="00ED59A2">
        <w:t xml:space="preserve">cuvette-based </w:t>
      </w:r>
      <w:r w:rsidR="00362BF4" w:rsidRPr="00ED59A2">
        <w:t>method (</w:t>
      </w:r>
      <w:r w:rsidR="00362BF4" w:rsidRPr="00ED59A2">
        <w:rPr>
          <w:b/>
          <w:bCs/>
        </w:rPr>
        <w:t>Figure 1</w:t>
      </w:r>
      <w:r w:rsidR="00947289" w:rsidRPr="00ED59A2">
        <w:rPr>
          <w:b/>
          <w:bCs/>
        </w:rPr>
        <w:t>B</w:t>
      </w:r>
      <w:r w:rsidR="00362BF4" w:rsidRPr="00ED59A2">
        <w:t>)</w:t>
      </w:r>
      <w:r w:rsidR="002B793C" w:rsidRPr="00ED59A2">
        <w:t>.</w:t>
      </w:r>
    </w:p>
    <w:p w14:paraId="2783F14C" w14:textId="77777777" w:rsidR="005B51AC" w:rsidRPr="00ED59A2" w:rsidRDefault="005B51AC" w:rsidP="00911276"/>
    <w:p w14:paraId="554CBC21" w14:textId="5C9EAD96" w:rsidR="00947289" w:rsidRPr="00ED59A2" w:rsidRDefault="00202719" w:rsidP="00911276">
      <w:r w:rsidRPr="00ED59A2">
        <w:t>Fi</w:t>
      </w:r>
      <w:r w:rsidR="000A0559" w:rsidRPr="00ED59A2">
        <w:t xml:space="preserve">nally, </w:t>
      </w:r>
      <w:r w:rsidRPr="00ED59A2">
        <w:t xml:space="preserve">non-heme iron levels in mouse tissues </w:t>
      </w:r>
      <w:r w:rsidR="000A0559" w:rsidRPr="00ED59A2">
        <w:t xml:space="preserve">were quantified </w:t>
      </w:r>
      <w:r w:rsidRPr="00ED59A2">
        <w:t>with the microplate-based method after acidic digestion of samples derived from the same tissues with either a mixture of hydrochloric acid and trichloroacetic acid</w:t>
      </w:r>
      <w:r w:rsidR="00134687" w:rsidRPr="00ED59A2">
        <w:t xml:space="preserve"> (as per the original method description)</w:t>
      </w:r>
      <w:r w:rsidRPr="00ED59A2">
        <w:t xml:space="preserve"> or hydrochloric acid alone.</w:t>
      </w:r>
      <w:r w:rsidR="00B37FC4" w:rsidRPr="00ED59A2">
        <w:t xml:space="preserve"> </w:t>
      </w:r>
      <w:r w:rsidR="0054650A" w:rsidRPr="00ED59A2">
        <w:t>A very</w:t>
      </w:r>
      <w:r w:rsidR="00947289" w:rsidRPr="00ED59A2">
        <w:t xml:space="preserve"> high correlation</w:t>
      </w:r>
      <w:r w:rsidR="0054650A" w:rsidRPr="00ED59A2">
        <w:t xml:space="preserve"> was observed</w:t>
      </w:r>
      <w:r w:rsidR="00947289" w:rsidRPr="00ED59A2">
        <w:t xml:space="preserve"> (r = 0</w:t>
      </w:r>
      <w:r w:rsidR="005B51AC" w:rsidRPr="00ED59A2">
        <w:t>.</w:t>
      </w:r>
      <w:r w:rsidR="00947289" w:rsidRPr="00ED59A2">
        <w:t>999, p</w:t>
      </w:r>
      <w:r w:rsidR="007F7299">
        <w:t xml:space="preserve"> </w:t>
      </w:r>
      <w:r w:rsidR="00947289" w:rsidRPr="00ED59A2">
        <w:t>&lt;</w:t>
      </w:r>
      <w:r w:rsidR="007F7299">
        <w:t xml:space="preserve"> </w:t>
      </w:r>
      <w:r w:rsidR="00947289" w:rsidRPr="00ED59A2">
        <w:t xml:space="preserve">0.0001, </w:t>
      </w:r>
      <w:r w:rsidR="00947289" w:rsidRPr="00ED59A2">
        <w:rPr>
          <w:b/>
          <w:bCs/>
        </w:rPr>
        <w:t>Figure 1C</w:t>
      </w:r>
      <w:r w:rsidR="00947289" w:rsidRPr="00ED59A2">
        <w:t>)</w:t>
      </w:r>
      <w:r w:rsidR="0054650A" w:rsidRPr="00ED59A2">
        <w:t xml:space="preserve">, </w:t>
      </w:r>
      <w:r w:rsidR="000A0559" w:rsidRPr="00ED59A2">
        <w:t>show</w:t>
      </w:r>
      <w:r w:rsidR="0054650A" w:rsidRPr="00ED59A2">
        <w:t>ing that trichloroacetic acid can be omitted</w:t>
      </w:r>
      <w:r w:rsidR="000A0559" w:rsidRPr="00ED59A2">
        <w:t xml:space="preserve"> from the acid digestion</w:t>
      </w:r>
      <w:r w:rsidR="00947289" w:rsidRPr="00ED59A2">
        <w:t>.</w:t>
      </w:r>
    </w:p>
    <w:p w14:paraId="28D45FEF" w14:textId="77777777" w:rsidR="005B51AC" w:rsidRPr="00ED59A2" w:rsidRDefault="005B51AC" w:rsidP="00911276"/>
    <w:p w14:paraId="260A1DA0" w14:textId="5FD6FA49" w:rsidR="002B7677" w:rsidRPr="00ED59A2" w:rsidRDefault="002B7677" w:rsidP="00911276">
      <w:r w:rsidRPr="00ED59A2">
        <w:lastRenderedPageBreak/>
        <w:t xml:space="preserve">The representative results </w:t>
      </w:r>
      <w:r w:rsidR="00A348BB" w:rsidRPr="00ED59A2">
        <w:t xml:space="preserve">included below </w:t>
      </w:r>
      <w:r w:rsidRPr="00ED59A2">
        <w:t xml:space="preserve">were obtained </w:t>
      </w:r>
      <w:r w:rsidR="00A348BB" w:rsidRPr="00ED59A2">
        <w:t>b</w:t>
      </w:r>
      <w:r w:rsidRPr="00ED59A2">
        <w:t xml:space="preserve">y measuring </w:t>
      </w:r>
      <w:r w:rsidR="00A348BB" w:rsidRPr="00ED59A2">
        <w:t xml:space="preserve">sample absorbance </w:t>
      </w:r>
      <w:r w:rsidRPr="00ED59A2">
        <w:t>in 96-well plates</w:t>
      </w:r>
      <w:r w:rsidR="00A348BB" w:rsidRPr="00ED59A2">
        <w:t>.</w:t>
      </w:r>
    </w:p>
    <w:p w14:paraId="0766BED2" w14:textId="77777777" w:rsidR="002B7677" w:rsidRPr="00ED59A2" w:rsidRDefault="002B7677" w:rsidP="00911276"/>
    <w:p w14:paraId="555E1E93" w14:textId="3222ED5A" w:rsidR="00B7106F" w:rsidRPr="00ED59A2" w:rsidRDefault="00D45DF2" w:rsidP="00911276">
      <w:pPr>
        <w:rPr>
          <w:b/>
        </w:rPr>
      </w:pPr>
      <w:bookmarkStart w:id="0" w:name="OLE_LINK15"/>
      <w:r w:rsidRPr="00ED59A2">
        <w:rPr>
          <w:b/>
        </w:rPr>
        <w:t>Measurement of tissue non-heme i</w:t>
      </w:r>
      <w:r w:rsidR="00B7106F" w:rsidRPr="00ED59A2">
        <w:rPr>
          <w:b/>
        </w:rPr>
        <w:t>ron</w:t>
      </w:r>
      <w:r w:rsidR="0035103F" w:rsidRPr="00ED59A2">
        <w:rPr>
          <w:b/>
        </w:rPr>
        <w:t xml:space="preserve"> levels</w:t>
      </w:r>
      <w:r w:rsidR="00B7106F" w:rsidRPr="00ED59A2">
        <w:rPr>
          <w:b/>
        </w:rPr>
        <w:t xml:space="preserve"> in </w:t>
      </w:r>
      <w:r w:rsidR="0089503A" w:rsidRPr="00ED59A2">
        <w:rPr>
          <w:b/>
        </w:rPr>
        <w:t xml:space="preserve">a mouse </w:t>
      </w:r>
      <w:r w:rsidR="00123B7E" w:rsidRPr="00ED59A2">
        <w:rPr>
          <w:b/>
        </w:rPr>
        <w:t>model of genetic hemochromatosis</w:t>
      </w:r>
    </w:p>
    <w:bookmarkEnd w:id="0"/>
    <w:p w14:paraId="51DC8DA2" w14:textId="296686A5" w:rsidR="00B7106F" w:rsidRPr="00ED59A2" w:rsidRDefault="006C2CEA" w:rsidP="00911276">
      <w:r w:rsidRPr="00ED59A2">
        <w:t>Using the bathophenanthroline-based colorimetric assay</w:t>
      </w:r>
      <w:r w:rsidR="00421BD6" w:rsidRPr="00ED59A2">
        <w:t xml:space="preserve">, </w:t>
      </w:r>
      <w:r w:rsidR="00325BE4" w:rsidRPr="00ED59A2">
        <w:t xml:space="preserve">non-heme </w:t>
      </w:r>
      <w:r w:rsidR="00B7106F" w:rsidRPr="00ED59A2">
        <w:t xml:space="preserve">iron content </w:t>
      </w:r>
      <w:r w:rsidR="002D6513" w:rsidRPr="00ED59A2">
        <w:t>was determined in</w:t>
      </w:r>
      <w:r w:rsidRPr="00ED59A2">
        <w:t xml:space="preserve"> </w:t>
      </w:r>
      <w:r w:rsidR="00B7106F" w:rsidRPr="00ED59A2">
        <w:t>various tissues</w:t>
      </w:r>
      <w:r w:rsidRPr="00ED59A2">
        <w:t xml:space="preserve"> (liver, spleen, heart</w:t>
      </w:r>
      <w:r w:rsidR="007F7299">
        <w:t>,</w:t>
      </w:r>
      <w:r w:rsidRPr="00ED59A2">
        <w:t xml:space="preserve"> and pancreas)</w:t>
      </w:r>
      <w:r w:rsidR="00B7106F" w:rsidRPr="00ED59A2">
        <w:t xml:space="preserve"> </w:t>
      </w:r>
      <w:r w:rsidRPr="00ED59A2">
        <w:t>from</w:t>
      </w:r>
      <w:r w:rsidR="00B7106F" w:rsidRPr="00ED59A2">
        <w:t xml:space="preserve"> the common</w:t>
      </w:r>
      <w:r w:rsidR="00325BE4" w:rsidRPr="00ED59A2">
        <w:t>ly used</w:t>
      </w:r>
      <w:r w:rsidRPr="00ED59A2">
        <w:t xml:space="preserve"> mouse strain</w:t>
      </w:r>
      <w:r w:rsidR="00B7106F" w:rsidRPr="00ED59A2">
        <w:t xml:space="preserve"> C57BL/6 and </w:t>
      </w:r>
      <w:r w:rsidRPr="00ED59A2">
        <w:t xml:space="preserve">from </w:t>
      </w:r>
      <w:r w:rsidR="00B7106F" w:rsidRPr="00ED59A2">
        <w:t xml:space="preserve">hepcidin knockout </w:t>
      </w:r>
      <w:r w:rsidR="00325BE4" w:rsidRPr="00ED59A2">
        <w:t>(</w:t>
      </w:r>
      <w:r w:rsidR="00B7106F" w:rsidRPr="00ED59A2">
        <w:rPr>
          <w:i/>
        </w:rPr>
        <w:t>Hamp</w:t>
      </w:r>
      <w:r w:rsidR="00325BE4" w:rsidRPr="00ED59A2">
        <w:rPr>
          <w:i/>
        </w:rPr>
        <w:t>1</w:t>
      </w:r>
      <w:r w:rsidR="00B7106F" w:rsidRPr="00ED59A2">
        <w:rPr>
          <w:vertAlign w:val="superscript"/>
        </w:rPr>
        <w:t>-/-</w:t>
      </w:r>
      <w:r w:rsidR="00325BE4" w:rsidRPr="00ED59A2">
        <w:t>)</w:t>
      </w:r>
      <w:r w:rsidR="00B7106F" w:rsidRPr="00ED59A2">
        <w:t xml:space="preserve"> </w:t>
      </w:r>
      <w:r w:rsidRPr="00ED59A2">
        <w:t xml:space="preserve">mice </w:t>
      </w:r>
      <w:r w:rsidR="00B7106F" w:rsidRPr="00ED59A2">
        <w:t xml:space="preserve">(in a C57BL/6 </w:t>
      </w:r>
      <w:r w:rsidR="00325BE4" w:rsidRPr="00ED59A2">
        <w:t xml:space="preserve">genetic </w:t>
      </w:r>
      <w:r w:rsidR="00B7106F" w:rsidRPr="00ED59A2">
        <w:t>background)</w:t>
      </w:r>
      <w:r w:rsidR="00123B7E" w:rsidRPr="00ED59A2">
        <w:t>. Representative iron l</w:t>
      </w:r>
      <w:r w:rsidR="000039BA" w:rsidRPr="00ED59A2">
        <w:t>e</w:t>
      </w:r>
      <w:r w:rsidR="00123B7E" w:rsidRPr="00ED59A2">
        <w:t xml:space="preserve">vels are depicted in </w:t>
      </w:r>
      <w:r w:rsidR="00123B7E" w:rsidRPr="00ED59A2">
        <w:rPr>
          <w:b/>
          <w:bCs/>
        </w:rPr>
        <w:t>Figure 2</w:t>
      </w:r>
      <w:r w:rsidR="00B7106F" w:rsidRPr="00ED59A2">
        <w:t xml:space="preserve">. Hepcidin is a key regulator of iron </w:t>
      </w:r>
      <w:proofErr w:type="gramStart"/>
      <w:r w:rsidR="00B7106F" w:rsidRPr="00ED59A2">
        <w:t>metabolism</w:t>
      </w:r>
      <w:proofErr w:type="gramEnd"/>
      <w:r w:rsidR="00B7106F" w:rsidRPr="00ED59A2">
        <w:t xml:space="preserve"> and </w:t>
      </w:r>
      <w:r w:rsidRPr="00ED59A2">
        <w:t>its disruption</w:t>
      </w:r>
      <w:r w:rsidR="00B7106F" w:rsidRPr="00ED59A2">
        <w:t xml:space="preserve"> </w:t>
      </w:r>
      <w:r w:rsidRPr="00ED59A2">
        <w:t xml:space="preserve">leads to a hemochromatosis-like </w:t>
      </w:r>
      <w:r w:rsidR="00D45DF2" w:rsidRPr="00ED59A2">
        <w:t xml:space="preserve">iron deposition </w:t>
      </w:r>
      <w:r w:rsidRPr="00ED59A2">
        <w:t xml:space="preserve">phenotype, with </w:t>
      </w:r>
      <w:r w:rsidR="00B7106F" w:rsidRPr="00ED59A2">
        <w:t xml:space="preserve">severe </w:t>
      </w:r>
      <w:r w:rsidR="00D45DF2" w:rsidRPr="00ED59A2">
        <w:t>hepatic, pancreatic</w:t>
      </w:r>
      <w:r w:rsidR="007F7299">
        <w:t>,</w:t>
      </w:r>
      <w:r w:rsidR="00D45DF2" w:rsidRPr="00ED59A2">
        <w:t xml:space="preserve"> and cardiac </w:t>
      </w:r>
      <w:r w:rsidR="00B7106F" w:rsidRPr="00ED59A2">
        <w:t xml:space="preserve">iron </w:t>
      </w:r>
      <w:r w:rsidR="00D45DF2" w:rsidRPr="00ED59A2">
        <w:t xml:space="preserve">accumulation, </w:t>
      </w:r>
      <w:r w:rsidRPr="00ED59A2">
        <w:t xml:space="preserve">and splenic iron </w:t>
      </w:r>
      <w:r w:rsidR="00DC18DF" w:rsidRPr="00ED59A2">
        <w:t>depletion</w:t>
      </w:r>
      <w:r w:rsidR="00DC18DF" w:rsidRPr="00ED59A2">
        <w:rPr>
          <w:vertAlign w:val="superscript"/>
        </w:rPr>
        <w:t>8</w:t>
      </w:r>
      <w:r w:rsidR="002B7677" w:rsidRPr="00ED59A2">
        <w:t>.</w:t>
      </w:r>
    </w:p>
    <w:p w14:paraId="15F51EA5" w14:textId="237D0386" w:rsidR="0089503A" w:rsidRPr="00ED59A2" w:rsidRDefault="0089503A" w:rsidP="00911276"/>
    <w:p w14:paraId="6C66FB40" w14:textId="6776163C" w:rsidR="0089503A" w:rsidRPr="00ED59A2" w:rsidRDefault="00123B7E" w:rsidP="00911276">
      <w:pPr>
        <w:rPr>
          <w:b/>
        </w:rPr>
      </w:pPr>
      <w:r w:rsidRPr="00ED59A2">
        <w:rPr>
          <w:b/>
        </w:rPr>
        <w:t xml:space="preserve">Measurement of non-heme iron </w:t>
      </w:r>
      <w:r w:rsidR="0035103F" w:rsidRPr="00ED59A2">
        <w:rPr>
          <w:b/>
        </w:rPr>
        <w:t xml:space="preserve">levels </w:t>
      </w:r>
      <w:r w:rsidR="0089503A" w:rsidRPr="00ED59A2">
        <w:rPr>
          <w:b/>
        </w:rPr>
        <w:t xml:space="preserve">in sea bass </w:t>
      </w:r>
      <w:r w:rsidRPr="00ED59A2">
        <w:rPr>
          <w:b/>
        </w:rPr>
        <w:t xml:space="preserve">liver </w:t>
      </w:r>
      <w:r w:rsidR="005C5D14" w:rsidRPr="00ED59A2">
        <w:rPr>
          <w:b/>
        </w:rPr>
        <w:t>after</w:t>
      </w:r>
      <w:r w:rsidR="0089503A" w:rsidRPr="00ED59A2">
        <w:rPr>
          <w:b/>
        </w:rPr>
        <w:t xml:space="preserve"> experimental iron modulation</w:t>
      </w:r>
    </w:p>
    <w:p w14:paraId="3C1812CE" w14:textId="27D4AFF9" w:rsidR="00917203" w:rsidRPr="00ED59A2" w:rsidRDefault="00123B7E" w:rsidP="00911276">
      <w:r w:rsidRPr="00ED59A2">
        <w:t xml:space="preserve">Using the bathophenanthroline-based colorimetric assay, non-heme iron </w:t>
      </w:r>
      <w:r w:rsidR="00917203" w:rsidRPr="00ED59A2">
        <w:t>levels</w:t>
      </w:r>
      <w:r w:rsidR="002D6513" w:rsidRPr="00ED59A2">
        <w:t xml:space="preserve"> were determined</w:t>
      </w:r>
      <w:r w:rsidR="00917203" w:rsidRPr="00ED59A2">
        <w:t xml:space="preserve"> in the liver of</w:t>
      </w:r>
      <w:r w:rsidRPr="00ED59A2">
        <w:t xml:space="preserve"> healthy</w:t>
      </w:r>
      <w:r w:rsidR="002A4704" w:rsidRPr="00ED59A2">
        <w:t xml:space="preserve"> (control)</w:t>
      </w:r>
      <w:r w:rsidR="00917203" w:rsidRPr="00ED59A2">
        <w:t>, iron</w:t>
      </w:r>
      <w:r w:rsidRPr="00ED59A2">
        <w:t>-treated</w:t>
      </w:r>
      <w:r w:rsidR="002B7677" w:rsidRPr="00ED59A2">
        <w:t xml:space="preserve"> </w:t>
      </w:r>
      <w:r w:rsidR="00917203" w:rsidRPr="00ED59A2">
        <w:t xml:space="preserve">(2 mg of </w:t>
      </w:r>
      <w:r w:rsidR="002A4704" w:rsidRPr="00ED59A2">
        <w:t xml:space="preserve">iron dextran </w:t>
      </w:r>
      <w:r w:rsidR="00917203" w:rsidRPr="00ED59A2">
        <w:t>administered</w:t>
      </w:r>
      <w:r w:rsidR="002A4704" w:rsidRPr="00ED59A2">
        <w:t xml:space="preserve"> </w:t>
      </w:r>
      <w:r w:rsidR="002A4704" w:rsidRPr="00ED59A2">
        <w:rPr>
          <w:i/>
          <w:iCs/>
        </w:rPr>
        <w:t>via</w:t>
      </w:r>
      <w:r w:rsidR="002A4704" w:rsidRPr="00ED59A2">
        <w:t xml:space="preserve"> the</w:t>
      </w:r>
      <w:r w:rsidR="00917203" w:rsidRPr="00ED59A2">
        <w:t xml:space="preserve"> intraperitoneal</w:t>
      </w:r>
      <w:r w:rsidR="002A4704" w:rsidRPr="00ED59A2">
        <w:t xml:space="preserve"> route</w:t>
      </w:r>
      <w:r w:rsidR="00917203" w:rsidRPr="00ED59A2">
        <w:t xml:space="preserve">) and anemic (2% v/w of blood </w:t>
      </w:r>
      <w:r w:rsidR="005C5D14" w:rsidRPr="00ED59A2">
        <w:t>drawn from the caudal vessels)</w:t>
      </w:r>
      <w:r w:rsidR="002A4704" w:rsidRPr="00ED59A2">
        <w:t xml:space="preserve"> European sea bass (</w:t>
      </w:r>
      <w:proofErr w:type="spellStart"/>
      <w:r w:rsidR="002A4704" w:rsidRPr="00ED59A2">
        <w:rPr>
          <w:i/>
        </w:rPr>
        <w:t>Dicentrarchus</w:t>
      </w:r>
      <w:proofErr w:type="spellEnd"/>
      <w:r w:rsidR="002A4704" w:rsidRPr="00ED59A2">
        <w:rPr>
          <w:i/>
        </w:rPr>
        <w:t xml:space="preserve"> </w:t>
      </w:r>
      <w:proofErr w:type="spellStart"/>
      <w:r w:rsidR="002A4704" w:rsidRPr="00ED59A2">
        <w:rPr>
          <w:i/>
        </w:rPr>
        <w:t>labrax</w:t>
      </w:r>
      <w:proofErr w:type="spellEnd"/>
      <w:r w:rsidR="002A4704" w:rsidRPr="00ED59A2">
        <w:t>)</w:t>
      </w:r>
      <w:r w:rsidR="005C5D14" w:rsidRPr="00ED59A2">
        <w:t>.</w:t>
      </w:r>
      <w:r w:rsidR="00BF5B56" w:rsidRPr="00ED59A2">
        <w:t xml:space="preserve"> A</w:t>
      </w:r>
      <w:r w:rsidR="002A4704" w:rsidRPr="00ED59A2">
        <w:t>s expected,</w:t>
      </w:r>
      <w:r w:rsidR="00BF5B56" w:rsidRPr="00ED59A2">
        <w:t xml:space="preserve"> </w:t>
      </w:r>
      <w:r w:rsidR="002A4704" w:rsidRPr="00ED59A2">
        <w:t xml:space="preserve">hepatic </w:t>
      </w:r>
      <w:r w:rsidR="00BF5B56" w:rsidRPr="00ED59A2">
        <w:t xml:space="preserve">iron levels </w:t>
      </w:r>
      <w:r w:rsidR="002A4704" w:rsidRPr="00ED59A2">
        <w:t>increased massively</w:t>
      </w:r>
      <w:r w:rsidR="00BF5B56" w:rsidRPr="00ED59A2">
        <w:t xml:space="preserve"> in iron</w:t>
      </w:r>
      <w:r w:rsidR="002A4704" w:rsidRPr="00ED59A2">
        <w:t>-treated</w:t>
      </w:r>
      <w:r w:rsidR="00BF5B56" w:rsidRPr="00ED59A2">
        <w:t xml:space="preserve"> animals, </w:t>
      </w:r>
      <w:r w:rsidR="002A4704" w:rsidRPr="00ED59A2">
        <w:t>whereas anemia caused a mild reduction in the hepatic iron stores</w:t>
      </w:r>
      <w:r w:rsidR="00196903" w:rsidRPr="00ED59A2">
        <w:t xml:space="preserve"> (</w:t>
      </w:r>
      <w:r w:rsidR="00196903" w:rsidRPr="00ED59A2">
        <w:rPr>
          <w:b/>
          <w:bCs/>
        </w:rPr>
        <w:t>Figure 3</w:t>
      </w:r>
      <w:r w:rsidR="00196903" w:rsidRPr="00ED59A2">
        <w:t>)</w:t>
      </w:r>
      <w:r w:rsidR="002A4704" w:rsidRPr="00ED59A2">
        <w:t>.</w:t>
      </w:r>
    </w:p>
    <w:p w14:paraId="2B95842A" w14:textId="381206B6" w:rsidR="0089503A" w:rsidRPr="00ED59A2" w:rsidRDefault="0089503A" w:rsidP="00BB5D06"/>
    <w:p w14:paraId="3598B350" w14:textId="24C65DCD" w:rsidR="00243821" w:rsidRPr="00ED59A2" w:rsidRDefault="0035103F" w:rsidP="00911276">
      <w:pPr>
        <w:rPr>
          <w:b/>
          <w:i/>
        </w:rPr>
      </w:pPr>
      <w:r w:rsidRPr="00ED59A2">
        <w:rPr>
          <w:b/>
        </w:rPr>
        <w:t>Measurement of non-heme iron levels</w:t>
      </w:r>
      <w:r w:rsidR="00CD35BF" w:rsidRPr="00ED59A2">
        <w:rPr>
          <w:b/>
        </w:rPr>
        <w:t xml:space="preserve"> </w:t>
      </w:r>
      <w:r w:rsidR="00243821" w:rsidRPr="00ED59A2">
        <w:rPr>
          <w:b/>
        </w:rPr>
        <w:t xml:space="preserve">in </w:t>
      </w:r>
      <w:r w:rsidR="0089503A" w:rsidRPr="00ED59A2">
        <w:rPr>
          <w:b/>
        </w:rPr>
        <w:t xml:space="preserve">whole </w:t>
      </w:r>
      <w:r w:rsidR="00243821" w:rsidRPr="00ED59A2">
        <w:rPr>
          <w:b/>
          <w:i/>
        </w:rPr>
        <w:t>Drosophila melanogaster</w:t>
      </w:r>
    </w:p>
    <w:p w14:paraId="2B5C483B" w14:textId="256FA4F2" w:rsidR="00243821" w:rsidRPr="00ED59A2" w:rsidRDefault="00243821" w:rsidP="00911276">
      <w:r w:rsidRPr="00ED59A2">
        <w:t xml:space="preserve">Although </w:t>
      </w:r>
      <w:r w:rsidR="00FD502B" w:rsidRPr="00ED59A2">
        <w:t xml:space="preserve">the current method is </w:t>
      </w:r>
      <w:r w:rsidRPr="00ED59A2">
        <w:t xml:space="preserve">not appropriate to measure </w:t>
      </w:r>
      <w:r w:rsidR="00FD502B" w:rsidRPr="00ED59A2">
        <w:t xml:space="preserve">non-heme </w:t>
      </w:r>
      <w:r w:rsidRPr="00ED59A2">
        <w:t xml:space="preserve">iron levels in individual </w:t>
      </w:r>
      <w:r w:rsidR="0089503A" w:rsidRPr="00ED59A2">
        <w:rPr>
          <w:i/>
        </w:rPr>
        <w:t xml:space="preserve">Drosophila </w:t>
      </w:r>
      <w:r w:rsidRPr="00ED59A2">
        <w:t>flies</w:t>
      </w:r>
      <w:r w:rsidR="0010684B" w:rsidRPr="00ED59A2">
        <w:t xml:space="preserve"> due to their small </w:t>
      </w:r>
      <w:r w:rsidR="005E7BE5" w:rsidRPr="00ED59A2">
        <w:t xml:space="preserve">body </w:t>
      </w:r>
      <w:r w:rsidR="0010684B" w:rsidRPr="00ED59A2">
        <w:t>mass</w:t>
      </w:r>
      <w:r w:rsidR="00021B6C" w:rsidRPr="00ED59A2">
        <w:t xml:space="preserve"> (</w:t>
      </w:r>
      <w:r w:rsidR="006318C3" w:rsidRPr="00ED59A2">
        <w:t xml:space="preserve">average weight </w:t>
      </w:r>
      <w:r w:rsidR="00FD502B" w:rsidRPr="00ED59A2">
        <w:t xml:space="preserve">being </w:t>
      </w:r>
      <w:r w:rsidR="006318C3" w:rsidRPr="00ED59A2">
        <w:t>0</w:t>
      </w:r>
      <w:r w:rsidR="00FD502B" w:rsidRPr="00ED59A2">
        <w:t>.</w:t>
      </w:r>
      <w:r w:rsidR="006318C3" w:rsidRPr="00ED59A2">
        <w:t>6 mg</w:t>
      </w:r>
      <w:r w:rsidR="00FD502B" w:rsidRPr="00ED59A2">
        <w:t xml:space="preserve"> and 0.8 mg for </w:t>
      </w:r>
      <w:r w:rsidR="006318C3" w:rsidRPr="00ED59A2">
        <w:t>male</w:t>
      </w:r>
      <w:r w:rsidR="00FD502B" w:rsidRPr="00ED59A2">
        <w:t>s and females, respectively)</w:t>
      </w:r>
      <w:r w:rsidR="00DC18DF" w:rsidRPr="00ED59A2">
        <w:rPr>
          <w:vertAlign w:val="superscript"/>
        </w:rPr>
        <w:t>9</w:t>
      </w:r>
      <w:r w:rsidRPr="00ED59A2">
        <w:t xml:space="preserve">, </w:t>
      </w:r>
      <w:r w:rsidR="00AA270B" w:rsidRPr="00ED59A2">
        <w:t>it can be</w:t>
      </w:r>
      <w:r w:rsidR="00EC4B41" w:rsidRPr="00ED59A2">
        <w:t xml:space="preserve"> successfully</w:t>
      </w:r>
      <w:r w:rsidRPr="00ED59A2">
        <w:t xml:space="preserve"> used</w:t>
      </w:r>
      <w:r w:rsidR="00FD502B" w:rsidRPr="00ED59A2">
        <w:t xml:space="preserve"> </w:t>
      </w:r>
      <w:r w:rsidRPr="00ED59A2">
        <w:t xml:space="preserve">with </w:t>
      </w:r>
      <w:r w:rsidR="00FD502B" w:rsidRPr="00ED59A2">
        <w:t xml:space="preserve">pooled </w:t>
      </w:r>
      <w:r w:rsidRPr="00ED59A2">
        <w:t xml:space="preserve">flies. </w:t>
      </w:r>
      <w:r w:rsidR="00FD502B" w:rsidRPr="00ED59A2">
        <w:rPr>
          <w:b/>
          <w:bCs/>
        </w:rPr>
        <w:t>Figure 4</w:t>
      </w:r>
      <w:r w:rsidR="00FD502B" w:rsidRPr="00ED59A2">
        <w:t xml:space="preserve"> depicts representative non-heme iron levels </w:t>
      </w:r>
      <w:r w:rsidRPr="00ED59A2">
        <w:t>for groups of 20</w:t>
      </w:r>
      <w:r w:rsidR="006318C3" w:rsidRPr="00ED59A2">
        <w:t xml:space="preserve"> </w:t>
      </w:r>
      <w:r w:rsidR="00FD502B" w:rsidRPr="00ED59A2">
        <w:t xml:space="preserve">whole </w:t>
      </w:r>
      <w:r w:rsidR="006318C3" w:rsidRPr="00ED59A2">
        <w:t>male</w:t>
      </w:r>
      <w:r w:rsidRPr="00ED59A2">
        <w:t xml:space="preserve"> flies, </w:t>
      </w:r>
      <w:r w:rsidR="00623C91" w:rsidRPr="00ED59A2">
        <w:t xml:space="preserve">either </w:t>
      </w:r>
      <w:r w:rsidRPr="00ED59A2">
        <w:t>wild-type</w:t>
      </w:r>
      <w:r w:rsidR="00021B6C" w:rsidRPr="00ED59A2">
        <w:t xml:space="preserve"> Oregon-R </w:t>
      </w:r>
      <w:r w:rsidR="00623C91" w:rsidRPr="00ED59A2">
        <w:t xml:space="preserve">or </w:t>
      </w:r>
      <w:r w:rsidR="00021B6C" w:rsidRPr="00ED59A2">
        <w:t>Malvolio</w:t>
      </w:r>
      <w:r w:rsidR="000573AA" w:rsidRPr="00ED59A2">
        <w:t xml:space="preserve"> (</w:t>
      </w:r>
      <w:proofErr w:type="spellStart"/>
      <w:r w:rsidR="000573AA" w:rsidRPr="00ED59A2">
        <w:t>Mv</w:t>
      </w:r>
      <w:r w:rsidR="00C90933" w:rsidRPr="00ED59A2">
        <w:t>l</w:t>
      </w:r>
      <w:proofErr w:type="spellEnd"/>
      <w:r w:rsidR="000573AA" w:rsidRPr="00ED59A2">
        <w:t>)</w:t>
      </w:r>
      <w:r w:rsidR="00021B6C" w:rsidRPr="00ED59A2">
        <w:t xml:space="preserve"> knockout</w:t>
      </w:r>
      <w:r w:rsidR="00623C91" w:rsidRPr="00ED59A2">
        <w:t xml:space="preserve">. </w:t>
      </w:r>
      <w:proofErr w:type="spellStart"/>
      <w:r w:rsidR="00623C91" w:rsidRPr="00ED59A2">
        <w:t>Mvl</w:t>
      </w:r>
      <w:proofErr w:type="spellEnd"/>
      <w:r w:rsidR="00623C91" w:rsidRPr="00ED59A2">
        <w:t xml:space="preserve"> is </w:t>
      </w:r>
      <w:r w:rsidRPr="00ED59A2">
        <w:t xml:space="preserve">the homolog of the mammalian </w:t>
      </w:r>
      <w:r w:rsidR="00623C91" w:rsidRPr="00ED59A2">
        <w:t xml:space="preserve">SLC11A2 gene, which encodes for a protein called divalent metal transporter 1 (DMT1), and its genetic disruption </w:t>
      </w:r>
      <w:r w:rsidR="00021B6C" w:rsidRPr="00ED59A2">
        <w:t xml:space="preserve">leads to </w:t>
      </w:r>
      <w:r w:rsidR="004956F2" w:rsidRPr="00ED59A2">
        <w:t xml:space="preserve">iron </w:t>
      </w:r>
      <w:r w:rsidR="00DC18DF" w:rsidRPr="00ED59A2">
        <w:t>deficiency</w:t>
      </w:r>
      <w:r w:rsidR="00DC18DF" w:rsidRPr="00ED59A2">
        <w:rPr>
          <w:vertAlign w:val="superscript"/>
        </w:rPr>
        <w:t>10</w:t>
      </w:r>
      <w:r w:rsidR="00021B6C" w:rsidRPr="00ED59A2">
        <w:t>.</w:t>
      </w:r>
      <w:r w:rsidR="00F81C72" w:rsidRPr="00ED59A2">
        <w:t xml:space="preserve"> </w:t>
      </w:r>
      <w:r w:rsidR="00623C91" w:rsidRPr="00ED59A2">
        <w:t xml:space="preserve">As expected, </w:t>
      </w:r>
      <w:proofErr w:type="spellStart"/>
      <w:r w:rsidR="0010684B" w:rsidRPr="00ED59A2">
        <w:t>Mlv</w:t>
      </w:r>
      <w:proofErr w:type="spellEnd"/>
      <w:r w:rsidR="0010684B" w:rsidRPr="00ED59A2">
        <w:t xml:space="preserve"> flies </w:t>
      </w:r>
      <w:r w:rsidR="00623C91" w:rsidRPr="00ED59A2">
        <w:t xml:space="preserve">presented </w:t>
      </w:r>
      <w:r w:rsidR="00FF7A5F" w:rsidRPr="00ED59A2">
        <w:t xml:space="preserve">a </w:t>
      </w:r>
      <w:r w:rsidR="00A348BB" w:rsidRPr="00ED59A2">
        <w:t>substantia</w:t>
      </w:r>
      <w:r w:rsidR="005B0C4F" w:rsidRPr="00ED59A2">
        <w:t>l</w:t>
      </w:r>
      <w:r w:rsidR="00A348BB" w:rsidRPr="00ED59A2">
        <w:t xml:space="preserve">ly </w:t>
      </w:r>
      <w:r w:rsidR="0010684B" w:rsidRPr="00ED59A2">
        <w:t xml:space="preserve">lower body </w:t>
      </w:r>
      <w:r w:rsidR="00623C91" w:rsidRPr="00ED59A2">
        <w:t xml:space="preserve">non-heme </w:t>
      </w:r>
      <w:r w:rsidR="0010684B" w:rsidRPr="00ED59A2">
        <w:t>iron content</w:t>
      </w:r>
      <w:r w:rsidR="00FF7A5F" w:rsidRPr="00ED59A2">
        <w:t xml:space="preserve"> compared to wild-type</w:t>
      </w:r>
      <w:r w:rsidR="0010684B" w:rsidRPr="00ED59A2">
        <w:t>.</w:t>
      </w:r>
    </w:p>
    <w:p w14:paraId="3D230400" w14:textId="77777777" w:rsidR="00EB354D" w:rsidRPr="00ED59A2" w:rsidRDefault="00EB354D" w:rsidP="00911276"/>
    <w:p w14:paraId="6D510784" w14:textId="477E3576" w:rsidR="006E4797" w:rsidRPr="00ED59A2" w:rsidRDefault="00551D82" w:rsidP="00911276">
      <w:r w:rsidRPr="00ED59A2">
        <w:rPr>
          <w:b/>
        </w:rPr>
        <w:t>FIGURE AND TABLE LEGENDS:</w:t>
      </w:r>
    </w:p>
    <w:p w14:paraId="1CB26267" w14:textId="1EEF7015" w:rsidR="0019683A" w:rsidRPr="00ED59A2" w:rsidRDefault="0019683A" w:rsidP="00911276">
      <w:r w:rsidRPr="00ED59A2">
        <w:rPr>
          <w:b/>
          <w:bCs/>
        </w:rPr>
        <w:t>Table 1</w:t>
      </w:r>
      <w:r w:rsidR="005B51AC" w:rsidRPr="00ED59A2">
        <w:t>:</w:t>
      </w:r>
      <w:r w:rsidRPr="00ED59A2">
        <w:t xml:space="preserve"> </w:t>
      </w:r>
      <w:r w:rsidRPr="00ED59A2">
        <w:rPr>
          <w:b/>
          <w:bCs/>
        </w:rPr>
        <w:t xml:space="preserve">Operating parameters for liver drying in a </w:t>
      </w:r>
      <w:r w:rsidR="00262331">
        <w:rPr>
          <w:b/>
          <w:bCs/>
        </w:rPr>
        <w:t xml:space="preserve">microwave </w:t>
      </w:r>
      <w:r w:rsidRPr="00ED59A2">
        <w:rPr>
          <w:b/>
          <w:bCs/>
        </w:rPr>
        <w:t>digestion oven</w:t>
      </w:r>
      <w:r w:rsidR="005B51AC" w:rsidRPr="00ED59A2">
        <w:rPr>
          <w:b/>
          <w:bCs/>
        </w:rPr>
        <w:t xml:space="preserve"> used here</w:t>
      </w:r>
      <w:r w:rsidRPr="00ED59A2">
        <w:rPr>
          <w:b/>
          <w:bCs/>
        </w:rPr>
        <w:t>.</w:t>
      </w:r>
    </w:p>
    <w:p w14:paraId="00A739E4" w14:textId="77777777" w:rsidR="0019683A" w:rsidRPr="00ED59A2" w:rsidRDefault="0019683A" w:rsidP="00911276"/>
    <w:p w14:paraId="370B7E14" w14:textId="3E1B4F8F" w:rsidR="0019683A" w:rsidRPr="00ED59A2" w:rsidRDefault="0019683A" w:rsidP="00911276">
      <w:r w:rsidRPr="00ED59A2">
        <w:rPr>
          <w:b/>
          <w:bCs/>
        </w:rPr>
        <w:t>Table 2</w:t>
      </w:r>
      <w:r w:rsidR="005B51AC" w:rsidRPr="00ED59A2">
        <w:t>:</w:t>
      </w:r>
      <w:r w:rsidRPr="00ED59A2">
        <w:t xml:space="preserve"> </w:t>
      </w:r>
      <w:r w:rsidRPr="00BB5D06">
        <w:rPr>
          <w:b/>
          <w:bCs/>
        </w:rPr>
        <w:t>Preparation of chromogen reactions in either 1.5 mL tubes or 96-well plates.</w:t>
      </w:r>
    </w:p>
    <w:p w14:paraId="394F6CBE" w14:textId="77777777" w:rsidR="0019683A" w:rsidRPr="00ED59A2" w:rsidRDefault="0019683A" w:rsidP="00911276"/>
    <w:p w14:paraId="1DCF6A71" w14:textId="4C1FDD85" w:rsidR="00C5153A" w:rsidRPr="00ED59A2" w:rsidRDefault="00C5153A" w:rsidP="00911276">
      <w:r w:rsidRPr="00ED59A2">
        <w:rPr>
          <w:b/>
          <w:bCs/>
        </w:rPr>
        <w:t>Figure 1</w:t>
      </w:r>
      <w:r w:rsidR="005B51AC" w:rsidRPr="00ED59A2">
        <w:t>:</w:t>
      </w:r>
      <w:r w:rsidRPr="00ED59A2">
        <w:t xml:space="preserve"> </w:t>
      </w:r>
      <w:r w:rsidRPr="00BB5D06">
        <w:rPr>
          <w:b/>
          <w:bCs/>
        </w:rPr>
        <w:t>Determination of non-heme iron by the cuvette- or 96-well microplate-based colorimetric assays.</w:t>
      </w:r>
      <w:r w:rsidRPr="00ED59A2">
        <w:t xml:space="preserve"> (</w:t>
      </w:r>
      <w:r w:rsidRPr="00ED59A2">
        <w:rPr>
          <w:b/>
          <w:bCs/>
        </w:rPr>
        <w:t>A</w:t>
      </w:r>
      <w:r w:rsidRPr="00ED59A2">
        <w:t xml:space="preserve">) standard curves for microplate- (open squares </w:t>
      </w:r>
      <w:r w:rsidRPr="00ED59A2">
        <w:sym w:font="Wingdings 2" w:char="F0A3"/>
      </w:r>
      <w:r w:rsidRPr="00ED59A2">
        <w:t xml:space="preserve">) and cuvette-based (open triangles </w:t>
      </w:r>
      <w:r w:rsidRPr="00ED59A2">
        <w:sym w:font="Wingdings 3" w:char="F072"/>
      </w:r>
      <w:r w:rsidRPr="00ED59A2">
        <w:t>) assays. (</w:t>
      </w:r>
      <w:r w:rsidRPr="00ED59A2">
        <w:rPr>
          <w:b/>
          <w:bCs/>
        </w:rPr>
        <w:t>B</w:t>
      </w:r>
      <w:r w:rsidRPr="00ED59A2">
        <w:t xml:space="preserve">) </w:t>
      </w:r>
      <w:r w:rsidR="00871338" w:rsidRPr="00ED59A2">
        <w:t xml:space="preserve">Correlation between cuvette-based and microplate-based </w:t>
      </w:r>
      <w:r w:rsidRPr="00ED59A2">
        <w:t>non-heme iron levels in 55</w:t>
      </w:r>
      <w:r w:rsidR="00DC18DF" w:rsidRPr="00ED59A2">
        <w:t xml:space="preserve"> tissue samples</w:t>
      </w:r>
      <w:r w:rsidRPr="00ED59A2">
        <w:t xml:space="preserve"> </w:t>
      </w:r>
      <w:r w:rsidR="00DC18DF" w:rsidRPr="00ED59A2">
        <w:t xml:space="preserve">from </w:t>
      </w:r>
      <w:r w:rsidR="00871338" w:rsidRPr="00ED59A2">
        <w:t>6-month-old</w:t>
      </w:r>
      <w:r w:rsidR="00DC18DF" w:rsidRPr="00ED59A2">
        <w:t xml:space="preserve"> male </w:t>
      </w:r>
      <w:r w:rsidRPr="00ED59A2">
        <w:t>C57BL/6</w:t>
      </w:r>
      <w:r w:rsidR="004C4E68" w:rsidRPr="00ED59A2">
        <w:t xml:space="preserve"> mice</w:t>
      </w:r>
      <w:r w:rsidRPr="00ED59A2">
        <w:t xml:space="preserve">, including liver (solid circles </w:t>
      </w:r>
      <w:r w:rsidRPr="00ED59A2">
        <w:sym w:font="Wingdings" w:char="F06C"/>
      </w:r>
      <w:r w:rsidRPr="00ED59A2">
        <w:t xml:space="preserve">), spleen (open circles </w:t>
      </w:r>
      <w:r w:rsidRPr="00ED59A2">
        <w:sym w:font="Wingdings" w:char="F0A1"/>
      </w:r>
      <w:r w:rsidRPr="00ED59A2">
        <w:t xml:space="preserve">), heart (solid triangles </w:t>
      </w:r>
      <w:r w:rsidRPr="00ED59A2">
        <w:sym w:font="Wingdings 3" w:char="F070"/>
      </w:r>
      <w:r w:rsidRPr="00ED59A2">
        <w:t xml:space="preserve">), lung (asterisks </w:t>
      </w:r>
      <w:r w:rsidRPr="00ED59A2">
        <w:rPr>
          <w:b/>
        </w:rPr>
        <w:sym w:font="Wingdings" w:char="F0AD"/>
      </w:r>
      <w:r w:rsidRPr="00ED59A2">
        <w:t xml:space="preserve">), and bone marrow (diamonds </w:t>
      </w:r>
      <w:r w:rsidRPr="00ED59A2">
        <w:sym w:font="Wingdings 2" w:char="F0AF"/>
      </w:r>
      <w:r w:rsidRPr="00ED59A2">
        <w:t>). (</w:t>
      </w:r>
      <w:r w:rsidRPr="00ED59A2">
        <w:rPr>
          <w:b/>
          <w:bCs/>
        </w:rPr>
        <w:t>C</w:t>
      </w:r>
      <w:r w:rsidRPr="00ED59A2">
        <w:t xml:space="preserve">) non-heme iron levels in a subset of </w:t>
      </w:r>
      <w:r w:rsidR="00DC18DF" w:rsidRPr="00ED59A2">
        <w:t xml:space="preserve">tissues from </w:t>
      </w:r>
      <w:r w:rsidR="004C4E68" w:rsidRPr="00ED59A2">
        <w:t>6</w:t>
      </w:r>
      <w:r w:rsidR="00871338" w:rsidRPr="00ED59A2">
        <w:t>-</w:t>
      </w:r>
      <w:r w:rsidR="004C4E68" w:rsidRPr="00ED59A2">
        <w:t xml:space="preserve">month-old male mice </w:t>
      </w:r>
      <w:r w:rsidRPr="00ED59A2">
        <w:t xml:space="preserve">(liver, solid circles </w:t>
      </w:r>
      <w:r w:rsidRPr="00ED59A2">
        <w:sym w:font="Wingdings" w:char="F06C"/>
      </w:r>
      <w:r w:rsidRPr="00ED59A2">
        <w:t xml:space="preserve">; spleen, open circles </w:t>
      </w:r>
      <w:r w:rsidRPr="00ED59A2">
        <w:sym w:font="Wingdings" w:char="F0A1"/>
      </w:r>
      <w:r w:rsidRPr="00ED59A2">
        <w:t>)measured with the 96-well microplate-based assay after acidic digestion of samples with a mixture of hydrochloric acid and trichloroacetic acid (HCl + C</w:t>
      </w:r>
      <w:r w:rsidRPr="00ED59A2">
        <w:rPr>
          <w:vertAlign w:val="subscript"/>
        </w:rPr>
        <w:t>2</w:t>
      </w:r>
      <w:r w:rsidRPr="00ED59A2">
        <w:t>HCl</w:t>
      </w:r>
      <w:r w:rsidRPr="00ED59A2">
        <w:rPr>
          <w:vertAlign w:val="subscript"/>
        </w:rPr>
        <w:t>3</w:t>
      </w:r>
      <w:r w:rsidRPr="00ED59A2">
        <w:t>O</w:t>
      </w:r>
      <w:r w:rsidRPr="00ED59A2">
        <w:rPr>
          <w:vertAlign w:val="subscript"/>
        </w:rPr>
        <w:t>2</w:t>
      </w:r>
      <w:r w:rsidRPr="00ED59A2">
        <w:t>) or hydrochloric acid alone (HCl).</w:t>
      </w:r>
    </w:p>
    <w:p w14:paraId="7F299BA9" w14:textId="77777777" w:rsidR="00EB354D" w:rsidRPr="00ED59A2" w:rsidRDefault="00EB354D" w:rsidP="00911276"/>
    <w:p w14:paraId="088D9E6A" w14:textId="4717A850" w:rsidR="00EB354D" w:rsidRPr="00BB5D06" w:rsidRDefault="00EB354D" w:rsidP="00911276">
      <w:r w:rsidRPr="00ED59A2">
        <w:rPr>
          <w:b/>
          <w:bCs/>
        </w:rPr>
        <w:t>Figure 2</w:t>
      </w:r>
      <w:r w:rsidR="005B51AC" w:rsidRPr="00ED59A2">
        <w:t>:</w:t>
      </w:r>
      <w:r w:rsidRPr="00ED59A2">
        <w:t xml:space="preserve"> </w:t>
      </w:r>
      <w:r w:rsidR="00BB5D06" w:rsidRPr="00BB5D06">
        <w:rPr>
          <w:b/>
          <w:bCs/>
        </w:rPr>
        <w:t>N</w:t>
      </w:r>
      <w:r w:rsidR="00BB5D06" w:rsidRPr="00BB5D06">
        <w:rPr>
          <w:b/>
          <w:bCs/>
        </w:rPr>
        <w:t>on-heme iron content</w:t>
      </w:r>
      <w:r w:rsidR="00BB5D06" w:rsidRPr="00BB5D06">
        <w:rPr>
          <w:b/>
          <w:bCs/>
        </w:rPr>
        <w:t xml:space="preserve"> </w:t>
      </w:r>
      <w:r w:rsidR="00BB5D06" w:rsidRPr="00BB5D06">
        <w:rPr>
          <w:b/>
          <w:bCs/>
        </w:rPr>
        <w:t>determined in various tissues</w:t>
      </w:r>
      <w:r w:rsidR="00BB5D06" w:rsidRPr="00BB5D06">
        <w:rPr>
          <w:b/>
          <w:bCs/>
        </w:rPr>
        <w:t xml:space="preserve"> by </w:t>
      </w:r>
      <w:r w:rsidR="00BB5D06" w:rsidRPr="00BB5D06">
        <w:rPr>
          <w:b/>
          <w:bCs/>
        </w:rPr>
        <w:t xml:space="preserve">bathophenanthroline-based </w:t>
      </w:r>
      <w:r w:rsidR="00BB5D06" w:rsidRPr="00BB5D06">
        <w:rPr>
          <w:b/>
          <w:bCs/>
        </w:rPr>
        <w:lastRenderedPageBreak/>
        <w:t>colorimetric assay</w:t>
      </w:r>
      <w:r w:rsidR="00BB5D06">
        <w:rPr>
          <w:b/>
          <w:bCs/>
        </w:rPr>
        <w:t xml:space="preserve">. </w:t>
      </w:r>
      <w:r w:rsidRPr="00BB5D06">
        <w:t>Non-heme iron levels in the liver, spleen, heart</w:t>
      </w:r>
      <w:r w:rsidR="00FC0892" w:rsidRPr="00BB5D06">
        <w:t>,</w:t>
      </w:r>
      <w:r w:rsidRPr="00BB5D06">
        <w:t xml:space="preserve"> and pancreas of </w:t>
      </w:r>
      <w:r w:rsidR="00E9069D" w:rsidRPr="00BB5D06">
        <w:t xml:space="preserve">male C57BL/6 </w:t>
      </w:r>
      <w:r w:rsidRPr="00BB5D06">
        <w:t xml:space="preserve">wild-type </w:t>
      </w:r>
      <w:r w:rsidR="00DC18DF" w:rsidRPr="00BB5D06">
        <w:t xml:space="preserve">mice </w:t>
      </w:r>
      <w:r w:rsidRPr="00BB5D06">
        <w:t xml:space="preserve">(open circles </w:t>
      </w:r>
      <w:r w:rsidRPr="00BB5D06">
        <w:sym w:font="Wingdings" w:char="F0A1"/>
      </w:r>
      <w:r w:rsidRPr="00BB5D06">
        <w:t xml:space="preserve">) and </w:t>
      </w:r>
      <w:r w:rsidR="00DC18DF" w:rsidRPr="00BB5D06">
        <w:t xml:space="preserve">male </w:t>
      </w:r>
      <w:r w:rsidRPr="00BB5D06">
        <w:t xml:space="preserve">hepcidin-deficient </w:t>
      </w:r>
      <w:r w:rsidRPr="00BB5D06">
        <w:rPr>
          <w:i/>
        </w:rPr>
        <w:t>Hamp1</w:t>
      </w:r>
      <w:r w:rsidRPr="00BB5D06">
        <w:rPr>
          <w:vertAlign w:val="superscript"/>
        </w:rPr>
        <w:t>-/-</w:t>
      </w:r>
      <w:r w:rsidRPr="00BB5D06">
        <w:t xml:space="preserve"> mice</w:t>
      </w:r>
      <w:r w:rsidR="00DC18DF" w:rsidRPr="00BB5D06">
        <w:t xml:space="preserve"> on C57BL/6 genetic background</w:t>
      </w:r>
      <w:r w:rsidRPr="00BB5D06">
        <w:t xml:space="preserve"> (open squares </w:t>
      </w:r>
      <w:r w:rsidRPr="00BB5D06">
        <w:sym w:font="Wingdings 2" w:char="F0A3"/>
      </w:r>
      <w:r w:rsidRPr="00BB5D06">
        <w:t>) at the age of 8 weeks, measured with the bathophenanthroline-based colorimetric assay.</w:t>
      </w:r>
    </w:p>
    <w:p w14:paraId="5BF98827" w14:textId="77777777" w:rsidR="00EB354D" w:rsidRPr="00ED59A2" w:rsidRDefault="00EB354D" w:rsidP="00911276"/>
    <w:p w14:paraId="45DEBA3D" w14:textId="663BBE59" w:rsidR="00EB354D" w:rsidRPr="00ED59A2" w:rsidRDefault="00EB354D" w:rsidP="00911276">
      <w:r w:rsidRPr="00ED59A2">
        <w:rPr>
          <w:b/>
          <w:bCs/>
        </w:rPr>
        <w:t>Figure 3</w:t>
      </w:r>
      <w:r w:rsidR="005B51AC" w:rsidRPr="00ED59A2">
        <w:t>:</w:t>
      </w:r>
      <w:r w:rsidRPr="00ED59A2">
        <w:t xml:space="preserve"> </w:t>
      </w:r>
      <w:r w:rsidR="00E9069D" w:rsidRPr="00BB5D06">
        <w:rPr>
          <w:b/>
          <w:bCs/>
        </w:rPr>
        <w:t>Hepatic n</w:t>
      </w:r>
      <w:r w:rsidRPr="00BB5D06">
        <w:rPr>
          <w:b/>
          <w:bCs/>
        </w:rPr>
        <w:t xml:space="preserve">on-heme iron levels in </w:t>
      </w:r>
      <w:r w:rsidR="00664863" w:rsidRPr="00BB5D06">
        <w:rPr>
          <w:b/>
          <w:bCs/>
        </w:rPr>
        <w:t xml:space="preserve">juvenile female </w:t>
      </w:r>
      <w:r w:rsidRPr="00BB5D06">
        <w:rPr>
          <w:b/>
          <w:bCs/>
        </w:rPr>
        <w:t>European sea bass following experimental iron modulation.</w:t>
      </w:r>
      <w:r w:rsidRPr="00ED59A2">
        <w:t xml:space="preserve"> Iron overload was achieved by intraperitoneal administration of 2 mg of iron dextran, whereas anemia was induced by the withdrawal of 2% v/w of blood from the caudal vessels. Livers were collected at 4 days after iron treatment or blood collection. Control animals were healthy, untreated sea bass. Non-heme iron levels were measured with the bathophenanthroline-based colorimetric assay.</w:t>
      </w:r>
    </w:p>
    <w:p w14:paraId="496B6517" w14:textId="77777777" w:rsidR="00EB354D" w:rsidRPr="00ED59A2" w:rsidRDefault="00EB354D" w:rsidP="00911276">
      <w:pPr>
        <w:pStyle w:val="ListParagraph"/>
        <w:ind w:left="0"/>
      </w:pPr>
    </w:p>
    <w:p w14:paraId="5AF8DE08" w14:textId="71A0DB14" w:rsidR="00EB354D" w:rsidRPr="00ED59A2" w:rsidRDefault="00EB354D" w:rsidP="00911276">
      <w:pPr>
        <w:pStyle w:val="ListParagraph"/>
        <w:ind w:left="0"/>
      </w:pPr>
      <w:r w:rsidRPr="00ED59A2">
        <w:rPr>
          <w:b/>
          <w:bCs/>
        </w:rPr>
        <w:t>Figure 4</w:t>
      </w:r>
      <w:r w:rsidR="005B51AC" w:rsidRPr="00ED59A2">
        <w:t>:</w:t>
      </w:r>
      <w:r w:rsidR="00871338" w:rsidRPr="00ED59A2">
        <w:t xml:space="preserve"> </w:t>
      </w:r>
      <w:r w:rsidRPr="00BB5D06">
        <w:rPr>
          <w:b/>
          <w:bCs/>
        </w:rPr>
        <w:t xml:space="preserve">Non-heme iron levels in </w:t>
      </w:r>
      <w:r w:rsidR="004C4E68" w:rsidRPr="00BB5D06">
        <w:rPr>
          <w:b/>
          <w:bCs/>
        </w:rPr>
        <w:t>1-month old</w:t>
      </w:r>
      <w:r w:rsidRPr="00BB5D06">
        <w:rPr>
          <w:b/>
          <w:bCs/>
        </w:rPr>
        <w:t xml:space="preserve"> </w:t>
      </w:r>
      <w:r w:rsidR="005E7BE5" w:rsidRPr="00BB5D06">
        <w:rPr>
          <w:b/>
          <w:bCs/>
          <w:i/>
        </w:rPr>
        <w:t>D</w:t>
      </w:r>
      <w:r w:rsidRPr="00BB5D06">
        <w:rPr>
          <w:b/>
          <w:bCs/>
          <w:i/>
        </w:rPr>
        <w:t>rosophila</w:t>
      </w:r>
      <w:r w:rsidRPr="00BB5D06">
        <w:rPr>
          <w:b/>
          <w:bCs/>
        </w:rPr>
        <w:t>, measured with the bathophenanthroline-based colorimetric assay.</w:t>
      </w:r>
      <w:r w:rsidRPr="00ED59A2">
        <w:t xml:space="preserve"> Results show (</w:t>
      </w:r>
      <w:r w:rsidRPr="00ED59A2">
        <w:rPr>
          <w:b/>
          <w:bCs/>
        </w:rPr>
        <w:t>A</w:t>
      </w:r>
      <w:r w:rsidRPr="00ED59A2">
        <w:t>) the non-heme iron content in each pool of 20 flies or (</w:t>
      </w:r>
      <w:r w:rsidRPr="00ED59A2">
        <w:rPr>
          <w:b/>
          <w:bCs/>
        </w:rPr>
        <w:t>B</w:t>
      </w:r>
      <w:r w:rsidRPr="00ED59A2">
        <w:t xml:space="preserve">) the estimated iron content of each individual </w:t>
      </w:r>
      <w:r w:rsidR="005E7BE5" w:rsidRPr="00ED59A2">
        <w:t>fly</w:t>
      </w:r>
      <w:r w:rsidRPr="00ED59A2">
        <w:t>, considering an average weight of 0.64 mg/fly.</w:t>
      </w:r>
    </w:p>
    <w:p w14:paraId="32EAFD7D" w14:textId="77777777" w:rsidR="006E4797" w:rsidRPr="00ED59A2" w:rsidRDefault="006E4797" w:rsidP="00911276"/>
    <w:p w14:paraId="7C0B6465" w14:textId="434F3D7B" w:rsidR="006E4797" w:rsidRPr="00ED59A2" w:rsidRDefault="00EB354D" w:rsidP="00911276">
      <w:pPr>
        <w:rPr>
          <w:b/>
        </w:rPr>
      </w:pPr>
      <w:r w:rsidRPr="00ED59A2">
        <w:rPr>
          <w:b/>
        </w:rPr>
        <w:t>DISCUSSION:</w:t>
      </w:r>
    </w:p>
    <w:p w14:paraId="3270A0FA" w14:textId="20A9F3A5" w:rsidR="00747CE1" w:rsidRPr="00ED59A2" w:rsidRDefault="00AA270B" w:rsidP="00911276">
      <w:r w:rsidRPr="00ED59A2">
        <w:t>A</w:t>
      </w:r>
      <w:r w:rsidR="00F825AC" w:rsidRPr="00ED59A2">
        <w:t xml:space="preserve"> protocol for the measurement of the non-heme iron content in animal tissues </w:t>
      </w:r>
      <w:r w:rsidRPr="00ED59A2">
        <w:t xml:space="preserve">is provided, </w:t>
      </w:r>
      <w:r w:rsidR="00F825AC" w:rsidRPr="00ED59A2">
        <w:t>using an adaptation of the bathophenanthroline-based colorimetric assay originally described by Torrance and Bothwell</w:t>
      </w:r>
      <w:r w:rsidR="005B0C4F" w:rsidRPr="00ED59A2">
        <w:rPr>
          <w:vertAlign w:val="superscript"/>
        </w:rPr>
        <w:t>5</w:t>
      </w:r>
      <w:r w:rsidR="00DF2A5C">
        <w:rPr>
          <w:vertAlign w:val="superscript"/>
        </w:rPr>
        <w:t>–</w:t>
      </w:r>
      <w:r w:rsidR="005B0C4F" w:rsidRPr="00ED59A2">
        <w:rPr>
          <w:vertAlign w:val="superscript"/>
        </w:rPr>
        <w:t>6</w:t>
      </w:r>
      <w:r w:rsidR="00F825AC" w:rsidRPr="00ED59A2">
        <w:t xml:space="preserve">. </w:t>
      </w:r>
      <w:r w:rsidR="008749BF" w:rsidRPr="00ED59A2">
        <w:t>The critical</w:t>
      </w:r>
      <w:r w:rsidR="00747CE1" w:rsidRPr="00ED59A2">
        <w:t xml:space="preserve"> </w:t>
      </w:r>
      <w:r w:rsidR="008749BF" w:rsidRPr="00ED59A2">
        <w:t xml:space="preserve">steps of the method </w:t>
      </w:r>
      <w:r w:rsidR="00BB5D06" w:rsidRPr="00ED59A2">
        <w:t>are</w:t>
      </w:r>
      <w:r w:rsidR="008749BF" w:rsidRPr="00ED59A2">
        <w:t xml:space="preserve"> tissue sample drying; </w:t>
      </w:r>
      <w:r w:rsidR="000E4499" w:rsidRPr="00ED59A2">
        <w:t xml:space="preserve">protein </w:t>
      </w:r>
      <w:r w:rsidR="002840AA" w:rsidRPr="00ED59A2">
        <w:t xml:space="preserve">denaturation </w:t>
      </w:r>
      <w:r w:rsidR="000E4499" w:rsidRPr="00ED59A2">
        <w:t xml:space="preserve">and </w:t>
      </w:r>
      <w:r w:rsidR="008749BF" w:rsidRPr="00ED59A2">
        <w:t>release of inorganic iron by acid hydrolysis; reduction of ferric (Fe</w:t>
      </w:r>
      <w:r w:rsidR="008749BF" w:rsidRPr="00ED59A2">
        <w:rPr>
          <w:vertAlign w:val="superscript"/>
        </w:rPr>
        <w:t>3+</w:t>
      </w:r>
      <w:r w:rsidR="008749BF" w:rsidRPr="00ED59A2">
        <w:t>) iron to the ferrous state (Fe</w:t>
      </w:r>
      <w:r w:rsidR="008749BF" w:rsidRPr="00ED59A2">
        <w:rPr>
          <w:vertAlign w:val="superscript"/>
        </w:rPr>
        <w:t>2+</w:t>
      </w:r>
      <w:r w:rsidR="008749BF" w:rsidRPr="00ED59A2">
        <w:t xml:space="preserve">) </w:t>
      </w:r>
      <w:r w:rsidR="005418DB" w:rsidRPr="00ED59A2">
        <w:t xml:space="preserve">in the presence of the reducing agent thioglycolic acid, </w:t>
      </w:r>
      <w:r w:rsidR="008749BF" w:rsidRPr="00ED59A2">
        <w:t>and its reaction with a bathophenanthroline reagent (chromogen reaction); absorbance reading of the resulting ferrous ion/bathophenanthroline pink complex; and calculation of tissue iron content.</w:t>
      </w:r>
    </w:p>
    <w:p w14:paraId="340B38F1" w14:textId="77777777" w:rsidR="005B51AC" w:rsidRPr="00ED59A2" w:rsidRDefault="005B51AC" w:rsidP="00911276"/>
    <w:p w14:paraId="5DC2DCBA" w14:textId="007DC356" w:rsidR="00AF5DD5" w:rsidRPr="00ED59A2" w:rsidRDefault="0018233B" w:rsidP="00911276">
      <w:r w:rsidRPr="00ED59A2">
        <w:t>The present work</w:t>
      </w:r>
      <w:r w:rsidR="00747CE1" w:rsidRPr="00ED59A2">
        <w:t xml:space="preserve"> </w:t>
      </w:r>
      <w:r w:rsidR="00F825AC" w:rsidRPr="00ED59A2">
        <w:t>show</w:t>
      </w:r>
      <w:r w:rsidRPr="00ED59A2">
        <w:t>s</w:t>
      </w:r>
      <w:r w:rsidR="00F825AC" w:rsidRPr="00ED59A2">
        <w:t xml:space="preserve"> how the original cuvette-based protocol </w:t>
      </w:r>
      <w:r w:rsidR="004D2E65" w:rsidRPr="00ED59A2">
        <w:t xml:space="preserve">can be adapted </w:t>
      </w:r>
      <w:r w:rsidR="00F825AC" w:rsidRPr="00ED59A2">
        <w:t>to a 96-well-based format for higher throughput</w:t>
      </w:r>
      <w:r w:rsidR="004D2E65" w:rsidRPr="00ED59A2">
        <w:t>, without compromising the assay sensitivity</w:t>
      </w:r>
      <w:r w:rsidR="00F825AC" w:rsidRPr="00ED59A2">
        <w:t>. Notably, this adaptation allows for considerable time saving since</w:t>
      </w:r>
      <w:r w:rsidR="004D2E65" w:rsidRPr="00ED59A2">
        <w:t>: 1)</w:t>
      </w:r>
      <w:r w:rsidR="00F825AC" w:rsidRPr="00ED59A2">
        <w:t xml:space="preserve"> a greater number of chromogen reactions can be prepared simultaneously in 96-well plates with the use of multichannel pipettes</w:t>
      </w:r>
      <w:r w:rsidR="004D2E65" w:rsidRPr="00ED59A2">
        <w:t>; and 2) a</w:t>
      </w:r>
      <w:r w:rsidR="00F825AC" w:rsidRPr="00ED59A2">
        <w:t xml:space="preserve">bsorbance readings are </w:t>
      </w:r>
      <w:r w:rsidR="002778FF" w:rsidRPr="00ED59A2">
        <w:t>dramatically</w:t>
      </w:r>
      <w:r w:rsidR="00F825AC" w:rsidRPr="00ED59A2">
        <w:t xml:space="preserve"> faster in a plate reader than when using a spectrophotometer. Another important advantage of the microplate-based assay is the adjustment of the chromogen reaction volumes, which </w:t>
      </w:r>
      <w:r w:rsidR="004D2E65" w:rsidRPr="00ED59A2">
        <w:t xml:space="preserve">substantially </w:t>
      </w:r>
      <w:r w:rsidR="00F825AC" w:rsidRPr="00ED59A2">
        <w:t xml:space="preserve">reduces the costs with reagents (in particular </w:t>
      </w:r>
      <w:r w:rsidR="00FF7A5F" w:rsidRPr="00ED59A2">
        <w:t xml:space="preserve">with the </w:t>
      </w:r>
      <w:r w:rsidR="00F825AC" w:rsidRPr="00ED59A2">
        <w:t>bathophenanthroline</w:t>
      </w:r>
      <w:r w:rsidR="00FF7A5F" w:rsidRPr="00ED59A2">
        <w:t xml:space="preserve"> reagent</w:t>
      </w:r>
      <w:r w:rsidR="00F825AC" w:rsidRPr="00ED59A2">
        <w:t>).</w:t>
      </w:r>
      <w:r w:rsidR="00390715" w:rsidRPr="00ED59A2">
        <w:t xml:space="preserve"> </w:t>
      </w:r>
      <w:r w:rsidR="0087107C" w:rsidRPr="00ED59A2">
        <w:t xml:space="preserve">The whole protocol may be completed in 4 days. </w:t>
      </w:r>
      <w:r w:rsidR="00AE7F31" w:rsidRPr="00ED59A2">
        <w:t>S</w:t>
      </w:r>
      <w:r w:rsidR="0087107C" w:rsidRPr="00ED59A2">
        <w:t>ample drying (which may take up to 48</w:t>
      </w:r>
      <w:r w:rsidR="00871338" w:rsidRPr="00ED59A2">
        <w:t xml:space="preserve"> </w:t>
      </w:r>
      <w:r w:rsidR="0087107C" w:rsidRPr="00ED59A2">
        <w:t>h when performed in an oven at 65 °C) and acidic digestion (which is conveniently performed overnight for 20</w:t>
      </w:r>
      <w:r w:rsidR="00871338" w:rsidRPr="00ED59A2">
        <w:t xml:space="preserve"> </w:t>
      </w:r>
      <w:r w:rsidR="0087107C" w:rsidRPr="00ED59A2">
        <w:t>h)</w:t>
      </w:r>
      <w:r w:rsidR="00AE7F31" w:rsidRPr="00ED59A2">
        <w:t xml:space="preserve"> are the two most time-consuming steps. </w:t>
      </w:r>
      <w:r w:rsidRPr="00ED59A2">
        <w:t>S</w:t>
      </w:r>
      <w:r w:rsidR="0087107C" w:rsidRPr="00ED59A2">
        <w:t>ample drying</w:t>
      </w:r>
      <w:r w:rsidRPr="00ED59A2">
        <w:t xml:space="preserve"> can be accelerated</w:t>
      </w:r>
      <w:r w:rsidR="0087107C" w:rsidRPr="00ED59A2">
        <w:t xml:space="preserve"> </w:t>
      </w:r>
      <w:r w:rsidRPr="00ED59A2">
        <w:t xml:space="preserve">using </w:t>
      </w:r>
      <w:r w:rsidR="0087107C" w:rsidRPr="00ED59A2">
        <w:t xml:space="preserve">a microwave digestion oven designed for laboratory use in digesting, dissolving, hydrolyzing, or drying a wide range of materials. </w:t>
      </w:r>
      <w:r w:rsidR="00AE7F31" w:rsidRPr="00ED59A2">
        <w:t xml:space="preserve">Since it is possible to dry most tissue samples </w:t>
      </w:r>
      <w:r w:rsidR="0087107C" w:rsidRPr="00ED59A2">
        <w:t xml:space="preserve">in less than 2.5 h, </w:t>
      </w:r>
      <w:r w:rsidR="00AE7F31" w:rsidRPr="00ED59A2">
        <w:t>one can</w:t>
      </w:r>
      <w:r w:rsidR="0087107C" w:rsidRPr="00ED59A2">
        <w:t xml:space="preserve"> perform the whole protocol in just 2 days.</w:t>
      </w:r>
      <w:r w:rsidR="002778FF" w:rsidRPr="00ED59A2">
        <w:t xml:space="preserve"> However,</w:t>
      </w:r>
      <w:r w:rsidR="00AE7F31" w:rsidRPr="00ED59A2">
        <w:t xml:space="preserve"> because the capacity of a microwave is limited to the number of </w:t>
      </w:r>
      <w:proofErr w:type="spellStart"/>
      <w:r w:rsidR="005B0C4F" w:rsidRPr="00ED59A2">
        <w:t>t</w:t>
      </w:r>
      <w:r w:rsidR="00AE7F31" w:rsidRPr="00ED59A2">
        <w:t>eflon</w:t>
      </w:r>
      <w:proofErr w:type="spellEnd"/>
      <w:r w:rsidR="00AE7F31" w:rsidRPr="00ED59A2">
        <w:t xml:space="preserve"> cups that it can fit, and because the cups need washing and decontamination after each use, users may find it more convenient to dry samples </w:t>
      </w:r>
      <w:r w:rsidR="00FE3BDC" w:rsidRPr="00ED59A2">
        <w:t xml:space="preserve">in 24-well plates </w:t>
      </w:r>
      <w:r w:rsidR="00AE7F31" w:rsidRPr="00ED59A2">
        <w:t xml:space="preserve">at 65 °C </w:t>
      </w:r>
      <w:r w:rsidR="002778FF" w:rsidRPr="00ED59A2">
        <w:t>when handling a high number of samples</w:t>
      </w:r>
      <w:r w:rsidR="00AE7F31" w:rsidRPr="00ED59A2">
        <w:t>.</w:t>
      </w:r>
      <w:r w:rsidR="002778FF" w:rsidRPr="00ED59A2">
        <w:t xml:space="preserve"> </w:t>
      </w:r>
      <w:r w:rsidR="00AF5DD5" w:rsidRPr="00ED59A2">
        <w:t xml:space="preserve">The time required to dry the tissues may still be reduced by using temperatures above 65 °C; however, plastic material must be avoided due to the risk of </w:t>
      </w:r>
      <w:r w:rsidR="00AF5DD5" w:rsidRPr="00ED59A2">
        <w:lastRenderedPageBreak/>
        <w:t>melting.</w:t>
      </w:r>
    </w:p>
    <w:p w14:paraId="44CD9CC5" w14:textId="77777777" w:rsidR="005B51AC" w:rsidRPr="00ED59A2" w:rsidRDefault="005B51AC" w:rsidP="00911276"/>
    <w:p w14:paraId="2CF68155" w14:textId="32F4BC5C" w:rsidR="00565C82" w:rsidRPr="00ED59A2" w:rsidRDefault="00565C82" w:rsidP="00911276">
      <w:r w:rsidRPr="00ED59A2">
        <w:t>Previously, Grundy et al.</w:t>
      </w:r>
      <w:r w:rsidR="00DC18DF" w:rsidRPr="00ED59A2">
        <w:rPr>
          <w:vertAlign w:val="superscript"/>
        </w:rPr>
        <w:t>11</w:t>
      </w:r>
      <w:r w:rsidR="00DC18DF" w:rsidRPr="00ED59A2">
        <w:t xml:space="preserve"> </w:t>
      </w:r>
      <w:r w:rsidR="00CC5369" w:rsidRPr="00ED59A2">
        <w:t>ha</w:t>
      </w:r>
      <w:r w:rsidR="00CC5369">
        <w:t>d</w:t>
      </w:r>
      <w:r w:rsidR="00CC5369" w:rsidRPr="00ED59A2">
        <w:t xml:space="preserve"> </w:t>
      </w:r>
      <w:r w:rsidRPr="00ED59A2">
        <w:t xml:space="preserve">developed an adaptation of the method in which the entire assay </w:t>
      </w:r>
      <w:r w:rsidR="00DB0F04" w:rsidRPr="00ED59A2">
        <w:t>is</w:t>
      </w:r>
      <w:r w:rsidRPr="00ED59A2">
        <w:t xml:space="preserve"> carried out in 96-well </w:t>
      </w:r>
      <w:r w:rsidR="00DB0F04" w:rsidRPr="00ED59A2">
        <w:t>plates, without including a sample drying step.</w:t>
      </w:r>
      <w:r w:rsidR="00FA711D" w:rsidRPr="00ED59A2">
        <w:t xml:space="preserve"> </w:t>
      </w:r>
      <w:r w:rsidR="002578FD" w:rsidRPr="00ED59A2">
        <w:t xml:space="preserve">However, the measurement of metals in tissues using wet weight instead of dry weight is significantly affected by the variable amount of weight loss through air-drying both in fresh and in frozen tissue </w:t>
      </w:r>
      <w:r w:rsidR="00DC18DF" w:rsidRPr="00ED59A2">
        <w:t>samples</w:t>
      </w:r>
      <w:r w:rsidR="00DC18DF" w:rsidRPr="00ED59A2">
        <w:rPr>
          <w:vertAlign w:val="superscript"/>
        </w:rPr>
        <w:t>12</w:t>
      </w:r>
      <w:r w:rsidR="002578FD" w:rsidRPr="00ED59A2">
        <w:t xml:space="preserve">. </w:t>
      </w:r>
      <w:r w:rsidR="00197F40" w:rsidRPr="00ED59A2">
        <w:t>Therefore,</w:t>
      </w:r>
      <w:r w:rsidR="0018233B" w:rsidRPr="00ED59A2">
        <w:t xml:space="preserve"> </w:t>
      </w:r>
      <w:r w:rsidR="00871338" w:rsidRPr="00ED59A2">
        <w:t>it is</w:t>
      </w:r>
      <w:r w:rsidR="0018233B" w:rsidRPr="00ED59A2">
        <w:t xml:space="preserve"> recommend</w:t>
      </w:r>
      <w:r w:rsidR="00871338" w:rsidRPr="00ED59A2">
        <w:t>ed</w:t>
      </w:r>
      <w:r w:rsidR="00AA270B" w:rsidRPr="00ED59A2">
        <w:t xml:space="preserve"> </w:t>
      </w:r>
      <w:r w:rsidR="002578FD" w:rsidRPr="00ED59A2">
        <w:t>to normalize the iron content against tissue dry weight.</w:t>
      </w:r>
      <w:r w:rsidR="004113A1" w:rsidRPr="00ED59A2">
        <w:t xml:space="preserve"> </w:t>
      </w:r>
      <w:r w:rsidR="00AF5DD5" w:rsidRPr="00ED59A2">
        <w:t>If tissue</w:t>
      </w:r>
      <w:r w:rsidR="004113A1" w:rsidRPr="00ED59A2">
        <w:t xml:space="preserve"> drying is not a viable option (e.g.</w:t>
      </w:r>
      <w:r w:rsidR="00CC5369">
        <w:t>,</w:t>
      </w:r>
      <w:r w:rsidR="004113A1" w:rsidRPr="00ED59A2">
        <w:t xml:space="preserve"> adipose tissue), it is suggested that the assay is performed promptly upon sample collection, </w:t>
      </w:r>
      <w:r w:rsidR="005C17C7" w:rsidRPr="00ED59A2">
        <w:t>so that accurate determination of the fresh weight is not significantly affected by</w:t>
      </w:r>
      <w:r w:rsidR="004113A1" w:rsidRPr="00ED59A2">
        <w:t xml:space="preserve"> storage artifacts.</w:t>
      </w:r>
    </w:p>
    <w:p w14:paraId="0DA5C906" w14:textId="77777777" w:rsidR="005B51AC" w:rsidRPr="00ED59A2" w:rsidRDefault="005B51AC" w:rsidP="00911276"/>
    <w:p w14:paraId="464FE112" w14:textId="71EAF0D5" w:rsidR="00747CE1" w:rsidRPr="00ED59A2" w:rsidRDefault="00AF5DD5" w:rsidP="00911276">
      <w:r w:rsidRPr="00ED59A2">
        <w:t xml:space="preserve">The </w:t>
      </w:r>
      <w:r w:rsidR="005418DB" w:rsidRPr="00ED59A2">
        <w:t>composition of the acid solution was also addressed. A</w:t>
      </w:r>
      <w:r w:rsidR="00747CE1" w:rsidRPr="00ED59A2">
        <w:t>ccording to the original protocol</w:t>
      </w:r>
      <w:r w:rsidR="005418DB" w:rsidRPr="00ED59A2">
        <w:rPr>
          <w:vertAlign w:val="superscript"/>
        </w:rPr>
        <w:t>5</w:t>
      </w:r>
      <w:r w:rsidR="00CC5369">
        <w:rPr>
          <w:vertAlign w:val="superscript"/>
        </w:rPr>
        <w:t>–</w:t>
      </w:r>
      <w:r w:rsidR="005418DB" w:rsidRPr="00ED59A2">
        <w:rPr>
          <w:vertAlign w:val="superscript"/>
        </w:rPr>
        <w:t>6</w:t>
      </w:r>
      <w:r w:rsidR="00747CE1" w:rsidRPr="00ED59A2">
        <w:t>, tissues are digested with an acid mixture consisting of hydrochloric acid and trichloroacetic acid. However, the present work demonstrates that 37% hydrochloric acid alone is equally efficient</w:t>
      </w:r>
      <w:r w:rsidR="005418DB" w:rsidRPr="00ED59A2">
        <w:t>, at least for digesting liver and spleen samples</w:t>
      </w:r>
      <w:r w:rsidR="00747CE1" w:rsidRPr="00ED59A2">
        <w:t>.</w:t>
      </w:r>
    </w:p>
    <w:p w14:paraId="1151A448" w14:textId="77777777" w:rsidR="005B51AC" w:rsidRPr="00ED59A2" w:rsidRDefault="005B51AC" w:rsidP="00911276"/>
    <w:p w14:paraId="3E10CF2D" w14:textId="5D260C4B" w:rsidR="00747CE1" w:rsidRPr="00ED59A2" w:rsidRDefault="00747CE1" w:rsidP="00911276">
      <w:r w:rsidRPr="00ED59A2">
        <w:t xml:space="preserve">The stock iron standard solution is prepared using carbonyl iron powder, which is an inexpensive and highly pure iron powder. </w:t>
      </w:r>
      <w:r w:rsidR="008030D6" w:rsidRPr="00ED59A2">
        <w:t xml:space="preserve">Following the approach described herein, </w:t>
      </w:r>
      <w:r w:rsidR="005418DB" w:rsidRPr="00ED59A2">
        <w:t>a stock iron standard solution containing</w:t>
      </w:r>
      <w:r w:rsidRPr="00ED59A2">
        <w:t xml:space="preserve"> 1.1169 mg </w:t>
      </w:r>
      <w:r w:rsidR="00CC5369">
        <w:t xml:space="preserve">of </w:t>
      </w:r>
      <w:r w:rsidRPr="00ED59A2">
        <w:t>Fe/mL (20 mM)</w:t>
      </w:r>
      <w:r w:rsidR="00871338" w:rsidRPr="00ED59A2">
        <w:t xml:space="preserve"> was prepared</w:t>
      </w:r>
      <w:r w:rsidRPr="00ED59A2">
        <w:t xml:space="preserve">, as </w:t>
      </w:r>
      <w:r w:rsidR="005418DB" w:rsidRPr="00ED59A2">
        <w:t xml:space="preserve">subsequently </w:t>
      </w:r>
      <w:r w:rsidRPr="00ED59A2">
        <w:t xml:space="preserve">determined by AAS. </w:t>
      </w:r>
      <w:r w:rsidR="005418DB" w:rsidRPr="00ED59A2">
        <w:t>O</w:t>
      </w:r>
      <w:r w:rsidRPr="00ED59A2">
        <w:t>ther sources of iron (e.g.</w:t>
      </w:r>
      <w:r w:rsidR="00CC5369">
        <w:t>,</w:t>
      </w:r>
      <w:r w:rsidRPr="00ED59A2">
        <w:t xml:space="preserve"> iron sulfate, iron nitrilotriacetate) or commercial standard solutions can be used to generate the stock iron standard solution, provided that the actual iron concentration is </w:t>
      </w:r>
      <w:r w:rsidR="00BB5D06" w:rsidRPr="00ED59A2">
        <w:t>determined,</w:t>
      </w:r>
      <w:r w:rsidRPr="00ED59A2">
        <w:t xml:space="preserve"> and assay linearity is confirmed by performing a standard curve.</w:t>
      </w:r>
    </w:p>
    <w:p w14:paraId="0D04DC13" w14:textId="77777777" w:rsidR="005B51AC" w:rsidRPr="00ED59A2" w:rsidRDefault="005B51AC" w:rsidP="00911276"/>
    <w:p w14:paraId="0040E018" w14:textId="31F487A7" w:rsidR="0010684B" w:rsidRPr="00ED59A2" w:rsidRDefault="00E65DF4" w:rsidP="00911276">
      <w:r w:rsidRPr="00ED59A2">
        <w:t>Using the current method, the</w:t>
      </w:r>
      <w:r w:rsidR="00185EC7" w:rsidRPr="00ED59A2">
        <w:t xml:space="preserve"> non-heme</w:t>
      </w:r>
      <w:r w:rsidRPr="00ED59A2">
        <w:t xml:space="preserve"> iron content of a </w:t>
      </w:r>
      <w:r w:rsidR="00185EC7" w:rsidRPr="00ED59A2">
        <w:t xml:space="preserve">variety </w:t>
      </w:r>
      <w:r w:rsidRPr="00ED59A2">
        <w:t>of animal tissues</w:t>
      </w:r>
      <w:r w:rsidR="00AA270B" w:rsidRPr="00ED59A2">
        <w:t xml:space="preserve"> was successfully measured</w:t>
      </w:r>
      <w:r w:rsidR="00185EC7" w:rsidRPr="00ED59A2">
        <w:t xml:space="preserve">. </w:t>
      </w:r>
      <w:r w:rsidR="00AA270B" w:rsidRPr="00ED59A2">
        <w:t>R</w:t>
      </w:r>
      <w:r w:rsidR="00185EC7" w:rsidRPr="00ED59A2">
        <w:t xml:space="preserve">epresentative results obtained with </w:t>
      </w:r>
      <w:r w:rsidR="006B17F5" w:rsidRPr="00ED59A2">
        <w:t xml:space="preserve">rodent </w:t>
      </w:r>
      <w:r w:rsidR="00185EC7" w:rsidRPr="00ED59A2">
        <w:t>tissues (</w:t>
      </w:r>
      <w:r w:rsidR="006B17F5" w:rsidRPr="00ED59A2">
        <w:t>liver, spleen, heart, and pancreas</w:t>
      </w:r>
      <w:r w:rsidR="00185EC7" w:rsidRPr="00ED59A2">
        <w:t>),</w:t>
      </w:r>
      <w:r w:rsidR="0077713A" w:rsidRPr="00ED59A2">
        <w:t xml:space="preserve"> sea bass liver</w:t>
      </w:r>
      <w:r w:rsidR="00185EC7" w:rsidRPr="00ED59A2">
        <w:t>,</w:t>
      </w:r>
      <w:r w:rsidR="0077713A" w:rsidRPr="00ED59A2">
        <w:t xml:space="preserve"> and whole drosophila</w:t>
      </w:r>
      <w:r w:rsidR="00AA270B" w:rsidRPr="00ED59A2">
        <w:t xml:space="preserve"> are included</w:t>
      </w:r>
      <w:r w:rsidR="0077713A" w:rsidRPr="00ED59A2">
        <w:t>.</w:t>
      </w:r>
      <w:r w:rsidR="00FF7A5F" w:rsidRPr="00ED59A2">
        <w:t xml:space="preserve"> </w:t>
      </w:r>
      <w:r w:rsidR="004D2E65" w:rsidRPr="00ED59A2">
        <w:t>The method does not require sophisticated analytical tools or expensive infrastructure, and can thus be easily implemented in most laboratories.</w:t>
      </w:r>
      <w:r w:rsidR="000E4499" w:rsidRPr="00ED59A2">
        <w:t xml:space="preserve"> </w:t>
      </w:r>
      <w:r w:rsidR="000C6718" w:rsidRPr="00ED59A2">
        <w:t>In summary, t</w:t>
      </w:r>
      <w:r w:rsidR="00FF7A5F" w:rsidRPr="00ED59A2">
        <w:t>he method described herein can be widely applied in stud</w:t>
      </w:r>
      <w:r w:rsidR="000C6718" w:rsidRPr="00ED59A2">
        <w:t>ies</w:t>
      </w:r>
      <w:r w:rsidR="00FF7A5F" w:rsidRPr="00ED59A2">
        <w:t xml:space="preserve"> of iron homeostasis and iron-related disorders</w:t>
      </w:r>
      <w:r w:rsidR="000C6718" w:rsidRPr="00ED59A2">
        <w:t xml:space="preserve"> employing experimental animal models of iron overload or deficiency.</w:t>
      </w:r>
    </w:p>
    <w:p w14:paraId="0BEB38EC" w14:textId="77777777" w:rsidR="006E4797" w:rsidRPr="00ED59A2" w:rsidRDefault="006E4797" w:rsidP="00911276"/>
    <w:p w14:paraId="719F9730" w14:textId="3D9727D4" w:rsidR="005E3CE5" w:rsidRPr="00ED59A2" w:rsidRDefault="00EB354D" w:rsidP="00911276">
      <w:r w:rsidRPr="00ED59A2">
        <w:rPr>
          <w:b/>
        </w:rPr>
        <w:t>ACKNOWLEDGMENTS:</w:t>
      </w:r>
    </w:p>
    <w:p w14:paraId="1B941D61" w14:textId="51832C20" w:rsidR="00CF6591" w:rsidRPr="00ED59A2" w:rsidRDefault="00CF6591" w:rsidP="00911276">
      <w:r w:rsidRPr="00ED59A2">
        <w:t>This work was funded by National Funds through FCT—</w:t>
      </w:r>
      <w:proofErr w:type="spellStart"/>
      <w:r w:rsidRPr="00ED59A2">
        <w:t>Fundação</w:t>
      </w:r>
      <w:proofErr w:type="spellEnd"/>
      <w:r w:rsidRPr="00ED59A2">
        <w:t xml:space="preserve"> para a </w:t>
      </w:r>
      <w:proofErr w:type="spellStart"/>
      <w:r w:rsidRPr="00ED59A2">
        <w:t>Ciência</w:t>
      </w:r>
      <w:proofErr w:type="spellEnd"/>
      <w:r w:rsidRPr="00ED59A2">
        <w:t xml:space="preserve"> e a </w:t>
      </w:r>
      <w:proofErr w:type="spellStart"/>
      <w:r w:rsidRPr="00ED59A2">
        <w:t>Tecnologia</w:t>
      </w:r>
      <w:proofErr w:type="spellEnd"/>
      <w:r w:rsidRPr="00ED59A2">
        <w:t>, I.P., under the project UIDB/04293/2020</w:t>
      </w:r>
      <w:r w:rsidR="004D2E65" w:rsidRPr="00ED59A2">
        <w:t>.</w:t>
      </w:r>
    </w:p>
    <w:p w14:paraId="6D8F8E85" w14:textId="77777777" w:rsidR="00565C82" w:rsidRPr="00ED59A2" w:rsidRDefault="00565C82" w:rsidP="00911276">
      <w:pPr>
        <w:rPr>
          <w:b/>
        </w:rPr>
      </w:pPr>
    </w:p>
    <w:p w14:paraId="5991AA1E" w14:textId="42B3F367" w:rsidR="005E3CE5" w:rsidRPr="00ED59A2" w:rsidRDefault="005E3CE5" w:rsidP="00911276">
      <w:pPr>
        <w:pBdr>
          <w:top w:val="nil"/>
          <w:left w:val="nil"/>
          <w:bottom w:val="nil"/>
          <w:right w:val="nil"/>
          <w:between w:val="nil"/>
        </w:pBdr>
      </w:pPr>
      <w:r w:rsidRPr="00ED59A2">
        <w:rPr>
          <w:b/>
        </w:rPr>
        <w:t>DISCLOSURES:</w:t>
      </w:r>
    </w:p>
    <w:p w14:paraId="4A7B0E5C" w14:textId="2ED26E58" w:rsidR="006E4797" w:rsidRPr="00ED59A2" w:rsidRDefault="00E11122" w:rsidP="00911276">
      <w:r w:rsidRPr="00ED59A2">
        <w:t xml:space="preserve">The authors have </w:t>
      </w:r>
      <w:r w:rsidR="00871338" w:rsidRPr="00ED59A2">
        <w:t>no conflicts of interest</w:t>
      </w:r>
      <w:r w:rsidRPr="00ED59A2">
        <w:t>.</w:t>
      </w:r>
    </w:p>
    <w:p w14:paraId="6FAD2249" w14:textId="77777777" w:rsidR="00E11122" w:rsidRPr="00ED59A2" w:rsidRDefault="00E11122" w:rsidP="00911276"/>
    <w:p w14:paraId="6DE2B73C" w14:textId="6F8A88DC" w:rsidR="006E4797" w:rsidRPr="00ED59A2" w:rsidRDefault="00551D82" w:rsidP="00911276">
      <w:pPr>
        <w:rPr>
          <w:b/>
        </w:rPr>
      </w:pPr>
      <w:r w:rsidRPr="00ED59A2">
        <w:rPr>
          <w:b/>
        </w:rPr>
        <w:t>REFERENCES:</w:t>
      </w:r>
    </w:p>
    <w:p w14:paraId="06642BAF" w14:textId="6FE408B0" w:rsidR="005B0C4F" w:rsidRPr="00ED59A2" w:rsidRDefault="005B0C4F" w:rsidP="00911276">
      <w:r w:rsidRPr="00ED59A2">
        <w:t>1</w:t>
      </w:r>
      <w:r w:rsidR="00CC5369">
        <w:t>.</w:t>
      </w:r>
      <w:r w:rsidRPr="00ED59A2">
        <w:t xml:space="preserve"> Muckenthaler, M. U., </w:t>
      </w:r>
      <w:proofErr w:type="spellStart"/>
      <w:r w:rsidRPr="00ED59A2">
        <w:t>Rivella</w:t>
      </w:r>
      <w:proofErr w:type="spellEnd"/>
      <w:r w:rsidRPr="00ED59A2">
        <w:t xml:space="preserve">, S., Hentze, M. W., Galy, B. A red carpet for iron metabolism. </w:t>
      </w:r>
      <w:r w:rsidRPr="00ED59A2">
        <w:rPr>
          <w:i/>
        </w:rPr>
        <w:t>Cell</w:t>
      </w:r>
      <w:r w:rsidR="00CC5369" w:rsidRPr="00BB5D06">
        <w:rPr>
          <w:iCs/>
        </w:rPr>
        <w:t>.</w:t>
      </w:r>
      <w:r w:rsidRPr="00BB5D06">
        <w:rPr>
          <w:iCs/>
        </w:rPr>
        <w:t xml:space="preserve"> </w:t>
      </w:r>
      <w:r w:rsidRPr="00ED59A2">
        <w:rPr>
          <w:b/>
        </w:rPr>
        <w:t>168</w:t>
      </w:r>
      <w:r w:rsidRPr="00ED59A2">
        <w:t>, 344–361 (2017).</w:t>
      </w:r>
    </w:p>
    <w:p w14:paraId="303C0311" w14:textId="72BDAE09" w:rsidR="005B0C4F" w:rsidRPr="00ED59A2" w:rsidRDefault="005B0C4F" w:rsidP="00911276">
      <w:r w:rsidRPr="00ED59A2">
        <w:t>2</w:t>
      </w:r>
      <w:r w:rsidR="00CC5369">
        <w:t>.</w:t>
      </w:r>
      <w:r w:rsidRPr="00ED59A2">
        <w:t xml:space="preserve"> Pagani, A., Nai, A., Silvestri, L., </w:t>
      </w:r>
      <w:proofErr w:type="spellStart"/>
      <w:r w:rsidRPr="00ED59A2">
        <w:t>Camaschella</w:t>
      </w:r>
      <w:proofErr w:type="spellEnd"/>
      <w:r w:rsidRPr="00ED59A2">
        <w:t xml:space="preserve">, C. Hepcidin and </w:t>
      </w:r>
      <w:r w:rsidR="00CC5369">
        <w:t>a</w:t>
      </w:r>
      <w:r w:rsidR="00CC5369" w:rsidRPr="00ED59A2">
        <w:t>nemia</w:t>
      </w:r>
      <w:r w:rsidRPr="00ED59A2">
        <w:t xml:space="preserve">: A </w:t>
      </w:r>
      <w:r w:rsidR="00CC5369">
        <w:t>t</w:t>
      </w:r>
      <w:r w:rsidR="00CC5369" w:rsidRPr="00ED59A2">
        <w:t xml:space="preserve">ight </w:t>
      </w:r>
      <w:r w:rsidR="00CC5369">
        <w:t>r</w:t>
      </w:r>
      <w:r w:rsidR="00CC5369" w:rsidRPr="00ED59A2">
        <w:t>elationship</w:t>
      </w:r>
      <w:r w:rsidRPr="00ED59A2">
        <w:t>.</w:t>
      </w:r>
    </w:p>
    <w:p w14:paraId="094E5EE6" w14:textId="77777777" w:rsidR="005B0C4F" w:rsidRPr="00ED59A2" w:rsidRDefault="005B0C4F" w:rsidP="00911276">
      <w:r w:rsidRPr="00ED59A2">
        <w:rPr>
          <w:i/>
        </w:rPr>
        <w:t>Frontiers in Physiology</w:t>
      </w:r>
      <w:r w:rsidRPr="00ED59A2">
        <w:t xml:space="preserve">. </w:t>
      </w:r>
      <w:r w:rsidRPr="00ED59A2">
        <w:rPr>
          <w:b/>
        </w:rPr>
        <w:t>10</w:t>
      </w:r>
      <w:r w:rsidRPr="00ED59A2">
        <w:t>, 1294 (2019).</w:t>
      </w:r>
    </w:p>
    <w:p w14:paraId="20A7B774" w14:textId="71CA7744" w:rsidR="005B0C4F" w:rsidRPr="00ED59A2" w:rsidRDefault="005B0C4F" w:rsidP="00911276">
      <w:pPr>
        <w:rPr>
          <w:lang w:val="es-ES"/>
        </w:rPr>
      </w:pPr>
      <w:r w:rsidRPr="00ED59A2">
        <w:t>3</w:t>
      </w:r>
      <w:r w:rsidR="00CC5369">
        <w:t>.</w:t>
      </w:r>
      <w:r w:rsidRPr="00ED59A2">
        <w:t xml:space="preserve"> Weiss, G., Ganz, T., Goodnough, L. T. Anemia of inflammation. </w:t>
      </w:r>
      <w:proofErr w:type="spellStart"/>
      <w:r w:rsidRPr="00ED59A2">
        <w:rPr>
          <w:i/>
          <w:lang w:val="es-ES"/>
        </w:rPr>
        <w:t>Blood</w:t>
      </w:r>
      <w:proofErr w:type="spellEnd"/>
      <w:r w:rsidRPr="00ED59A2">
        <w:rPr>
          <w:lang w:val="es-ES"/>
        </w:rPr>
        <w:t xml:space="preserve">. </w:t>
      </w:r>
      <w:r w:rsidRPr="00ED59A2">
        <w:rPr>
          <w:b/>
          <w:lang w:val="es-ES"/>
        </w:rPr>
        <w:t>133</w:t>
      </w:r>
      <w:r w:rsidRPr="00ED59A2">
        <w:rPr>
          <w:lang w:val="es-ES"/>
        </w:rPr>
        <w:t xml:space="preserve"> (1), 40</w:t>
      </w:r>
      <w:r w:rsidR="00CC5369">
        <w:rPr>
          <w:lang w:val="es-ES"/>
        </w:rPr>
        <w:t>–</w:t>
      </w:r>
      <w:r w:rsidRPr="00ED59A2">
        <w:rPr>
          <w:lang w:val="es-ES"/>
        </w:rPr>
        <w:t>50 (2019).</w:t>
      </w:r>
    </w:p>
    <w:p w14:paraId="35CD5448" w14:textId="7F4E7066" w:rsidR="005B0C4F" w:rsidRPr="00ED59A2" w:rsidRDefault="005B0C4F" w:rsidP="00911276">
      <w:r w:rsidRPr="00ED59A2">
        <w:rPr>
          <w:lang w:val="es-ES"/>
        </w:rPr>
        <w:lastRenderedPageBreak/>
        <w:t>4</w:t>
      </w:r>
      <w:r w:rsidR="00CC5369">
        <w:rPr>
          <w:lang w:val="es-ES"/>
        </w:rPr>
        <w:t>.</w:t>
      </w:r>
      <w:r w:rsidRPr="00ED59A2">
        <w:rPr>
          <w:lang w:val="es-ES"/>
        </w:rPr>
        <w:t xml:space="preserve"> </w:t>
      </w:r>
      <w:proofErr w:type="spellStart"/>
      <w:r w:rsidRPr="00ED59A2">
        <w:rPr>
          <w:lang w:val="es-ES"/>
        </w:rPr>
        <w:t>Altamura</w:t>
      </w:r>
      <w:proofErr w:type="spellEnd"/>
      <w:r w:rsidRPr="00ED59A2">
        <w:rPr>
          <w:lang w:val="es-ES"/>
        </w:rPr>
        <w:t xml:space="preserve">, S. et al. </w:t>
      </w:r>
      <w:r w:rsidRPr="00ED59A2">
        <w:t xml:space="preserve">Regulation of iron homeostasis: Lessons from mouse models. </w:t>
      </w:r>
      <w:r w:rsidRPr="00ED59A2">
        <w:rPr>
          <w:i/>
        </w:rPr>
        <w:t>Molecular Aspects of Medicine</w:t>
      </w:r>
      <w:r w:rsidRPr="00ED59A2">
        <w:t xml:space="preserve">. </w:t>
      </w:r>
      <w:r w:rsidRPr="00ED59A2">
        <w:rPr>
          <w:b/>
        </w:rPr>
        <w:t>75</w:t>
      </w:r>
      <w:r w:rsidRPr="00ED59A2">
        <w:t>, 100872 (2020).</w:t>
      </w:r>
    </w:p>
    <w:p w14:paraId="65E70764" w14:textId="7F3AED44" w:rsidR="005B0C4F" w:rsidRPr="00ED59A2" w:rsidRDefault="005B0C4F" w:rsidP="00911276">
      <w:r w:rsidRPr="00ED59A2">
        <w:t>5</w:t>
      </w:r>
      <w:r w:rsidR="00CC5369">
        <w:t>.</w:t>
      </w:r>
      <w:r w:rsidRPr="00ED59A2">
        <w:t xml:space="preserve"> Torrance, J. D., Bothwell, T. H. A simple technique for measuring storage iron concentrations in </w:t>
      </w:r>
      <w:proofErr w:type="spellStart"/>
      <w:r w:rsidRPr="00ED59A2">
        <w:t>formalinised</w:t>
      </w:r>
      <w:proofErr w:type="spellEnd"/>
      <w:r w:rsidRPr="00ED59A2">
        <w:t xml:space="preserve"> liver samples. </w:t>
      </w:r>
      <w:r w:rsidRPr="00ED59A2">
        <w:rPr>
          <w:i/>
        </w:rPr>
        <w:t>South African Journal of Medical Sciences</w:t>
      </w:r>
      <w:r w:rsidRPr="00ED59A2">
        <w:t xml:space="preserve">. </w:t>
      </w:r>
      <w:r w:rsidRPr="00ED59A2">
        <w:rPr>
          <w:b/>
        </w:rPr>
        <w:t>33</w:t>
      </w:r>
      <w:r w:rsidRPr="00ED59A2">
        <w:t xml:space="preserve"> (1), 9</w:t>
      </w:r>
      <w:r w:rsidR="00CC5369">
        <w:t>–</w:t>
      </w:r>
      <w:r w:rsidRPr="00ED59A2">
        <w:t>11 (1968).</w:t>
      </w:r>
    </w:p>
    <w:p w14:paraId="4D66B48E" w14:textId="1B66AD23" w:rsidR="005B0C4F" w:rsidRPr="00ED59A2" w:rsidRDefault="005B0C4F" w:rsidP="00911276">
      <w:r w:rsidRPr="00ED59A2">
        <w:t>6</w:t>
      </w:r>
      <w:r w:rsidR="00CC5369">
        <w:t>.</w:t>
      </w:r>
      <w:r w:rsidRPr="00ED59A2">
        <w:t xml:space="preserve"> Torrence, J. D., Bothwell, T. H. Tissue iron stores. In: Cook</w:t>
      </w:r>
      <w:r w:rsidR="00CC5369">
        <w:t>,</w:t>
      </w:r>
      <w:r w:rsidRPr="00ED59A2">
        <w:t xml:space="preserve"> J. D., editor. </w:t>
      </w:r>
      <w:r w:rsidRPr="00ED59A2">
        <w:rPr>
          <w:i/>
        </w:rPr>
        <w:t xml:space="preserve">Methods in </w:t>
      </w:r>
      <w:proofErr w:type="spellStart"/>
      <w:r w:rsidR="006112D1">
        <w:rPr>
          <w:i/>
        </w:rPr>
        <w:t>H</w:t>
      </w:r>
      <w:r w:rsidR="006112D1" w:rsidRPr="00ED59A2">
        <w:rPr>
          <w:i/>
        </w:rPr>
        <w:t>aematology</w:t>
      </w:r>
      <w:proofErr w:type="spellEnd"/>
      <w:r w:rsidRPr="00ED59A2">
        <w:t>. New York: Churchill Livingston Press. 104–</w:t>
      </w:r>
      <w:r w:rsidR="006112D1">
        <w:t>10</w:t>
      </w:r>
      <w:r w:rsidRPr="00ED59A2">
        <w:t>9 (1980).</w:t>
      </w:r>
    </w:p>
    <w:p w14:paraId="28BAF024" w14:textId="4EEB6BFC" w:rsidR="00765B87" w:rsidRPr="00ED59A2" w:rsidRDefault="005B0C4F" w:rsidP="00911276">
      <w:r w:rsidRPr="00ED59A2">
        <w:t>7</w:t>
      </w:r>
      <w:r w:rsidR="006112D1">
        <w:t>.</w:t>
      </w:r>
      <w:r w:rsidRPr="00ED59A2">
        <w:t xml:space="preserve"> </w:t>
      </w:r>
      <w:proofErr w:type="spellStart"/>
      <w:r w:rsidR="00765B87" w:rsidRPr="00ED59A2">
        <w:t>Rebouche</w:t>
      </w:r>
      <w:proofErr w:type="spellEnd"/>
      <w:r w:rsidR="00765B87" w:rsidRPr="00ED59A2">
        <w:t xml:space="preserve">, C. J, Wilcox, C. L., </w:t>
      </w:r>
      <w:proofErr w:type="spellStart"/>
      <w:r w:rsidR="00765B87" w:rsidRPr="00ED59A2">
        <w:t>Widness</w:t>
      </w:r>
      <w:proofErr w:type="spellEnd"/>
      <w:r w:rsidR="00765B87" w:rsidRPr="00ED59A2">
        <w:t xml:space="preserve">, J. A. Microanalysis of non-heme iron in animal tissues. </w:t>
      </w:r>
      <w:r w:rsidR="00765B87" w:rsidRPr="00ED59A2">
        <w:rPr>
          <w:i/>
          <w:iCs/>
        </w:rPr>
        <w:t>Journal of Biochemical and Biophysical Methods</w:t>
      </w:r>
      <w:r w:rsidR="00765B87" w:rsidRPr="00ED59A2">
        <w:t xml:space="preserve">. </w:t>
      </w:r>
      <w:r w:rsidR="00765B87" w:rsidRPr="00BB5D06">
        <w:rPr>
          <w:b/>
          <w:bCs/>
        </w:rPr>
        <w:t>58</w:t>
      </w:r>
      <w:r w:rsidR="00765B87" w:rsidRPr="00ED59A2">
        <w:t xml:space="preserve"> (3), 239–251 (2004).</w:t>
      </w:r>
    </w:p>
    <w:p w14:paraId="2330BE2D" w14:textId="000F7AA4" w:rsidR="005B0C4F" w:rsidRPr="00ED59A2" w:rsidRDefault="00765B87" w:rsidP="00911276">
      <w:r w:rsidRPr="00ED59A2">
        <w:t>8</w:t>
      </w:r>
      <w:r w:rsidR="00F82937">
        <w:t>.</w:t>
      </w:r>
      <w:r w:rsidRPr="00ED59A2">
        <w:t xml:space="preserve"> </w:t>
      </w:r>
      <w:proofErr w:type="spellStart"/>
      <w:r w:rsidR="005B0C4F" w:rsidRPr="00ED59A2">
        <w:t>Lesbordes</w:t>
      </w:r>
      <w:proofErr w:type="spellEnd"/>
      <w:r w:rsidR="005B0C4F" w:rsidRPr="00ED59A2">
        <w:t xml:space="preserve">-Brion, J. C. et al. Targeted disruption of the hepcidin 1 gene results in severe hemochromatosis. </w:t>
      </w:r>
      <w:r w:rsidR="005B0C4F" w:rsidRPr="00ED59A2">
        <w:rPr>
          <w:i/>
        </w:rPr>
        <w:t>Blood</w:t>
      </w:r>
      <w:r w:rsidR="006112D1" w:rsidRPr="00BB5D06">
        <w:rPr>
          <w:iCs/>
        </w:rPr>
        <w:t>.</w:t>
      </w:r>
      <w:r w:rsidR="005B0C4F" w:rsidRPr="006112D1">
        <w:rPr>
          <w:iCs/>
        </w:rPr>
        <w:t xml:space="preserve"> </w:t>
      </w:r>
      <w:r w:rsidR="005B0C4F" w:rsidRPr="00ED59A2">
        <w:rPr>
          <w:b/>
        </w:rPr>
        <w:t>108</w:t>
      </w:r>
      <w:r w:rsidR="005B0C4F" w:rsidRPr="00ED59A2">
        <w:t>, 1402</w:t>
      </w:r>
      <w:r w:rsidR="006112D1">
        <w:t>–</w:t>
      </w:r>
      <w:r w:rsidR="005B0C4F" w:rsidRPr="00ED59A2">
        <w:t>1405 (2006).</w:t>
      </w:r>
    </w:p>
    <w:p w14:paraId="080668DC" w14:textId="371A49D2" w:rsidR="005B0C4F" w:rsidRPr="00ED59A2" w:rsidRDefault="00765B87" w:rsidP="00911276">
      <w:pPr>
        <w:rPr>
          <w:lang w:val="en-GB"/>
        </w:rPr>
      </w:pPr>
      <w:r w:rsidRPr="005C0491">
        <w:t>9</w:t>
      </w:r>
      <w:r w:rsidR="006112D1">
        <w:t>.</w:t>
      </w:r>
      <w:r w:rsidRPr="005C0491">
        <w:t xml:space="preserve"> </w:t>
      </w:r>
      <w:r w:rsidR="005B0C4F" w:rsidRPr="005C0491">
        <w:t xml:space="preserve">Jumbo-Lucioni, P. et al. </w:t>
      </w:r>
      <w:r w:rsidR="005B0C4F" w:rsidRPr="00ED59A2">
        <w:rPr>
          <w:lang w:val="en-GB"/>
        </w:rPr>
        <w:t xml:space="preserve">Systems genetics analysis of body weight and energy metabolism traits in Drosophila melanogaster. </w:t>
      </w:r>
      <w:r w:rsidR="005B0C4F" w:rsidRPr="00ED59A2">
        <w:rPr>
          <w:i/>
          <w:lang w:val="en-GB"/>
        </w:rPr>
        <w:t>BMC Genomics</w:t>
      </w:r>
      <w:r w:rsidR="006112D1" w:rsidRPr="00BB5D06">
        <w:rPr>
          <w:iCs/>
          <w:lang w:val="en-GB"/>
        </w:rPr>
        <w:t>.</w:t>
      </w:r>
      <w:r w:rsidR="005B0C4F" w:rsidRPr="00BB5D06">
        <w:rPr>
          <w:iCs/>
          <w:lang w:val="en-GB"/>
        </w:rPr>
        <w:t xml:space="preserve"> </w:t>
      </w:r>
      <w:r w:rsidR="005B0C4F" w:rsidRPr="00ED59A2">
        <w:rPr>
          <w:b/>
          <w:lang w:val="en-GB"/>
        </w:rPr>
        <w:t>11</w:t>
      </w:r>
      <w:r w:rsidR="005B0C4F" w:rsidRPr="00ED59A2">
        <w:rPr>
          <w:lang w:val="en-GB"/>
        </w:rPr>
        <w:t>, 297 (2010).</w:t>
      </w:r>
    </w:p>
    <w:p w14:paraId="1FEFC59F" w14:textId="6CE085A5" w:rsidR="005B0C4F" w:rsidRPr="00ED59A2" w:rsidRDefault="00765B87" w:rsidP="00911276">
      <w:r w:rsidRPr="00ED59A2">
        <w:t>10</w:t>
      </w:r>
      <w:r w:rsidR="00F82937">
        <w:t>.</w:t>
      </w:r>
      <w:r w:rsidRPr="00ED59A2">
        <w:t xml:space="preserve"> </w:t>
      </w:r>
      <w:proofErr w:type="spellStart"/>
      <w:r w:rsidR="005B0C4F" w:rsidRPr="00ED59A2">
        <w:t>Mandilaras</w:t>
      </w:r>
      <w:proofErr w:type="spellEnd"/>
      <w:r w:rsidR="005B0C4F" w:rsidRPr="00ED59A2">
        <w:t xml:space="preserve">, K., </w:t>
      </w:r>
      <w:proofErr w:type="spellStart"/>
      <w:r w:rsidR="005B0C4F" w:rsidRPr="00ED59A2">
        <w:t>Pathmanathan</w:t>
      </w:r>
      <w:proofErr w:type="spellEnd"/>
      <w:r w:rsidR="005B0C4F" w:rsidRPr="00ED59A2">
        <w:t xml:space="preserve">, T., </w:t>
      </w:r>
      <w:proofErr w:type="spellStart"/>
      <w:r w:rsidR="005B0C4F" w:rsidRPr="00ED59A2">
        <w:t>Missirlis</w:t>
      </w:r>
      <w:proofErr w:type="spellEnd"/>
      <w:r w:rsidR="005B0C4F" w:rsidRPr="00ED59A2">
        <w:t xml:space="preserve">, F. Iron Absorption in Drosophila melanogaster. </w:t>
      </w:r>
      <w:r w:rsidR="005B0C4F" w:rsidRPr="00ED59A2">
        <w:rPr>
          <w:i/>
        </w:rPr>
        <w:t>Nutrients</w:t>
      </w:r>
      <w:r w:rsidR="006112D1" w:rsidRPr="00BB5D06">
        <w:rPr>
          <w:iCs/>
        </w:rPr>
        <w:t>.</w:t>
      </w:r>
      <w:r w:rsidR="005B0C4F" w:rsidRPr="006112D1">
        <w:rPr>
          <w:iCs/>
        </w:rPr>
        <w:t xml:space="preserve"> </w:t>
      </w:r>
      <w:r w:rsidR="005B0C4F" w:rsidRPr="00ED59A2">
        <w:rPr>
          <w:b/>
        </w:rPr>
        <w:t>5</w:t>
      </w:r>
      <w:r w:rsidR="005B0C4F" w:rsidRPr="00ED59A2">
        <w:t>, 1622</w:t>
      </w:r>
      <w:r w:rsidR="006112D1">
        <w:t>–</w:t>
      </w:r>
      <w:r w:rsidR="005B0C4F" w:rsidRPr="00ED59A2">
        <w:t>1647 (2013).</w:t>
      </w:r>
    </w:p>
    <w:p w14:paraId="11881658" w14:textId="7C740140" w:rsidR="005B0C4F" w:rsidRPr="00ED59A2" w:rsidRDefault="00765B87" w:rsidP="00911276">
      <w:r w:rsidRPr="00ED59A2">
        <w:t>11</w:t>
      </w:r>
      <w:r w:rsidR="006112D1">
        <w:t>.</w:t>
      </w:r>
      <w:r w:rsidRPr="00ED59A2">
        <w:t xml:space="preserve"> </w:t>
      </w:r>
      <w:r w:rsidR="005B0C4F" w:rsidRPr="00ED59A2">
        <w:t xml:space="preserve">Grundy, M. A., Gorman, N., Sinclair, P. R., Chorney, M. J., Gerhard, G. S. High-throughput non-heme iron assay for animal tissues. </w:t>
      </w:r>
      <w:r w:rsidR="005B0C4F" w:rsidRPr="00ED59A2">
        <w:rPr>
          <w:i/>
        </w:rPr>
        <w:t>Journal of Biochemical and Biophysical Methods</w:t>
      </w:r>
      <w:r w:rsidR="006112D1" w:rsidRPr="00BB5D06">
        <w:rPr>
          <w:iCs/>
        </w:rPr>
        <w:t>.</w:t>
      </w:r>
      <w:r w:rsidR="005B0C4F" w:rsidRPr="006112D1">
        <w:rPr>
          <w:iCs/>
        </w:rPr>
        <w:t xml:space="preserve"> </w:t>
      </w:r>
      <w:r w:rsidR="005B0C4F" w:rsidRPr="00ED59A2">
        <w:rPr>
          <w:b/>
        </w:rPr>
        <w:t>59</w:t>
      </w:r>
      <w:r w:rsidR="005B0C4F" w:rsidRPr="00ED59A2">
        <w:t>, 195</w:t>
      </w:r>
      <w:r w:rsidR="006112D1">
        <w:t>–</w:t>
      </w:r>
      <w:r w:rsidR="005B0C4F" w:rsidRPr="00ED59A2">
        <w:t>200 (2004).</w:t>
      </w:r>
    </w:p>
    <w:p w14:paraId="6B2B1AA9" w14:textId="6D86751D" w:rsidR="006E4797" w:rsidRPr="00ED59A2" w:rsidRDefault="00765B87" w:rsidP="00911276">
      <w:r w:rsidRPr="00ED59A2">
        <w:t>12</w:t>
      </w:r>
      <w:r w:rsidR="006112D1">
        <w:t>.</w:t>
      </w:r>
      <w:r w:rsidRPr="00ED59A2">
        <w:t xml:space="preserve"> </w:t>
      </w:r>
      <w:r w:rsidR="002578FD" w:rsidRPr="00ED59A2">
        <w:t>Adrian</w:t>
      </w:r>
      <w:r w:rsidR="00D21ED1" w:rsidRPr="00ED59A2">
        <w:t>,</w:t>
      </w:r>
      <w:r w:rsidR="002578FD" w:rsidRPr="00ED59A2">
        <w:t xml:space="preserve"> W.</w:t>
      </w:r>
      <w:r w:rsidR="00D21ED1" w:rsidRPr="00ED59A2">
        <w:t xml:space="preserve"> </w:t>
      </w:r>
      <w:r w:rsidR="002578FD" w:rsidRPr="00ED59A2">
        <w:t>J., Stevens</w:t>
      </w:r>
      <w:r w:rsidR="00D21ED1" w:rsidRPr="00ED59A2">
        <w:t>,</w:t>
      </w:r>
      <w:r w:rsidR="002578FD" w:rsidRPr="00ED59A2">
        <w:t xml:space="preserve"> M.</w:t>
      </w:r>
      <w:r w:rsidR="00D21ED1" w:rsidRPr="00ED59A2">
        <w:t xml:space="preserve"> </w:t>
      </w:r>
      <w:r w:rsidR="002578FD" w:rsidRPr="00ED59A2">
        <w:t>L. W</w:t>
      </w:r>
      <w:r w:rsidR="00BE4FF9" w:rsidRPr="00ED59A2">
        <w:t xml:space="preserve">et versus dry weights for heavy metal toxicity determinations in duck liver. </w:t>
      </w:r>
      <w:r w:rsidR="00BE4FF9" w:rsidRPr="00ED59A2">
        <w:rPr>
          <w:i/>
        </w:rPr>
        <w:t>J</w:t>
      </w:r>
      <w:r w:rsidR="00D21ED1" w:rsidRPr="00ED59A2">
        <w:rPr>
          <w:i/>
        </w:rPr>
        <w:t>ournal of</w:t>
      </w:r>
      <w:r w:rsidR="002578FD" w:rsidRPr="00ED59A2">
        <w:rPr>
          <w:i/>
        </w:rPr>
        <w:t xml:space="preserve"> Wildl</w:t>
      </w:r>
      <w:r w:rsidR="00D21ED1" w:rsidRPr="00ED59A2">
        <w:rPr>
          <w:i/>
        </w:rPr>
        <w:t>ife</w:t>
      </w:r>
      <w:r w:rsidR="002578FD" w:rsidRPr="00ED59A2">
        <w:rPr>
          <w:i/>
        </w:rPr>
        <w:t xml:space="preserve"> Dis</w:t>
      </w:r>
      <w:r w:rsidR="00D21ED1" w:rsidRPr="00ED59A2">
        <w:rPr>
          <w:i/>
        </w:rPr>
        <w:t>eases</w:t>
      </w:r>
      <w:r w:rsidR="006112D1" w:rsidRPr="00BB5D06">
        <w:rPr>
          <w:iCs/>
        </w:rPr>
        <w:t>.</w:t>
      </w:r>
      <w:r w:rsidR="002578FD" w:rsidRPr="006112D1">
        <w:rPr>
          <w:iCs/>
        </w:rPr>
        <w:t xml:space="preserve"> </w:t>
      </w:r>
      <w:r w:rsidR="002578FD" w:rsidRPr="00ED59A2">
        <w:rPr>
          <w:b/>
        </w:rPr>
        <w:t>15</w:t>
      </w:r>
      <w:r w:rsidR="00BE4FF9" w:rsidRPr="00ED59A2">
        <w:t>,</w:t>
      </w:r>
      <w:r w:rsidR="002578FD" w:rsidRPr="00ED59A2">
        <w:t xml:space="preserve"> 125–126</w:t>
      </w:r>
      <w:r w:rsidR="00BE4FF9" w:rsidRPr="00ED59A2">
        <w:t xml:space="preserve"> (1979)</w:t>
      </w:r>
      <w:r w:rsidR="002578FD" w:rsidRPr="00ED59A2">
        <w:t>.</w:t>
      </w:r>
      <w:bookmarkStart w:id="1" w:name="3dy6vkm" w:colFirst="0" w:colLast="0"/>
      <w:bookmarkStart w:id="2" w:name="4d34og8" w:colFirst="0" w:colLast="0"/>
      <w:bookmarkStart w:id="3" w:name="17dp8vu" w:colFirst="0" w:colLast="0"/>
      <w:bookmarkStart w:id="4" w:name="3rdcrjn" w:colFirst="0" w:colLast="0"/>
      <w:bookmarkEnd w:id="1"/>
      <w:bookmarkEnd w:id="2"/>
      <w:bookmarkEnd w:id="3"/>
      <w:bookmarkEnd w:id="4"/>
    </w:p>
    <w:sectPr w:rsidR="006E4797" w:rsidRPr="00ED59A2" w:rsidSect="00911276">
      <w:headerReference w:type="even" r:id="rId10"/>
      <w:headerReference w:type="default" r:id="rId11"/>
      <w:footerReference w:type="even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C021" w14:textId="77777777" w:rsidR="005C4A2A" w:rsidRDefault="005C4A2A">
      <w:r>
        <w:separator/>
      </w:r>
    </w:p>
  </w:endnote>
  <w:endnote w:type="continuationSeparator" w:id="0">
    <w:p w14:paraId="06D54660" w14:textId="77777777" w:rsidR="005C4A2A" w:rsidRDefault="005C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2B7677" w:rsidRDefault="002B76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E0EF" w14:textId="77777777" w:rsidR="005C4A2A" w:rsidRDefault="005C4A2A">
      <w:r>
        <w:separator/>
      </w:r>
    </w:p>
  </w:footnote>
  <w:footnote w:type="continuationSeparator" w:id="0">
    <w:p w14:paraId="6D4683BA" w14:textId="77777777" w:rsidR="005C4A2A" w:rsidRDefault="005C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2B7677" w:rsidRDefault="002B76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0960FAE6" w:rsidR="002B7677" w:rsidRDefault="002B7677">
    <w:pPr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CF21C3"/>
    <w:multiLevelType w:val="hybridMultilevel"/>
    <w:tmpl w:val="A1F6EA6A"/>
    <w:lvl w:ilvl="0" w:tplc="A198BF6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6953E3"/>
    <w:multiLevelType w:val="hybridMultilevel"/>
    <w:tmpl w:val="646E381C"/>
    <w:lvl w:ilvl="0" w:tplc="836E82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0"/>
  </w:num>
  <w:num w:numId="5">
    <w:abstractNumId w:val="11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yNDE0NDAyNzKyNDZU0lEKTi0uzszPAykwqgUAOKOZlywAAAA="/>
  </w:docVars>
  <w:rsids>
    <w:rsidRoot w:val="006E4797"/>
    <w:rsid w:val="000039BA"/>
    <w:rsid w:val="00012135"/>
    <w:rsid w:val="00020111"/>
    <w:rsid w:val="00021B6C"/>
    <w:rsid w:val="000230A2"/>
    <w:rsid w:val="00031DFB"/>
    <w:rsid w:val="00037A0F"/>
    <w:rsid w:val="00050207"/>
    <w:rsid w:val="0005058C"/>
    <w:rsid w:val="000573AA"/>
    <w:rsid w:val="00060E35"/>
    <w:rsid w:val="000735C8"/>
    <w:rsid w:val="000A0559"/>
    <w:rsid w:val="000A1F2D"/>
    <w:rsid w:val="000A35A0"/>
    <w:rsid w:val="000B487F"/>
    <w:rsid w:val="000C01E5"/>
    <w:rsid w:val="000C1FB4"/>
    <w:rsid w:val="000C6718"/>
    <w:rsid w:val="000E07E8"/>
    <w:rsid w:val="000E4499"/>
    <w:rsid w:val="000F04E0"/>
    <w:rsid w:val="0010679C"/>
    <w:rsid w:val="0010684B"/>
    <w:rsid w:val="0010799E"/>
    <w:rsid w:val="00123B7E"/>
    <w:rsid w:val="001301D7"/>
    <w:rsid w:val="00131385"/>
    <w:rsid w:val="00134687"/>
    <w:rsid w:val="00146D36"/>
    <w:rsid w:val="00151B57"/>
    <w:rsid w:val="001660A6"/>
    <w:rsid w:val="0018233B"/>
    <w:rsid w:val="00182B34"/>
    <w:rsid w:val="001850A2"/>
    <w:rsid w:val="00185EC7"/>
    <w:rsid w:val="00186A9A"/>
    <w:rsid w:val="0019683A"/>
    <w:rsid w:val="00196903"/>
    <w:rsid w:val="00197F40"/>
    <w:rsid w:val="001A6557"/>
    <w:rsid w:val="001A7126"/>
    <w:rsid w:val="001A7E78"/>
    <w:rsid w:val="001B46F1"/>
    <w:rsid w:val="001D454C"/>
    <w:rsid w:val="001E08AA"/>
    <w:rsid w:val="001E124A"/>
    <w:rsid w:val="001F4266"/>
    <w:rsid w:val="001F65B0"/>
    <w:rsid w:val="00200147"/>
    <w:rsid w:val="00202719"/>
    <w:rsid w:val="00211FEC"/>
    <w:rsid w:val="00215218"/>
    <w:rsid w:val="00216CD9"/>
    <w:rsid w:val="00217568"/>
    <w:rsid w:val="00217D99"/>
    <w:rsid w:val="00220EF3"/>
    <w:rsid w:val="00243134"/>
    <w:rsid w:val="00243821"/>
    <w:rsid w:val="00253483"/>
    <w:rsid w:val="002578FD"/>
    <w:rsid w:val="00262331"/>
    <w:rsid w:val="00266F51"/>
    <w:rsid w:val="002778FF"/>
    <w:rsid w:val="002840AA"/>
    <w:rsid w:val="002A4704"/>
    <w:rsid w:val="002A7283"/>
    <w:rsid w:val="002B284E"/>
    <w:rsid w:val="002B4F0C"/>
    <w:rsid w:val="002B7677"/>
    <w:rsid w:val="002B793C"/>
    <w:rsid w:val="002C54DE"/>
    <w:rsid w:val="002D0B3F"/>
    <w:rsid w:val="002D6513"/>
    <w:rsid w:val="002D68A9"/>
    <w:rsid w:val="002D7C1B"/>
    <w:rsid w:val="002E0768"/>
    <w:rsid w:val="002E61E0"/>
    <w:rsid w:val="002E7E71"/>
    <w:rsid w:val="002F199F"/>
    <w:rsid w:val="003051DC"/>
    <w:rsid w:val="00311B1A"/>
    <w:rsid w:val="003150CC"/>
    <w:rsid w:val="0032045B"/>
    <w:rsid w:val="00323C78"/>
    <w:rsid w:val="00325BE4"/>
    <w:rsid w:val="00341A31"/>
    <w:rsid w:val="003463B0"/>
    <w:rsid w:val="0035001D"/>
    <w:rsid w:val="0035103F"/>
    <w:rsid w:val="00351087"/>
    <w:rsid w:val="00362BF4"/>
    <w:rsid w:val="0036756B"/>
    <w:rsid w:val="00367C3A"/>
    <w:rsid w:val="00390715"/>
    <w:rsid w:val="003A1F1F"/>
    <w:rsid w:val="003B4B04"/>
    <w:rsid w:val="003B4F5E"/>
    <w:rsid w:val="003C705F"/>
    <w:rsid w:val="003D193A"/>
    <w:rsid w:val="003D5FF1"/>
    <w:rsid w:val="003E34C3"/>
    <w:rsid w:val="003F59D2"/>
    <w:rsid w:val="00403880"/>
    <w:rsid w:val="004113A1"/>
    <w:rsid w:val="00411C05"/>
    <w:rsid w:val="00412F76"/>
    <w:rsid w:val="00421BD6"/>
    <w:rsid w:val="0044144A"/>
    <w:rsid w:val="004518AA"/>
    <w:rsid w:val="004627FF"/>
    <w:rsid w:val="00464196"/>
    <w:rsid w:val="00475C99"/>
    <w:rsid w:val="00482BE2"/>
    <w:rsid w:val="0048475F"/>
    <w:rsid w:val="004956F2"/>
    <w:rsid w:val="004C1991"/>
    <w:rsid w:val="004C4E68"/>
    <w:rsid w:val="004C716F"/>
    <w:rsid w:val="004D0188"/>
    <w:rsid w:val="004D1F10"/>
    <w:rsid w:val="004D2E65"/>
    <w:rsid w:val="00516F8B"/>
    <w:rsid w:val="00525936"/>
    <w:rsid w:val="00536FCA"/>
    <w:rsid w:val="005418DB"/>
    <w:rsid w:val="00545AAD"/>
    <w:rsid w:val="0054650A"/>
    <w:rsid w:val="00551D82"/>
    <w:rsid w:val="00552196"/>
    <w:rsid w:val="00552396"/>
    <w:rsid w:val="0055515A"/>
    <w:rsid w:val="00555926"/>
    <w:rsid w:val="00556CEC"/>
    <w:rsid w:val="00564368"/>
    <w:rsid w:val="00565C82"/>
    <w:rsid w:val="0057432C"/>
    <w:rsid w:val="00574C7B"/>
    <w:rsid w:val="00583DDD"/>
    <w:rsid w:val="0058655B"/>
    <w:rsid w:val="00591EF0"/>
    <w:rsid w:val="00592C15"/>
    <w:rsid w:val="005A43A9"/>
    <w:rsid w:val="005A49B1"/>
    <w:rsid w:val="005B0C4F"/>
    <w:rsid w:val="005B4741"/>
    <w:rsid w:val="005B51AC"/>
    <w:rsid w:val="005B743D"/>
    <w:rsid w:val="005B74DE"/>
    <w:rsid w:val="005C0491"/>
    <w:rsid w:val="005C12FF"/>
    <w:rsid w:val="005C17C7"/>
    <w:rsid w:val="005C4A2A"/>
    <w:rsid w:val="005C5D14"/>
    <w:rsid w:val="005C7209"/>
    <w:rsid w:val="005D0734"/>
    <w:rsid w:val="005E3CE5"/>
    <w:rsid w:val="005E7BE5"/>
    <w:rsid w:val="005F1E44"/>
    <w:rsid w:val="005F2C15"/>
    <w:rsid w:val="005F4D0C"/>
    <w:rsid w:val="005F66E0"/>
    <w:rsid w:val="006039CB"/>
    <w:rsid w:val="006112D1"/>
    <w:rsid w:val="00622578"/>
    <w:rsid w:val="00623C91"/>
    <w:rsid w:val="006318C3"/>
    <w:rsid w:val="0063275B"/>
    <w:rsid w:val="00632F6C"/>
    <w:rsid w:val="00636D6F"/>
    <w:rsid w:val="006443CE"/>
    <w:rsid w:val="006519B5"/>
    <w:rsid w:val="00664001"/>
    <w:rsid w:val="00664863"/>
    <w:rsid w:val="0066784B"/>
    <w:rsid w:val="006B17F5"/>
    <w:rsid w:val="006B1E1F"/>
    <w:rsid w:val="006B7E9A"/>
    <w:rsid w:val="006C2CEA"/>
    <w:rsid w:val="006E4797"/>
    <w:rsid w:val="006E48DA"/>
    <w:rsid w:val="006E7BD7"/>
    <w:rsid w:val="006F4959"/>
    <w:rsid w:val="006F7195"/>
    <w:rsid w:val="007000F1"/>
    <w:rsid w:val="007037FA"/>
    <w:rsid w:val="0070444F"/>
    <w:rsid w:val="00705FBC"/>
    <w:rsid w:val="0071417F"/>
    <w:rsid w:val="00717176"/>
    <w:rsid w:val="00721B9B"/>
    <w:rsid w:val="00724F7A"/>
    <w:rsid w:val="007267F8"/>
    <w:rsid w:val="0072748D"/>
    <w:rsid w:val="00732F7A"/>
    <w:rsid w:val="007349A1"/>
    <w:rsid w:val="00747CE1"/>
    <w:rsid w:val="00751F5B"/>
    <w:rsid w:val="00754660"/>
    <w:rsid w:val="0076037F"/>
    <w:rsid w:val="00765B87"/>
    <w:rsid w:val="007715A0"/>
    <w:rsid w:val="0077713A"/>
    <w:rsid w:val="00797DAF"/>
    <w:rsid w:val="007A73E6"/>
    <w:rsid w:val="007D358F"/>
    <w:rsid w:val="007E26D3"/>
    <w:rsid w:val="007E6837"/>
    <w:rsid w:val="007E6BC9"/>
    <w:rsid w:val="007F2CFD"/>
    <w:rsid w:val="007F6D72"/>
    <w:rsid w:val="007F7299"/>
    <w:rsid w:val="00800FEC"/>
    <w:rsid w:val="008030D6"/>
    <w:rsid w:val="0081248F"/>
    <w:rsid w:val="00814E5C"/>
    <w:rsid w:val="008175AA"/>
    <w:rsid w:val="008216AD"/>
    <w:rsid w:val="0082301D"/>
    <w:rsid w:val="0082427C"/>
    <w:rsid w:val="00847C78"/>
    <w:rsid w:val="0085127B"/>
    <w:rsid w:val="00854A5F"/>
    <w:rsid w:val="00865524"/>
    <w:rsid w:val="0087107C"/>
    <w:rsid w:val="00871338"/>
    <w:rsid w:val="00873499"/>
    <w:rsid w:val="008739AE"/>
    <w:rsid w:val="008749BF"/>
    <w:rsid w:val="00877007"/>
    <w:rsid w:val="008871B6"/>
    <w:rsid w:val="008946ED"/>
    <w:rsid w:val="0089503A"/>
    <w:rsid w:val="008A3A16"/>
    <w:rsid w:val="008A5F43"/>
    <w:rsid w:val="008B3FA2"/>
    <w:rsid w:val="008C5C60"/>
    <w:rsid w:val="008D0066"/>
    <w:rsid w:val="008D59FF"/>
    <w:rsid w:val="008D5E88"/>
    <w:rsid w:val="008F3BA5"/>
    <w:rsid w:val="008F55A9"/>
    <w:rsid w:val="008F6A8A"/>
    <w:rsid w:val="00900D2C"/>
    <w:rsid w:val="009048A1"/>
    <w:rsid w:val="00911276"/>
    <w:rsid w:val="00912B5B"/>
    <w:rsid w:val="00915223"/>
    <w:rsid w:val="00917203"/>
    <w:rsid w:val="00925DB3"/>
    <w:rsid w:val="0093243E"/>
    <w:rsid w:val="00933AEA"/>
    <w:rsid w:val="009348C7"/>
    <w:rsid w:val="00935EA1"/>
    <w:rsid w:val="009463BE"/>
    <w:rsid w:val="00947289"/>
    <w:rsid w:val="00961409"/>
    <w:rsid w:val="0098513B"/>
    <w:rsid w:val="009A3B2A"/>
    <w:rsid w:val="009C1D52"/>
    <w:rsid w:val="009C2D62"/>
    <w:rsid w:val="009D2F77"/>
    <w:rsid w:val="009D31BF"/>
    <w:rsid w:val="009D6AE4"/>
    <w:rsid w:val="009E3A1A"/>
    <w:rsid w:val="00A0017B"/>
    <w:rsid w:val="00A15736"/>
    <w:rsid w:val="00A16AB5"/>
    <w:rsid w:val="00A2716B"/>
    <w:rsid w:val="00A33693"/>
    <w:rsid w:val="00A348BB"/>
    <w:rsid w:val="00A41E17"/>
    <w:rsid w:val="00A4488D"/>
    <w:rsid w:val="00A46CFA"/>
    <w:rsid w:val="00A569E5"/>
    <w:rsid w:val="00A62CF4"/>
    <w:rsid w:val="00A64508"/>
    <w:rsid w:val="00A728C4"/>
    <w:rsid w:val="00A77AE6"/>
    <w:rsid w:val="00A82C78"/>
    <w:rsid w:val="00A9174D"/>
    <w:rsid w:val="00AA270B"/>
    <w:rsid w:val="00AB1B32"/>
    <w:rsid w:val="00AC610D"/>
    <w:rsid w:val="00AD5930"/>
    <w:rsid w:val="00AE27EF"/>
    <w:rsid w:val="00AE2A5D"/>
    <w:rsid w:val="00AE7F31"/>
    <w:rsid w:val="00AF41F7"/>
    <w:rsid w:val="00AF5DD5"/>
    <w:rsid w:val="00B01462"/>
    <w:rsid w:val="00B0235F"/>
    <w:rsid w:val="00B06C67"/>
    <w:rsid w:val="00B113BB"/>
    <w:rsid w:val="00B35667"/>
    <w:rsid w:val="00B358F8"/>
    <w:rsid w:val="00B35BC9"/>
    <w:rsid w:val="00B36138"/>
    <w:rsid w:val="00B37FC4"/>
    <w:rsid w:val="00B4138F"/>
    <w:rsid w:val="00B43379"/>
    <w:rsid w:val="00B51121"/>
    <w:rsid w:val="00B53F0C"/>
    <w:rsid w:val="00B60620"/>
    <w:rsid w:val="00B61545"/>
    <w:rsid w:val="00B7106F"/>
    <w:rsid w:val="00B72B45"/>
    <w:rsid w:val="00B777BA"/>
    <w:rsid w:val="00B94916"/>
    <w:rsid w:val="00B94DFB"/>
    <w:rsid w:val="00BB4C79"/>
    <w:rsid w:val="00BB5D06"/>
    <w:rsid w:val="00BB5D8E"/>
    <w:rsid w:val="00BC4D6C"/>
    <w:rsid w:val="00BC53BF"/>
    <w:rsid w:val="00BD48DF"/>
    <w:rsid w:val="00BE09BA"/>
    <w:rsid w:val="00BE0B65"/>
    <w:rsid w:val="00BE22A2"/>
    <w:rsid w:val="00BE4FF9"/>
    <w:rsid w:val="00BF5B56"/>
    <w:rsid w:val="00C0159D"/>
    <w:rsid w:val="00C01AB1"/>
    <w:rsid w:val="00C06070"/>
    <w:rsid w:val="00C107EF"/>
    <w:rsid w:val="00C14672"/>
    <w:rsid w:val="00C169C4"/>
    <w:rsid w:val="00C20B77"/>
    <w:rsid w:val="00C24136"/>
    <w:rsid w:val="00C45E03"/>
    <w:rsid w:val="00C5109E"/>
    <w:rsid w:val="00C5153A"/>
    <w:rsid w:val="00C53466"/>
    <w:rsid w:val="00C635A2"/>
    <w:rsid w:val="00C66340"/>
    <w:rsid w:val="00C67320"/>
    <w:rsid w:val="00C87819"/>
    <w:rsid w:val="00C90933"/>
    <w:rsid w:val="00CB3FF3"/>
    <w:rsid w:val="00CC5369"/>
    <w:rsid w:val="00CD35BF"/>
    <w:rsid w:val="00CE545A"/>
    <w:rsid w:val="00CF1BA5"/>
    <w:rsid w:val="00CF6591"/>
    <w:rsid w:val="00D04BAA"/>
    <w:rsid w:val="00D21ED1"/>
    <w:rsid w:val="00D32541"/>
    <w:rsid w:val="00D3388B"/>
    <w:rsid w:val="00D44F04"/>
    <w:rsid w:val="00D45893"/>
    <w:rsid w:val="00D45DF2"/>
    <w:rsid w:val="00D47772"/>
    <w:rsid w:val="00D536D8"/>
    <w:rsid w:val="00D647D8"/>
    <w:rsid w:val="00D84C9F"/>
    <w:rsid w:val="00D85A50"/>
    <w:rsid w:val="00D87EEC"/>
    <w:rsid w:val="00DA0493"/>
    <w:rsid w:val="00DA469F"/>
    <w:rsid w:val="00DB0F04"/>
    <w:rsid w:val="00DB207E"/>
    <w:rsid w:val="00DC090D"/>
    <w:rsid w:val="00DC18DF"/>
    <w:rsid w:val="00DC606F"/>
    <w:rsid w:val="00DD0182"/>
    <w:rsid w:val="00DE0D97"/>
    <w:rsid w:val="00DF24F6"/>
    <w:rsid w:val="00DF2A5C"/>
    <w:rsid w:val="00E0219B"/>
    <w:rsid w:val="00E11122"/>
    <w:rsid w:val="00E20D6E"/>
    <w:rsid w:val="00E4384D"/>
    <w:rsid w:val="00E454F4"/>
    <w:rsid w:val="00E51700"/>
    <w:rsid w:val="00E5493E"/>
    <w:rsid w:val="00E567C5"/>
    <w:rsid w:val="00E64F63"/>
    <w:rsid w:val="00E65DF4"/>
    <w:rsid w:val="00E70ECC"/>
    <w:rsid w:val="00E7394D"/>
    <w:rsid w:val="00E7496C"/>
    <w:rsid w:val="00E9069D"/>
    <w:rsid w:val="00E9636F"/>
    <w:rsid w:val="00EA6307"/>
    <w:rsid w:val="00EB198A"/>
    <w:rsid w:val="00EB1E68"/>
    <w:rsid w:val="00EB354D"/>
    <w:rsid w:val="00EC4B41"/>
    <w:rsid w:val="00EC64E7"/>
    <w:rsid w:val="00ED3796"/>
    <w:rsid w:val="00ED5934"/>
    <w:rsid w:val="00ED59A2"/>
    <w:rsid w:val="00F018C5"/>
    <w:rsid w:val="00F0201B"/>
    <w:rsid w:val="00F1061A"/>
    <w:rsid w:val="00F1207D"/>
    <w:rsid w:val="00F36FD9"/>
    <w:rsid w:val="00F40A86"/>
    <w:rsid w:val="00F42E17"/>
    <w:rsid w:val="00F541CB"/>
    <w:rsid w:val="00F5587C"/>
    <w:rsid w:val="00F65904"/>
    <w:rsid w:val="00F7198E"/>
    <w:rsid w:val="00F76408"/>
    <w:rsid w:val="00F81C72"/>
    <w:rsid w:val="00F825AC"/>
    <w:rsid w:val="00F82937"/>
    <w:rsid w:val="00F858C1"/>
    <w:rsid w:val="00FA3997"/>
    <w:rsid w:val="00FA711D"/>
    <w:rsid w:val="00FB34D1"/>
    <w:rsid w:val="00FC035B"/>
    <w:rsid w:val="00FC0892"/>
    <w:rsid w:val="00FC2D03"/>
    <w:rsid w:val="00FC740D"/>
    <w:rsid w:val="00FD16CB"/>
    <w:rsid w:val="00FD24BB"/>
    <w:rsid w:val="00FD502B"/>
    <w:rsid w:val="00FE3BDC"/>
    <w:rsid w:val="00FE77C6"/>
    <w:rsid w:val="00FE7C36"/>
    <w:rsid w:val="00FF1E6A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  <w15:docId w15:val="{3EFB6263-0AE3-41E6-B4A9-BA89EA87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36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FC03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03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0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3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3AEA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4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711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552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524"/>
  </w:style>
  <w:style w:type="paragraph" w:styleId="Header">
    <w:name w:val="header"/>
    <w:basedOn w:val="Normal"/>
    <w:link w:val="HeaderChar"/>
    <w:uiPriority w:val="99"/>
    <w:unhideWhenUsed/>
    <w:rsid w:val="0086552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524"/>
  </w:style>
  <w:style w:type="character" w:customStyle="1" w:styleId="hgkelc">
    <w:name w:val="hgkelc"/>
    <w:basedOn w:val="DefaultParagraphFont"/>
    <w:rsid w:val="003D193A"/>
  </w:style>
  <w:style w:type="character" w:styleId="LineNumber">
    <w:name w:val="line number"/>
    <w:basedOn w:val="DefaultParagraphFont"/>
    <w:uiPriority w:val="99"/>
    <w:semiHidden/>
    <w:unhideWhenUsed/>
    <w:rsid w:val="0091127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12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1276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4E7A-EFE4-40FF-A2C0-BF2FC116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10</Pages>
  <Words>3930</Words>
  <Characters>22406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Duarte</dc:creator>
  <cp:keywords/>
  <dc:description/>
  <cp:lastModifiedBy>manoj jana</cp:lastModifiedBy>
  <cp:revision>13</cp:revision>
  <dcterms:created xsi:type="dcterms:W3CDTF">2021-12-18T16:57:00Z</dcterms:created>
  <dcterms:modified xsi:type="dcterms:W3CDTF">2021-12-20T13:04:00Z</dcterms:modified>
</cp:coreProperties>
</file>