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Approach to Study Mitochondrial Dysfunction: A Cybrid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Cavaliere*, Silvia Marchet*, Ivano Di Meo, Valeria Tiranti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Unit of Medical Genetics and Neurogenetics, Fondazione IRCCS Istituto Neurologico Carlo Besta, Via Temolo 4, Milan,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*Equal contribution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Cavaliere</w:t>
        <w:tab/>
        <w:tab/>
        <w:tab/>
        <w:tab/>
        <w:t xml:space="preserve">(andrea.cavaliere@istituto-besta.it)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Silvia Marchet</w:t>
        <w:tab/>
        <w:tab/>
        <w:tab/>
        <w:tab/>
        <w:tab/>
        <w:t xml:space="preserve">(silvia.marchet@istituto-besta.it)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Valeria Tiranti</w:t>
        <w:tab/>
        <w:tab/>
        <w:tab/>
        <w:tab/>
        <w:tab/>
        <w:t xml:space="preserve">(valeria.tiranti@istituto-besta.it)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Ivano Di Meo</w:t>
        <w:tab/>
        <w:tab/>
        <w:tab/>
        <w:tab/>
        <w:tab/>
        <w:t xml:space="preserve">(ivano.dimeo@istituto-besta.it)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Transmitochondrial cybrids are hybrid cells obtained by fusing mitochondrial DNA (mtDNA)-depleted cells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cells) with cytoplasts (enucleated cells) derived from patients affected by mitochondrial disorders. They allow the determination of the nuclear or mitochondrial origin of the disease, evaluation of biochemical activity, and confirmation of the pathogenetic role of mtDNA-related variants.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Deficiency of the mitochondrial respiratory chain complexes that carry out oxidative phosphorylation (OXPHOS) is the biochemical marker of human mitochondrial disorders. From a genetic point of view, the OXPHOS represents a unique example because it results from the complementation of two distinct genetic systems: nuclear DNA (nDNA) and mitochondrial DNA (mtDNA). Therefore, OXPHOS defects can be due to mutations affecting nuclear and mitochondrial encoded genes.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groundbreaking work by King and Attardi, published in 1989, showed that human cell lines depleted of mtDNA (named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could be repopulated by exogenous mitochondria to obtain the so-called “transmitochondrial cybrids.” Thanks to these cybrids containing mitochondria derived from patients with mitochondrial disorders (MDs) and nuclei from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cells, it is possible to verify whether a defect is mtDNA- or nDNA-related- related. These cybrids are also a powerful tool to validate the pathogenicity of a mutation and study its impact at a biochemical level. This paper presents a detailed protocol describing cybrid generation, selection, and characterization.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Mitochondrial disorders (MDs) are a group of multisystem syndromes caused by an impairment in mitochondrial functions due to mutations in either nuclear (nDNA) or mitochondrial (mtDNA) DNA</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They are among the most common inherited metabolic diseases, with a prevalence of 1:5,000. mtDNA-associated diseases follow the rules of mitochondrial genetics: maternal inheritance, heteroplasmy and threshold effect, and mitotic segregation</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Human mtDNA is a double-stranded DNA circle of 16.6 kb, which contains a short control region with sequences needed for replication and transcription, 13 protein-coding genes (all subunits of the respiratory chain), 22 tRNA, and 2 rRNA genes</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healthy individuals, there is one single mtDNA genotype (homoplasmy), whereas more than one genotype coexists (heteroplasmy) in pathological conditions. Deleterious heteroplasmic mutations must overcome a critical threshold to disrupt OXPHOS and cause diseases that can affect any organ at any age</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The dual genetics of OXPHOS dictates inheritance: autosomal recessive or dominant and X-linked for nDNA mutations, maternal for mtDNA mutations, plus sporadic cases both for nDNA and mtDNA.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At the beginning of the mitochondrial medicine era, a landmark experiment by King and Attardi</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established the basis to understand the origin of a mutation responsible for an MD by creating hybrid cells containing nuclei from tumor cell lines in which mtDNA was entirely depleted (rho</w:t>
      </w:r>
      <w:r>
        <w:rPr>
          <w:rFonts w:ascii="Calibri" w:hAnsi="Calibri" w:cs="Calibri" w:eastAsia="Calibri"/>
          <w:color w:val="auto"/>
          <w:spacing w:val="0"/>
          <w:position w:val="0"/>
          <w:sz w:val="24"/>
          <w:shd w:fill="FFFFFF" w:val="clear"/>
          <w:vertAlign w:val="superscript"/>
        </w:rPr>
        <w:t xml:space="preserve">0</w:t>
      </w:r>
      <w:r>
        <w:rPr>
          <w:rFonts w:ascii="Calibri" w:hAnsi="Calibri" w:cs="Calibri" w:eastAsia="Calibri"/>
          <w:color w:val="auto"/>
          <w:spacing w:val="0"/>
          <w:position w:val="0"/>
          <w:sz w:val="24"/>
          <w:shd w:fill="FFFFFF" w:val="clear"/>
        </w:rPr>
        <w:t xml:space="preserve"> cells) and mitochondria from patients with MDs. Next-generation sequencing (NGS) techniques were not available at that time, and it was not easy to determine whether a mutation was present in the nuclear or mitochondrial genome. The method, described in 1989, was then used by several researchers working in the field of mitochondrial medicine</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a detailed protocol has been recently published</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but no video has been made yet. Why should such a protocol be relevant nowadays when NGS could precisely and rapidly identify where a mutation is located? The answer is that cybrid generation is still the state-of-the-art protocol to understand the pathogenic role of any novel mtDNA mutation, correlate the percentage of heteroplasmy with the severity of the disease, and perform a biochemical investigation in a homogeneous nuclear system in which the contribution of the autochthonous nuclear background of the patient is absent</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how to obtain cytoplasts from confluent, patient-derived fibroblasts grown in 35 mm Petri dishes. Centrifugation of the dishes in the presence of cytochalasin B allows the isolation of enucleated cytoplasts, which are then fused with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cells in the presence of polyethylene glycol (PEG). The resulting cybrids are then cultivated in selective medium until clones arise. The representative results section shows an example of molecular characterization of the resulting cybrids to prove that the mtDNA is identical to that of the donor patients’ fibroblasts and that the nDNA is identical to the nuclear DNA of the tumoral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cell line.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human fibroblasts may require ethical approval. Fibroblasts used in this study were derived from MD patients and stored in the Institutional biobank in compliance with ethical requirements. Informed consent was provided for the use of the cells. Perform all cell culture procedures under a sterile laminar flow cabinet at room temperature (RT,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&amp;#176;C). Use sterile-filtered solutions suitable for cell culture and sterile equipment. Grow all cell lines in a humidified incubator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Mycoplasma tests should be conducted weekly to ensure mycoplasma-free cultures. 143BTK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cells can be generated as previously described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Culture of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Before starting any procedure, verify the presence of the mutation in fibroblasts derived from MD patient(s) and quantify the percentage of heteroplasmy or homoplasmy by Restriction Fragment Length Polymorphism (RFLP) and/or whole mtDNA sequencing analyses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Seed fibroblasts in four 35 mm Petri dishes, each containing 2 mL of Complete Culture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Let the cells grow until 80% confluent (48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Grow 143BTK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cells in 8 mL of Supplemented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Culture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a 100 mm Petri dish.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Maintain the cells in an incubator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Check the absence of mtDNA in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cells by sequencing techniques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Enucleation of fibroblasts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Sterilize four 250 mL centrifuge-suitable bottles by autoclave sterilization at 121 &amp;#176;C for a 20 min cycle. Dry them in a laboratory oven or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Prewarm the centrifuge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Wash the 35 mm dishes containing the fibroblasts twice, using 2 mL of 1x phosphate-buffered saline (PBS) without (w/o) calcium and magnesium.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Clean the outer surface of the dishes with 70% ethanol and wait until the alcohol evaporates.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Remove the lids from the dishes and the screw caps from the bottles. Place each dish, without the lid, upside down on the bottom of each 250 mL centrifuge bottle.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Slowly add 32 mL of Enucleation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Medium to each bottle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allowing the medium to enter the dish and come into contact with the cells. Remove any bubbles from the dishes using a long glass Pasteur pipette, curving the tip in a Bunsen flame.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remove the bubbles to allow the medium to enter the dish and come in contact with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Close each bottle with the screw cap and transfer them to the centrifuge.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auto"/>
          <w:spacing w:val="0"/>
          <w:position w:val="0"/>
          <w:sz w:val="24"/>
          <w:shd w:fill="FFFF00" w:val="clear"/>
        </w:rPr>
        <w:t xml:space="preserve">Centrifuge 20 min at 37 &amp;#176;C and 8,000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acceleration max, deceleration slow.</w:t>
      </w:r>
      <w:r>
        <w:rPr>
          <w:rFonts w:ascii="Calibri" w:hAnsi="Calibri" w:cs="Calibri" w:eastAsia="Calibri"/>
          <w:color w:val="auto"/>
          <w:spacing w:val="0"/>
          <w:position w:val="0"/>
          <w:sz w:val="24"/>
          <w:shd w:fill="auto" w:val="clear"/>
        </w:rPr>
        <w:t xml:space="preserve"> Pay attention to balance the centrifuge: counterweight each bottle. If necessary, adjust the weight by adding a suitable volume of Enucleation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During centrifugation, use vacuum or a 10 mL serological pipette to aspirate and discard the medium from the 143BTK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culture plates and wash them twice using 4 mL of 1x PBS w/o calcium and magnesium.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Add 2 mL of trypsin to cover the cell monolayer completely.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Place the dishes in a 37 &amp;#176;C incubator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Remove the dishes from the incubator, observe cell detachment using an inverted microscope for live cells (objectives 4x or 10x), and inhibit the enzyme activity by adding 2 mL of Supplemented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Aspirate the 4 mL of the cell suspension in the dish with a 10 mL pipette and transfer it to a 15 mL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Count the cells using a Burker hemocytometer chamber or an automated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At the end of centrifugation, aspirate the medium from the bottles and discard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Remove the dishes by inverting the bottles on a sterile gauze previously sprayed with 70% ethanol. Clean the outer surface of the dishes and their lids with 70% ethanol. Wait until the alcohol evaporates, and then close the dishes.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Before proceeding, check for cytoplast (ghost) formation using an inverted microscope for live cells (objective 4x or 10x). Look for extremely elongated fibroblasts due to the extrusion of their nuclei induced by cytochalasin 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To each 35 mm dish, add 1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of 143BTK</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rho</w:t>
      </w:r>
      <w:r>
        <w:rPr>
          <w:rFonts w:ascii="Calibri" w:hAnsi="Calibri" w:cs="Calibri" w:eastAsia="Calibri"/>
          <w:color w:val="auto"/>
          <w:spacing w:val="0"/>
          <w:position w:val="0"/>
          <w:sz w:val="24"/>
          <w:shd w:fill="FFFF00" w:val="clear"/>
          <w:vertAlign w:val="superscript"/>
        </w:rPr>
        <w:t xml:space="preserve">0</w:t>
      </w:r>
      <w:r>
        <w:rPr>
          <w:rFonts w:ascii="Calibri" w:hAnsi="Calibri" w:cs="Calibri" w:eastAsia="Calibri"/>
          <w:color w:val="auto"/>
          <w:spacing w:val="0"/>
          <w:position w:val="0"/>
          <w:sz w:val="24"/>
          <w:shd w:fill="FFFF00" w:val="clear"/>
        </w:rPr>
        <w:t xml:space="preserve"> cells resuspended in 2 mL of 143BTK</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rho</w:t>
      </w:r>
      <w:r>
        <w:rPr>
          <w:rFonts w:ascii="Calibri" w:hAnsi="Calibri" w:cs="Calibri" w:eastAsia="Calibri"/>
          <w:color w:val="auto"/>
          <w:spacing w:val="0"/>
          <w:position w:val="0"/>
          <w:sz w:val="24"/>
          <w:shd w:fill="FFFF00" w:val="clear"/>
          <w:vertAlign w:val="superscript"/>
        </w:rPr>
        <w:t xml:space="preserve">0</w:t>
      </w:r>
      <w:r>
        <w:rPr>
          <w:rFonts w:ascii="Calibri" w:hAnsi="Calibri" w:cs="Calibri" w:eastAsia="Calibri"/>
          <w:color w:val="auto"/>
          <w:spacing w:val="0"/>
          <w:position w:val="0"/>
          <w:sz w:val="24"/>
          <w:shd w:fill="FFFF00" w:val="clear"/>
        </w:rPr>
        <w:t xml:space="preserve"> culture medium supplemented with 5% fetal bovine serum (FBS).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Leave the dishes for 3 h in a humidified incubator at 37 &amp;#176;C and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and let the 143BTK</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rho</w:t>
      </w:r>
      <w:r>
        <w:rPr>
          <w:rFonts w:ascii="Calibri" w:hAnsi="Calibri" w:cs="Calibri" w:eastAsia="Calibri"/>
          <w:color w:val="auto"/>
          <w:spacing w:val="0"/>
          <w:position w:val="0"/>
          <w:sz w:val="24"/>
          <w:shd w:fill="FFFF00" w:val="clear"/>
          <w:vertAlign w:val="superscript"/>
        </w:rPr>
        <w:t xml:space="preserve">0</w:t>
      </w:r>
      <w:r>
        <w:rPr>
          <w:rFonts w:ascii="Calibri" w:hAnsi="Calibri" w:cs="Calibri" w:eastAsia="Calibri"/>
          <w:color w:val="auto"/>
          <w:spacing w:val="0"/>
          <w:position w:val="0"/>
          <w:sz w:val="24"/>
          <w:shd w:fill="FFFF00" w:val="clear"/>
        </w:rPr>
        <w:t xml:space="preserve"> cells settle on the ghosts. Do not disturb the dishes.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Fusion of the enucleated fibroblasts with rho</w:t>
      </w:r>
      <w:r>
        <w:rPr>
          <w:rFonts w:ascii="Calibri" w:hAnsi="Calibri" w:cs="Calibri" w:eastAsia="Calibri"/>
          <w:b/>
          <w:color w:val="auto"/>
          <w:spacing w:val="0"/>
          <w:position w:val="0"/>
          <w:sz w:val="24"/>
          <w:shd w:fill="FFFF00" w:val="clear"/>
          <w:vertAlign w:val="superscript"/>
        </w:rPr>
        <w:t xml:space="preserve">0</w:t>
      </w:r>
      <w:r>
        <w:rPr>
          <w:rFonts w:ascii="Calibri" w:hAnsi="Calibri" w:cs="Calibri" w:eastAsia="Calibri"/>
          <w:b/>
          <w:color w:val="auto"/>
          <w:spacing w:val="0"/>
          <w:position w:val="0"/>
          <w:sz w:val="24"/>
          <w:shd w:fill="FFFF00" w:val="clear"/>
        </w:rPr>
        <w:t xml:space="preserve">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After 3 h of incubation, aspirate and discard the medium from the dishes.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Wash the adherent cells twice with 2 mL of Dulbecco's Modified Eagle Medium (DMEM) high glucose w/o serum or with Minimum Essential Medium (MEM).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Aspirate and discard the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Add 500 &amp;#181;L of PEG solution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the cells and incubate for exactly 1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Aspirate and discard the PEG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Wash the cells three times using 2 mL of DMEM high glucose w/o serum or with MEM.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Add 2 mL of Fusion Medium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incubate overnight in the incubator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Cybrid selection and expansion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After overnight incubation, remove the plates from the incubator, trypsinize the cells as described above (steps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 and transfer the content of each 35 mm dish into a 100 mm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Add 8 mL of Selection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place the plates in the incubator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Change the medium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Wait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days of selection until colonies of cells appear.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Freeze one of the four Petri dishes by collecting all the clones and generating a “massive” culture as a backup of the cybrids, which can be eventually recloned and used for further investigations.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r>
      <w:r>
        <w:rPr>
          <w:rFonts w:ascii="Calibri" w:hAnsi="Calibri" w:cs="Calibri" w:eastAsia="Calibri"/>
          <w:color w:val="auto"/>
          <w:spacing w:val="0"/>
          <w:position w:val="0"/>
          <w:sz w:val="24"/>
          <w:shd w:fill="FFFF00" w:val="clear"/>
        </w:rPr>
        <w:t xml:space="preserve">Trypsinize the cells in the remaining culture dishes, count, and seed into one or more Petri dishes at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cells/dish in the Supplemented Culture Medium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until clones appear. Let them grow for some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Pellet the remaining cells by centrifugation at 1,200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at RT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Extract DNA from the pellet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Perform genotyping by variable number of tandemly repeated (VNTR) analysis as previously reported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Pick up clones from the Petri dish with cloning cylinders or a pipette tip, using a stereomicroscope to avoid pooling of different clones, and transfer them to a 96-well plate, each well containing 200 &amp;#181;L of Supplemented Culture Medium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Expand every clone until there are enough cells for freezing and extracting DNA.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Verify the mutation percentage of each clone by RFLP or other sequencing methods. Ideally, try to obtain both clones with wild-type mtDNA (0% mutation) and clones with different mutation percentages, both adding up to homoplasmic mutant mtDNA (100% mutation).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a schematic diagram of the cybrid generation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Generating cybrids requires 3 days of laboratory work plus a selection period (~2 weeks) and additional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weeks for the growth of clones. The critical steps are the quality of cytoplasts and the selection period. The morphology of cybrids resembles that of the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donor cells. Assignment of the correct mtDNA and nDNA in the cybrids is mandatory to confirm the identity of the cells. An example is given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this case, we generated cybrids starting from fibroblasts derived from a patient carrying the heteroplasmic m.3243A&amp;gt;G, one of the most common mtDNA mutations associated with mitochondrial myopathy, encephalopathy, lactic acidosis, and stroke-like episodes (MELAS). Analysis of VNTR showed that cybrid nDNA is identical to that of the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confirming the replacement of the patient’s nDNA with the 143B genome. RFLP and/or sequencing analyses can be used to assess the presence of the mtDNA mutation and the heteroplasmy percentage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diagram of the cybrid generation protocol.</w:t>
      </w:r>
      <w:r>
        <w:rPr>
          <w:rFonts w:ascii="Calibri" w:hAnsi="Calibri" w:cs="Calibri" w:eastAsia="Calibri"/>
          <w:color w:val="auto"/>
          <w:spacing w:val="0"/>
          <w:position w:val="0"/>
          <w:sz w:val="24"/>
          <w:shd w:fill="auto" w:val="clear"/>
        </w:rPr>
        <w:t xml:space="preserve"> Patient-derived fibroblasts are treated with cytochalasin B and centrifuged to obtain cytoplasts (enucleated cells). Cytoplasmic fusion of cytoplasts and mtDNA-depleted cells (143BTk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allows the generation of cybrids that can be isolated after selection in the appropriate medium. Picking up and amplification of single clones yields different heteroplasmy percentages, which in theory can vary from 100% wild-type to 100% mutated. Abbreviation: mtDNA = mitochondrial DNA.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Molecular characterization of cybrids.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Analysis of Apo-B microsatellites shows that the nDNA extracted from the generated cybrids is identical to the nuclear DNA of the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cell line.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HaeIII</w:t>
      </w:r>
      <w:r>
        <w:rPr>
          <w:rFonts w:ascii="Calibri" w:hAnsi="Calibri" w:cs="Calibri" w:eastAsia="Calibri"/>
          <w:color w:val="auto"/>
          <w:spacing w:val="0"/>
          <w:position w:val="0"/>
          <w:sz w:val="24"/>
          <w:shd w:fill="auto" w:val="clear"/>
        </w:rPr>
        <w:t xml:space="preserve"> restriction maps of the PCR product spanning the MELAS-associated m.3243A&amp;gt;G, used to quantify the amount of WT) and Mut mtDNA species.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results of RFLP analysis showing m.3243A&amp;gt;G heteroplasmy levels in different cybrid clones (c1, c2, c3). Abbreviations: M = marker; bp = base pairs; WT = wild-type; Mut = mutant; RFLP = restriction fragment length polymorphism; MELAS = mitochondrial myopathy, encephalopathy, lactic acidosis, and stroke-like episodes.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Details of media used for cybrid 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mtDNA has a very high mutation rate compared to nDNA because of the lack of protective histones and its location close to the respiratory chain, which exposes the molecule to damaging oxidative effects not efficiently counteracted by the repair systems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first pathogenic mtDNA mutations were identified in 1988</w:t>
      </w:r>
      <w:r>
        <w:rPr>
          <w:rFonts w:ascii="Calibri" w:hAnsi="Calibri" w:cs="Calibri" w:eastAsia="Calibri"/>
          <w:color w:val="auto"/>
          <w:spacing w:val="0"/>
          <w:position w:val="0"/>
          <w:sz w:val="24"/>
          <w:shd w:fill="auto" w:val="clear"/>
          <w:vertAlign w:val="superscript"/>
        </w:rPr>
        <w:t xml:space="preserve">17, 18</w:t>
      </w:r>
      <w:r>
        <w:rPr>
          <w:rFonts w:ascii="Calibri" w:hAnsi="Calibri" w:cs="Calibri" w:eastAsia="Calibri"/>
          <w:color w:val="auto"/>
          <w:spacing w:val="0"/>
          <w:position w:val="0"/>
          <w:sz w:val="24"/>
          <w:shd w:fill="auto" w:val="clear"/>
        </w:rPr>
        <w:t xml:space="preserve">, and since then, a large number of mutations have been described. NGS technology is a relevant approach to screen the entire mitochondrial genome and easily identify variants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However, assessing the pathogenic role of a never-described mtDNA mutation can be challenging and still relies on “old-fashioned” methods such as the generation of cybrid cells described in this protocol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cybrid generation described here recapitulates the original methods described by King and Attardi</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other protocols contain minor modifications mainly related to systems for cell enucleation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other instances, enucleation is unnecessary, for example, when the patient-derived biological material consists of platelets, which do not contain a nucleus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Transmitochondrial cybrids possess several important features, making them a relevant research tool even when high-throughput molecular technologies can profile DNA and RNA at the single-cell level. In pioneering works, cybrids were used to establish or confirm the genetic origin of disorders clinically and biochemically defined as mitochondrial disorders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9,20</w:t>
      </w:r>
      <w:r>
        <w:rPr>
          <w:rFonts w:ascii="Calibri" w:hAnsi="Calibri" w:cs="Calibri" w:eastAsia="Calibri"/>
          <w:color w:val="auto"/>
          <w:spacing w:val="0"/>
          <w:position w:val="0"/>
          <w:sz w:val="24"/>
          <w:shd w:fill="auto" w:val="clear"/>
        </w:rPr>
        <w:t xml:space="preserve">. Indeed, the system exclusively allows the study of the contribution of the mtDNA mutation without the influence of the nuclear genes of the proband and in a homogeneous nuclear background of the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a quantitative genotype-to-phenotype correlation can be performed, thanks to the isolation of different cybrid clones carrying different percentages of the mutations. The different clones were selected using Selection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supplemented with dialyzed FBS and not containing uridine and pyruvate, allowing the growth of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cells fused with cytoplasts only. Thus,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cells that had not fused or had fused with intact fibroblasts (bi- or polynucleated cells), as well as any residual non-enucleated intact fibroblasts, are eliminated. Indeed,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cells are completely depleted of mtDNA by long-term exposure to low concentrations of ethidium bromide, a potent inhibitor of the mitochondrial gamma-polymerase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Lacking a functional respiratory chain,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cells rely exclusively on glycolysis for their energy requirements and become pyruvate-dependent. Additionally,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cells have become auxotrophic for pyrimidines (uridine is a pyrimidine precursor) because of the deficiency of the dihydroorotate dehydrogenase, an enzyme functioning within mitochondria and involved in the pyrimidine biosynthesis. While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cells are derived from human osteosarcoma 143B thymidine kinase-deficient (TK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fibroblasts, cytoplasts, and polynucleated hybrids are TK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Therefore, TK</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cells are removed due to exposure to 5-bromo-2'-deoxyuridine. In fact, this uridine analog is recognized by TK catalyzing the phosphorylation of deoxythymidine, which is then used in DNA biosynthesis. This process results in lethal mutations causing cell death. Another advantage of cybrids is the possibility to freeze and/or reuse them for long culture times without alterations. Moreover, like tumor cells, their high growth rate reduces the experimental study duration.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molecular prerequisite to make this system useful and reliable is to verify the correct genetic contribution of the nuclear and mitochondrial DNA and the mtDNA amount in the repopulated cybrids. Nowadays, this can be easily performed by using NGS techniques allowing the analysis of the entire mtDNA molecule to define haplogroups and continuously verifying the presence of any other unwanted pathogenic variants in addition to the variant under investigation. In the case of heteroplasmic conditions, the isolation of clones with different mutation loads, ranging ideally from 0% to 100%, can be used to correlate the mutation percentage with the severity of the mitochondrial impairment.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Possible pitfalls hidden in these cybrid generation procedures are linked to the tumor origin of the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cells used as nuclear donors. These cells are aneuploid, and it is not clear how this could eventually affect mitochondrial functions and the translation and assembly of the different respiratory chain subunits encoded by the nuclear and mitochondrial DNA, respectively. Generally, it would be advisable to generate cybrids using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cells of different origins and verify that the clones obtained display comparable phenotypes. Still another limitation is that tumor cells are mainly glycolytic while mitochondrial disorders rely massively on OXPHOS. Therefore, the impact of a glycolytic nucleus (rho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cells) on the consequences of an mtDNA mutation must be carefully established.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above limitations, the generation of cybrids has revolutionized the mitochondrial medicine field and is still used to establish the pathogenic role of novel mtDNA mutations. Moreover, cybrid technology is used to investigate the mitochondrial contribution to different diseases, ranging from common neurodegenerative disorders such as Parkinson’s, Alzheimer’s, and Huntington’s disease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to cancer and anticancer treatment</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carried out in the Center for the Study of Mitochondrial Pediatric Diseases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http://www.mitopedia.org</w:t>
        </w:r>
      </w:hyperlink>
      <w:r>
        <w:rPr>
          <w:rFonts w:ascii="Calibri" w:hAnsi="Calibri" w:cs="Calibri" w:eastAsia="Calibri"/>
          <w:color w:val="auto"/>
          <w:spacing w:val="0"/>
          <w:position w:val="0"/>
          <w:sz w:val="24"/>
          <w:shd w:fill="auto" w:val="clear"/>
        </w:rPr>
        <w:t xml:space="preserve">), funded by the Mariani Foundation. VT is a member of the European Reference Network for Rare Neuromuscular Diseases (ERN EURO-NMD).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Gorman, G. S. et al. Mitochondrial diseases. </w:t>
      </w:r>
      <w:r>
        <w:rPr>
          <w:rFonts w:ascii="Calibri" w:hAnsi="Calibri" w:cs="Calibri" w:eastAsia="Calibri"/>
          <w:i/>
          <w:color w:val="auto"/>
          <w:spacing w:val="0"/>
          <w:position w:val="0"/>
          <w:sz w:val="24"/>
          <w:shd w:fill="auto" w:val="clear"/>
        </w:rPr>
        <w:t xml:space="preserve">Nature Reviews. Disease Primers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16080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DiMauro, S., Davidzon, G. Mitochondrial DNA and disease. </w:t>
      </w:r>
      <w:r>
        <w:rPr>
          <w:rFonts w:ascii="Calibri" w:hAnsi="Calibri" w:cs="Calibri" w:eastAsia="Calibri"/>
          <w:i/>
          <w:color w:val="auto"/>
          <w:spacing w:val="0"/>
          <w:position w:val="0"/>
          <w:sz w:val="24"/>
          <w:shd w:fill="auto" w:val="clear"/>
        </w:rPr>
        <w:t xml:space="preserve">Annals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El-Hattab, A. W., Craigen, W. J., Scaglia, F. Mitochondrial DNA maintenance defects. </w:t>
      </w:r>
      <w:r>
        <w:rPr>
          <w:rFonts w:ascii="Calibri" w:hAnsi="Calibri" w:cs="Calibri" w:eastAsia="Calibri"/>
          <w:i/>
          <w:color w:val="auto"/>
          <w:spacing w:val="0"/>
          <w:position w:val="0"/>
          <w:sz w:val="24"/>
          <w:shd w:fill="auto" w:val="clear"/>
        </w:rPr>
        <w:t xml:space="preserve">Biochimica et Biophysica Acta (BBA) - Molecular Basis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1863</w:t>
      </w:r>
      <w:r>
        <w:rPr>
          <w:rFonts w:ascii="Calibri" w:hAnsi="Calibri" w:cs="Calibri" w:eastAsia="Calibri"/>
          <w:color w:val="auto"/>
          <w:spacing w:val="0"/>
          <w:position w:val="0"/>
          <w:sz w:val="24"/>
          <w:shd w:fill="auto" w:val="clear"/>
        </w:rPr>
        <w:t xml:space="preserve"> (6), 1539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Stewart, J. B., Chinnery, P. F. The dynamics of mitochondrial DNA heteroplasmy: implications for human health and disease.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 530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King, M. P., Attardi, G. Human cells lacking mtDNA: repopulation with exogenous mitochondria by complementation.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 (4929),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Trounce, I., Neill, S., Wallace, D. C. Cytoplasmic transfer of the mtDNA nt 8993 T--&amp;gt;G (ATP6) point mutation associated with Leigh syndrome into mtDNA-less cells demonstrates cosegregation with a decrease in state III respiration and ADP/O ratio.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(18), 8334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8338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Jun, A. S., Trounce, I. A., Brown, M. D., Shoffner, J. M., Wallace, D. C. Use of transmitochondrial cybrids to assign a complex I defect to the mitochondrial DNA-encoded NADH dehydrogenase subunit 6 gene mutation at nucleotide pair 14459 that causes Leber hereditary optic neuropathy and dystonia.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771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777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Dunbar, D. R., Moonie, P. A., Zeviani, M., Holt, I. J. Complex I deficiency is associated with 3243G:C mitochondrial DNA in osteosarcoma cell cybrids.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Pye,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Production of transmitochondrial cybrids containing naturally occurring pathogenic mtDNA variants.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(13), e95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Bacman, S. R., Nissanka, N., Moraes, C. T. Chapter 18 - Cybrid technology.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Rucheton, B. et al. Homoplasmic deleterious MT-ATP6/8 mutations in adult patients. </w:t>
      </w:r>
      <w:r>
        <w:rPr>
          <w:rFonts w:ascii="Calibri" w:hAnsi="Calibri" w:cs="Calibri" w:eastAsia="Calibri"/>
          <w:i/>
          <w:color w:val="auto"/>
          <w:spacing w:val="0"/>
          <w:position w:val="0"/>
          <w:sz w:val="24"/>
          <w:shd w:fill="auto" w:val="clear"/>
        </w:rPr>
        <w:t xml:space="preserve">Mitochondrion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Xu, M. et al. Identification of a novel variant in MT-CO3 causing MELAS. </w:t>
      </w:r>
      <w:r>
        <w:rPr>
          <w:rFonts w:ascii="Calibri" w:hAnsi="Calibri" w:cs="Calibri" w:eastAsia="Calibri"/>
          <w:i/>
          <w:color w:val="auto"/>
          <w:spacing w:val="0"/>
          <w:position w:val="0"/>
          <w:sz w:val="24"/>
          <w:shd w:fill="auto" w:val="clear"/>
        </w:rPr>
        <w:t xml:space="preserve">Frontiers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638749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Habbane, M. et al. Human Mitochondrial DNA: Particularities and diseases. </w:t>
      </w:r>
      <w:r>
        <w:rPr>
          <w:rFonts w:ascii="Calibri" w:hAnsi="Calibri" w:cs="Calibri" w:eastAsia="Calibri"/>
          <w:i/>
          <w:color w:val="auto"/>
          <w:spacing w:val="0"/>
          <w:position w:val="0"/>
          <w:sz w:val="24"/>
          <w:shd w:fill="auto" w:val="clear"/>
        </w:rPr>
        <w:t xml:space="preserve">Biomedicines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1364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Legati, A. et al. Current and new Next-Generation Sequencing approaches to study mitochondrial DNA. </w:t>
      </w:r>
      <w:r>
        <w:rPr>
          <w:rFonts w:ascii="Calibri" w:hAnsi="Calibri" w:cs="Calibri" w:eastAsia="Calibri"/>
          <w:i/>
          <w:color w:val="auto"/>
          <w:spacing w:val="0"/>
          <w:position w:val="0"/>
          <w:sz w:val="24"/>
          <w:shd w:fill="auto" w:val="clear"/>
        </w:rPr>
        <w:t xml:space="preserve">The Journal of Molecular Diagnostics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732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Boerwinkle, E., Xiong, W. J., Fourest, E., Chan, L. Rapid typing of tandemly repeated hypervariable loci by the polymerase chain reaction: application to the apolipoprotein B 3’ hypervariable region.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 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Lawless, C., Greaves, L., Reeve, A. K., Turnbull, D. M., Vincent, A. E. The rise and rise of mitochondrial DNA mutations. </w:t>
      </w:r>
      <w:r>
        <w:rPr>
          <w:rFonts w:ascii="Calibri" w:hAnsi="Calibri" w:cs="Calibri" w:eastAsia="Calibri"/>
          <w:i/>
          <w:color w:val="auto"/>
          <w:spacing w:val="0"/>
          <w:position w:val="0"/>
          <w:sz w:val="24"/>
          <w:shd w:fill="auto" w:val="clear"/>
        </w:rPr>
        <w:t xml:space="preserve">Open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200061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Wallace, D. C. et al. Mitochondrial DNA mutation associated with Leber’s hereditary optic neuropathy.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242</w:t>
      </w:r>
      <w:r>
        <w:rPr>
          <w:rFonts w:ascii="Calibri" w:hAnsi="Calibri" w:cs="Calibri" w:eastAsia="Calibri"/>
          <w:color w:val="auto"/>
          <w:spacing w:val="0"/>
          <w:position w:val="0"/>
          <w:sz w:val="24"/>
          <w:shd w:fill="auto" w:val="clear"/>
        </w:rPr>
        <w:t xml:space="preserve"> (4884), 1427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1430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Holt, I. J., Harding, A. E., Morgan-Hughes, J. A. Deletions of muscle mitochondrial DNA in patients with mitochondrial myopathies.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331</w:t>
      </w:r>
      <w:r>
        <w:rPr>
          <w:rFonts w:ascii="Calibri" w:hAnsi="Calibri" w:cs="Calibri" w:eastAsia="Calibri"/>
          <w:color w:val="auto"/>
          <w:spacing w:val="0"/>
          <w:position w:val="0"/>
          <w:sz w:val="24"/>
          <w:shd w:fill="auto" w:val="clear"/>
        </w:rPr>
        <w:t xml:space="preserve"> (6158), 717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719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Chomyn, A. Platelet-mediated transformation of human mitochondrial DNA-less cells.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264</w:t>
      </w:r>
      <w:r>
        <w:rPr>
          <w:rFonts w:ascii="Calibri" w:hAnsi="Calibri" w:cs="Calibri" w:eastAsia="Calibri"/>
          <w:color w:val="auto"/>
          <w:spacing w:val="0"/>
          <w:position w:val="0"/>
          <w:sz w:val="24"/>
          <w:shd w:fill="auto" w:val="clear"/>
        </w:rPr>
        <w:t xml:space="preserve">, 334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339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Sazonova, M.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Cybrid models of pathological cell processes in different diseases. </w:t>
      </w:r>
      <w:r>
        <w:rPr>
          <w:rFonts w:ascii="Calibri" w:hAnsi="Calibri" w:cs="Calibri" w:eastAsia="Calibri"/>
          <w:i/>
          <w:color w:val="auto"/>
          <w:spacing w:val="0"/>
          <w:position w:val="0"/>
          <w:sz w:val="24"/>
          <w:shd w:fill="auto" w:val="clear"/>
        </w:rPr>
        <w:t xml:space="preserve">Oxidative Medicine and Cellular Longevity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4647214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Tarrago-Litvak, L. et al. The inhibition of mitochondrial DNA polymerase gamma from animal cells by intercalating drugs.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2197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2210 (1978).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Swerdlow, R. H. et al. Mitochondria, cybrids, aging, and Alzheimer’s disease. </w:t>
      </w:r>
      <w:r>
        <w:rPr>
          <w:rFonts w:ascii="Calibri" w:hAnsi="Calibri" w:cs="Calibri" w:eastAsia="Calibri"/>
          <w:i/>
          <w:color w:val="auto"/>
          <w:spacing w:val="0"/>
          <w:position w:val="0"/>
          <w:sz w:val="24"/>
          <w:shd w:fill="auto" w:val="clear"/>
        </w:rPr>
        <w:t xml:space="preserve">Progress in Molecular Biology and Translational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Ghosh, S. S. et al. Use of cytoplasmic hybrid cell lines for elucidating the role of mitochondrial dysfunction in Alzheimer’s disease and Parkinson’s disease.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893</w:t>
      </w:r>
      <w:r>
        <w:rPr>
          <w:rFonts w:ascii="Calibri" w:hAnsi="Calibri" w:cs="Calibri" w:eastAsia="Calibri"/>
          <w:color w:val="auto"/>
          <w:spacing w:val="0"/>
          <w:position w:val="0"/>
          <w:sz w:val="24"/>
          <w:shd w:fill="auto" w:val="clear"/>
        </w:rPr>
        <w:t xml:space="preserve">, 176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Buneeva, O., Fedchenko, V., Kopylov, A., Medvedev, A. Mitochondrial dysfunction in Parkinson’s disease: focus on mitochondrial DNA. </w:t>
      </w:r>
      <w:r>
        <w:rPr>
          <w:rFonts w:ascii="Calibri" w:hAnsi="Calibri" w:cs="Calibri" w:eastAsia="Calibri"/>
          <w:i/>
          <w:color w:val="auto"/>
          <w:spacing w:val="0"/>
          <w:position w:val="0"/>
          <w:sz w:val="24"/>
          <w:shd w:fill="auto" w:val="clear"/>
        </w:rPr>
        <w:t xml:space="preserve">Biomedicines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E591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Weidling, I. W. et al. Mitochondrial DNA manipulations affect tau oligomerization. </w:t>
      </w:r>
      <w:r>
        <w:rPr>
          <w:rFonts w:ascii="Calibri" w:hAnsi="Calibri" w:cs="Calibri" w:eastAsia="Calibri"/>
          <w:i/>
          <w:color w:val="auto"/>
          <w:spacing w:val="0"/>
          <w:position w:val="0"/>
          <w:sz w:val="24"/>
          <w:shd w:fill="auto" w:val="clear"/>
        </w:rPr>
        <w:t xml:space="preserve">Journal of Alzheimer’s disease: JAD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Ferreira, I.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Bioenergetic dysfunction in Huntington’s disease human cybrids.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 (1),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Cruz-Bermúdez, A. et al. Spotlight on the relevance of mtDNA in cancer. </w:t>
      </w:r>
      <w:r>
        <w:rPr>
          <w:rFonts w:ascii="Calibri" w:hAnsi="Calibri" w:cs="Calibri" w:eastAsia="Calibri"/>
          <w:i/>
          <w:color w:val="auto"/>
          <w:spacing w:val="0"/>
          <w:position w:val="0"/>
          <w:sz w:val="24"/>
          <w:shd w:fill="auto" w:val="clear"/>
        </w:rPr>
        <w:t xml:space="preserve">Clinical &amp;amp; Translational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Patel, T. H. et al. European mtDNA variants are associated with differential responses to cisplatin, an anticancer drug: implications for drug resistance and side effects. </w:t>
      </w:r>
      <w:r>
        <w:rPr>
          <w:rFonts w:ascii="Calibri" w:hAnsi="Calibri" w:cs="Calibri" w:eastAsia="Calibri"/>
          <w:i/>
          <w:color w:val="auto"/>
          <w:spacing w:val="0"/>
          <w:position w:val="0"/>
          <w:sz w:val="24"/>
          <w:shd w:fill="auto" w:val="clear"/>
        </w:rPr>
        <w:t xml:space="preserve">Frontiers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640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mitopedia.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