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CA6BA" w14:textId="32F9FFDA" w:rsidR="00A160F9" w:rsidRDefault="00A160F9" w:rsidP="003A6C81">
      <w:pPr>
        <w:spacing w:after="0" w:line="240" w:lineRule="auto"/>
        <w:jc w:val="both"/>
        <w:rPr>
          <w:rFonts w:ascii="Arial" w:hAnsi="Arial" w:cs="Arial"/>
          <w:b/>
        </w:rPr>
      </w:pPr>
      <w:r w:rsidRPr="00A160F9">
        <w:rPr>
          <w:rFonts w:ascii="Arial" w:hAnsi="Arial" w:cs="Arial"/>
          <w:b/>
          <w:u w:val="single"/>
        </w:rPr>
        <w:t>Response to reviewer</w:t>
      </w:r>
      <w:r w:rsidR="005B672F">
        <w:rPr>
          <w:rFonts w:ascii="Arial" w:hAnsi="Arial" w:cs="Arial"/>
          <w:b/>
          <w:u w:val="single"/>
        </w:rPr>
        <w:t>s</w:t>
      </w:r>
      <w:r w:rsidRPr="00A160F9">
        <w:rPr>
          <w:rFonts w:ascii="Arial" w:hAnsi="Arial" w:cs="Arial"/>
          <w:b/>
        </w:rPr>
        <w:t xml:space="preserve">: </w:t>
      </w:r>
      <w:r>
        <w:rPr>
          <w:rFonts w:ascii="Arial" w:hAnsi="Arial" w:cs="Arial"/>
          <w:b/>
        </w:rPr>
        <w:t>(</w:t>
      </w:r>
      <w:bookmarkStart w:id="0" w:name="_Hlk50988597"/>
      <w:r w:rsidR="00A9584E">
        <w:rPr>
          <w:rFonts w:ascii="Arial" w:hAnsi="Arial" w:cs="Arial"/>
          <w:b/>
        </w:rPr>
        <w:t>JoVE63395</w:t>
      </w:r>
      <w:bookmarkEnd w:id="0"/>
      <w:r>
        <w:rPr>
          <w:rFonts w:ascii="Arial" w:hAnsi="Arial" w:cs="Arial"/>
          <w:b/>
        </w:rPr>
        <w:t xml:space="preserve">: </w:t>
      </w:r>
      <w:r w:rsidR="006125BE">
        <w:rPr>
          <w:rFonts w:ascii="Arial" w:hAnsi="Arial" w:cs="Arial"/>
          <w:b/>
        </w:rPr>
        <w:t>Ham</w:t>
      </w:r>
      <w:r w:rsidR="00A9584E">
        <w:rPr>
          <w:rFonts w:ascii="Arial" w:hAnsi="Arial" w:cs="Arial"/>
          <w:b/>
        </w:rPr>
        <w:t xml:space="preserve"> </w:t>
      </w:r>
      <w:r w:rsidR="00A66FEB">
        <w:rPr>
          <w:rFonts w:ascii="Arial" w:hAnsi="Arial" w:cs="Arial"/>
          <w:b/>
        </w:rPr>
        <w:t xml:space="preserve">and Smothers </w:t>
      </w:r>
      <w:r w:rsidR="00A9584E">
        <w:rPr>
          <w:rFonts w:ascii="Arial" w:hAnsi="Arial" w:cs="Arial"/>
          <w:b/>
        </w:rPr>
        <w:t>et al.</w:t>
      </w:r>
      <w:r>
        <w:rPr>
          <w:rFonts w:ascii="Arial" w:hAnsi="Arial" w:cs="Arial"/>
          <w:b/>
        </w:rPr>
        <w:t>)</w:t>
      </w:r>
    </w:p>
    <w:p w14:paraId="08A5070A" w14:textId="223BAABE" w:rsidR="00FB6599" w:rsidRDefault="00A160F9" w:rsidP="003A6C81">
      <w:pPr>
        <w:spacing w:after="0" w:line="240" w:lineRule="auto"/>
        <w:jc w:val="both"/>
        <w:rPr>
          <w:rFonts w:ascii="Arial" w:hAnsi="Arial" w:cs="Arial"/>
        </w:rPr>
      </w:pPr>
      <w:r>
        <w:rPr>
          <w:rFonts w:ascii="Arial" w:hAnsi="Arial" w:cs="Arial"/>
        </w:rPr>
        <w:t xml:space="preserve">We </w:t>
      </w:r>
      <w:r w:rsidR="00637005">
        <w:rPr>
          <w:rFonts w:ascii="Arial" w:hAnsi="Arial" w:cs="Arial"/>
        </w:rPr>
        <w:t xml:space="preserve">sincerely </w:t>
      </w:r>
      <w:r>
        <w:rPr>
          <w:rFonts w:ascii="Arial" w:hAnsi="Arial" w:cs="Arial"/>
        </w:rPr>
        <w:t>thank the reviewer</w:t>
      </w:r>
      <w:r w:rsidR="005B672F">
        <w:rPr>
          <w:rFonts w:ascii="Arial" w:hAnsi="Arial" w:cs="Arial"/>
        </w:rPr>
        <w:t>s</w:t>
      </w:r>
      <w:r>
        <w:rPr>
          <w:rFonts w:ascii="Arial" w:hAnsi="Arial" w:cs="Arial"/>
        </w:rPr>
        <w:t xml:space="preserve"> for </w:t>
      </w:r>
      <w:r w:rsidR="00FB6599">
        <w:rPr>
          <w:rFonts w:ascii="Arial" w:hAnsi="Arial" w:cs="Arial"/>
        </w:rPr>
        <w:t xml:space="preserve">generously </w:t>
      </w:r>
      <w:r>
        <w:rPr>
          <w:rFonts w:ascii="Arial" w:hAnsi="Arial" w:cs="Arial"/>
        </w:rPr>
        <w:t xml:space="preserve">taking time to review our </w:t>
      </w:r>
      <w:r w:rsidR="00DE0FAD">
        <w:rPr>
          <w:rFonts w:ascii="Arial" w:hAnsi="Arial" w:cs="Arial"/>
        </w:rPr>
        <w:t xml:space="preserve">revised </w:t>
      </w:r>
      <w:r>
        <w:rPr>
          <w:rFonts w:ascii="Arial" w:hAnsi="Arial" w:cs="Arial"/>
        </w:rPr>
        <w:t xml:space="preserve">manuscript and for their helpful comments. </w:t>
      </w:r>
      <w:r w:rsidR="006125BE">
        <w:rPr>
          <w:rFonts w:ascii="Arial" w:hAnsi="Arial" w:cs="Arial"/>
        </w:rPr>
        <w:t>We were pleased to read many positive comments including “</w:t>
      </w:r>
      <w:r w:rsidR="00A9584E">
        <w:rPr>
          <w:rFonts w:ascii="Arial" w:hAnsi="Arial" w:cs="Arial"/>
          <w:i/>
          <w:iCs/>
        </w:rPr>
        <w:t>carefully reviewed</w:t>
      </w:r>
      <w:r w:rsidR="006125BE">
        <w:rPr>
          <w:rFonts w:ascii="Arial" w:hAnsi="Arial" w:cs="Arial"/>
        </w:rPr>
        <w:t>,” “</w:t>
      </w:r>
      <w:r w:rsidR="00A9584E">
        <w:rPr>
          <w:rFonts w:ascii="Arial" w:hAnsi="Arial" w:cs="Arial"/>
          <w:i/>
          <w:iCs/>
        </w:rPr>
        <w:t>provides clear guidance for interpreting results</w:t>
      </w:r>
      <w:r w:rsidR="006125BE">
        <w:rPr>
          <w:rFonts w:ascii="Arial" w:hAnsi="Arial" w:cs="Arial"/>
        </w:rPr>
        <w:t>,” and “</w:t>
      </w:r>
      <w:r w:rsidR="00A9584E">
        <w:rPr>
          <w:rFonts w:ascii="Arial" w:hAnsi="Arial" w:cs="Arial"/>
          <w:i/>
          <w:iCs/>
        </w:rPr>
        <w:t>covers timely objectives</w:t>
      </w:r>
      <w:r w:rsidR="006125BE">
        <w:rPr>
          <w:rFonts w:ascii="Arial" w:hAnsi="Arial" w:cs="Arial"/>
        </w:rPr>
        <w:t xml:space="preserve">.” </w:t>
      </w:r>
      <w:r>
        <w:rPr>
          <w:rFonts w:ascii="Arial" w:hAnsi="Arial" w:cs="Arial"/>
        </w:rPr>
        <w:t>We have edited our manuscript based on the</w:t>
      </w:r>
      <w:r w:rsidR="006125BE">
        <w:rPr>
          <w:rFonts w:ascii="Arial" w:hAnsi="Arial" w:cs="Arial"/>
        </w:rPr>
        <w:t xml:space="preserve"> reviewers’</w:t>
      </w:r>
      <w:r>
        <w:rPr>
          <w:rFonts w:ascii="Arial" w:hAnsi="Arial" w:cs="Arial"/>
        </w:rPr>
        <w:t xml:space="preserve"> </w:t>
      </w:r>
      <w:r w:rsidR="002F480C">
        <w:rPr>
          <w:rFonts w:ascii="Arial" w:hAnsi="Arial" w:cs="Arial"/>
        </w:rPr>
        <w:t>comments</w:t>
      </w:r>
      <w:r>
        <w:rPr>
          <w:rFonts w:ascii="Arial" w:hAnsi="Arial" w:cs="Arial"/>
        </w:rPr>
        <w:t xml:space="preserve">. Below, we </w:t>
      </w:r>
      <w:r w:rsidR="00714120">
        <w:rPr>
          <w:rFonts w:ascii="Arial" w:hAnsi="Arial" w:cs="Arial"/>
        </w:rPr>
        <w:t>paraphrase</w:t>
      </w:r>
      <w:r w:rsidR="007358AC">
        <w:rPr>
          <w:rFonts w:ascii="Arial" w:hAnsi="Arial" w:cs="Arial"/>
        </w:rPr>
        <w:t xml:space="preserve"> the </w:t>
      </w:r>
      <w:r w:rsidR="0094022B">
        <w:rPr>
          <w:rFonts w:ascii="Arial" w:hAnsi="Arial" w:cs="Arial"/>
        </w:rPr>
        <w:t xml:space="preserve">reviewers’ </w:t>
      </w:r>
      <w:r w:rsidR="006125BE">
        <w:rPr>
          <w:rFonts w:ascii="Arial" w:hAnsi="Arial" w:cs="Arial"/>
        </w:rPr>
        <w:t>suggestions</w:t>
      </w:r>
      <w:r>
        <w:rPr>
          <w:rFonts w:ascii="Arial" w:hAnsi="Arial" w:cs="Arial"/>
        </w:rPr>
        <w:t xml:space="preserve"> (in italics), provide responses, and summarize our changes. </w:t>
      </w:r>
      <w:r w:rsidR="00A467A4">
        <w:rPr>
          <w:rFonts w:ascii="Arial" w:hAnsi="Arial" w:cs="Arial"/>
        </w:rPr>
        <w:t xml:space="preserve">We have provided both a marked up copy of the original manuscript and a clean copy. </w:t>
      </w:r>
      <w:r>
        <w:rPr>
          <w:rFonts w:ascii="Arial" w:hAnsi="Arial" w:cs="Arial"/>
        </w:rPr>
        <w:t xml:space="preserve">The line numbers correspond to the newly edited </w:t>
      </w:r>
      <w:r w:rsidR="00FB6599">
        <w:rPr>
          <w:rFonts w:ascii="Arial" w:hAnsi="Arial" w:cs="Arial"/>
        </w:rPr>
        <w:t xml:space="preserve">clean-copy </w:t>
      </w:r>
      <w:r>
        <w:rPr>
          <w:rFonts w:ascii="Arial" w:hAnsi="Arial" w:cs="Arial"/>
        </w:rPr>
        <w:t>manuscript. We hope that our man</w:t>
      </w:r>
      <w:r w:rsidR="00397253">
        <w:rPr>
          <w:rFonts w:ascii="Arial" w:hAnsi="Arial" w:cs="Arial"/>
        </w:rPr>
        <w:t>u</w:t>
      </w:r>
      <w:r>
        <w:rPr>
          <w:rFonts w:ascii="Arial" w:hAnsi="Arial" w:cs="Arial"/>
        </w:rPr>
        <w:t xml:space="preserve">script </w:t>
      </w:r>
      <w:r w:rsidR="005B672F">
        <w:rPr>
          <w:rFonts w:ascii="Arial" w:hAnsi="Arial" w:cs="Arial"/>
        </w:rPr>
        <w:t xml:space="preserve">is now </w:t>
      </w:r>
      <w:r>
        <w:rPr>
          <w:rFonts w:ascii="Arial" w:hAnsi="Arial" w:cs="Arial"/>
        </w:rPr>
        <w:t xml:space="preserve">suitable for </w:t>
      </w:r>
      <w:r w:rsidR="005B672F">
        <w:rPr>
          <w:rFonts w:ascii="Arial" w:hAnsi="Arial" w:cs="Arial"/>
        </w:rPr>
        <w:t xml:space="preserve">publication in </w:t>
      </w:r>
      <w:r w:rsidR="00A9584E">
        <w:rPr>
          <w:rFonts w:ascii="Arial" w:hAnsi="Arial" w:cs="Arial"/>
          <w:i/>
        </w:rPr>
        <w:t>JoVE.</w:t>
      </w:r>
      <w:r w:rsidR="005B672F">
        <w:rPr>
          <w:rFonts w:ascii="Arial" w:hAnsi="Arial" w:cs="Arial"/>
        </w:rPr>
        <w:t xml:space="preserve">  </w:t>
      </w:r>
    </w:p>
    <w:p w14:paraId="336BC047" w14:textId="77777777" w:rsidR="00A9584E" w:rsidRDefault="00A9584E" w:rsidP="003A6C81">
      <w:pPr>
        <w:spacing w:after="0" w:line="240" w:lineRule="auto"/>
        <w:jc w:val="both"/>
        <w:rPr>
          <w:rFonts w:ascii="Arial" w:hAnsi="Arial" w:cs="Arial"/>
          <w:b/>
          <w:u w:val="single"/>
        </w:rPr>
      </w:pPr>
    </w:p>
    <w:p w14:paraId="62D6D1DC" w14:textId="74D89226" w:rsidR="00A160F9" w:rsidRDefault="00FB6599" w:rsidP="003A6C81">
      <w:pPr>
        <w:spacing w:after="0" w:line="240" w:lineRule="auto"/>
        <w:jc w:val="both"/>
        <w:rPr>
          <w:rFonts w:ascii="Arial" w:hAnsi="Arial" w:cs="Arial"/>
        </w:rPr>
      </w:pPr>
      <w:r w:rsidRPr="00FB6599">
        <w:rPr>
          <w:rFonts w:ascii="Arial" w:hAnsi="Arial" w:cs="Arial"/>
          <w:b/>
          <w:u w:val="single"/>
        </w:rPr>
        <w:t>Reviewer 1</w:t>
      </w:r>
      <w:r w:rsidR="00A160F9" w:rsidRPr="00FB6599">
        <w:rPr>
          <w:rFonts w:ascii="Arial" w:hAnsi="Arial" w:cs="Arial"/>
          <w:b/>
          <w:i/>
          <w:u w:val="single"/>
        </w:rPr>
        <w:t xml:space="preserve"> </w:t>
      </w:r>
    </w:p>
    <w:p w14:paraId="4C46BE09" w14:textId="77777777" w:rsidR="006125BE" w:rsidRDefault="007358AC" w:rsidP="003A6C81">
      <w:pPr>
        <w:spacing w:after="0" w:line="240" w:lineRule="auto"/>
        <w:jc w:val="both"/>
        <w:rPr>
          <w:rFonts w:ascii="Arial" w:hAnsi="Arial" w:cs="Arial"/>
        </w:rPr>
      </w:pPr>
      <w:r>
        <w:rPr>
          <w:rFonts w:ascii="Arial" w:hAnsi="Arial" w:cs="Arial"/>
        </w:rPr>
        <w:t>We thank Reviewer 1 for taking time to review our manuscript</w:t>
      </w:r>
      <w:r w:rsidR="006125BE">
        <w:rPr>
          <w:rFonts w:ascii="Arial" w:hAnsi="Arial" w:cs="Arial"/>
        </w:rPr>
        <w:t xml:space="preserve">.  </w:t>
      </w:r>
    </w:p>
    <w:p w14:paraId="6DC7545F" w14:textId="77777777" w:rsidR="006125BE" w:rsidRDefault="006125BE" w:rsidP="003A6C81">
      <w:pPr>
        <w:spacing w:after="0" w:line="240" w:lineRule="auto"/>
        <w:jc w:val="both"/>
        <w:rPr>
          <w:rFonts w:ascii="Arial" w:hAnsi="Arial" w:cs="Arial"/>
        </w:rPr>
      </w:pPr>
    </w:p>
    <w:p w14:paraId="0D4EB4AD" w14:textId="1B10DDF0" w:rsidR="00714120" w:rsidRPr="00320FC0" w:rsidRDefault="006125BE" w:rsidP="00A9584E">
      <w:pPr>
        <w:spacing w:after="0" w:line="240" w:lineRule="auto"/>
        <w:jc w:val="both"/>
        <w:rPr>
          <w:rFonts w:ascii="Arial" w:hAnsi="Arial" w:cs="Arial"/>
        </w:rPr>
      </w:pPr>
      <w:r>
        <w:rPr>
          <w:rFonts w:ascii="Arial" w:hAnsi="Arial" w:cs="Arial"/>
        </w:rPr>
        <w:t xml:space="preserve">1. </w:t>
      </w:r>
      <w:r w:rsidR="00A9584E">
        <w:rPr>
          <w:rFonts w:ascii="Arial" w:hAnsi="Arial" w:cs="Arial"/>
        </w:rPr>
        <w:t>We apologize that the formatting was difficult to read</w:t>
      </w:r>
      <w:r w:rsidR="00D65D75">
        <w:rPr>
          <w:rFonts w:ascii="Arial" w:hAnsi="Arial" w:cs="Arial"/>
        </w:rPr>
        <w:t>; we were following the JoVE submission formatting guidelines which require highlighting of sections. We have tried to include a bit more</w:t>
      </w:r>
      <w:r w:rsidR="00FF4F09">
        <w:rPr>
          <w:rFonts w:ascii="Arial" w:hAnsi="Arial" w:cs="Arial"/>
        </w:rPr>
        <w:t xml:space="preserve"> </w:t>
      </w:r>
      <w:r w:rsidR="00D65D75">
        <w:rPr>
          <w:rFonts w:ascii="Arial" w:hAnsi="Arial" w:cs="Arial"/>
        </w:rPr>
        <w:t>white space while maintaining adherence to the formatting instructions to help with manuscript readability.</w:t>
      </w:r>
    </w:p>
    <w:p w14:paraId="3D6F346A" w14:textId="77777777" w:rsidR="00DF214C" w:rsidRDefault="00DF214C" w:rsidP="00B90E16">
      <w:pPr>
        <w:spacing w:after="0" w:line="240" w:lineRule="auto"/>
        <w:jc w:val="both"/>
        <w:rPr>
          <w:rFonts w:ascii="Arial" w:hAnsi="Arial" w:cs="Arial"/>
          <w:b/>
          <w:u w:val="single"/>
        </w:rPr>
      </w:pPr>
    </w:p>
    <w:p w14:paraId="57F39EAE" w14:textId="23E258A3" w:rsidR="00B90E16" w:rsidRDefault="00B90E16" w:rsidP="00B90E16">
      <w:pPr>
        <w:spacing w:after="0" w:line="240" w:lineRule="auto"/>
        <w:jc w:val="both"/>
        <w:rPr>
          <w:rFonts w:ascii="Arial" w:hAnsi="Arial" w:cs="Arial"/>
          <w:b/>
          <w:u w:val="single"/>
        </w:rPr>
      </w:pPr>
      <w:r w:rsidRPr="00FA6838">
        <w:rPr>
          <w:rFonts w:ascii="Arial" w:hAnsi="Arial" w:cs="Arial"/>
          <w:b/>
          <w:u w:val="single"/>
        </w:rPr>
        <w:t>Reviewer 2</w:t>
      </w:r>
    </w:p>
    <w:p w14:paraId="381B50CE" w14:textId="52CC6603" w:rsidR="007358AC" w:rsidRDefault="007358AC" w:rsidP="00B90E16">
      <w:pPr>
        <w:spacing w:after="0" w:line="240" w:lineRule="auto"/>
        <w:jc w:val="both"/>
        <w:rPr>
          <w:rFonts w:ascii="Arial" w:hAnsi="Arial" w:cs="Arial"/>
        </w:rPr>
      </w:pPr>
      <w:r>
        <w:rPr>
          <w:rFonts w:ascii="Arial" w:hAnsi="Arial" w:cs="Arial"/>
        </w:rPr>
        <w:t xml:space="preserve">We thank Reviewer 2 for taking time to review our manuscript.  </w:t>
      </w:r>
    </w:p>
    <w:p w14:paraId="41227D2B" w14:textId="6DBC9102" w:rsidR="00840521" w:rsidRPr="00840521" w:rsidRDefault="007358AC" w:rsidP="00840521">
      <w:pPr>
        <w:spacing w:after="0" w:line="240" w:lineRule="auto"/>
        <w:jc w:val="both"/>
        <w:rPr>
          <w:rFonts w:ascii="Arial" w:hAnsi="Arial" w:cs="Arial"/>
        </w:rPr>
      </w:pPr>
      <w:r>
        <w:rPr>
          <w:rFonts w:ascii="Arial" w:hAnsi="Arial" w:cs="Arial"/>
        </w:rPr>
        <w:t xml:space="preserve"> </w:t>
      </w:r>
    </w:p>
    <w:p w14:paraId="2AAB8F89" w14:textId="3904C6D0" w:rsidR="00840521" w:rsidRPr="00AE3E30" w:rsidRDefault="00840521" w:rsidP="00840521">
      <w:pPr>
        <w:spacing w:after="0" w:line="240" w:lineRule="auto"/>
        <w:jc w:val="both"/>
        <w:rPr>
          <w:rFonts w:ascii="Arial" w:hAnsi="Arial" w:cs="Arial"/>
        </w:rPr>
      </w:pPr>
      <w:r w:rsidRPr="00473E90">
        <w:rPr>
          <w:rFonts w:ascii="Arial" w:hAnsi="Arial" w:cs="Arial"/>
        </w:rPr>
        <w:t>1</w:t>
      </w:r>
      <w:r w:rsidRPr="00840521">
        <w:rPr>
          <w:rFonts w:ascii="Arial" w:hAnsi="Arial" w:cs="Arial"/>
        </w:rPr>
        <w:t>.</w:t>
      </w:r>
      <w:r>
        <w:rPr>
          <w:rFonts w:ascii="Arial" w:hAnsi="Arial" w:cs="Arial"/>
        </w:rPr>
        <w:t xml:space="preserve"> </w:t>
      </w:r>
      <w:r w:rsidRPr="00840521">
        <w:rPr>
          <w:rFonts w:ascii="Arial" w:hAnsi="Arial" w:cs="Arial"/>
          <w:i/>
          <w:iCs/>
        </w:rPr>
        <w:t>“Please comment on the name “TigerSaliva” in the abstract.”</w:t>
      </w:r>
      <w:r>
        <w:rPr>
          <w:rFonts w:ascii="Arial" w:hAnsi="Arial" w:cs="Arial"/>
          <w:i/>
          <w:iCs/>
        </w:rPr>
        <w:t xml:space="preserve"> </w:t>
      </w:r>
      <w:r w:rsidR="00AE3E30">
        <w:rPr>
          <w:rFonts w:ascii="Arial" w:hAnsi="Arial" w:cs="Arial"/>
        </w:rPr>
        <w:t xml:space="preserve">The name for the assay originates from the mascot of Clemson University and the direct saliva testing method. </w:t>
      </w:r>
      <w:r w:rsidR="00473E90">
        <w:rPr>
          <w:rFonts w:ascii="Arial" w:hAnsi="Arial" w:cs="Arial"/>
        </w:rPr>
        <w:t xml:space="preserve">We </w:t>
      </w:r>
      <w:r w:rsidR="00D65D75">
        <w:rPr>
          <w:rFonts w:ascii="Arial" w:hAnsi="Arial" w:cs="Arial"/>
        </w:rPr>
        <w:t>removed the reference to the name of the assay in the abstract to avoid confusion</w:t>
      </w:r>
      <w:r w:rsidR="007827C1">
        <w:rPr>
          <w:rFonts w:ascii="Arial" w:hAnsi="Arial" w:cs="Arial"/>
        </w:rPr>
        <w:t xml:space="preserve"> [Line 37]</w:t>
      </w:r>
      <w:r w:rsidR="00473E90">
        <w:rPr>
          <w:rFonts w:ascii="Arial" w:hAnsi="Arial" w:cs="Arial"/>
        </w:rPr>
        <w:t>.</w:t>
      </w:r>
    </w:p>
    <w:p w14:paraId="4ED78F22" w14:textId="77777777" w:rsidR="00840521" w:rsidRDefault="00840521" w:rsidP="00840521">
      <w:pPr>
        <w:spacing w:after="0" w:line="240" w:lineRule="auto"/>
        <w:jc w:val="both"/>
        <w:rPr>
          <w:rFonts w:ascii="Arial" w:hAnsi="Arial" w:cs="Arial"/>
        </w:rPr>
      </w:pPr>
    </w:p>
    <w:p w14:paraId="12AE32D2" w14:textId="4CF50913" w:rsidR="00840521" w:rsidRDefault="00840521" w:rsidP="00840521">
      <w:pPr>
        <w:spacing w:after="0" w:line="240" w:lineRule="auto"/>
        <w:jc w:val="both"/>
        <w:rPr>
          <w:rFonts w:ascii="Arial" w:hAnsi="Arial" w:cs="Arial"/>
        </w:rPr>
      </w:pPr>
      <w:r w:rsidRPr="008F6EF2">
        <w:rPr>
          <w:rFonts w:ascii="Arial" w:hAnsi="Arial" w:cs="Arial"/>
        </w:rPr>
        <w:t>2</w:t>
      </w:r>
      <w:r w:rsidRPr="00840521">
        <w:rPr>
          <w:rFonts w:ascii="Arial" w:hAnsi="Arial" w:cs="Arial"/>
        </w:rPr>
        <w:t>.</w:t>
      </w:r>
      <w:r>
        <w:rPr>
          <w:rFonts w:ascii="Arial" w:hAnsi="Arial" w:cs="Arial"/>
        </w:rPr>
        <w:t xml:space="preserve"> </w:t>
      </w:r>
      <w:r w:rsidRPr="00840521">
        <w:rPr>
          <w:rFonts w:ascii="Arial" w:hAnsi="Arial" w:cs="Arial"/>
          <w:i/>
          <w:iCs/>
        </w:rPr>
        <w:t>“Please clarify the statement: Additionally, saliva-based tests can decrease cost by removing transport media and RNA extraction reagents by performing heat extraction” and explain why heat extraction is not suitable for nasopharyngeal samples.”</w:t>
      </w:r>
      <w:r>
        <w:rPr>
          <w:rFonts w:ascii="Arial" w:hAnsi="Arial" w:cs="Arial"/>
        </w:rPr>
        <w:t xml:space="preserve"> </w:t>
      </w:r>
      <w:r w:rsidR="00AE3E30" w:rsidRPr="00AE3E30">
        <w:rPr>
          <w:rFonts w:ascii="Arial" w:hAnsi="Arial" w:cs="Arial"/>
        </w:rPr>
        <w:t>Heat-based RNA extraction can be performed on the viral transport media used to solubilize virus from nasopharyngeal swabs. However, saliva still decreases testing cost by removing the need for viral transport media, as the sample is already in a testable form. The heat extraction is also beneficial in reducing saliva viscosity and inactivates the virus</w:t>
      </w:r>
      <w:r w:rsidR="008F6EF2">
        <w:rPr>
          <w:rFonts w:ascii="Arial" w:hAnsi="Arial" w:cs="Arial"/>
        </w:rPr>
        <w:t xml:space="preserve"> as described in the discussion</w:t>
      </w:r>
      <w:r w:rsidR="00AE3E30" w:rsidRPr="00AE3E30">
        <w:rPr>
          <w:rFonts w:ascii="Arial" w:hAnsi="Arial" w:cs="Arial"/>
        </w:rPr>
        <w:t xml:space="preserve">. We have </w:t>
      </w:r>
      <w:r w:rsidR="00AE3E30">
        <w:rPr>
          <w:rFonts w:ascii="Arial" w:hAnsi="Arial" w:cs="Arial"/>
        </w:rPr>
        <w:t>revised</w:t>
      </w:r>
      <w:r w:rsidR="00AE3E30" w:rsidRPr="00AE3E30">
        <w:rPr>
          <w:rFonts w:ascii="Arial" w:hAnsi="Arial" w:cs="Arial"/>
        </w:rPr>
        <w:t xml:space="preserve"> the manuscript to reflect this </w:t>
      </w:r>
      <w:r w:rsidR="00AE3E30">
        <w:rPr>
          <w:rFonts w:ascii="Arial" w:hAnsi="Arial" w:cs="Arial"/>
        </w:rPr>
        <w:t xml:space="preserve">fact </w:t>
      </w:r>
      <w:r w:rsidR="00AE3E30" w:rsidRPr="00AE3E30">
        <w:rPr>
          <w:rFonts w:ascii="Arial" w:hAnsi="Arial" w:cs="Arial"/>
        </w:rPr>
        <w:t>more accurately [</w:t>
      </w:r>
      <w:r w:rsidR="00AE3E30" w:rsidRPr="008F6EF2">
        <w:rPr>
          <w:rFonts w:ascii="Arial" w:hAnsi="Arial" w:cs="Arial"/>
        </w:rPr>
        <w:t xml:space="preserve">Lines </w:t>
      </w:r>
      <w:r w:rsidR="007827C1">
        <w:rPr>
          <w:rFonts w:ascii="Arial" w:hAnsi="Arial" w:cs="Arial"/>
        </w:rPr>
        <w:t>70</w:t>
      </w:r>
      <w:r w:rsidR="00AE3E30" w:rsidRPr="008F6EF2">
        <w:rPr>
          <w:rFonts w:ascii="Arial" w:hAnsi="Arial" w:cs="Arial"/>
        </w:rPr>
        <w:t>-</w:t>
      </w:r>
      <w:r w:rsidR="007827C1">
        <w:rPr>
          <w:rFonts w:ascii="Arial" w:hAnsi="Arial" w:cs="Arial"/>
        </w:rPr>
        <w:t>72</w:t>
      </w:r>
      <w:r w:rsidR="00AE3E30" w:rsidRPr="00AE3E30">
        <w:rPr>
          <w:rFonts w:ascii="Arial" w:hAnsi="Arial" w:cs="Arial"/>
        </w:rPr>
        <w:t>].</w:t>
      </w:r>
    </w:p>
    <w:p w14:paraId="0BF4D2C5" w14:textId="77777777" w:rsidR="00AD4B9C" w:rsidRPr="00840521" w:rsidRDefault="00AD4B9C" w:rsidP="00840521">
      <w:pPr>
        <w:spacing w:after="0" w:line="240" w:lineRule="auto"/>
        <w:jc w:val="both"/>
        <w:rPr>
          <w:rFonts w:ascii="Arial" w:hAnsi="Arial" w:cs="Arial"/>
        </w:rPr>
      </w:pPr>
    </w:p>
    <w:p w14:paraId="22D17734" w14:textId="528D693E" w:rsidR="00840521" w:rsidRDefault="00840521" w:rsidP="00840521">
      <w:pPr>
        <w:spacing w:after="0" w:line="240" w:lineRule="auto"/>
        <w:jc w:val="both"/>
        <w:rPr>
          <w:rFonts w:ascii="Arial" w:hAnsi="Arial" w:cs="Arial"/>
        </w:rPr>
      </w:pPr>
      <w:r w:rsidRPr="00840521">
        <w:rPr>
          <w:rFonts w:ascii="Arial" w:hAnsi="Arial" w:cs="Arial"/>
        </w:rPr>
        <w:t>3.</w:t>
      </w:r>
      <w:r>
        <w:rPr>
          <w:rFonts w:ascii="Arial" w:hAnsi="Arial" w:cs="Arial"/>
        </w:rPr>
        <w:t xml:space="preserve"> </w:t>
      </w:r>
      <w:r w:rsidRPr="00AD4B9C">
        <w:rPr>
          <w:rFonts w:ascii="Arial" w:hAnsi="Arial" w:cs="Arial"/>
          <w:i/>
          <w:iCs/>
        </w:rPr>
        <w:t>“Explain all acronyms on first use.”</w:t>
      </w:r>
      <w:r>
        <w:rPr>
          <w:rFonts w:ascii="Arial" w:hAnsi="Arial" w:cs="Arial"/>
        </w:rPr>
        <w:t xml:space="preserve"> We apologize for this oversight and have included definitions of </w:t>
      </w:r>
      <w:r w:rsidR="00AE3E30">
        <w:rPr>
          <w:rFonts w:ascii="Arial" w:hAnsi="Arial" w:cs="Arial"/>
        </w:rPr>
        <w:t xml:space="preserve">all </w:t>
      </w:r>
      <w:r>
        <w:rPr>
          <w:rFonts w:ascii="Arial" w:hAnsi="Arial" w:cs="Arial"/>
        </w:rPr>
        <w:t>acronyms and abbreviations.</w:t>
      </w:r>
    </w:p>
    <w:p w14:paraId="0FA4FD15" w14:textId="478DD0A4" w:rsidR="00AD4B9C" w:rsidRDefault="00AD4B9C" w:rsidP="00840521">
      <w:pPr>
        <w:spacing w:after="0" w:line="240" w:lineRule="auto"/>
        <w:jc w:val="both"/>
        <w:rPr>
          <w:rFonts w:ascii="Arial" w:hAnsi="Arial" w:cs="Arial"/>
        </w:rPr>
      </w:pPr>
    </w:p>
    <w:p w14:paraId="2689FE65" w14:textId="46242A5C" w:rsidR="00AD4B9C" w:rsidRPr="008212A1" w:rsidRDefault="00AD4B9C" w:rsidP="00840521">
      <w:pPr>
        <w:spacing w:after="0" w:line="240" w:lineRule="auto"/>
        <w:jc w:val="both"/>
        <w:rPr>
          <w:rFonts w:ascii="Arial" w:hAnsi="Arial" w:cs="Arial"/>
        </w:rPr>
      </w:pPr>
      <w:r w:rsidRPr="00473E90">
        <w:rPr>
          <w:rFonts w:ascii="Arial" w:hAnsi="Arial" w:cs="Arial"/>
        </w:rPr>
        <w:t>4.</w:t>
      </w:r>
      <w:r>
        <w:rPr>
          <w:rFonts w:ascii="Arial" w:hAnsi="Arial" w:cs="Arial"/>
        </w:rPr>
        <w:t xml:space="preserve"> “</w:t>
      </w:r>
      <w:r w:rsidRPr="00AD4B9C">
        <w:rPr>
          <w:rFonts w:ascii="Arial" w:hAnsi="Arial" w:cs="Arial"/>
          <w:i/>
          <w:iCs/>
        </w:rPr>
        <w:t>…Authors should mention the indicators of the complete/adequate thawing.”</w:t>
      </w:r>
      <w:r w:rsidR="008212A1">
        <w:rPr>
          <w:rFonts w:ascii="Arial" w:hAnsi="Arial" w:cs="Arial"/>
          <w:i/>
          <w:iCs/>
        </w:rPr>
        <w:t xml:space="preserve"> </w:t>
      </w:r>
      <w:r w:rsidR="0002210F">
        <w:rPr>
          <w:rFonts w:ascii="Arial" w:hAnsi="Arial" w:cs="Arial"/>
        </w:rPr>
        <w:t xml:space="preserve">We agree this will improve the protocol. We have added a description of thawing in Step 4 </w:t>
      </w:r>
      <w:r w:rsidR="0002210F" w:rsidRPr="00473E90">
        <w:rPr>
          <w:rFonts w:ascii="Arial" w:hAnsi="Arial" w:cs="Arial"/>
        </w:rPr>
        <w:t xml:space="preserve">[Lines </w:t>
      </w:r>
      <w:r w:rsidR="00473E90" w:rsidRPr="00473E90">
        <w:rPr>
          <w:rFonts w:ascii="Arial" w:hAnsi="Arial" w:cs="Arial"/>
        </w:rPr>
        <w:t>1</w:t>
      </w:r>
      <w:r w:rsidR="0091646F">
        <w:rPr>
          <w:rFonts w:ascii="Arial" w:hAnsi="Arial" w:cs="Arial"/>
        </w:rPr>
        <w:t>5</w:t>
      </w:r>
      <w:r w:rsidR="007827C1">
        <w:rPr>
          <w:rFonts w:ascii="Arial" w:hAnsi="Arial" w:cs="Arial"/>
        </w:rPr>
        <w:t>6</w:t>
      </w:r>
      <w:r w:rsidR="0002210F" w:rsidRPr="00473E90">
        <w:rPr>
          <w:rFonts w:ascii="Arial" w:hAnsi="Arial" w:cs="Arial"/>
        </w:rPr>
        <w:t>-</w:t>
      </w:r>
      <w:r w:rsidR="0091646F">
        <w:rPr>
          <w:rFonts w:ascii="Arial" w:hAnsi="Arial" w:cs="Arial"/>
        </w:rPr>
        <w:t>15</w:t>
      </w:r>
      <w:r w:rsidR="007827C1">
        <w:rPr>
          <w:rFonts w:ascii="Arial" w:hAnsi="Arial" w:cs="Arial"/>
        </w:rPr>
        <w:t>8</w:t>
      </w:r>
      <w:r w:rsidR="0002210F" w:rsidRPr="00473E90">
        <w:rPr>
          <w:rFonts w:ascii="Arial" w:hAnsi="Arial" w:cs="Arial"/>
        </w:rPr>
        <w:t>].</w:t>
      </w:r>
    </w:p>
    <w:p w14:paraId="7B73C3E6" w14:textId="77777777" w:rsidR="00AD4B9C" w:rsidRDefault="00AD4B9C" w:rsidP="00840521">
      <w:pPr>
        <w:spacing w:after="0" w:line="240" w:lineRule="auto"/>
        <w:jc w:val="both"/>
        <w:rPr>
          <w:rFonts w:ascii="Arial" w:hAnsi="Arial" w:cs="Arial"/>
        </w:rPr>
      </w:pPr>
    </w:p>
    <w:p w14:paraId="67384DE1" w14:textId="5BB76318" w:rsidR="00AD4B9C" w:rsidRPr="00370FED" w:rsidRDefault="00AD4B9C" w:rsidP="00840521">
      <w:pPr>
        <w:spacing w:after="0" w:line="240" w:lineRule="auto"/>
        <w:jc w:val="both"/>
        <w:rPr>
          <w:rFonts w:ascii="Arial" w:hAnsi="Arial" w:cs="Arial"/>
        </w:rPr>
      </w:pPr>
      <w:r>
        <w:rPr>
          <w:rFonts w:ascii="Arial" w:hAnsi="Arial" w:cs="Arial"/>
        </w:rPr>
        <w:t xml:space="preserve">5. </w:t>
      </w:r>
      <w:r w:rsidRPr="00AD4B9C">
        <w:rPr>
          <w:rFonts w:ascii="Arial" w:hAnsi="Arial" w:cs="Arial"/>
          <w:i/>
          <w:iCs/>
        </w:rPr>
        <w:t>“</w:t>
      </w:r>
      <w:r w:rsidR="002C6996">
        <w:rPr>
          <w:rFonts w:ascii="Arial" w:hAnsi="Arial" w:cs="Arial"/>
          <w:i/>
          <w:iCs/>
        </w:rPr>
        <w:t xml:space="preserve">…The authors should </w:t>
      </w:r>
      <w:r w:rsidRPr="00AD4B9C">
        <w:rPr>
          <w:rFonts w:ascii="Arial" w:hAnsi="Arial" w:cs="Arial"/>
          <w:i/>
          <w:iCs/>
        </w:rPr>
        <w:t>describe how to determine the virus copy number and what are the technical challenges and possible solution</w:t>
      </w:r>
      <w:r w:rsidR="002C6996">
        <w:rPr>
          <w:rFonts w:ascii="Arial" w:hAnsi="Arial" w:cs="Arial"/>
          <w:i/>
          <w:iCs/>
        </w:rPr>
        <w:t>s in determining the accurate virus copy number.</w:t>
      </w:r>
      <w:r w:rsidRPr="00AD4B9C">
        <w:rPr>
          <w:rFonts w:ascii="Arial" w:hAnsi="Arial" w:cs="Arial"/>
          <w:i/>
          <w:iCs/>
        </w:rPr>
        <w:t>”</w:t>
      </w:r>
      <w:r w:rsidR="002C6996">
        <w:rPr>
          <w:rFonts w:ascii="Arial" w:hAnsi="Arial" w:cs="Arial"/>
          <w:i/>
          <w:iCs/>
        </w:rPr>
        <w:t xml:space="preserve"> </w:t>
      </w:r>
      <w:r w:rsidR="00370FED">
        <w:rPr>
          <w:rFonts w:ascii="Arial" w:hAnsi="Arial" w:cs="Arial"/>
          <w:i/>
          <w:iCs/>
        </w:rPr>
        <w:t xml:space="preserve"> </w:t>
      </w:r>
      <w:r w:rsidR="00370FED" w:rsidRPr="00370FED">
        <w:rPr>
          <w:rFonts w:ascii="Arial" w:hAnsi="Arial" w:cs="Arial"/>
        </w:rPr>
        <w:t>You have raised an important point. It is difficult to quantify virus copy number in saliva using only RT-qPCR, because qPCR is semi-quantitative.</w:t>
      </w:r>
      <w:r w:rsidR="00370FED">
        <w:rPr>
          <w:rFonts w:ascii="Arial" w:hAnsi="Arial" w:cs="Arial"/>
        </w:rPr>
        <w:t xml:space="preserve"> </w:t>
      </w:r>
      <w:r w:rsidR="00370FED" w:rsidRPr="00370FED">
        <w:rPr>
          <w:rFonts w:ascii="Arial" w:hAnsi="Arial" w:cs="Arial"/>
        </w:rPr>
        <w:t>Based on this, there is inherent variation between Cq (Ct) values that originates from technical limitations of the method. We provide a Cq (Ct) quantification of gene copy number in the standard curves (Figure 4) using known quantities of synthetic RNA. One possible solution to determine the viral copy number in saliva samples is ddPCR, which provides hard quantification of gene copies in the reaction. However, we believe that it is adequate to provide qualitative results to clinicians and relative viral content can be compared across samples processed with our methods.</w:t>
      </w:r>
    </w:p>
    <w:p w14:paraId="6AB38F0D" w14:textId="0583E554" w:rsidR="00AD4B9C" w:rsidRDefault="00AD4B9C" w:rsidP="00840521">
      <w:pPr>
        <w:spacing w:after="0" w:line="240" w:lineRule="auto"/>
        <w:jc w:val="both"/>
        <w:rPr>
          <w:rFonts w:ascii="Arial" w:hAnsi="Arial" w:cs="Arial"/>
        </w:rPr>
      </w:pPr>
    </w:p>
    <w:p w14:paraId="300187CE" w14:textId="3F4652A1" w:rsidR="00AD4B9C" w:rsidRPr="009549CD" w:rsidRDefault="00AD4B9C" w:rsidP="00840521">
      <w:pPr>
        <w:spacing w:after="0" w:line="240" w:lineRule="auto"/>
        <w:jc w:val="both"/>
        <w:rPr>
          <w:rFonts w:ascii="Arial" w:hAnsi="Arial" w:cs="Arial"/>
        </w:rPr>
      </w:pPr>
      <w:r>
        <w:rPr>
          <w:rFonts w:ascii="Arial" w:hAnsi="Arial" w:cs="Arial"/>
        </w:rPr>
        <w:t xml:space="preserve">6. </w:t>
      </w:r>
      <w:r w:rsidRPr="00AD4B9C">
        <w:rPr>
          <w:rFonts w:ascii="Arial" w:hAnsi="Arial" w:cs="Arial"/>
          <w:i/>
          <w:iCs/>
        </w:rPr>
        <w:t>“…include formula for conversion of copies mL-1 to molar concentration…”</w:t>
      </w:r>
      <w:r w:rsidR="009549CD">
        <w:rPr>
          <w:rFonts w:ascii="Arial" w:hAnsi="Arial" w:cs="Arial"/>
          <w:i/>
          <w:iCs/>
        </w:rPr>
        <w:t xml:space="preserve"> </w:t>
      </w:r>
      <w:r w:rsidR="009549CD">
        <w:rPr>
          <w:rFonts w:ascii="Arial" w:hAnsi="Arial" w:cs="Arial"/>
        </w:rPr>
        <w:t>Thank you for your suggestion. We purchased the synthetic RNA controls used in the standard curve (Figure 4) at known gene copy concentrations</w:t>
      </w:r>
      <w:r w:rsidR="00E73A3A">
        <w:rPr>
          <w:rFonts w:ascii="Arial" w:hAnsi="Arial" w:cs="Arial"/>
        </w:rPr>
        <w:t xml:space="preserve">. We have added the conversion from molecular weight to </w:t>
      </w:r>
      <w:r w:rsidR="007827C1">
        <w:rPr>
          <w:rFonts w:ascii="Arial" w:hAnsi="Arial" w:cs="Arial"/>
        </w:rPr>
        <w:t xml:space="preserve">gene copy number in the </w:t>
      </w:r>
      <w:r w:rsidR="00E73A3A">
        <w:rPr>
          <w:rFonts w:ascii="Arial" w:hAnsi="Arial" w:cs="Arial"/>
        </w:rPr>
        <w:t>Figure 4 caption [</w:t>
      </w:r>
      <w:r w:rsidR="00E73A3A" w:rsidRPr="00603597">
        <w:rPr>
          <w:rFonts w:ascii="Arial" w:hAnsi="Arial" w:cs="Arial"/>
        </w:rPr>
        <w:t xml:space="preserve">Line </w:t>
      </w:r>
      <w:r w:rsidR="00603597" w:rsidRPr="00603597">
        <w:rPr>
          <w:rFonts w:ascii="Arial" w:hAnsi="Arial" w:cs="Arial"/>
        </w:rPr>
        <w:t>428-429</w:t>
      </w:r>
      <w:r w:rsidR="00E73A3A">
        <w:rPr>
          <w:rFonts w:ascii="Arial" w:hAnsi="Arial" w:cs="Arial"/>
        </w:rPr>
        <w:t xml:space="preserve">]. </w:t>
      </w:r>
    </w:p>
    <w:p w14:paraId="2A750259" w14:textId="77777777" w:rsidR="00AD4B9C" w:rsidRDefault="00AD4B9C" w:rsidP="00840521">
      <w:pPr>
        <w:spacing w:after="0" w:line="240" w:lineRule="auto"/>
        <w:jc w:val="both"/>
        <w:rPr>
          <w:rFonts w:ascii="Arial" w:hAnsi="Arial" w:cs="Arial"/>
        </w:rPr>
      </w:pPr>
    </w:p>
    <w:p w14:paraId="1BDCF917" w14:textId="02C20C4A" w:rsidR="00840521" w:rsidRDefault="00AD4B9C" w:rsidP="00840521">
      <w:pPr>
        <w:spacing w:after="0" w:line="240" w:lineRule="auto"/>
        <w:jc w:val="both"/>
        <w:rPr>
          <w:rFonts w:ascii="Arial" w:hAnsi="Arial" w:cs="Arial"/>
        </w:rPr>
      </w:pPr>
      <w:r>
        <w:rPr>
          <w:rFonts w:ascii="Arial" w:hAnsi="Arial" w:cs="Arial"/>
        </w:rPr>
        <w:t xml:space="preserve">7. </w:t>
      </w:r>
      <w:r w:rsidRPr="00AD4B9C">
        <w:rPr>
          <w:rFonts w:ascii="Arial" w:hAnsi="Arial" w:cs="Arial"/>
          <w:i/>
          <w:iCs/>
        </w:rPr>
        <w:t>“</w:t>
      </w:r>
      <w:r w:rsidR="00840521" w:rsidRPr="00AD4B9C">
        <w:rPr>
          <w:rFonts w:ascii="Arial" w:hAnsi="Arial" w:cs="Arial"/>
          <w:i/>
          <w:iCs/>
        </w:rPr>
        <w:t>There are some typos in the manuscrip</w:t>
      </w:r>
      <w:r w:rsidRPr="00AD4B9C">
        <w:rPr>
          <w:rFonts w:ascii="Arial" w:hAnsi="Arial" w:cs="Arial"/>
          <w:i/>
          <w:iCs/>
        </w:rPr>
        <w:t>t…”</w:t>
      </w:r>
      <w:r>
        <w:rPr>
          <w:rFonts w:ascii="Arial" w:hAnsi="Arial" w:cs="Arial"/>
        </w:rPr>
        <w:t xml:space="preserve"> We apologize for these errors and have corrected the spelling and notation through</w:t>
      </w:r>
      <w:r w:rsidR="00B94122">
        <w:rPr>
          <w:rFonts w:ascii="Arial" w:hAnsi="Arial" w:cs="Arial"/>
        </w:rPr>
        <w:t>out</w:t>
      </w:r>
      <w:r>
        <w:rPr>
          <w:rFonts w:ascii="Arial" w:hAnsi="Arial" w:cs="Arial"/>
        </w:rPr>
        <w:t>.</w:t>
      </w:r>
    </w:p>
    <w:p w14:paraId="2094D249" w14:textId="77777777" w:rsidR="00840521" w:rsidRDefault="00840521" w:rsidP="00B90E16">
      <w:pPr>
        <w:spacing w:after="0" w:line="240" w:lineRule="auto"/>
        <w:jc w:val="both"/>
        <w:rPr>
          <w:rFonts w:ascii="Arial" w:hAnsi="Arial" w:cs="Arial"/>
        </w:rPr>
      </w:pPr>
    </w:p>
    <w:p w14:paraId="65060ABF" w14:textId="33D73D8C" w:rsidR="00725D6E" w:rsidRDefault="00725D6E" w:rsidP="00725D6E">
      <w:pPr>
        <w:spacing w:after="0" w:line="240" w:lineRule="auto"/>
        <w:jc w:val="both"/>
        <w:rPr>
          <w:rFonts w:ascii="Arial" w:hAnsi="Arial" w:cs="Arial"/>
        </w:rPr>
      </w:pPr>
    </w:p>
    <w:p w14:paraId="4FAC666E" w14:textId="77777777" w:rsidR="00DF214C" w:rsidRDefault="00DF214C" w:rsidP="00725D6E">
      <w:pPr>
        <w:spacing w:after="0" w:line="240" w:lineRule="auto"/>
        <w:jc w:val="both"/>
        <w:rPr>
          <w:rFonts w:ascii="Arial" w:hAnsi="Arial" w:cs="Arial"/>
          <w:b/>
          <w:u w:val="single"/>
        </w:rPr>
      </w:pPr>
    </w:p>
    <w:p w14:paraId="4B4C6C80" w14:textId="2039422C" w:rsidR="00725D6E" w:rsidRDefault="00725D6E" w:rsidP="00725D6E">
      <w:pPr>
        <w:spacing w:after="0" w:line="240" w:lineRule="auto"/>
        <w:jc w:val="both"/>
        <w:rPr>
          <w:rFonts w:ascii="Arial" w:hAnsi="Arial" w:cs="Arial"/>
          <w:b/>
          <w:u w:val="single"/>
        </w:rPr>
      </w:pPr>
      <w:r w:rsidRPr="00FA6838">
        <w:rPr>
          <w:rFonts w:ascii="Arial" w:hAnsi="Arial" w:cs="Arial"/>
          <w:b/>
          <w:u w:val="single"/>
        </w:rPr>
        <w:t xml:space="preserve">Reviewer </w:t>
      </w:r>
      <w:r>
        <w:rPr>
          <w:rFonts w:ascii="Arial" w:hAnsi="Arial" w:cs="Arial"/>
          <w:b/>
          <w:u w:val="single"/>
        </w:rPr>
        <w:t>3</w:t>
      </w:r>
    </w:p>
    <w:p w14:paraId="5C0C5697" w14:textId="6877126F" w:rsidR="00F2346D" w:rsidRDefault="00725D6E" w:rsidP="00F2346D">
      <w:pPr>
        <w:spacing w:after="0" w:line="240" w:lineRule="auto"/>
        <w:jc w:val="both"/>
        <w:rPr>
          <w:rFonts w:ascii="Arial" w:hAnsi="Arial" w:cs="Arial"/>
        </w:rPr>
      </w:pPr>
      <w:r>
        <w:rPr>
          <w:rFonts w:ascii="Arial" w:hAnsi="Arial" w:cs="Arial"/>
        </w:rPr>
        <w:t xml:space="preserve">We thank Reviewer 3 for taking time to review our manuscript.  </w:t>
      </w:r>
      <w:r w:rsidR="003B7710" w:rsidRPr="003B7710">
        <w:rPr>
          <w:rFonts w:ascii="Arial" w:hAnsi="Arial" w:cs="Arial"/>
          <w:i/>
        </w:rPr>
        <w:t xml:space="preserve"> </w:t>
      </w:r>
    </w:p>
    <w:p w14:paraId="7134995F" w14:textId="750F4C22" w:rsidR="00F2346D" w:rsidRPr="00985A32" w:rsidRDefault="00F2346D" w:rsidP="00A467A4">
      <w:pPr>
        <w:spacing w:before="240" w:after="0" w:line="240" w:lineRule="auto"/>
        <w:jc w:val="both"/>
        <w:rPr>
          <w:rFonts w:ascii="Arial" w:hAnsi="Arial" w:cs="Arial"/>
        </w:rPr>
      </w:pPr>
      <w:r w:rsidRPr="00F2346D">
        <w:rPr>
          <w:rFonts w:ascii="Arial" w:hAnsi="Arial" w:cs="Arial"/>
        </w:rPr>
        <w:t xml:space="preserve">1. </w:t>
      </w:r>
      <w:r w:rsidRPr="00F2346D">
        <w:rPr>
          <w:rFonts w:ascii="Arial" w:hAnsi="Arial" w:cs="Arial"/>
          <w:i/>
          <w:iCs/>
        </w:rPr>
        <w:t xml:space="preserve">“… Please either define the "cpu" acronym or change to the more intuitive </w:t>
      </w:r>
      <w:r>
        <w:rPr>
          <w:rFonts w:ascii="Arial" w:hAnsi="Arial" w:cs="Arial"/>
          <w:i/>
          <w:iCs/>
        </w:rPr>
        <w:t>“</w:t>
      </w:r>
      <w:r w:rsidRPr="00F2346D">
        <w:rPr>
          <w:rFonts w:ascii="Arial" w:hAnsi="Arial" w:cs="Arial"/>
          <w:i/>
          <w:iCs/>
        </w:rPr>
        <w:t>copies/ul</w:t>
      </w:r>
      <w:r>
        <w:rPr>
          <w:rFonts w:ascii="Arial" w:hAnsi="Arial" w:cs="Arial"/>
          <w:i/>
          <w:iCs/>
        </w:rPr>
        <w:t>.</w:t>
      </w:r>
      <w:r w:rsidRPr="00F2346D">
        <w:rPr>
          <w:rFonts w:ascii="Arial" w:hAnsi="Arial" w:cs="Arial"/>
          <w:i/>
          <w:iCs/>
        </w:rPr>
        <w:t>”</w:t>
      </w:r>
      <w:r w:rsidR="00985A32">
        <w:rPr>
          <w:rFonts w:ascii="Arial" w:hAnsi="Arial" w:cs="Arial"/>
          <w:i/>
          <w:iCs/>
        </w:rPr>
        <w:t xml:space="preserve"> </w:t>
      </w:r>
      <w:r w:rsidR="00985A32">
        <w:rPr>
          <w:rFonts w:ascii="Arial" w:hAnsi="Arial" w:cs="Arial"/>
        </w:rPr>
        <w:t>We have altered the notation to gene copies</w:t>
      </w:r>
      <w:r w:rsidR="00985A32" w:rsidRPr="00985A32">
        <w:rPr>
          <w:rFonts w:ascii="Arial" w:hAnsi="Arial" w:cs="Arial"/>
        </w:rPr>
        <w:t>/μL</w:t>
      </w:r>
      <w:r w:rsidR="00A467A4">
        <w:rPr>
          <w:rFonts w:ascii="Arial" w:hAnsi="Arial" w:cs="Arial"/>
        </w:rPr>
        <w:t xml:space="preserve"> (cp</w:t>
      </w:r>
      <w:r w:rsidR="00A467A4" w:rsidRPr="00985A32">
        <w:rPr>
          <w:rFonts w:ascii="Arial" w:hAnsi="Arial" w:cs="Arial"/>
        </w:rPr>
        <w:t>μ</w:t>
      </w:r>
      <w:r w:rsidR="00A467A4">
        <w:rPr>
          <w:rFonts w:ascii="Arial" w:hAnsi="Arial" w:cs="Arial"/>
        </w:rPr>
        <w:t>)</w:t>
      </w:r>
      <w:r w:rsidR="00D45A9F">
        <w:rPr>
          <w:rFonts w:ascii="Arial" w:hAnsi="Arial" w:cs="Arial"/>
        </w:rPr>
        <w:t>.</w:t>
      </w:r>
    </w:p>
    <w:p w14:paraId="318A9F9F" w14:textId="77777777" w:rsidR="00F2346D" w:rsidRPr="00F2346D" w:rsidRDefault="00F2346D" w:rsidP="00F2346D">
      <w:pPr>
        <w:spacing w:after="0" w:line="240" w:lineRule="auto"/>
        <w:jc w:val="both"/>
        <w:rPr>
          <w:rFonts w:ascii="Arial" w:hAnsi="Arial" w:cs="Arial"/>
        </w:rPr>
      </w:pPr>
    </w:p>
    <w:p w14:paraId="09ECD2FE" w14:textId="75283940" w:rsidR="00F2346D" w:rsidRPr="00F2346D" w:rsidRDefault="00F2346D" w:rsidP="00F2346D">
      <w:pPr>
        <w:spacing w:after="0" w:line="240" w:lineRule="auto"/>
        <w:jc w:val="both"/>
        <w:rPr>
          <w:rFonts w:ascii="Arial" w:hAnsi="Arial" w:cs="Arial"/>
        </w:rPr>
      </w:pPr>
      <w:r w:rsidRPr="00B66E35">
        <w:rPr>
          <w:rFonts w:ascii="Arial" w:hAnsi="Arial" w:cs="Arial"/>
        </w:rPr>
        <w:t>2.</w:t>
      </w:r>
      <w:r>
        <w:rPr>
          <w:rFonts w:ascii="Arial" w:hAnsi="Arial" w:cs="Arial"/>
        </w:rPr>
        <w:t xml:space="preserve"> </w:t>
      </w:r>
      <w:r w:rsidRPr="00F2346D">
        <w:rPr>
          <w:rFonts w:ascii="Arial" w:hAnsi="Arial" w:cs="Arial"/>
          <w:i/>
          <w:iCs/>
        </w:rPr>
        <w:t>“Figure 1 legend should define "OT-2" as the ​​Opentron OT-2 Liquid Handling Robot.”</w:t>
      </w:r>
      <w:r w:rsidR="00985A32">
        <w:rPr>
          <w:rFonts w:ascii="Arial" w:hAnsi="Arial" w:cs="Arial"/>
          <w:i/>
          <w:iCs/>
        </w:rPr>
        <w:t xml:space="preserve"> </w:t>
      </w:r>
      <w:r w:rsidR="00985A32">
        <w:rPr>
          <w:rFonts w:ascii="Arial" w:hAnsi="Arial" w:cs="Arial"/>
        </w:rPr>
        <w:t>Thank you for this clarification, we have amended Figure 1</w:t>
      </w:r>
      <w:r w:rsidR="002E47B2">
        <w:rPr>
          <w:rFonts w:ascii="Arial" w:hAnsi="Arial" w:cs="Arial"/>
        </w:rPr>
        <w:t xml:space="preserve"> </w:t>
      </w:r>
      <w:r w:rsidR="00985A32">
        <w:rPr>
          <w:rFonts w:ascii="Arial" w:hAnsi="Arial" w:cs="Arial"/>
        </w:rPr>
        <w:t>to improve readability.</w:t>
      </w:r>
    </w:p>
    <w:p w14:paraId="4855FA16" w14:textId="77777777" w:rsidR="00F2346D" w:rsidRDefault="00F2346D" w:rsidP="00F2346D">
      <w:pPr>
        <w:spacing w:after="0" w:line="240" w:lineRule="auto"/>
        <w:jc w:val="both"/>
        <w:rPr>
          <w:rFonts w:ascii="Arial" w:hAnsi="Arial" w:cs="Arial"/>
        </w:rPr>
      </w:pPr>
    </w:p>
    <w:p w14:paraId="44740051" w14:textId="6E58F6EA" w:rsidR="00F2346D" w:rsidRPr="00985A32" w:rsidRDefault="00F2346D" w:rsidP="00F2346D">
      <w:pPr>
        <w:spacing w:after="0" w:line="240" w:lineRule="auto"/>
        <w:jc w:val="both"/>
        <w:rPr>
          <w:rFonts w:ascii="Arial" w:hAnsi="Arial" w:cs="Arial"/>
        </w:rPr>
      </w:pPr>
      <w:r w:rsidRPr="00965884">
        <w:rPr>
          <w:rFonts w:ascii="Arial" w:hAnsi="Arial" w:cs="Arial"/>
        </w:rPr>
        <w:t>3</w:t>
      </w:r>
      <w:r>
        <w:rPr>
          <w:rFonts w:ascii="Arial" w:hAnsi="Arial" w:cs="Arial"/>
        </w:rPr>
        <w:t xml:space="preserve">. </w:t>
      </w:r>
      <w:r w:rsidRPr="00F2346D">
        <w:rPr>
          <w:rFonts w:ascii="Arial" w:hAnsi="Arial" w:cs="Arial"/>
          <w:i/>
          <w:iCs/>
        </w:rPr>
        <w:t>“Figure 3 legend should define "RR" as "Re-run.”</w:t>
      </w:r>
      <w:r w:rsidR="00985A32">
        <w:rPr>
          <w:rFonts w:ascii="Arial" w:hAnsi="Arial" w:cs="Arial"/>
          <w:i/>
          <w:iCs/>
        </w:rPr>
        <w:t xml:space="preserve"> </w:t>
      </w:r>
      <w:r w:rsidR="00985A32">
        <w:rPr>
          <w:rFonts w:ascii="Arial" w:hAnsi="Arial" w:cs="Arial"/>
        </w:rPr>
        <w:t xml:space="preserve">Thank you for this clarification, we have amended Figure 3 </w:t>
      </w:r>
      <w:r w:rsidR="00965884">
        <w:rPr>
          <w:rFonts w:ascii="Arial" w:hAnsi="Arial" w:cs="Arial"/>
        </w:rPr>
        <w:t xml:space="preserve">legend </w:t>
      </w:r>
      <w:r w:rsidR="00985A32">
        <w:rPr>
          <w:rFonts w:ascii="Arial" w:hAnsi="Arial" w:cs="Arial"/>
        </w:rPr>
        <w:t>to improve readability.</w:t>
      </w:r>
    </w:p>
    <w:p w14:paraId="209B780E" w14:textId="77777777" w:rsidR="00F2346D" w:rsidRDefault="00F2346D" w:rsidP="00B90E16">
      <w:pPr>
        <w:spacing w:after="0" w:line="240" w:lineRule="auto"/>
        <w:jc w:val="both"/>
        <w:rPr>
          <w:rFonts w:ascii="Arial" w:hAnsi="Arial" w:cs="Arial"/>
        </w:rPr>
      </w:pPr>
    </w:p>
    <w:p w14:paraId="30A1B2E8" w14:textId="6A10ADFE" w:rsidR="004A5EF6" w:rsidRDefault="00F2346D" w:rsidP="00B90E16">
      <w:pPr>
        <w:spacing w:after="0" w:line="240" w:lineRule="auto"/>
        <w:jc w:val="both"/>
        <w:rPr>
          <w:rFonts w:ascii="Arial" w:hAnsi="Arial" w:cs="Arial"/>
        </w:rPr>
      </w:pPr>
      <w:r>
        <w:rPr>
          <w:rFonts w:ascii="Arial" w:hAnsi="Arial" w:cs="Arial"/>
        </w:rPr>
        <w:t xml:space="preserve">4. </w:t>
      </w:r>
      <w:r w:rsidR="0082750D" w:rsidRPr="0082750D">
        <w:rPr>
          <w:rFonts w:ascii="Arial" w:hAnsi="Arial" w:cs="Arial"/>
          <w:i/>
          <w:iCs/>
        </w:rPr>
        <w:t>“It would have been nice if the authors had devised a way to demonstrate the limit of detection of virus/viral RNA in saliva matrix.”</w:t>
      </w:r>
      <w:r w:rsidR="0082750D">
        <w:rPr>
          <w:rFonts w:ascii="Arial" w:hAnsi="Arial" w:cs="Arial"/>
        </w:rPr>
        <w:t xml:space="preserve"> </w:t>
      </w:r>
      <w:r w:rsidR="00985A32">
        <w:rPr>
          <w:rFonts w:ascii="Arial" w:hAnsi="Arial" w:cs="Arial"/>
        </w:rPr>
        <w:t xml:space="preserve">Thank you for your insightful comment and </w:t>
      </w:r>
      <w:r w:rsidR="008357F4">
        <w:rPr>
          <w:rFonts w:ascii="Arial" w:hAnsi="Arial" w:cs="Arial"/>
        </w:rPr>
        <w:t xml:space="preserve">we </w:t>
      </w:r>
      <w:r w:rsidR="00985A32">
        <w:rPr>
          <w:rFonts w:ascii="Arial" w:hAnsi="Arial" w:cs="Arial"/>
        </w:rPr>
        <w:t xml:space="preserve">have answered </w:t>
      </w:r>
      <w:r w:rsidR="002C6AEB">
        <w:rPr>
          <w:rFonts w:ascii="Arial" w:hAnsi="Arial" w:cs="Arial"/>
        </w:rPr>
        <w:t>many</w:t>
      </w:r>
      <w:r w:rsidR="00985A32">
        <w:rPr>
          <w:rFonts w:ascii="Arial" w:hAnsi="Arial" w:cs="Arial"/>
        </w:rPr>
        <w:t xml:space="preserve"> of the methodological difficulties in response to Reviewer 4 (Comment 7). </w:t>
      </w:r>
    </w:p>
    <w:p w14:paraId="41CAF1D3" w14:textId="21AC160D" w:rsidR="0082750D" w:rsidRDefault="0082750D" w:rsidP="00B90E16">
      <w:pPr>
        <w:spacing w:after="0" w:line="240" w:lineRule="auto"/>
        <w:jc w:val="both"/>
        <w:rPr>
          <w:rFonts w:ascii="Arial" w:hAnsi="Arial" w:cs="Arial"/>
        </w:rPr>
      </w:pPr>
    </w:p>
    <w:p w14:paraId="3D75D3B0" w14:textId="20095844" w:rsidR="0082750D" w:rsidRDefault="0082750D" w:rsidP="0082750D">
      <w:pPr>
        <w:spacing w:after="0" w:line="240" w:lineRule="auto"/>
        <w:jc w:val="both"/>
        <w:rPr>
          <w:rFonts w:ascii="Arial" w:hAnsi="Arial" w:cs="Arial"/>
          <w:b/>
          <w:u w:val="single"/>
        </w:rPr>
      </w:pPr>
      <w:r w:rsidRPr="00FA6838">
        <w:rPr>
          <w:rFonts w:ascii="Arial" w:hAnsi="Arial" w:cs="Arial"/>
          <w:b/>
          <w:u w:val="single"/>
        </w:rPr>
        <w:t xml:space="preserve">Reviewer </w:t>
      </w:r>
      <w:r>
        <w:rPr>
          <w:rFonts w:ascii="Arial" w:hAnsi="Arial" w:cs="Arial"/>
          <w:b/>
          <w:u w:val="single"/>
        </w:rPr>
        <w:t>4</w:t>
      </w:r>
    </w:p>
    <w:p w14:paraId="6C46CABF" w14:textId="5A3B4E78" w:rsidR="0082750D" w:rsidRDefault="0082750D" w:rsidP="0082750D">
      <w:pPr>
        <w:spacing w:after="0" w:line="240" w:lineRule="auto"/>
        <w:jc w:val="both"/>
        <w:rPr>
          <w:rFonts w:ascii="Arial" w:hAnsi="Arial" w:cs="Arial"/>
        </w:rPr>
      </w:pPr>
      <w:r>
        <w:rPr>
          <w:rFonts w:ascii="Arial" w:hAnsi="Arial" w:cs="Arial"/>
        </w:rPr>
        <w:t xml:space="preserve">We thank Reviewer 4 for taking time to review our manuscript.  </w:t>
      </w:r>
    </w:p>
    <w:p w14:paraId="303E46B5" w14:textId="602B63EB" w:rsidR="0082750D" w:rsidRDefault="0082750D" w:rsidP="0082750D">
      <w:pPr>
        <w:spacing w:after="0" w:line="240" w:lineRule="auto"/>
        <w:jc w:val="both"/>
        <w:rPr>
          <w:rFonts w:ascii="Arial" w:hAnsi="Arial" w:cs="Arial"/>
        </w:rPr>
      </w:pPr>
    </w:p>
    <w:p w14:paraId="59A0C278" w14:textId="3B4DAE23" w:rsidR="0082750D" w:rsidRPr="0093239E" w:rsidRDefault="0082750D" w:rsidP="0082750D">
      <w:pPr>
        <w:spacing w:after="0" w:line="240" w:lineRule="auto"/>
        <w:jc w:val="both"/>
        <w:rPr>
          <w:rFonts w:ascii="Arial" w:hAnsi="Arial" w:cs="Arial"/>
        </w:rPr>
      </w:pPr>
      <w:r w:rsidRPr="009F54AE">
        <w:rPr>
          <w:rFonts w:ascii="Arial" w:hAnsi="Arial" w:cs="Arial"/>
        </w:rPr>
        <w:t>1</w:t>
      </w:r>
      <w:r>
        <w:rPr>
          <w:rFonts w:ascii="Arial" w:hAnsi="Arial" w:cs="Arial"/>
        </w:rPr>
        <w:t xml:space="preserve">. </w:t>
      </w:r>
      <w:r w:rsidRPr="0082750D">
        <w:rPr>
          <w:rFonts w:ascii="Arial" w:hAnsi="Arial" w:cs="Arial"/>
          <w:i/>
          <w:iCs/>
        </w:rPr>
        <w:t>“…Could the authors provide specific numbers for total turnaround time as well as cost per sample? …”</w:t>
      </w:r>
      <w:r w:rsidR="0093239E">
        <w:rPr>
          <w:rFonts w:ascii="Arial" w:hAnsi="Arial" w:cs="Arial"/>
          <w:i/>
          <w:iCs/>
        </w:rPr>
        <w:t xml:space="preserve"> </w:t>
      </w:r>
      <w:r w:rsidR="0093239E">
        <w:rPr>
          <w:rFonts w:ascii="Arial" w:hAnsi="Arial" w:cs="Arial"/>
        </w:rPr>
        <w:t xml:space="preserve">Thank you for pointing this out. The average turnaround time was </w:t>
      </w:r>
      <w:bookmarkStart w:id="1" w:name="_Hlk90994192"/>
      <w:r w:rsidR="0093239E">
        <w:rPr>
          <w:rFonts w:ascii="Arial" w:hAnsi="Arial" w:cs="Arial"/>
        </w:rPr>
        <w:t xml:space="preserve">&lt; </w:t>
      </w:r>
      <w:r w:rsidR="000906DD">
        <w:rPr>
          <w:rFonts w:ascii="Arial" w:hAnsi="Arial" w:cs="Arial"/>
        </w:rPr>
        <w:t>9 hours for 95% of samples and &lt; 24 hours for 99% of samples. T</w:t>
      </w:r>
      <w:r w:rsidR="0093239E">
        <w:rPr>
          <w:rFonts w:ascii="Arial" w:hAnsi="Arial" w:cs="Arial"/>
        </w:rPr>
        <w:t xml:space="preserve">he cost </w:t>
      </w:r>
      <w:r w:rsidR="000906DD">
        <w:rPr>
          <w:rFonts w:ascii="Arial" w:hAnsi="Arial" w:cs="Arial"/>
        </w:rPr>
        <w:t>for a single test was $2.80 when all reagents were purchased in bulk quantities.</w:t>
      </w:r>
      <w:bookmarkEnd w:id="1"/>
      <w:r w:rsidR="000906DD">
        <w:rPr>
          <w:rFonts w:ascii="Arial" w:hAnsi="Arial" w:cs="Arial"/>
        </w:rPr>
        <w:t xml:space="preserve"> We have added these numbers to the abstract [</w:t>
      </w:r>
      <w:r w:rsidR="000906DD" w:rsidRPr="009F54AE">
        <w:rPr>
          <w:rFonts w:ascii="Arial" w:hAnsi="Arial" w:cs="Arial"/>
        </w:rPr>
        <w:t xml:space="preserve">Lines </w:t>
      </w:r>
      <w:r w:rsidR="00603597">
        <w:rPr>
          <w:rFonts w:ascii="Arial" w:hAnsi="Arial" w:cs="Arial"/>
        </w:rPr>
        <w:t>41</w:t>
      </w:r>
      <w:r w:rsidR="009F54AE">
        <w:rPr>
          <w:rFonts w:ascii="Arial" w:hAnsi="Arial" w:cs="Arial"/>
        </w:rPr>
        <w:t>-4</w:t>
      </w:r>
      <w:r w:rsidR="00603597">
        <w:rPr>
          <w:rFonts w:ascii="Arial" w:hAnsi="Arial" w:cs="Arial"/>
        </w:rPr>
        <w:t>4</w:t>
      </w:r>
      <w:r w:rsidR="000906DD">
        <w:rPr>
          <w:rFonts w:ascii="Arial" w:hAnsi="Arial" w:cs="Arial"/>
        </w:rPr>
        <w:t>].</w:t>
      </w:r>
    </w:p>
    <w:p w14:paraId="6734A65F" w14:textId="77777777" w:rsidR="0082750D" w:rsidRPr="0082750D" w:rsidRDefault="0082750D" w:rsidP="0082750D">
      <w:pPr>
        <w:spacing w:after="0" w:line="240" w:lineRule="auto"/>
        <w:jc w:val="both"/>
        <w:rPr>
          <w:rFonts w:ascii="Arial" w:hAnsi="Arial" w:cs="Arial"/>
        </w:rPr>
      </w:pPr>
    </w:p>
    <w:p w14:paraId="0751623E" w14:textId="3BCAC9EB" w:rsidR="0082750D" w:rsidRPr="008A0C6A" w:rsidRDefault="0082750D" w:rsidP="0082750D">
      <w:pPr>
        <w:spacing w:after="0" w:line="240" w:lineRule="auto"/>
        <w:jc w:val="both"/>
        <w:rPr>
          <w:rFonts w:ascii="Arial" w:hAnsi="Arial" w:cs="Arial"/>
        </w:rPr>
      </w:pPr>
      <w:r w:rsidRPr="00D76255">
        <w:rPr>
          <w:rFonts w:ascii="Arial" w:hAnsi="Arial" w:cs="Arial"/>
        </w:rPr>
        <w:t>2</w:t>
      </w:r>
      <w:r>
        <w:rPr>
          <w:rFonts w:ascii="Arial" w:hAnsi="Arial" w:cs="Arial"/>
        </w:rPr>
        <w:t xml:space="preserve">. </w:t>
      </w:r>
      <w:r w:rsidRPr="0082750D">
        <w:rPr>
          <w:rFonts w:ascii="Arial" w:hAnsi="Arial" w:cs="Arial"/>
          <w:i/>
          <w:iCs/>
        </w:rPr>
        <w:t>“The saliva collection part could be illustrated with a short video. … giving clear guidance should maximize the number of samples that give a result.”</w:t>
      </w:r>
      <w:r w:rsidR="008A0C6A">
        <w:rPr>
          <w:rFonts w:ascii="Arial" w:hAnsi="Arial" w:cs="Arial"/>
          <w:i/>
          <w:iCs/>
        </w:rPr>
        <w:t xml:space="preserve"> </w:t>
      </w:r>
      <w:r w:rsidR="008A0C6A">
        <w:rPr>
          <w:rFonts w:ascii="Arial" w:hAnsi="Arial" w:cs="Arial"/>
        </w:rPr>
        <w:t>We agree that this may improve sample collection consistency</w:t>
      </w:r>
      <w:r w:rsidR="00B300EA">
        <w:rPr>
          <w:rFonts w:ascii="Arial" w:hAnsi="Arial" w:cs="Arial"/>
        </w:rPr>
        <w:t xml:space="preserve"> and have a short video description of our process on the lab website</w:t>
      </w:r>
      <w:r w:rsidR="00E73A3A">
        <w:rPr>
          <w:rFonts w:ascii="Arial" w:hAnsi="Arial" w:cs="Arial"/>
        </w:rPr>
        <w:t xml:space="preserve"> (</w:t>
      </w:r>
      <w:r w:rsidR="00E73A3A" w:rsidRPr="00E73A3A">
        <w:rPr>
          <w:rFonts w:ascii="Arial" w:hAnsi="Arial" w:cs="Arial"/>
        </w:rPr>
        <w:t>https://www.clemson.edu/centers-institutes/reddilab/index.html</w:t>
      </w:r>
      <w:r w:rsidR="00E73A3A">
        <w:rPr>
          <w:rFonts w:ascii="Arial" w:hAnsi="Arial" w:cs="Arial"/>
        </w:rPr>
        <w:t>)</w:t>
      </w:r>
      <w:r w:rsidR="00B300EA">
        <w:rPr>
          <w:rFonts w:ascii="Arial" w:hAnsi="Arial" w:cs="Arial"/>
        </w:rPr>
        <w:t>. In addition</w:t>
      </w:r>
      <w:r w:rsidR="00416C15">
        <w:rPr>
          <w:rFonts w:ascii="Arial" w:hAnsi="Arial" w:cs="Arial"/>
        </w:rPr>
        <w:t>, w</w:t>
      </w:r>
      <w:r w:rsidR="00122B13">
        <w:rPr>
          <w:rFonts w:ascii="Arial" w:hAnsi="Arial" w:cs="Arial"/>
        </w:rPr>
        <w:t xml:space="preserve">e </w:t>
      </w:r>
      <w:r w:rsidR="00416C15">
        <w:rPr>
          <w:rFonts w:ascii="Arial" w:hAnsi="Arial" w:cs="Arial"/>
        </w:rPr>
        <w:t>provide</w:t>
      </w:r>
      <w:r w:rsidR="00122B13">
        <w:rPr>
          <w:rFonts w:ascii="Arial" w:hAnsi="Arial" w:cs="Arial"/>
        </w:rPr>
        <w:t xml:space="preserve"> written instructions for collection administrators to </w:t>
      </w:r>
      <w:r w:rsidR="00416C15">
        <w:rPr>
          <w:rFonts w:ascii="Arial" w:hAnsi="Arial" w:cs="Arial"/>
        </w:rPr>
        <w:t>assist</w:t>
      </w:r>
      <w:r w:rsidR="00122B13">
        <w:rPr>
          <w:rFonts w:ascii="Arial" w:hAnsi="Arial" w:cs="Arial"/>
        </w:rPr>
        <w:t xml:space="preserve"> the participants</w:t>
      </w:r>
      <w:r w:rsidR="005223B2">
        <w:rPr>
          <w:rFonts w:ascii="Arial" w:hAnsi="Arial" w:cs="Arial"/>
        </w:rPr>
        <w:t>, which has helped reduce issues of poor</w:t>
      </w:r>
      <w:r w:rsidR="00E73A3A">
        <w:rPr>
          <w:rFonts w:ascii="Arial" w:hAnsi="Arial" w:cs="Arial"/>
        </w:rPr>
        <w:t>-</w:t>
      </w:r>
      <w:r w:rsidR="005223B2">
        <w:rPr>
          <w:rFonts w:ascii="Arial" w:hAnsi="Arial" w:cs="Arial"/>
        </w:rPr>
        <w:t>quality collection samples</w:t>
      </w:r>
      <w:r w:rsidR="00122B13">
        <w:rPr>
          <w:rFonts w:ascii="Arial" w:hAnsi="Arial" w:cs="Arial"/>
        </w:rPr>
        <w:t xml:space="preserve">. </w:t>
      </w:r>
      <w:r w:rsidR="00122B13" w:rsidRPr="00D76255">
        <w:rPr>
          <w:rFonts w:ascii="Arial" w:hAnsi="Arial" w:cs="Arial"/>
        </w:rPr>
        <w:t>We have added th</w:t>
      </w:r>
      <w:r w:rsidR="00416C15" w:rsidRPr="00D76255">
        <w:rPr>
          <w:rFonts w:ascii="Arial" w:hAnsi="Arial" w:cs="Arial"/>
        </w:rPr>
        <w:t>ese</w:t>
      </w:r>
      <w:r w:rsidR="00122B13" w:rsidRPr="00D76255">
        <w:rPr>
          <w:rFonts w:ascii="Arial" w:hAnsi="Arial" w:cs="Arial"/>
        </w:rPr>
        <w:t xml:space="preserve"> as supplemental implementation materials.</w:t>
      </w:r>
      <w:r w:rsidR="00122B13">
        <w:rPr>
          <w:rFonts w:ascii="Arial" w:hAnsi="Arial" w:cs="Arial"/>
        </w:rPr>
        <w:t xml:space="preserve"> </w:t>
      </w:r>
    </w:p>
    <w:p w14:paraId="6C560C85" w14:textId="77777777" w:rsidR="0082750D" w:rsidRPr="0082750D" w:rsidRDefault="0082750D" w:rsidP="0082750D">
      <w:pPr>
        <w:spacing w:after="0" w:line="240" w:lineRule="auto"/>
        <w:jc w:val="both"/>
        <w:rPr>
          <w:rFonts w:ascii="Arial" w:hAnsi="Arial" w:cs="Arial"/>
        </w:rPr>
      </w:pPr>
    </w:p>
    <w:p w14:paraId="5832A689" w14:textId="520C5041" w:rsidR="0082750D" w:rsidRPr="00122B13" w:rsidRDefault="0082750D" w:rsidP="0082750D">
      <w:pPr>
        <w:spacing w:after="0" w:line="240" w:lineRule="auto"/>
        <w:jc w:val="both"/>
        <w:rPr>
          <w:rFonts w:ascii="Arial" w:hAnsi="Arial" w:cs="Arial"/>
        </w:rPr>
      </w:pPr>
      <w:r w:rsidRPr="00965884">
        <w:rPr>
          <w:rFonts w:ascii="Arial" w:hAnsi="Arial" w:cs="Arial"/>
        </w:rPr>
        <w:t>3</w:t>
      </w:r>
      <w:r>
        <w:rPr>
          <w:rFonts w:ascii="Arial" w:hAnsi="Arial" w:cs="Arial"/>
        </w:rPr>
        <w:t xml:space="preserve">. </w:t>
      </w:r>
      <w:r w:rsidRPr="0082750D">
        <w:rPr>
          <w:rFonts w:ascii="Arial" w:hAnsi="Arial" w:cs="Arial"/>
          <w:i/>
          <w:iCs/>
        </w:rPr>
        <w:t>“50</w:t>
      </w:r>
      <w:r>
        <w:rPr>
          <w:rFonts w:ascii="Arial" w:hAnsi="Arial" w:cs="Arial"/>
          <w:i/>
          <w:iCs/>
        </w:rPr>
        <w:t xml:space="preserve"> </w:t>
      </w:r>
      <w:r w:rsidRPr="0082750D">
        <w:rPr>
          <w:rFonts w:ascii="Arial" w:hAnsi="Arial" w:cs="Arial"/>
          <w:i/>
          <w:iCs/>
        </w:rPr>
        <w:t>m</w:t>
      </w:r>
      <w:r>
        <w:rPr>
          <w:rFonts w:ascii="Arial" w:hAnsi="Arial" w:cs="Arial"/>
          <w:i/>
          <w:iCs/>
        </w:rPr>
        <w:t>L</w:t>
      </w:r>
      <w:r w:rsidRPr="0082750D">
        <w:rPr>
          <w:rFonts w:ascii="Arial" w:hAnsi="Arial" w:cs="Arial"/>
          <w:i/>
          <w:iCs/>
        </w:rPr>
        <w:t xml:space="preserve"> conical tubes have themselves been under supply chain shortage. Could the authors propose some alternatives that can be used?”</w:t>
      </w:r>
      <w:r w:rsidR="00122B13">
        <w:rPr>
          <w:rFonts w:ascii="Arial" w:hAnsi="Arial" w:cs="Arial"/>
          <w:i/>
          <w:iCs/>
        </w:rPr>
        <w:t xml:space="preserve"> </w:t>
      </w:r>
      <w:r w:rsidR="00122B13">
        <w:rPr>
          <w:rFonts w:ascii="Arial" w:hAnsi="Arial" w:cs="Arial"/>
        </w:rPr>
        <w:t xml:space="preserve">We agree this would be a helpful addition. Any sterile container can be used to collect saliva, </w:t>
      </w:r>
      <w:r w:rsidR="00434C46">
        <w:rPr>
          <w:rFonts w:ascii="Arial" w:hAnsi="Arial" w:cs="Arial"/>
        </w:rPr>
        <w:t>a</w:t>
      </w:r>
      <w:r w:rsidR="00122B13">
        <w:rPr>
          <w:rFonts w:ascii="Arial" w:hAnsi="Arial" w:cs="Arial"/>
        </w:rPr>
        <w:t xml:space="preserve"> good alternative would be 15 mL conical tubes</w:t>
      </w:r>
      <w:r w:rsidR="00434C46">
        <w:rPr>
          <w:rFonts w:ascii="Arial" w:hAnsi="Arial" w:cs="Arial"/>
        </w:rPr>
        <w:t xml:space="preserve">. Because the liquid handling robots are open source, the code can be modified for any size of container used to collect saliva. It is important to consider the diameter at the opening of the container to ensure ease of sample collection. We have </w:t>
      </w:r>
      <w:r w:rsidR="0091646F">
        <w:rPr>
          <w:rFonts w:ascii="Arial" w:hAnsi="Arial" w:cs="Arial"/>
        </w:rPr>
        <w:t>explained how the robots can be modified to accommodate alternate products in case of shortages</w:t>
      </w:r>
      <w:r w:rsidR="00434C46">
        <w:rPr>
          <w:rFonts w:ascii="Arial" w:hAnsi="Arial" w:cs="Arial"/>
        </w:rPr>
        <w:t xml:space="preserve"> [</w:t>
      </w:r>
      <w:r w:rsidR="00434C46" w:rsidRPr="0091646F">
        <w:rPr>
          <w:rFonts w:ascii="Arial" w:hAnsi="Arial" w:cs="Arial"/>
        </w:rPr>
        <w:t>Line</w:t>
      </w:r>
      <w:r w:rsidR="0091646F">
        <w:rPr>
          <w:rFonts w:ascii="Arial" w:hAnsi="Arial" w:cs="Arial"/>
        </w:rPr>
        <w:t>s</w:t>
      </w:r>
      <w:r w:rsidR="00434C46" w:rsidRPr="0091646F">
        <w:rPr>
          <w:rFonts w:ascii="Arial" w:hAnsi="Arial" w:cs="Arial"/>
        </w:rPr>
        <w:t xml:space="preserve"> </w:t>
      </w:r>
      <w:r w:rsidR="0091646F" w:rsidRPr="0091646F">
        <w:rPr>
          <w:rFonts w:ascii="Arial" w:hAnsi="Arial" w:cs="Arial"/>
        </w:rPr>
        <w:t>4</w:t>
      </w:r>
      <w:r w:rsidR="00D20626">
        <w:rPr>
          <w:rFonts w:ascii="Arial" w:hAnsi="Arial" w:cs="Arial"/>
        </w:rPr>
        <w:t>95</w:t>
      </w:r>
      <w:r w:rsidR="00434C46" w:rsidRPr="0091646F">
        <w:rPr>
          <w:rFonts w:ascii="Arial" w:hAnsi="Arial" w:cs="Arial"/>
        </w:rPr>
        <w:t>-</w:t>
      </w:r>
      <w:r w:rsidR="0091646F" w:rsidRPr="0091646F">
        <w:rPr>
          <w:rFonts w:ascii="Arial" w:hAnsi="Arial" w:cs="Arial"/>
        </w:rPr>
        <w:t>4</w:t>
      </w:r>
      <w:r w:rsidR="00D20626">
        <w:rPr>
          <w:rFonts w:ascii="Arial" w:hAnsi="Arial" w:cs="Arial"/>
        </w:rPr>
        <w:t>97</w:t>
      </w:r>
      <w:r w:rsidR="00434C46">
        <w:rPr>
          <w:rFonts w:ascii="Arial" w:hAnsi="Arial" w:cs="Arial"/>
        </w:rPr>
        <w:t>].</w:t>
      </w:r>
    </w:p>
    <w:p w14:paraId="23CB0B5F" w14:textId="77777777" w:rsidR="0082750D" w:rsidRDefault="0082750D" w:rsidP="0082750D">
      <w:pPr>
        <w:spacing w:after="0" w:line="240" w:lineRule="auto"/>
        <w:jc w:val="both"/>
        <w:rPr>
          <w:rFonts w:ascii="Arial" w:hAnsi="Arial" w:cs="Arial"/>
        </w:rPr>
      </w:pPr>
    </w:p>
    <w:p w14:paraId="2A2BB096" w14:textId="64A8B933" w:rsidR="0082750D" w:rsidRPr="00434C46" w:rsidRDefault="0082750D" w:rsidP="0082750D">
      <w:pPr>
        <w:spacing w:after="0" w:line="240" w:lineRule="auto"/>
        <w:jc w:val="both"/>
        <w:rPr>
          <w:rFonts w:ascii="Arial" w:hAnsi="Arial" w:cs="Arial"/>
        </w:rPr>
      </w:pPr>
      <w:r>
        <w:rPr>
          <w:rFonts w:ascii="Arial" w:hAnsi="Arial" w:cs="Arial"/>
        </w:rPr>
        <w:t xml:space="preserve">4. </w:t>
      </w:r>
      <w:r w:rsidRPr="00E1481B">
        <w:rPr>
          <w:rFonts w:ascii="Arial" w:hAnsi="Arial" w:cs="Arial"/>
          <w:i/>
          <w:iCs/>
        </w:rPr>
        <w:t>“The sample assignment part is not described clearly enough, though I suspect the video will help here...”</w:t>
      </w:r>
      <w:r w:rsidR="00434C46">
        <w:rPr>
          <w:rFonts w:ascii="Arial" w:hAnsi="Arial" w:cs="Arial"/>
          <w:i/>
          <w:iCs/>
        </w:rPr>
        <w:t xml:space="preserve"> </w:t>
      </w:r>
      <w:r w:rsidR="00434C46" w:rsidRPr="002010A2">
        <w:rPr>
          <w:rFonts w:ascii="Arial" w:hAnsi="Arial" w:cs="Arial"/>
        </w:rPr>
        <w:t xml:space="preserve">We </w:t>
      </w:r>
      <w:r w:rsidR="002010A2" w:rsidRPr="002010A2">
        <w:rPr>
          <w:rFonts w:ascii="Arial" w:hAnsi="Arial" w:cs="Arial"/>
        </w:rPr>
        <w:t>agree that this is difficult to explain in text. We plan to highlight this process in the video since it is simple to depict visually.</w:t>
      </w:r>
    </w:p>
    <w:p w14:paraId="625191C5" w14:textId="77777777" w:rsidR="00E1481B" w:rsidRPr="0082750D" w:rsidRDefault="00E1481B" w:rsidP="0082750D">
      <w:pPr>
        <w:spacing w:after="0" w:line="240" w:lineRule="auto"/>
        <w:jc w:val="both"/>
        <w:rPr>
          <w:rFonts w:ascii="Arial" w:hAnsi="Arial" w:cs="Arial"/>
        </w:rPr>
      </w:pPr>
    </w:p>
    <w:p w14:paraId="692223A9" w14:textId="39570665" w:rsidR="0082750D" w:rsidRPr="0082750D" w:rsidRDefault="00E1481B" w:rsidP="0082750D">
      <w:pPr>
        <w:spacing w:after="0" w:line="240" w:lineRule="auto"/>
        <w:jc w:val="both"/>
        <w:rPr>
          <w:rFonts w:ascii="Arial" w:hAnsi="Arial" w:cs="Arial"/>
        </w:rPr>
      </w:pPr>
      <w:r>
        <w:rPr>
          <w:rFonts w:ascii="Arial" w:hAnsi="Arial" w:cs="Arial"/>
        </w:rPr>
        <w:t xml:space="preserve">5. </w:t>
      </w:r>
      <w:r w:rsidRPr="00E1481B">
        <w:rPr>
          <w:rFonts w:ascii="Arial" w:hAnsi="Arial" w:cs="Arial"/>
          <w:i/>
          <w:iCs/>
        </w:rPr>
        <w:t>“</w:t>
      </w:r>
      <w:r w:rsidR="0082750D" w:rsidRPr="00E1481B">
        <w:rPr>
          <w:rFonts w:ascii="Arial" w:hAnsi="Arial" w:cs="Arial"/>
          <w:i/>
          <w:iCs/>
        </w:rPr>
        <w:t>Could it be an idea to dilute the saliva samples a bit with buffer (to further reduce problems with saliva viscosity)?</w:t>
      </w:r>
      <w:r w:rsidRPr="00E1481B">
        <w:rPr>
          <w:rFonts w:ascii="Arial" w:hAnsi="Arial" w:cs="Arial"/>
          <w:i/>
          <w:iCs/>
        </w:rPr>
        <w:t>”</w:t>
      </w:r>
      <w:r w:rsidR="0046311D" w:rsidRPr="0046311D">
        <w:t xml:space="preserve"> </w:t>
      </w:r>
      <w:r w:rsidR="008212A1">
        <w:t xml:space="preserve"> </w:t>
      </w:r>
      <w:r w:rsidR="006B09C8" w:rsidRPr="006B09C8">
        <w:rPr>
          <w:rFonts w:ascii="Arial" w:hAnsi="Arial" w:cs="Arial"/>
        </w:rPr>
        <w:t>Thank you for this suggestion.</w:t>
      </w:r>
      <w:r w:rsidR="006B09C8">
        <w:t xml:space="preserve"> </w:t>
      </w:r>
      <w:r w:rsidR="0046311D" w:rsidRPr="0046311D">
        <w:rPr>
          <w:rFonts w:ascii="Arial" w:hAnsi="Arial" w:cs="Arial"/>
        </w:rPr>
        <w:t>While this may reduce viscosity, it also introduces the risk of masking a weakly positive sample, so we opted not to dilute the samples. We also determined that viscosity is significantly reduced after a 30</w:t>
      </w:r>
      <w:r w:rsidR="0046311D">
        <w:rPr>
          <w:rFonts w:ascii="Arial" w:hAnsi="Arial" w:cs="Arial"/>
        </w:rPr>
        <w:t>-</w:t>
      </w:r>
      <w:r w:rsidR="0046311D" w:rsidRPr="0046311D">
        <w:rPr>
          <w:rFonts w:ascii="Arial" w:hAnsi="Arial" w:cs="Arial"/>
        </w:rPr>
        <w:t>minute heat treatment and did not interfere with test results as seen in Figure 6.</w:t>
      </w:r>
    </w:p>
    <w:p w14:paraId="7FB237A1" w14:textId="6DF01B78" w:rsidR="00E1481B" w:rsidRDefault="00E1481B" w:rsidP="0082750D">
      <w:pPr>
        <w:spacing w:after="0" w:line="240" w:lineRule="auto"/>
        <w:jc w:val="both"/>
        <w:rPr>
          <w:rFonts w:ascii="Arial" w:hAnsi="Arial" w:cs="Arial"/>
        </w:rPr>
      </w:pPr>
    </w:p>
    <w:p w14:paraId="5DBEFAEF" w14:textId="6CC32D06" w:rsidR="0082750D" w:rsidRPr="00677AA3" w:rsidRDefault="00E1481B" w:rsidP="0082750D">
      <w:pPr>
        <w:spacing w:after="0" w:line="240" w:lineRule="auto"/>
        <w:jc w:val="both"/>
        <w:rPr>
          <w:rFonts w:ascii="Arial" w:hAnsi="Arial" w:cs="Arial"/>
        </w:rPr>
      </w:pPr>
      <w:r w:rsidRPr="00DF214C">
        <w:rPr>
          <w:rFonts w:ascii="Arial" w:hAnsi="Arial" w:cs="Arial"/>
        </w:rPr>
        <w:t>6.</w:t>
      </w:r>
      <w:r>
        <w:rPr>
          <w:rFonts w:ascii="Arial" w:hAnsi="Arial" w:cs="Arial"/>
        </w:rPr>
        <w:t xml:space="preserve"> </w:t>
      </w:r>
      <w:r w:rsidRPr="00E1481B">
        <w:rPr>
          <w:rFonts w:ascii="Arial" w:hAnsi="Arial" w:cs="Arial"/>
          <w:i/>
          <w:iCs/>
        </w:rPr>
        <w:t>“</w:t>
      </w:r>
      <w:r w:rsidR="0082750D" w:rsidRPr="00E1481B">
        <w:rPr>
          <w:rFonts w:ascii="Arial" w:hAnsi="Arial" w:cs="Arial"/>
          <w:i/>
          <w:iCs/>
        </w:rPr>
        <w:t>The authors mention a touchdown step in qPCR: why not add a comparison on how much this step improves reproducibility/reduces failure to amplify?</w:t>
      </w:r>
      <w:r w:rsidRPr="00E1481B">
        <w:rPr>
          <w:rFonts w:ascii="Arial" w:hAnsi="Arial" w:cs="Arial"/>
          <w:i/>
          <w:iCs/>
        </w:rPr>
        <w:t xml:space="preserve">” </w:t>
      </w:r>
      <w:r w:rsidR="00677AA3">
        <w:rPr>
          <w:rFonts w:ascii="Arial" w:hAnsi="Arial" w:cs="Arial"/>
        </w:rPr>
        <w:t>We agree that this is an interesting comparison. However, it is difficult to approximate reproducibility. Below, we show the comparison of positive samples run with and without the touchdown</w:t>
      </w:r>
      <w:r w:rsidR="00DF214C">
        <w:rPr>
          <w:rFonts w:ascii="Arial" w:hAnsi="Arial" w:cs="Arial"/>
        </w:rPr>
        <w:t xml:space="preserve"> (Table </w:t>
      </w:r>
      <w:r w:rsidR="00FC6BD5">
        <w:rPr>
          <w:rFonts w:ascii="Arial" w:hAnsi="Arial" w:cs="Arial"/>
        </w:rPr>
        <w:t>4</w:t>
      </w:r>
      <w:r w:rsidR="00DF214C">
        <w:rPr>
          <w:rFonts w:ascii="Arial" w:hAnsi="Arial" w:cs="Arial"/>
        </w:rPr>
        <w:t>)</w:t>
      </w:r>
      <w:r w:rsidR="00677AA3">
        <w:rPr>
          <w:rFonts w:ascii="Arial" w:hAnsi="Arial" w:cs="Arial"/>
        </w:rPr>
        <w:t xml:space="preserve">. The limit of detection is higher without the touchdown, </w:t>
      </w:r>
      <w:r w:rsidR="00DF214C">
        <w:rPr>
          <w:rFonts w:ascii="Arial" w:hAnsi="Arial" w:cs="Arial"/>
        </w:rPr>
        <w:t>making it difficult to</w:t>
      </w:r>
      <w:r w:rsidR="00677AA3">
        <w:rPr>
          <w:rFonts w:ascii="Arial" w:hAnsi="Arial" w:cs="Arial"/>
        </w:rPr>
        <w:t xml:space="preserve"> determine weak positive samples. </w:t>
      </w:r>
      <w:r w:rsidR="00DF214C">
        <w:rPr>
          <w:rFonts w:ascii="Arial" w:hAnsi="Arial" w:cs="Arial"/>
        </w:rPr>
        <w:t xml:space="preserve">One weak positive sample failed the assay without the touchdown, and this would likely occur for many other samples. We believe it is better to extend the run with a touchdown to prevent loss of specific primer binding. </w:t>
      </w:r>
      <w:r w:rsidR="00E73A3A">
        <w:rPr>
          <w:rFonts w:ascii="Arial" w:hAnsi="Arial" w:cs="Arial"/>
        </w:rPr>
        <w:t>We have included this in the manuscript.</w:t>
      </w:r>
    </w:p>
    <w:p w14:paraId="07617EA3" w14:textId="4243D708" w:rsidR="00677AA3" w:rsidRDefault="00677AA3" w:rsidP="0082750D">
      <w:pPr>
        <w:spacing w:after="0" w:line="240" w:lineRule="auto"/>
        <w:jc w:val="both"/>
        <w:rPr>
          <w:rFonts w:ascii="Arial" w:hAnsi="Arial" w:cs="Arial"/>
          <w:i/>
          <w:iCs/>
        </w:rPr>
      </w:pPr>
    </w:p>
    <w:p w14:paraId="3F9D2101" w14:textId="77777777" w:rsidR="00677AA3" w:rsidRDefault="00677AA3" w:rsidP="0082750D">
      <w:pPr>
        <w:spacing w:after="0" w:line="240" w:lineRule="auto"/>
        <w:jc w:val="both"/>
        <w:rPr>
          <w:rFonts w:ascii="Arial" w:hAnsi="Arial" w:cs="Arial"/>
        </w:rPr>
      </w:pPr>
    </w:p>
    <w:p w14:paraId="410AA0F6" w14:textId="77777777" w:rsidR="00DF214C" w:rsidRDefault="00DF214C" w:rsidP="0082750D">
      <w:pPr>
        <w:spacing w:after="0" w:line="240" w:lineRule="auto"/>
        <w:jc w:val="both"/>
        <w:rPr>
          <w:rFonts w:ascii="Arial" w:hAnsi="Arial" w:cs="Arial"/>
        </w:rPr>
      </w:pPr>
    </w:p>
    <w:p w14:paraId="33C6EA99" w14:textId="77777777" w:rsidR="00A32E6E" w:rsidRDefault="00A32E6E" w:rsidP="0082750D">
      <w:pPr>
        <w:spacing w:after="0" w:line="240" w:lineRule="auto"/>
        <w:jc w:val="both"/>
        <w:rPr>
          <w:rFonts w:ascii="Arial" w:hAnsi="Arial" w:cs="Arial"/>
        </w:rPr>
      </w:pPr>
    </w:p>
    <w:p w14:paraId="6DC26551" w14:textId="36F1C0E8" w:rsidR="00635B24" w:rsidRDefault="00677AA3" w:rsidP="0082750D">
      <w:pPr>
        <w:spacing w:after="0" w:line="240" w:lineRule="auto"/>
        <w:jc w:val="both"/>
        <w:rPr>
          <w:rFonts w:ascii="Arial" w:hAnsi="Arial" w:cs="Arial"/>
        </w:rPr>
      </w:pPr>
      <w:r>
        <w:rPr>
          <w:rFonts w:ascii="Arial" w:hAnsi="Arial" w:cs="Arial"/>
        </w:rPr>
        <w:t xml:space="preserve">Table </w:t>
      </w:r>
      <w:r w:rsidR="00FC6BD5">
        <w:rPr>
          <w:rFonts w:ascii="Arial" w:hAnsi="Arial" w:cs="Arial"/>
        </w:rPr>
        <w:t>4</w:t>
      </w:r>
      <w:r>
        <w:rPr>
          <w:rFonts w:ascii="Arial" w:hAnsi="Arial" w:cs="Arial"/>
        </w:rPr>
        <w:t xml:space="preserve">. Comparison of Touchdown Ct values for five positive samples against No Touchdown Ct values. </w:t>
      </w:r>
    </w:p>
    <w:tbl>
      <w:tblPr>
        <w:tblStyle w:val="TableGrid"/>
        <w:tblW w:w="0" w:type="auto"/>
        <w:tblLook w:val="04A0" w:firstRow="1" w:lastRow="0" w:firstColumn="1" w:lastColumn="0" w:noHBand="0" w:noVBand="1"/>
      </w:tblPr>
      <w:tblGrid>
        <w:gridCol w:w="2203"/>
        <w:gridCol w:w="1685"/>
        <w:gridCol w:w="1530"/>
        <w:gridCol w:w="2070"/>
        <w:gridCol w:w="2430"/>
      </w:tblGrid>
      <w:tr w:rsidR="00635B24" w14:paraId="2C63FA9A" w14:textId="77777777" w:rsidTr="00DF214C">
        <w:tc>
          <w:tcPr>
            <w:tcW w:w="2203" w:type="dxa"/>
            <w:vMerge w:val="restart"/>
          </w:tcPr>
          <w:p w14:paraId="403A3E2D" w14:textId="77777777" w:rsidR="00635B24" w:rsidRDefault="00635B24" w:rsidP="0082750D">
            <w:pPr>
              <w:jc w:val="both"/>
              <w:rPr>
                <w:rFonts w:ascii="Arial" w:hAnsi="Arial" w:cs="Arial"/>
              </w:rPr>
            </w:pPr>
          </w:p>
        </w:tc>
        <w:tc>
          <w:tcPr>
            <w:tcW w:w="3215" w:type="dxa"/>
            <w:gridSpan w:val="2"/>
          </w:tcPr>
          <w:p w14:paraId="08DB6DC5" w14:textId="51973FE7" w:rsidR="00635B24" w:rsidRPr="00DF214C" w:rsidRDefault="00635B24" w:rsidP="0082750D">
            <w:pPr>
              <w:jc w:val="both"/>
              <w:rPr>
                <w:rFonts w:ascii="Arial" w:hAnsi="Arial" w:cs="Arial"/>
                <w:b/>
                <w:bCs/>
              </w:rPr>
            </w:pPr>
            <w:r w:rsidRPr="00DF214C">
              <w:rPr>
                <w:rFonts w:ascii="Arial" w:hAnsi="Arial" w:cs="Arial"/>
                <w:b/>
                <w:bCs/>
              </w:rPr>
              <w:t>Touchdown Step</w:t>
            </w:r>
          </w:p>
        </w:tc>
        <w:tc>
          <w:tcPr>
            <w:tcW w:w="4500" w:type="dxa"/>
            <w:gridSpan w:val="2"/>
          </w:tcPr>
          <w:p w14:paraId="03C80B3E" w14:textId="2649D7C8" w:rsidR="00635B24" w:rsidRPr="00DF214C" w:rsidRDefault="00635B24" w:rsidP="0082750D">
            <w:pPr>
              <w:jc w:val="both"/>
              <w:rPr>
                <w:rFonts w:ascii="Arial" w:hAnsi="Arial" w:cs="Arial"/>
                <w:b/>
                <w:bCs/>
              </w:rPr>
            </w:pPr>
            <w:r w:rsidRPr="00DF214C">
              <w:rPr>
                <w:rFonts w:ascii="Arial" w:hAnsi="Arial" w:cs="Arial"/>
                <w:b/>
                <w:bCs/>
              </w:rPr>
              <w:t>No Touchdown Step</w:t>
            </w:r>
          </w:p>
        </w:tc>
      </w:tr>
      <w:tr w:rsidR="00635B24" w14:paraId="4C8E90BF" w14:textId="77777777" w:rsidTr="00DF214C">
        <w:tc>
          <w:tcPr>
            <w:tcW w:w="2203" w:type="dxa"/>
            <w:vMerge/>
          </w:tcPr>
          <w:p w14:paraId="514EFD65" w14:textId="77777777" w:rsidR="00635B24" w:rsidRDefault="00635B24" w:rsidP="0082750D">
            <w:pPr>
              <w:jc w:val="both"/>
              <w:rPr>
                <w:rFonts w:ascii="Arial" w:hAnsi="Arial" w:cs="Arial"/>
              </w:rPr>
            </w:pPr>
          </w:p>
        </w:tc>
        <w:tc>
          <w:tcPr>
            <w:tcW w:w="1685" w:type="dxa"/>
          </w:tcPr>
          <w:p w14:paraId="771CCD29" w14:textId="42FE1586" w:rsidR="00635B24" w:rsidRPr="00DF214C" w:rsidRDefault="00DD4D55" w:rsidP="0082750D">
            <w:pPr>
              <w:jc w:val="both"/>
              <w:rPr>
                <w:rFonts w:ascii="Arial" w:hAnsi="Arial" w:cs="Arial"/>
                <w:i/>
                <w:iCs/>
              </w:rPr>
            </w:pPr>
            <w:r w:rsidRPr="00DF214C">
              <w:rPr>
                <w:rFonts w:ascii="Arial" w:hAnsi="Arial" w:cs="Arial"/>
                <w:i/>
                <w:iCs/>
              </w:rPr>
              <w:t xml:space="preserve">Mean </w:t>
            </w:r>
            <w:r w:rsidR="00635B24" w:rsidRPr="00DF214C">
              <w:rPr>
                <w:rFonts w:ascii="Arial" w:hAnsi="Arial" w:cs="Arial"/>
                <w:i/>
                <w:iCs/>
              </w:rPr>
              <w:t>N1 Ct</w:t>
            </w:r>
          </w:p>
        </w:tc>
        <w:tc>
          <w:tcPr>
            <w:tcW w:w="1530" w:type="dxa"/>
          </w:tcPr>
          <w:p w14:paraId="5E5BDFFC" w14:textId="3D4E09BE" w:rsidR="00635B24" w:rsidRPr="00DF214C" w:rsidRDefault="00DD4D55" w:rsidP="0082750D">
            <w:pPr>
              <w:jc w:val="both"/>
              <w:rPr>
                <w:rFonts w:ascii="Arial" w:hAnsi="Arial" w:cs="Arial"/>
                <w:i/>
                <w:iCs/>
              </w:rPr>
            </w:pPr>
            <w:r w:rsidRPr="00DF214C">
              <w:rPr>
                <w:rFonts w:ascii="Arial" w:hAnsi="Arial" w:cs="Arial"/>
                <w:i/>
                <w:iCs/>
              </w:rPr>
              <w:t xml:space="preserve">Mean </w:t>
            </w:r>
            <w:r w:rsidR="00635B24" w:rsidRPr="00DF214C">
              <w:rPr>
                <w:rFonts w:ascii="Arial" w:hAnsi="Arial" w:cs="Arial"/>
                <w:i/>
                <w:iCs/>
              </w:rPr>
              <w:t>P1 Ct</w:t>
            </w:r>
          </w:p>
        </w:tc>
        <w:tc>
          <w:tcPr>
            <w:tcW w:w="2070" w:type="dxa"/>
          </w:tcPr>
          <w:p w14:paraId="139AF757" w14:textId="62395133" w:rsidR="00635B24" w:rsidRPr="00DF214C" w:rsidRDefault="00DD4D55" w:rsidP="0082750D">
            <w:pPr>
              <w:jc w:val="both"/>
              <w:rPr>
                <w:rFonts w:ascii="Arial" w:hAnsi="Arial" w:cs="Arial"/>
                <w:i/>
                <w:iCs/>
              </w:rPr>
            </w:pPr>
            <w:r w:rsidRPr="00DF214C">
              <w:rPr>
                <w:rFonts w:ascii="Arial" w:hAnsi="Arial" w:cs="Arial"/>
                <w:i/>
                <w:iCs/>
              </w:rPr>
              <w:t xml:space="preserve">Mean </w:t>
            </w:r>
            <w:r w:rsidR="00635B24" w:rsidRPr="00DF214C">
              <w:rPr>
                <w:rFonts w:ascii="Arial" w:hAnsi="Arial" w:cs="Arial"/>
                <w:i/>
                <w:iCs/>
              </w:rPr>
              <w:t>N1 Ct</w:t>
            </w:r>
          </w:p>
        </w:tc>
        <w:tc>
          <w:tcPr>
            <w:tcW w:w="2430" w:type="dxa"/>
          </w:tcPr>
          <w:p w14:paraId="05ACADA7" w14:textId="48F586BE" w:rsidR="00635B24" w:rsidRPr="00DF214C" w:rsidRDefault="00DD4D55" w:rsidP="0082750D">
            <w:pPr>
              <w:jc w:val="both"/>
              <w:rPr>
                <w:rFonts w:ascii="Arial" w:hAnsi="Arial" w:cs="Arial"/>
                <w:i/>
                <w:iCs/>
              </w:rPr>
            </w:pPr>
            <w:r w:rsidRPr="00DF214C">
              <w:rPr>
                <w:rFonts w:ascii="Arial" w:hAnsi="Arial" w:cs="Arial"/>
                <w:i/>
                <w:iCs/>
              </w:rPr>
              <w:t xml:space="preserve">Mean </w:t>
            </w:r>
            <w:r w:rsidR="00635B24" w:rsidRPr="00DF214C">
              <w:rPr>
                <w:rFonts w:ascii="Arial" w:hAnsi="Arial" w:cs="Arial"/>
                <w:i/>
                <w:iCs/>
              </w:rPr>
              <w:t>P1 Ct</w:t>
            </w:r>
          </w:p>
        </w:tc>
      </w:tr>
      <w:tr w:rsidR="00635B24" w14:paraId="4D91982C" w14:textId="77777777" w:rsidTr="00DF214C">
        <w:tc>
          <w:tcPr>
            <w:tcW w:w="2203" w:type="dxa"/>
          </w:tcPr>
          <w:p w14:paraId="1291BED0" w14:textId="2AD5A1D5" w:rsidR="00635B24" w:rsidRDefault="00635B24" w:rsidP="0082750D">
            <w:pPr>
              <w:jc w:val="both"/>
              <w:rPr>
                <w:rFonts w:ascii="Arial" w:hAnsi="Arial" w:cs="Arial"/>
              </w:rPr>
            </w:pPr>
            <w:r>
              <w:rPr>
                <w:rFonts w:ascii="Arial" w:hAnsi="Arial" w:cs="Arial"/>
              </w:rPr>
              <w:t>Sample 1</w:t>
            </w:r>
          </w:p>
        </w:tc>
        <w:tc>
          <w:tcPr>
            <w:tcW w:w="1685" w:type="dxa"/>
          </w:tcPr>
          <w:p w14:paraId="7C51F55F" w14:textId="12639842" w:rsidR="00635B24" w:rsidRDefault="00635B24" w:rsidP="0082750D">
            <w:pPr>
              <w:jc w:val="both"/>
              <w:rPr>
                <w:rFonts w:ascii="Arial" w:hAnsi="Arial" w:cs="Arial"/>
              </w:rPr>
            </w:pPr>
            <w:r>
              <w:rPr>
                <w:rFonts w:ascii="Arial" w:hAnsi="Arial" w:cs="Arial"/>
              </w:rPr>
              <w:t>19.65</w:t>
            </w:r>
          </w:p>
        </w:tc>
        <w:tc>
          <w:tcPr>
            <w:tcW w:w="1530" w:type="dxa"/>
          </w:tcPr>
          <w:p w14:paraId="6F3F261C" w14:textId="569688B7" w:rsidR="00635B24" w:rsidRDefault="00DD4D55" w:rsidP="0082750D">
            <w:pPr>
              <w:jc w:val="both"/>
              <w:rPr>
                <w:rFonts w:ascii="Arial" w:hAnsi="Arial" w:cs="Arial"/>
              </w:rPr>
            </w:pPr>
            <w:r>
              <w:rPr>
                <w:rFonts w:ascii="Arial" w:hAnsi="Arial" w:cs="Arial"/>
              </w:rPr>
              <w:t>22.7</w:t>
            </w:r>
          </w:p>
        </w:tc>
        <w:tc>
          <w:tcPr>
            <w:tcW w:w="2070" w:type="dxa"/>
          </w:tcPr>
          <w:p w14:paraId="64A5EFE3" w14:textId="5A916252" w:rsidR="00635B24" w:rsidRDefault="00DD4D55" w:rsidP="0082750D">
            <w:pPr>
              <w:jc w:val="both"/>
              <w:rPr>
                <w:rFonts w:ascii="Arial" w:hAnsi="Arial" w:cs="Arial"/>
              </w:rPr>
            </w:pPr>
            <w:r>
              <w:rPr>
                <w:rFonts w:ascii="Arial" w:hAnsi="Arial" w:cs="Arial"/>
              </w:rPr>
              <w:t>27.80</w:t>
            </w:r>
          </w:p>
        </w:tc>
        <w:tc>
          <w:tcPr>
            <w:tcW w:w="2430" w:type="dxa"/>
          </w:tcPr>
          <w:p w14:paraId="4CF0D113" w14:textId="4C4842D9" w:rsidR="00635B24" w:rsidRDefault="00677AA3" w:rsidP="0082750D">
            <w:pPr>
              <w:jc w:val="both"/>
              <w:rPr>
                <w:rFonts w:ascii="Arial" w:hAnsi="Arial" w:cs="Arial"/>
              </w:rPr>
            </w:pPr>
            <w:r>
              <w:rPr>
                <w:rFonts w:ascii="Arial" w:hAnsi="Arial" w:cs="Arial"/>
              </w:rPr>
              <w:t>28.3</w:t>
            </w:r>
          </w:p>
        </w:tc>
      </w:tr>
      <w:tr w:rsidR="00635B24" w14:paraId="675C3233" w14:textId="77777777" w:rsidTr="00DF214C">
        <w:tc>
          <w:tcPr>
            <w:tcW w:w="2203" w:type="dxa"/>
          </w:tcPr>
          <w:p w14:paraId="6587BAC1" w14:textId="53A5B2C5" w:rsidR="00635B24" w:rsidRDefault="00635B24" w:rsidP="0082750D">
            <w:pPr>
              <w:jc w:val="both"/>
              <w:rPr>
                <w:rFonts w:ascii="Arial" w:hAnsi="Arial" w:cs="Arial"/>
              </w:rPr>
            </w:pPr>
            <w:r>
              <w:rPr>
                <w:rFonts w:ascii="Arial" w:hAnsi="Arial" w:cs="Arial"/>
              </w:rPr>
              <w:t>Sample 2</w:t>
            </w:r>
          </w:p>
        </w:tc>
        <w:tc>
          <w:tcPr>
            <w:tcW w:w="1685" w:type="dxa"/>
          </w:tcPr>
          <w:p w14:paraId="23147819" w14:textId="61A57BBE" w:rsidR="00635B24" w:rsidRDefault="00635B24" w:rsidP="0082750D">
            <w:pPr>
              <w:jc w:val="both"/>
              <w:rPr>
                <w:rFonts w:ascii="Arial" w:hAnsi="Arial" w:cs="Arial"/>
              </w:rPr>
            </w:pPr>
            <w:r>
              <w:rPr>
                <w:rFonts w:ascii="Arial" w:hAnsi="Arial" w:cs="Arial"/>
              </w:rPr>
              <w:t>22.24</w:t>
            </w:r>
          </w:p>
        </w:tc>
        <w:tc>
          <w:tcPr>
            <w:tcW w:w="1530" w:type="dxa"/>
          </w:tcPr>
          <w:p w14:paraId="635025D4" w14:textId="2F54AFF5" w:rsidR="00635B24" w:rsidRDefault="00DD4D55" w:rsidP="0082750D">
            <w:pPr>
              <w:jc w:val="both"/>
              <w:rPr>
                <w:rFonts w:ascii="Arial" w:hAnsi="Arial" w:cs="Arial"/>
              </w:rPr>
            </w:pPr>
            <w:r>
              <w:rPr>
                <w:rFonts w:ascii="Arial" w:hAnsi="Arial" w:cs="Arial"/>
              </w:rPr>
              <w:t>24.9</w:t>
            </w:r>
          </w:p>
        </w:tc>
        <w:tc>
          <w:tcPr>
            <w:tcW w:w="2070" w:type="dxa"/>
          </w:tcPr>
          <w:p w14:paraId="14C8328D" w14:textId="5D021C77" w:rsidR="00635B24" w:rsidRDefault="00DD4D55" w:rsidP="0082750D">
            <w:pPr>
              <w:jc w:val="both"/>
              <w:rPr>
                <w:rFonts w:ascii="Arial" w:hAnsi="Arial" w:cs="Arial"/>
              </w:rPr>
            </w:pPr>
            <w:r>
              <w:rPr>
                <w:rFonts w:ascii="Arial" w:hAnsi="Arial" w:cs="Arial"/>
              </w:rPr>
              <w:t>28.77</w:t>
            </w:r>
          </w:p>
        </w:tc>
        <w:tc>
          <w:tcPr>
            <w:tcW w:w="2430" w:type="dxa"/>
          </w:tcPr>
          <w:p w14:paraId="5F47FA5A" w14:textId="53CA2C07" w:rsidR="00635B24" w:rsidRDefault="00677AA3" w:rsidP="0082750D">
            <w:pPr>
              <w:jc w:val="both"/>
              <w:rPr>
                <w:rFonts w:ascii="Arial" w:hAnsi="Arial" w:cs="Arial"/>
              </w:rPr>
            </w:pPr>
            <w:r>
              <w:rPr>
                <w:rFonts w:ascii="Arial" w:hAnsi="Arial" w:cs="Arial"/>
              </w:rPr>
              <w:t>30.5</w:t>
            </w:r>
          </w:p>
        </w:tc>
      </w:tr>
      <w:tr w:rsidR="00635B24" w14:paraId="6564218C" w14:textId="77777777" w:rsidTr="00DF214C">
        <w:tc>
          <w:tcPr>
            <w:tcW w:w="2203" w:type="dxa"/>
          </w:tcPr>
          <w:p w14:paraId="56FEB0C2" w14:textId="14CD0604" w:rsidR="00635B24" w:rsidRDefault="00635B24" w:rsidP="0082750D">
            <w:pPr>
              <w:jc w:val="both"/>
              <w:rPr>
                <w:rFonts w:ascii="Arial" w:hAnsi="Arial" w:cs="Arial"/>
              </w:rPr>
            </w:pPr>
            <w:r>
              <w:rPr>
                <w:rFonts w:ascii="Arial" w:hAnsi="Arial" w:cs="Arial"/>
              </w:rPr>
              <w:t>Sample 3</w:t>
            </w:r>
          </w:p>
        </w:tc>
        <w:tc>
          <w:tcPr>
            <w:tcW w:w="1685" w:type="dxa"/>
          </w:tcPr>
          <w:p w14:paraId="03CFE157" w14:textId="06F4900B" w:rsidR="00635B24" w:rsidRDefault="00635B24" w:rsidP="0082750D">
            <w:pPr>
              <w:jc w:val="both"/>
              <w:rPr>
                <w:rFonts w:ascii="Arial" w:hAnsi="Arial" w:cs="Arial"/>
              </w:rPr>
            </w:pPr>
            <w:r>
              <w:rPr>
                <w:rFonts w:ascii="Arial" w:hAnsi="Arial" w:cs="Arial"/>
              </w:rPr>
              <w:t>18.85</w:t>
            </w:r>
          </w:p>
        </w:tc>
        <w:tc>
          <w:tcPr>
            <w:tcW w:w="1530" w:type="dxa"/>
          </w:tcPr>
          <w:p w14:paraId="5904786E" w14:textId="5B61F95D" w:rsidR="00635B24" w:rsidRDefault="00DD4D55" w:rsidP="0082750D">
            <w:pPr>
              <w:jc w:val="both"/>
              <w:rPr>
                <w:rFonts w:ascii="Arial" w:hAnsi="Arial" w:cs="Arial"/>
              </w:rPr>
            </w:pPr>
            <w:r>
              <w:rPr>
                <w:rFonts w:ascii="Arial" w:hAnsi="Arial" w:cs="Arial"/>
              </w:rPr>
              <w:t>19.2</w:t>
            </w:r>
          </w:p>
        </w:tc>
        <w:tc>
          <w:tcPr>
            <w:tcW w:w="2070" w:type="dxa"/>
          </w:tcPr>
          <w:p w14:paraId="1B8D0C26" w14:textId="26CF997C" w:rsidR="00635B24" w:rsidRDefault="00DD4D55" w:rsidP="0082750D">
            <w:pPr>
              <w:jc w:val="both"/>
              <w:rPr>
                <w:rFonts w:ascii="Arial" w:hAnsi="Arial" w:cs="Arial"/>
              </w:rPr>
            </w:pPr>
            <w:r>
              <w:rPr>
                <w:rFonts w:ascii="Arial" w:hAnsi="Arial" w:cs="Arial"/>
              </w:rPr>
              <w:t>24.65</w:t>
            </w:r>
          </w:p>
        </w:tc>
        <w:tc>
          <w:tcPr>
            <w:tcW w:w="2430" w:type="dxa"/>
          </w:tcPr>
          <w:p w14:paraId="0D17CEC5" w14:textId="2E896A98" w:rsidR="00635B24" w:rsidRDefault="00677AA3" w:rsidP="0082750D">
            <w:pPr>
              <w:jc w:val="both"/>
              <w:rPr>
                <w:rFonts w:ascii="Arial" w:hAnsi="Arial" w:cs="Arial"/>
              </w:rPr>
            </w:pPr>
            <w:r>
              <w:rPr>
                <w:rFonts w:ascii="Arial" w:hAnsi="Arial" w:cs="Arial"/>
              </w:rPr>
              <w:t>25.9</w:t>
            </w:r>
          </w:p>
        </w:tc>
      </w:tr>
      <w:tr w:rsidR="00635B24" w14:paraId="348DD68C" w14:textId="77777777" w:rsidTr="00DF214C">
        <w:tc>
          <w:tcPr>
            <w:tcW w:w="2203" w:type="dxa"/>
          </w:tcPr>
          <w:p w14:paraId="4D67EAB9" w14:textId="6CC6175B" w:rsidR="00635B24" w:rsidRDefault="00635B24" w:rsidP="0082750D">
            <w:pPr>
              <w:jc w:val="both"/>
              <w:rPr>
                <w:rFonts w:ascii="Arial" w:hAnsi="Arial" w:cs="Arial"/>
              </w:rPr>
            </w:pPr>
            <w:r>
              <w:rPr>
                <w:rFonts w:ascii="Arial" w:hAnsi="Arial" w:cs="Arial"/>
              </w:rPr>
              <w:t>Sample 4</w:t>
            </w:r>
          </w:p>
        </w:tc>
        <w:tc>
          <w:tcPr>
            <w:tcW w:w="1685" w:type="dxa"/>
          </w:tcPr>
          <w:p w14:paraId="26A4A682" w14:textId="63672EC9" w:rsidR="00635B24" w:rsidRDefault="00DD4D55" w:rsidP="0082750D">
            <w:pPr>
              <w:jc w:val="both"/>
              <w:rPr>
                <w:rFonts w:ascii="Arial" w:hAnsi="Arial" w:cs="Arial"/>
              </w:rPr>
            </w:pPr>
            <w:r>
              <w:rPr>
                <w:rFonts w:ascii="Arial" w:hAnsi="Arial" w:cs="Arial"/>
              </w:rPr>
              <w:t>25.56</w:t>
            </w:r>
          </w:p>
        </w:tc>
        <w:tc>
          <w:tcPr>
            <w:tcW w:w="1530" w:type="dxa"/>
          </w:tcPr>
          <w:p w14:paraId="159480E7" w14:textId="4CBD5989" w:rsidR="00635B24" w:rsidRDefault="00DD4D55" w:rsidP="0082750D">
            <w:pPr>
              <w:jc w:val="both"/>
              <w:rPr>
                <w:rFonts w:ascii="Arial" w:hAnsi="Arial" w:cs="Arial"/>
              </w:rPr>
            </w:pPr>
            <w:r>
              <w:rPr>
                <w:rFonts w:ascii="Arial" w:hAnsi="Arial" w:cs="Arial"/>
              </w:rPr>
              <w:t>22.8</w:t>
            </w:r>
          </w:p>
        </w:tc>
        <w:tc>
          <w:tcPr>
            <w:tcW w:w="2070" w:type="dxa"/>
          </w:tcPr>
          <w:p w14:paraId="7D21CFD1" w14:textId="34B1F06E" w:rsidR="00635B24" w:rsidRDefault="00DD4D55" w:rsidP="0082750D">
            <w:pPr>
              <w:jc w:val="both"/>
              <w:rPr>
                <w:rFonts w:ascii="Arial" w:hAnsi="Arial" w:cs="Arial"/>
              </w:rPr>
            </w:pPr>
            <w:r>
              <w:rPr>
                <w:rFonts w:ascii="Arial" w:hAnsi="Arial" w:cs="Arial"/>
              </w:rPr>
              <w:t>31.93</w:t>
            </w:r>
          </w:p>
        </w:tc>
        <w:tc>
          <w:tcPr>
            <w:tcW w:w="2430" w:type="dxa"/>
          </w:tcPr>
          <w:p w14:paraId="152E8415" w14:textId="4A7AD593" w:rsidR="00635B24" w:rsidRDefault="00677AA3" w:rsidP="0082750D">
            <w:pPr>
              <w:jc w:val="both"/>
              <w:rPr>
                <w:rFonts w:ascii="Arial" w:hAnsi="Arial" w:cs="Arial"/>
              </w:rPr>
            </w:pPr>
            <w:r>
              <w:rPr>
                <w:rFonts w:ascii="Arial" w:hAnsi="Arial" w:cs="Arial"/>
              </w:rPr>
              <w:t>29.2</w:t>
            </w:r>
          </w:p>
        </w:tc>
      </w:tr>
      <w:tr w:rsidR="00635B24" w14:paraId="2B8F9358" w14:textId="77777777" w:rsidTr="00DF214C">
        <w:tc>
          <w:tcPr>
            <w:tcW w:w="2203" w:type="dxa"/>
          </w:tcPr>
          <w:p w14:paraId="406C8630" w14:textId="0E8F7884" w:rsidR="00635B24" w:rsidRDefault="00635B24" w:rsidP="0082750D">
            <w:pPr>
              <w:jc w:val="both"/>
              <w:rPr>
                <w:rFonts w:ascii="Arial" w:hAnsi="Arial" w:cs="Arial"/>
              </w:rPr>
            </w:pPr>
            <w:r>
              <w:rPr>
                <w:rFonts w:ascii="Arial" w:hAnsi="Arial" w:cs="Arial"/>
              </w:rPr>
              <w:t>Sample 5</w:t>
            </w:r>
          </w:p>
        </w:tc>
        <w:tc>
          <w:tcPr>
            <w:tcW w:w="1685" w:type="dxa"/>
          </w:tcPr>
          <w:p w14:paraId="1E64A44D" w14:textId="58A8393A" w:rsidR="00635B24" w:rsidRDefault="00DD4D55" w:rsidP="0082750D">
            <w:pPr>
              <w:jc w:val="both"/>
              <w:rPr>
                <w:rFonts w:ascii="Arial" w:hAnsi="Arial" w:cs="Arial"/>
              </w:rPr>
            </w:pPr>
            <w:r>
              <w:rPr>
                <w:rFonts w:ascii="Arial" w:hAnsi="Arial" w:cs="Arial"/>
              </w:rPr>
              <w:t>22.34</w:t>
            </w:r>
          </w:p>
        </w:tc>
        <w:tc>
          <w:tcPr>
            <w:tcW w:w="1530" w:type="dxa"/>
          </w:tcPr>
          <w:p w14:paraId="15FFCEAE" w14:textId="54A9C476" w:rsidR="00635B24" w:rsidRDefault="00DD4D55" w:rsidP="0082750D">
            <w:pPr>
              <w:jc w:val="both"/>
              <w:rPr>
                <w:rFonts w:ascii="Arial" w:hAnsi="Arial" w:cs="Arial"/>
              </w:rPr>
            </w:pPr>
            <w:r>
              <w:rPr>
                <w:rFonts w:ascii="Arial" w:hAnsi="Arial" w:cs="Arial"/>
              </w:rPr>
              <w:t>24.8</w:t>
            </w:r>
          </w:p>
        </w:tc>
        <w:tc>
          <w:tcPr>
            <w:tcW w:w="2070" w:type="dxa"/>
          </w:tcPr>
          <w:p w14:paraId="11A89F3D" w14:textId="514DA197" w:rsidR="00635B24" w:rsidRDefault="00DD4D55" w:rsidP="0082750D">
            <w:pPr>
              <w:jc w:val="both"/>
              <w:rPr>
                <w:rFonts w:ascii="Arial" w:hAnsi="Arial" w:cs="Arial"/>
              </w:rPr>
            </w:pPr>
            <w:r>
              <w:rPr>
                <w:rFonts w:ascii="Arial" w:hAnsi="Arial" w:cs="Arial"/>
              </w:rPr>
              <w:t>38.48</w:t>
            </w:r>
          </w:p>
        </w:tc>
        <w:tc>
          <w:tcPr>
            <w:tcW w:w="2430" w:type="dxa"/>
          </w:tcPr>
          <w:p w14:paraId="0CF19937" w14:textId="5D0869E2" w:rsidR="00635B24" w:rsidRDefault="00677AA3" w:rsidP="0082750D">
            <w:pPr>
              <w:jc w:val="both"/>
              <w:rPr>
                <w:rFonts w:ascii="Arial" w:hAnsi="Arial" w:cs="Arial"/>
              </w:rPr>
            </w:pPr>
            <w:r>
              <w:rPr>
                <w:rFonts w:ascii="Arial" w:hAnsi="Arial" w:cs="Arial"/>
              </w:rPr>
              <w:t>40.0</w:t>
            </w:r>
            <w:r w:rsidR="00DF214C">
              <w:rPr>
                <w:rFonts w:ascii="Arial" w:hAnsi="Arial" w:cs="Arial"/>
              </w:rPr>
              <w:t xml:space="preserve"> </w:t>
            </w:r>
            <w:r>
              <w:rPr>
                <w:rFonts w:ascii="Arial" w:hAnsi="Arial" w:cs="Arial"/>
              </w:rPr>
              <w:t>(Failed detection)</w:t>
            </w:r>
          </w:p>
        </w:tc>
      </w:tr>
    </w:tbl>
    <w:p w14:paraId="36E26D54" w14:textId="77777777" w:rsidR="00635B24" w:rsidRPr="00787493" w:rsidRDefault="00635B24" w:rsidP="0082750D">
      <w:pPr>
        <w:spacing w:after="0" w:line="240" w:lineRule="auto"/>
        <w:jc w:val="both"/>
        <w:rPr>
          <w:rFonts w:ascii="Arial" w:hAnsi="Arial" w:cs="Arial"/>
        </w:rPr>
      </w:pPr>
    </w:p>
    <w:p w14:paraId="177845EB" w14:textId="77777777" w:rsidR="00E1481B" w:rsidRDefault="00E1481B" w:rsidP="0082750D">
      <w:pPr>
        <w:spacing w:after="0" w:line="240" w:lineRule="auto"/>
        <w:jc w:val="both"/>
        <w:rPr>
          <w:rFonts w:ascii="Arial" w:hAnsi="Arial" w:cs="Arial"/>
        </w:rPr>
      </w:pPr>
    </w:p>
    <w:p w14:paraId="02AD9C49" w14:textId="52F3FFC9" w:rsidR="0082750D" w:rsidRPr="0046311D" w:rsidRDefault="00E1481B" w:rsidP="0082750D">
      <w:pPr>
        <w:spacing w:after="0" w:line="240" w:lineRule="auto"/>
        <w:jc w:val="both"/>
        <w:rPr>
          <w:rFonts w:ascii="Arial" w:hAnsi="Arial" w:cs="Arial"/>
        </w:rPr>
      </w:pPr>
      <w:r>
        <w:rPr>
          <w:rFonts w:ascii="Arial" w:hAnsi="Arial" w:cs="Arial"/>
        </w:rPr>
        <w:t xml:space="preserve">7. </w:t>
      </w:r>
      <w:r w:rsidRPr="00E1481B">
        <w:rPr>
          <w:rFonts w:ascii="Arial" w:hAnsi="Arial" w:cs="Arial"/>
          <w:i/>
          <w:iCs/>
        </w:rPr>
        <w:t>“</w:t>
      </w:r>
      <w:r w:rsidR="0082750D" w:rsidRPr="00E1481B">
        <w:rPr>
          <w:rFonts w:ascii="Arial" w:hAnsi="Arial" w:cs="Arial"/>
          <w:i/>
          <w:iCs/>
        </w:rPr>
        <w:t>What is the Ct limit in saliva samples? The authors only mention that detection of low amounts in saliva didn't work.</w:t>
      </w:r>
      <w:r w:rsidRPr="00E1481B">
        <w:rPr>
          <w:rFonts w:ascii="Arial" w:hAnsi="Arial" w:cs="Arial"/>
          <w:i/>
          <w:iCs/>
        </w:rPr>
        <w:t>”</w:t>
      </w:r>
      <w:r w:rsidR="0046311D">
        <w:rPr>
          <w:rFonts w:ascii="Arial" w:hAnsi="Arial" w:cs="Arial"/>
          <w:i/>
          <w:iCs/>
        </w:rPr>
        <w:t xml:space="preserve"> </w:t>
      </w:r>
      <w:r w:rsidR="00A467A4" w:rsidRPr="0046311D">
        <w:rPr>
          <w:rFonts w:ascii="Arial" w:hAnsi="Arial" w:cs="Arial"/>
        </w:rPr>
        <w:t>The synthetic RNA was not detectable at low quantities in either</w:t>
      </w:r>
      <w:r w:rsidR="00A467A4">
        <w:rPr>
          <w:rFonts w:ascii="Arial" w:hAnsi="Arial" w:cs="Arial"/>
        </w:rPr>
        <w:t xml:space="preserve"> heat treated or non-heat treated saliva</w:t>
      </w:r>
      <w:r w:rsidR="00A467A4" w:rsidRPr="0046311D">
        <w:rPr>
          <w:rFonts w:ascii="Arial" w:hAnsi="Arial" w:cs="Arial"/>
        </w:rPr>
        <w:t>, which we suspect is due to RNase</w:t>
      </w:r>
      <w:r w:rsidR="00A467A4">
        <w:rPr>
          <w:rFonts w:ascii="Arial" w:hAnsi="Arial" w:cs="Arial"/>
        </w:rPr>
        <w:t xml:space="preserve"> </w:t>
      </w:r>
      <w:r w:rsidR="00AB1CCD">
        <w:rPr>
          <w:rFonts w:ascii="Arial" w:hAnsi="Arial" w:cs="Arial"/>
        </w:rPr>
        <w:t>degradation or other confounding factors</w:t>
      </w:r>
      <w:r w:rsidR="00A467A4" w:rsidRPr="0046311D">
        <w:rPr>
          <w:rFonts w:ascii="Arial" w:hAnsi="Arial" w:cs="Arial"/>
        </w:rPr>
        <w:t xml:space="preserve">. We attempted treatment with RNaseOUT, which did improve the detection of synthetic RNA. However, the interaction of the saliva RNases with naked synthetic RNA is likely different from the interaction with viral particles, even after they have been denatured by heat. We have identified positive saliva samples with Ct &gt; 30 and external labs were able to analyze the </w:t>
      </w:r>
      <w:r w:rsidR="00A467A4">
        <w:rPr>
          <w:rFonts w:ascii="Arial" w:hAnsi="Arial" w:cs="Arial"/>
        </w:rPr>
        <w:t xml:space="preserve">genomic </w:t>
      </w:r>
      <w:r w:rsidR="00A467A4" w:rsidRPr="0046311D">
        <w:rPr>
          <w:rFonts w:ascii="Arial" w:hAnsi="Arial" w:cs="Arial"/>
        </w:rPr>
        <w:t>sequence data, which proves the presence of SARS-CoV-2 virus particles. We speculate that the viral proteins provide protection from RNA degradation in patient saliva samples, which are lacking in simulated positive samples.</w:t>
      </w:r>
      <w:r w:rsidR="00A467A4">
        <w:rPr>
          <w:rFonts w:ascii="Arial" w:hAnsi="Arial" w:cs="Arial"/>
        </w:rPr>
        <w:t xml:space="preserve"> </w:t>
      </w:r>
    </w:p>
    <w:p w14:paraId="65B57F67" w14:textId="77777777" w:rsidR="00E1481B" w:rsidRDefault="00E1481B" w:rsidP="0082750D">
      <w:pPr>
        <w:spacing w:after="0" w:line="240" w:lineRule="auto"/>
        <w:jc w:val="both"/>
        <w:rPr>
          <w:rFonts w:ascii="Arial" w:hAnsi="Arial" w:cs="Arial"/>
        </w:rPr>
      </w:pPr>
    </w:p>
    <w:p w14:paraId="595160DA" w14:textId="6C5D983D" w:rsidR="0082750D" w:rsidRPr="0046311D" w:rsidRDefault="00E1481B" w:rsidP="0082750D">
      <w:pPr>
        <w:spacing w:after="0" w:line="240" w:lineRule="auto"/>
        <w:jc w:val="both"/>
        <w:rPr>
          <w:rFonts w:ascii="Arial" w:hAnsi="Arial" w:cs="Arial"/>
        </w:rPr>
      </w:pPr>
      <w:r w:rsidRPr="00A01402">
        <w:rPr>
          <w:rFonts w:ascii="Arial" w:hAnsi="Arial" w:cs="Arial"/>
        </w:rPr>
        <w:t>8.</w:t>
      </w:r>
      <w:r>
        <w:rPr>
          <w:rFonts w:ascii="Arial" w:hAnsi="Arial" w:cs="Arial"/>
        </w:rPr>
        <w:t xml:space="preserve"> </w:t>
      </w:r>
      <w:r w:rsidRPr="00E1481B">
        <w:rPr>
          <w:rFonts w:ascii="Arial" w:hAnsi="Arial" w:cs="Arial"/>
          <w:i/>
          <w:iCs/>
        </w:rPr>
        <w:t>“</w:t>
      </w:r>
      <w:r w:rsidR="0082750D" w:rsidRPr="00E1481B">
        <w:rPr>
          <w:rFonts w:ascii="Arial" w:hAnsi="Arial" w:cs="Arial"/>
          <w:i/>
          <w:iCs/>
        </w:rPr>
        <w:t>Figure 3 could be made clearer</w:t>
      </w:r>
      <w:r w:rsidRPr="00E1481B">
        <w:rPr>
          <w:rFonts w:ascii="Arial" w:hAnsi="Arial" w:cs="Arial"/>
          <w:i/>
          <w:iCs/>
        </w:rPr>
        <w:t>…”</w:t>
      </w:r>
      <w:r w:rsidR="0046311D">
        <w:rPr>
          <w:rFonts w:ascii="Arial" w:hAnsi="Arial" w:cs="Arial"/>
          <w:i/>
          <w:iCs/>
        </w:rPr>
        <w:t xml:space="preserve"> </w:t>
      </w:r>
      <w:r w:rsidR="0046311D" w:rsidRPr="0046311D">
        <w:rPr>
          <w:rFonts w:ascii="Arial" w:hAnsi="Arial" w:cs="Arial"/>
        </w:rPr>
        <w:t xml:space="preserve">We appreciate your feedback, </w:t>
      </w:r>
      <w:r w:rsidR="008212A1">
        <w:rPr>
          <w:rFonts w:ascii="Arial" w:hAnsi="Arial" w:cs="Arial"/>
        </w:rPr>
        <w:t xml:space="preserve">and we have clarified some the notation by defining RR and N1RR in the Figure legend. </w:t>
      </w:r>
    </w:p>
    <w:p w14:paraId="6B9A117E" w14:textId="77777777" w:rsidR="00E1481B" w:rsidRDefault="00E1481B" w:rsidP="0082750D">
      <w:pPr>
        <w:spacing w:after="0" w:line="240" w:lineRule="auto"/>
        <w:jc w:val="both"/>
        <w:rPr>
          <w:rFonts w:ascii="Arial" w:hAnsi="Arial" w:cs="Arial"/>
        </w:rPr>
      </w:pPr>
    </w:p>
    <w:p w14:paraId="7BA52A39" w14:textId="5E3FD9ED" w:rsidR="0082750D" w:rsidRPr="0046311D" w:rsidRDefault="00E1481B" w:rsidP="0082750D">
      <w:pPr>
        <w:spacing w:after="0" w:line="240" w:lineRule="auto"/>
        <w:jc w:val="both"/>
        <w:rPr>
          <w:rFonts w:ascii="Arial" w:hAnsi="Arial" w:cs="Arial"/>
        </w:rPr>
      </w:pPr>
      <w:r w:rsidRPr="00A01402">
        <w:rPr>
          <w:rFonts w:ascii="Arial" w:hAnsi="Arial" w:cs="Arial"/>
        </w:rPr>
        <w:t>9</w:t>
      </w:r>
      <w:r>
        <w:rPr>
          <w:rFonts w:ascii="Arial" w:hAnsi="Arial" w:cs="Arial"/>
        </w:rPr>
        <w:t xml:space="preserve">. </w:t>
      </w:r>
      <w:r w:rsidRPr="00E1481B">
        <w:rPr>
          <w:rFonts w:ascii="Arial" w:hAnsi="Arial" w:cs="Arial"/>
          <w:i/>
          <w:iCs/>
        </w:rPr>
        <w:t>“</w:t>
      </w:r>
      <w:r w:rsidR="0082750D" w:rsidRPr="00E1481B">
        <w:rPr>
          <w:rFonts w:ascii="Arial" w:hAnsi="Arial" w:cs="Arial"/>
          <w:i/>
          <w:iCs/>
        </w:rPr>
        <w:t>It may be useful to mention if (and how) the entire workstation should be decontaminated between runs to further reduce molecular contamination.</w:t>
      </w:r>
      <w:r w:rsidRPr="00E1481B">
        <w:rPr>
          <w:rFonts w:ascii="Arial" w:hAnsi="Arial" w:cs="Arial"/>
          <w:i/>
          <w:iCs/>
        </w:rPr>
        <w:t>”</w:t>
      </w:r>
      <w:r w:rsidR="0046311D">
        <w:rPr>
          <w:rFonts w:ascii="Arial" w:hAnsi="Arial" w:cs="Arial"/>
          <w:i/>
          <w:iCs/>
        </w:rPr>
        <w:t xml:space="preserve"> </w:t>
      </w:r>
      <w:r w:rsidR="008971B4">
        <w:rPr>
          <w:rFonts w:ascii="Arial" w:hAnsi="Arial" w:cs="Arial"/>
        </w:rPr>
        <w:t xml:space="preserve">We agree that this information will be useful in implementation of the method. </w:t>
      </w:r>
      <w:r w:rsidR="0046311D">
        <w:rPr>
          <w:rFonts w:ascii="Arial" w:hAnsi="Arial" w:cs="Arial"/>
        </w:rPr>
        <w:t xml:space="preserve">We routinely decontaminate the stations with </w:t>
      </w:r>
      <w:r w:rsidR="00965861">
        <w:rPr>
          <w:rFonts w:ascii="Arial" w:hAnsi="Arial" w:cs="Arial"/>
        </w:rPr>
        <w:t>an intermediate-level disinfectant</w:t>
      </w:r>
      <w:r w:rsidR="0046311D">
        <w:rPr>
          <w:rFonts w:ascii="Arial" w:hAnsi="Arial" w:cs="Arial"/>
        </w:rPr>
        <w:t xml:space="preserve"> and ethanol wipes and have included this as S</w:t>
      </w:r>
      <w:r w:rsidR="00564E2C">
        <w:rPr>
          <w:rFonts w:ascii="Arial" w:hAnsi="Arial" w:cs="Arial"/>
        </w:rPr>
        <w:t>ection</w:t>
      </w:r>
      <w:r w:rsidR="0046311D">
        <w:rPr>
          <w:rFonts w:ascii="Arial" w:hAnsi="Arial" w:cs="Arial"/>
        </w:rPr>
        <w:t xml:space="preserve"> </w:t>
      </w:r>
      <w:r w:rsidR="00564E2C">
        <w:rPr>
          <w:rFonts w:ascii="Arial" w:hAnsi="Arial" w:cs="Arial"/>
        </w:rPr>
        <w:t>1</w:t>
      </w:r>
      <w:r w:rsidR="0046311D">
        <w:rPr>
          <w:rFonts w:ascii="Arial" w:hAnsi="Arial" w:cs="Arial"/>
        </w:rPr>
        <w:t xml:space="preserve">3 in the protocol </w:t>
      </w:r>
      <w:r w:rsidR="0046311D" w:rsidRPr="00787493">
        <w:rPr>
          <w:rFonts w:ascii="Arial" w:hAnsi="Arial" w:cs="Arial"/>
        </w:rPr>
        <w:t xml:space="preserve">[Lines </w:t>
      </w:r>
      <w:r w:rsidR="0091646F" w:rsidRPr="00787493">
        <w:rPr>
          <w:rFonts w:ascii="Arial" w:hAnsi="Arial" w:cs="Arial"/>
        </w:rPr>
        <w:t>3</w:t>
      </w:r>
      <w:r w:rsidR="00603597">
        <w:rPr>
          <w:rFonts w:ascii="Arial" w:hAnsi="Arial" w:cs="Arial"/>
        </w:rPr>
        <w:t>43</w:t>
      </w:r>
      <w:r w:rsidR="0046311D" w:rsidRPr="00787493">
        <w:rPr>
          <w:rFonts w:ascii="Arial" w:hAnsi="Arial" w:cs="Arial"/>
        </w:rPr>
        <w:t>-</w:t>
      </w:r>
      <w:r w:rsidR="0091646F" w:rsidRPr="00787493">
        <w:rPr>
          <w:rFonts w:ascii="Arial" w:hAnsi="Arial" w:cs="Arial"/>
        </w:rPr>
        <w:t>35</w:t>
      </w:r>
      <w:r w:rsidR="00603597">
        <w:rPr>
          <w:rFonts w:ascii="Arial" w:hAnsi="Arial" w:cs="Arial"/>
        </w:rPr>
        <w:t>8</w:t>
      </w:r>
      <w:r w:rsidR="0046311D" w:rsidRPr="00787493">
        <w:rPr>
          <w:rFonts w:ascii="Arial" w:hAnsi="Arial" w:cs="Arial"/>
        </w:rPr>
        <w:t>].</w:t>
      </w:r>
    </w:p>
    <w:p w14:paraId="270CA87A" w14:textId="2BA81D6C" w:rsidR="00E1481B" w:rsidRDefault="00E1481B" w:rsidP="0082750D">
      <w:pPr>
        <w:spacing w:after="0" w:line="240" w:lineRule="auto"/>
        <w:jc w:val="both"/>
        <w:rPr>
          <w:rFonts w:ascii="Arial" w:hAnsi="Arial" w:cs="Arial"/>
          <w:i/>
          <w:iCs/>
        </w:rPr>
      </w:pPr>
    </w:p>
    <w:p w14:paraId="7FEAFC47" w14:textId="09429E7A" w:rsidR="00770434" w:rsidRDefault="00E1481B" w:rsidP="0082750D">
      <w:pPr>
        <w:spacing w:after="0" w:line="240" w:lineRule="auto"/>
        <w:jc w:val="both"/>
        <w:rPr>
          <w:rFonts w:ascii="Arial" w:hAnsi="Arial" w:cs="Arial"/>
        </w:rPr>
      </w:pPr>
      <w:r w:rsidRPr="00A01402">
        <w:rPr>
          <w:rFonts w:ascii="Arial" w:hAnsi="Arial" w:cs="Arial"/>
        </w:rPr>
        <w:t>10.</w:t>
      </w:r>
      <w:r>
        <w:rPr>
          <w:rFonts w:ascii="Arial" w:hAnsi="Arial" w:cs="Arial"/>
        </w:rPr>
        <w:t xml:space="preserve"> </w:t>
      </w:r>
      <w:r w:rsidRPr="00E1481B">
        <w:rPr>
          <w:rFonts w:ascii="Arial" w:hAnsi="Arial" w:cs="Arial"/>
          <w:i/>
          <w:iCs/>
        </w:rPr>
        <w:t>“Sample heterogeneity, and possibly reduced sensitivity when RNA is not extracted, are big challenges for testing. It would be useful to show how well the Ct values obtained with the described protocol correlate with (and reflect) Ct values obtained with a more standard procedure (extracted RNA, qPCR).”</w:t>
      </w:r>
      <w:r w:rsidR="00770434">
        <w:rPr>
          <w:rFonts w:ascii="Arial" w:hAnsi="Arial" w:cs="Arial"/>
        </w:rPr>
        <w:t xml:space="preserve"> Thank you for this suggestion, we agree it would be interesting to explore this aspect. </w:t>
      </w:r>
      <w:r w:rsidR="004A726C">
        <w:rPr>
          <w:rFonts w:ascii="Arial" w:hAnsi="Arial" w:cs="Arial"/>
        </w:rPr>
        <w:t xml:space="preserve">We routinely </w:t>
      </w:r>
      <w:r w:rsidR="00D84407">
        <w:rPr>
          <w:rFonts w:ascii="Arial" w:hAnsi="Arial" w:cs="Arial"/>
        </w:rPr>
        <w:t>conduct</w:t>
      </w:r>
      <w:r w:rsidR="004A726C">
        <w:rPr>
          <w:rFonts w:ascii="Arial" w:hAnsi="Arial" w:cs="Arial"/>
        </w:rPr>
        <w:t xml:space="preserve"> proficiency testing at Greenwood Genetic Center; they perform the nCov CDC assay on heat</w:t>
      </w:r>
      <w:r w:rsidR="00014377">
        <w:rPr>
          <w:rFonts w:ascii="Arial" w:hAnsi="Arial" w:cs="Arial"/>
        </w:rPr>
        <w:t>-</w:t>
      </w:r>
      <w:r w:rsidR="004A726C">
        <w:rPr>
          <w:rFonts w:ascii="Arial" w:hAnsi="Arial" w:cs="Arial"/>
        </w:rPr>
        <w:t>treated saliva without</w:t>
      </w:r>
      <w:r w:rsidR="00014377">
        <w:rPr>
          <w:rFonts w:ascii="Arial" w:hAnsi="Arial" w:cs="Arial"/>
        </w:rPr>
        <w:t xml:space="preserve"> RNA</w:t>
      </w:r>
      <w:r w:rsidR="004A726C">
        <w:rPr>
          <w:rFonts w:ascii="Arial" w:hAnsi="Arial" w:cs="Arial"/>
        </w:rPr>
        <w:t xml:space="preserve"> extraction</w:t>
      </w:r>
      <w:r w:rsidR="00A01402">
        <w:rPr>
          <w:rFonts w:ascii="Arial" w:hAnsi="Arial" w:cs="Arial"/>
        </w:rPr>
        <w:t xml:space="preserve"> and a recent report showed 100% result agreement</w:t>
      </w:r>
      <w:r w:rsidR="004A726C">
        <w:rPr>
          <w:rFonts w:ascii="Arial" w:hAnsi="Arial" w:cs="Arial"/>
        </w:rPr>
        <w:t xml:space="preserve">. Additionally, an external lab performed </w:t>
      </w:r>
      <w:r w:rsidR="00C16971">
        <w:rPr>
          <w:rFonts w:ascii="Arial" w:hAnsi="Arial" w:cs="Arial"/>
        </w:rPr>
        <w:t xml:space="preserve">RNA extraction and </w:t>
      </w:r>
      <w:r w:rsidR="004A726C">
        <w:rPr>
          <w:rFonts w:ascii="Arial" w:hAnsi="Arial" w:cs="Arial"/>
        </w:rPr>
        <w:t xml:space="preserve">Co-Diagnostics Logix assay as a QC measurement prior to whole genome sequencing. </w:t>
      </w:r>
      <w:r w:rsidR="00014377">
        <w:rPr>
          <w:rFonts w:ascii="Arial" w:hAnsi="Arial" w:cs="Arial"/>
        </w:rPr>
        <w:t>While the C</w:t>
      </w:r>
      <w:r w:rsidR="00D84407">
        <w:rPr>
          <w:rFonts w:ascii="Arial" w:hAnsi="Arial" w:cs="Arial"/>
        </w:rPr>
        <w:t>ovid</w:t>
      </w:r>
      <w:r w:rsidR="00014377">
        <w:rPr>
          <w:rFonts w:ascii="Arial" w:hAnsi="Arial" w:cs="Arial"/>
        </w:rPr>
        <w:t xml:space="preserve">-19 </w:t>
      </w:r>
      <w:r w:rsidR="00D84407">
        <w:rPr>
          <w:rFonts w:ascii="Arial" w:hAnsi="Arial" w:cs="Arial"/>
        </w:rPr>
        <w:t>value</w:t>
      </w:r>
      <w:r w:rsidR="00014377">
        <w:rPr>
          <w:rFonts w:ascii="Arial" w:hAnsi="Arial" w:cs="Arial"/>
        </w:rPr>
        <w:t xml:space="preserve"> originates from amplification of E and RdRP genes, we believe this represents the ability of our assay to correctly </w:t>
      </w:r>
      <w:r w:rsidR="0086058C">
        <w:rPr>
          <w:rFonts w:ascii="Arial" w:hAnsi="Arial" w:cs="Arial"/>
        </w:rPr>
        <w:t>determine positive samples</w:t>
      </w:r>
      <w:r w:rsidR="00014377">
        <w:rPr>
          <w:rFonts w:ascii="Arial" w:hAnsi="Arial" w:cs="Arial"/>
        </w:rPr>
        <w:t xml:space="preserve"> without RNA extraction</w:t>
      </w:r>
      <w:r w:rsidR="00C16971">
        <w:rPr>
          <w:rFonts w:ascii="Arial" w:hAnsi="Arial" w:cs="Arial"/>
        </w:rPr>
        <w:t xml:space="preserve"> as we had </w:t>
      </w:r>
      <w:r w:rsidR="009B3A4C">
        <w:rPr>
          <w:rFonts w:ascii="Arial" w:hAnsi="Arial" w:cs="Arial"/>
        </w:rPr>
        <w:t>&gt;95</w:t>
      </w:r>
      <w:r w:rsidR="00C16971">
        <w:rPr>
          <w:rFonts w:ascii="Arial" w:hAnsi="Arial" w:cs="Arial"/>
        </w:rPr>
        <w:t xml:space="preserve">% </w:t>
      </w:r>
      <w:r w:rsidR="009B3A4C">
        <w:rPr>
          <w:rFonts w:ascii="Arial" w:hAnsi="Arial" w:cs="Arial"/>
        </w:rPr>
        <w:t xml:space="preserve">results </w:t>
      </w:r>
      <w:r w:rsidR="00C16971">
        <w:rPr>
          <w:rFonts w:ascii="Arial" w:hAnsi="Arial" w:cs="Arial"/>
        </w:rPr>
        <w:t xml:space="preserve">agreement </w:t>
      </w:r>
      <w:r w:rsidR="009B3A4C">
        <w:rPr>
          <w:rFonts w:ascii="Arial" w:hAnsi="Arial" w:cs="Arial"/>
        </w:rPr>
        <w:t>(n=320, 315 positives, 5 negatives). Of the discordant results, our results were positive while the CoDx results were negative, suggesting that our test has greater sensitivity.</w:t>
      </w:r>
      <w:r w:rsidR="00041C59">
        <w:rPr>
          <w:rFonts w:ascii="Arial" w:hAnsi="Arial" w:cs="Arial"/>
        </w:rPr>
        <w:t xml:space="preserve"> We have added this information as Table </w:t>
      </w:r>
      <w:r w:rsidR="00FC6BD5">
        <w:rPr>
          <w:rFonts w:ascii="Arial" w:hAnsi="Arial" w:cs="Arial"/>
        </w:rPr>
        <w:t>5</w:t>
      </w:r>
      <w:r w:rsidR="00041C59">
        <w:rPr>
          <w:rFonts w:ascii="Arial" w:hAnsi="Arial" w:cs="Arial"/>
        </w:rPr>
        <w:t xml:space="preserve"> and have added information to the discussion [Lines </w:t>
      </w:r>
      <w:r w:rsidR="00603597">
        <w:rPr>
          <w:rFonts w:ascii="Arial" w:hAnsi="Arial" w:cs="Arial"/>
        </w:rPr>
        <w:t>5</w:t>
      </w:r>
      <w:r w:rsidR="00D20626">
        <w:rPr>
          <w:rFonts w:ascii="Arial" w:hAnsi="Arial" w:cs="Arial"/>
        </w:rPr>
        <w:t>40</w:t>
      </w:r>
      <w:r w:rsidR="00603597">
        <w:rPr>
          <w:rFonts w:ascii="Arial" w:hAnsi="Arial" w:cs="Arial"/>
        </w:rPr>
        <w:t>-5</w:t>
      </w:r>
      <w:r w:rsidR="00D20626">
        <w:rPr>
          <w:rFonts w:ascii="Arial" w:hAnsi="Arial" w:cs="Arial"/>
        </w:rPr>
        <w:t>43</w:t>
      </w:r>
      <w:r w:rsidR="00041C59">
        <w:rPr>
          <w:rFonts w:ascii="Arial" w:hAnsi="Arial" w:cs="Arial"/>
        </w:rPr>
        <w:t>].</w:t>
      </w:r>
    </w:p>
    <w:p w14:paraId="17611A8E" w14:textId="77777777" w:rsidR="00FC6BD5" w:rsidRDefault="00FC6BD5" w:rsidP="0082750D">
      <w:pPr>
        <w:spacing w:after="0" w:line="240" w:lineRule="auto"/>
        <w:jc w:val="both"/>
        <w:rPr>
          <w:rFonts w:ascii="Arial" w:hAnsi="Arial" w:cs="Arial"/>
        </w:rPr>
      </w:pPr>
    </w:p>
    <w:p w14:paraId="0EBE3497" w14:textId="1C8EC3E4" w:rsidR="00EB76AC" w:rsidRDefault="004A726C" w:rsidP="0082750D">
      <w:pPr>
        <w:spacing w:after="0" w:line="240" w:lineRule="auto"/>
        <w:jc w:val="both"/>
        <w:rPr>
          <w:rFonts w:ascii="Arial" w:hAnsi="Arial" w:cs="Arial"/>
        </w:rPr>
      </w:pPr>
      <w:r>
        <w:rPr>
          <w:rFonts w:ascii="Arial" w:hAnsi="Arial" w:cs="Arial"/>
        </w:rPr>
        <w:t>Table</w:t>
      </w:r>
      <w:r w:rsidR="00041C59">
        <w:rPr>
          <w:rFonts w:ascii="Arial" w:hAnsi="Arial" w:cs="Arial"/>
        </w:rPr>
        <w:t xml:space="preserve"> </w:t>
      </w:r>
      <w:r w:rsidR="00FC6BD5">
        <w:rPr>
          <w:rFonts w:ascii="Arial" w:hAnsi="Arial" w:cs="Arial"/>
        </w:rPr>
        <w:t>5</w:t>
      </w:r>
      <w:r>
        <w:rPr>
          <w:rFonts w:ascii="Arial" w:hAnsi="Arial" w:cs="Arial"/>
        </w:rPr>
        <w:t>.</w:t>
      </w:r>
      <w:r w:rsidR="0086058C">
        <w:rPr>
          <w:rFonts w:ascii="Arial" w:hAnsi="Arial" w:cs="Arial"/>
        </w:rPr>
        <w:t xml:space="preserve"> Comparison of TigerSaliva Results and </w:t>
      </w:r>
      <w:r w:rsidR="00041C59">
        <w:rPr>
          <w:rFonts w:ascii="Arial" w:hAnsi="Arial" w:cs="Arial"/>
        </w:rPr>
        <w:t xml:space="preserve">Logix </w:t>
      </w:r>
      <w:r w:rsidR="0086058C">
        <w:rPr>
          <w:rFonts w:ascii="Arial" w:hAnsi="Arial" w:cs="Arial"/>
        </w:rPr>
        <w:t>Co-Diagnostics Results.</w:t>
      </w:r>
    </w:p>
    <w:tbl>
      <w:tblPr>
        <w:tblStyle w:val="TableGrid"/>
        <w:tblW w:w="0" w:type="auto"/>
        <w:tblBorders>
          <w:bottom w:val="none" w:sz="0" w:space="0" w:color="auto"/>
        </w:tblBorders>
        <w:tblLook w:val="04A0" w:firstRow="1" w:lastRow="0" w:firstColumn="1" w:lastColumn="0" w:noHBand="0" w:noVBand="1"/>
      </w:tblPr>
      <w:tblGrid>
        <w:gridCol w:w="1931"/>
        <w:gridCol w:w="2009"/>
        <w:gridCol w:w="1769"/>
        <w:gridCol w:w="1769"/>
        <w:gridCol w:w="1769"/>
      </w:tblGrid>
      <w:tr w:rsidR="0021207D" w14:paraId="08612DC9" w14:textId="77777777" w:rsidTr="00FC6BD5">
        <w:tc>
          <w:tcPr>
            <w:tcW w:w="1931" w:type="dxa"/>
            <w:vMerge w:val="restart"/>
          </w:tcPr>
          <w:p w14:paraId="5DA56143" w14:textId="77777777" w:rsidR="0021207D" w:rsidRDefault="0021207D" w:rsidP="00275D43">
            <w:pPr>
              <w:jc w:val="both"/>
              <w:rPr>
                <w:rFonts w:ascii="Arial" w:hAnsi="Arial" w:cs="Arial"/>
              </w:rPr>
            </w:pPr>
            <w:r>
              <w:rPr>
                <w:rFonts w:ascii="Arial" w:hAnsi="Arial" w:cs="Arial"/>
              </w:rPr>
              <w:t>Sample</w:t>
            </w:r>
          </w:p>
        </w:tc>
        <w:tc>
          <w:tcPr>
            <w:tcW w:w="3778" w:type="dxa"/>
            <w:gridSpan w:val="2"/>
          </w:tcPr>
          <w:p w14:paraId="5ADA4388" w14:textId="29792D99" w:rsidR="0021207D" w:rsidRPr="00AC1D71" w:rsidRDefault="0021207D" w:rsidP="00275D43">
            <w:pPr>
              <w:jc w:val="both"/>
              <w:rPr>
                <w:rFonts w:ascii="Arial" w:hAnsi="Arial" w:cs="Arial"/>
                <w:b/>
                <w:bCs/>
              </w:rPr>
            </w:pPr>
            <w:r w:rsidRPr="00AC1D71">
              <w:rPr>
                <w:rFonts w:ascii="Arial" w:hAnsi="Arial" w:cs="Arial"/>
                <w:b/>
                <w:bCs/>
              </w:rPr>
              <w:t>TigerSaliva</w:t>
            </w:r>
          </w:p>
        </w:tc>
        <w:tc>
          <w:tcPr>
            <w:tcW w:w="3538" w:type="dxa"/>
            <w:gridSpan w:val="2"/>
          </w:tcPr>
          <w:p w14:paraId="5C24BC85" w14:textId="428FEAFA" w:rsidR="0021207D" w:rsidRPr="0021207D" w:rsidRDefault="0021207D" w:rsidP="00275D43">
            <w:pPr>
              <w:jc w:val="both"/>
              <w:rPr>
                <w:rFonts w:ascii="Arial" w:hAnsi="Arial" w:cs="Arial"/>
                <w:b/>
                <w:bCs/>
              </w:rPr>
            </w:pPr>
            <w:r w:rsidRPr="0021207D">
              <w:rPr>
                <w:rFonts w:ascii="Arial" w:hAnsi="Arial" w:cs="Arial"/>
                <w:b/>
                <w:bCs/>
              </w:rPr>
              <w:t>Co-Diagnostics Logix</w:t>
            </w:r>
          </w:p>
        </w:tc>
      </w:tr>
      <w:tr w:rsidR="00AC1D71" w14:paraId="76D17140" w14:textId="77777777" w:rsidTr="00FC6BD5">
        <w:tc>
          <w:tcPr>
            <w:tcW w:w="1931" w:type="dxa"/>
            <w:vMerge/>
          </w:tcPr>
          <w:p w14:paraId="13263EFB" w14:textId="77777777" w:rsidR="00AC1D71" w:rsidRDefault="00AC1D71" w:rsidP="00275D43">
            <w:pPr>
              <w:jc w:val="both"/>
              <w:rPr>
                <w:rFonts w:ascii="Arial" w:hAnsi="Arial" w:cs="Arial"/>
              </w:rPr>
            </w:pPr>
          </w:p>
        </w:tc>
        <w:tc>
          <w:tcPr>
            <w:tcW w:w="2009" w:type="dxa"/>
          </w:tcPr>
          <w:p w14:paraId="3D4AD72F" w14:textId="6CA33F95" w:rsidR="00AC1D71" w:rsidRPr="0021207D" w:rsidRDefault="00AC1D71" w:rsidP="00275D43">
            <w:pPr>
              <w:jc w:val="both"/>
              <w:rPr>
                <w:rFonts w:ascii="Arial" w:hAnsi="Arial" w:cs="Arial"/>
                <w:i/>
                <w:iCs/>
              </w:rPr>
            </w:pPr>
            <w:r w:rsidRPr="0021207D">
              <w:rPr>
                <w:rFonts w:ascii="Arial" w:hAnsi="Arial" w:cs="Arial"/>
                <w:i/>
                <w:iCs/>
              </w:rPr>
              <w:t>N1 Ct</w:t>
            </w:r>
          </w:p>
        </w:tc>
        <w:tc>
          <w:tcPr>
            <w:tcW w:w="1769" w:type="dxa"/>
          </w:tcPr>
          <w:p w14:paraId="7B2E0228" w14:textId="3D546FF7" w:rsidR="00AC1D71" w:rsidRPr="0021207D" w:rsidRDefault="00AC1D71" w:rsidP="00275D43">
            <w:pPr>
              <w:jc w:val="both"/>
              <w:rPr>
                <w:rFonts w:ascii="Arial" w:hAnsi="Arial" w:cs="Arial"/>
                <w:i/>
                <w:iCs/>
              </w:rPr>
            </w:pPr>
            <w:r w:rsidRPr="0021207D">
              <w:rPr>
                <w:rFonts w:ascii="Arial" w:hAnsi="Arial" w:cs="Arial"/>
                <w:i/>
                <w:iCs/>
              </w:rPr>
              <w:t>P1 Ct</w:t>
            </w:r>
          </w:p>
        </w:tc>
        <w:tc>
          <w:tcPr>
            <w:tcW w:w="1769" w:type="dxa"/>
          </w:tcPr>
          <w:p w14:paraId="2F15C1CD" w14:textId="2928BF7B" w:rsidR="00AC1D71" w:rsidRPr="0021207D" w:rsidRDefault="0021207D" w:rsidP="00275D43">
            <w:pPr>
              <w:jc w:val="both"/>
              <w:rPr>
                <w:rFonts w:ascii="Arial" w:hAnsi="Arial" w:cs="Arial"/>
                <w:i/>
                <w:iCs/>
              </w:rPr>
            </w:pPr>
            <w:r w:rsidRPr="0021207D">
              <w:rPr>
                <w:rFonts w:ascii="Arial" w:hAnsi="Arial" w:cs="Arial"/>
                <w:i/>
                <w:iCs/>
              </w:rPr>
              <w:t>Covid-19 Value</w:t>
            </w:r>
          </w:p>
        </w:tc>
        <w:tc>
          <w:tcPr>
            <w:tcW w:w="1769" w:type="dxa"/>
          </w:tcPr>
          <w:p w14:paraId="70B8A651" w14:textId="4ADB3578" w:rsidR="00AC1D71" w:rsidRPr="0021207D" w:rsidRDefault="0021207D" w:rsidP="00275D43">
            <w:pPr>
              <w:jc w:val="both"/>
              <w:rPr>
                <w:rFonts w:ascii="Arial" w:hAnsi="Arial" w:cs="Arial"/>
                <w:i/>
                <w:iCs/>
              </w:rPr>
            </w:pPr>
            <w:r w:rsidRPr="0021207D">
              <w:rPr>
                <w:rFonts w:ascii="Arial" w:hAnsi="Arial" w:cs="Arial"/>
                <w:i/>
                <w:iCs/>
              </w:rPr>
              <w:t>RNaseP Value</w:t>
            </w:r>
          </w:p>
        </w:tc>
      </w:tr>
      <w:tr w:rsidR="004A726C" w14:paraId="77448D60" w14:textId="77777777" w:rsidTr="00FC6BD5">
        <w:tc>
          <w:tcPr>
            <w:tcW w:w="1931" w:type="dxa"/>
          </w:tcPr>
          <w:p w14:paraId="5BF29FF5" w14:textId="71FAA057" w:rsidR="004A726C" w:rsidRDefault="00D84CEC" w:rsidP="00275D43">
            <w:pPr>
              <w:jc w:val="both"/>
              <w:rPr>
                <w:rFonts w:ascii="Arial" w:hAnsi="Arial" w:cs="Arial"/>
              </w:rPr>
            </w:pPr>
            <w:r>
              <w:rPr>
                <w:rFonts w:ascii="Arial" w:hAnsi="Arial" w:cs="Arial"/>
              </w:rPr>
              <w:t>D11</w:t>
            </w:r>
          </w:p>
        </w:tc>
        <w:tc>
          <w:tcPr>
            <w:tcW w:w="2009" w:type="dxa"/>
          </w:tcPr>
          <w:p w14:paraId="05EF4FA7" w14:textId="071F3BB6" w:rsidR="004A726C" w:rsidRDefault="00D21EBE" w:rsidP="00275D43">
            <w:pPr>
              <w:jc w:val="both"/>
              <w:rPr>
                <w:rFonts w:ascii="Arial" w:hAnsi="Arial" w:cs="Arial"/>
              </w:rPr>
            </w:pPr>
            <w:r>
              <w:rPr>
                <w:rFonts w:ascii="Arial" w:hAnsi="Arial" w:cs="Arial"/>
              </w:rPr>
              <w:t>16.4</w:t>
            </w:r>
          </w:p>
        </w:tc>
        <w:tc>
          <w:tcPr>
            <w:tcW w:w="1769" w:type="dxa"/>
          </w:tcPr>
          <w:p w14:paraId="48CF5E62" w14:textId="6E643078" w:rsidR="004A726C" w:rsidRDefault="006D4FFA" w:rsidP="00275D43">
            <w:pPr>
              <w:jc w:val="both"/>
              <w:rPr>
                <w:rFonts w:ascii="Arial" w:hAnsi="Arial" w:cs="Arial"/>
              </w:rPr>
            </w:pPr>
            <w:r>
              <w:rPr>
                <w:rFonts w:ascii="Arial" w:hAnsi="Arial" w:cs="Arial"/>
              </w:rPr>
              <w:t>18.1</w:t>
            </w:r>
          </w:p>
        </w:tc>
        <w:tc>
          <w:tcPr>
            <w:tcW w:w="1769" w:type="dxa"/>
          </w:tcPr>
          <w:p w14:paraId="5664AF97" w14:textId="416FE58C" w:rsidR="004A726C" w:rsidRDefault="00D84CEC" w:rsidP="00275D43">
            <w:pPr>
              <w:jc w:val="both"/>
              <w:rPr>
                <w:rFonts w:ascii="Arial" w:hAnsi="Arial" w:cs="Arial"/>
              </w:rPr>
            </w:pPr>
            <w:r w:rsidRPr="00D84CEC">
              <w:rPr>
                <w:rFonts w:ascii="Arial" w:hAnsi="Arial" w:cs="Arial"/>
              </w:rPr>
              <w:t>20.8</w:t>
            </w:r>
            <w:r>
              <w:rPr>
                <w:rFonts w:ascii="Arial" w:hAnsi="Arial" w:cs="Arial"/>
              </w:rPr>
              <w:t>6</w:t>
            </w:r>
          </w:p>
        </w:tc>
        <w:tc>
          <w:tcPr>
            <w:tcW w:w="1769" w:type="dxa"/>
          </w:tcPr>
          <w:p w14:paraId="6FB11376" w14:textId="628D5E42" w:rsidR="004A726C" w:rsidRDefault="00D84CEC" w:rsidP="00275D43">
            <w:pPr>
              <w:jc w:val="both"/>
              <w:rPr>
                <w:rFonts w:ascii="Arial" w:hAnsi="Arial" w:cs="Arial"/>
              </w:rPr>
            </w:pPr>
            <w:r w:rsidRPr="00D84CEC">
              <w:rPr>
                <w:rFonts w:ascii="Arial" w:hAnsi="Arial" w:cs="Arial"/>
              </w:rPr>
              <w:t>23.</w:t>
            </w:r>
            <w:r>
              <w:rPr>
                <w:rFonts w:ascii="Arial" w:hAnsi="Arial" w:cs="Arial"/>
              </w:rPr>
              <w:t>4</w:t>
            </w:r>
          </w:p>
        </w:tc>
      </w:tr>
      <w:tr w:rsidR="004A726C" w14:paraId="40FB2C25" w14:textId="77777777" w:rsidTr="00FC6BD5">
        <w:tc>
          <w:tcPr>
            <w:tcW w:w="1931" w:type="dxa"/>
          </w:tcPr>
          <w:p w14:paraId="1BF0914A" w14:textId="3B8598AA" w:rsidR="004A726C" w:rsidRDefault="00D84CEC" w:rsidP="00275D43">
            <w:pPr>
              <w:jc w:val="both"/>
              <w:rPr>
                <w:rFonts w:ascii="Arial" w:hAnsi="Arial" w:cs="Arial"/>
              </w:rPr>
            </w:pPr>
            <w:r>
              <w:rPr>
                <w:rFonts w:ascii="Arial" w:hAnsi="Arial" w:cs="Arial"/>
              </w:rPr>
              <w:t>E11</w:t>
            </w:r>
          </w:p>
        </w:tc>
        <w:tc>
          <w:tcPr>
            <w:tcW w:w="2009" w:type="dxa"/>
          </w:tcPr>
          <w:p w14:paraId="77028FA2" w14:textId="7C2EBBDC" w:rsidR="004A726C" w:rsidRDefault="006D4FFA" w:rsidP="00275D43">
            <w:pPr>
              <w:jc w:val="both"/>
              <w:rPr>
                <w:rFonts w:ascii="Arial" w:hAnsi="Arial" w:cs="Arial"/>
              </w:rPr>
            </w:pPr>
            <w:r>
              <w:rPr>
                <w:rFonts w:ascii="Arial" w:hAnsi="Arial" w:cs="Arial"/>
              </w:rPr>
              <w:t>18.9</w:t>
            </w:r>
          </w:p>
        </w:tc>
        <w:tc>
          <w:tcPr>
            <w:tcW w:w="1769" w:type="dxa"/>
          </w:tcPr>
          <w:p w14:paraId="384D2C31" w14:textId="20BD42BB" w:rsidR="004A726C" w:rsidRDefault="006D4FFA" w:rsidP="00275D43">
            <w:pPr>
              <w:jc w:val="both"/>
              <w:rPr>
                <w:rFonts w:ascii="Arial" w:hAnsi="Arial" w:cs="Arial"/>
              </w:rPr>
            </w:pPr>
            <w:r>
              <w:rPr>
                <w:rFonts w:ascii="Arial" w:hAnsi="Arial" w:cs="Arial"/>
              </w:rPr>
              <w:t>19.1</w:t>
            </w:r>
          </w:p>
        </w:tc>
        <w:tc>
          <w:tcPr>
            <w:tcW w:w="1769" w:type="dxa"/>
          </w:tcPr>
          <w:p w14:paraId="03A534D6" w14:textId="17DE061A" w:rsidR="004A726C" w:rsidRDefault="00D84CEC" w:rsidP="00275D43">
            <w:pPr>
              <w:jc w:val="both"/>
              <w:rPr>
                <w:rFonts w:ascii="Arial" w:hAnsi="Arial" w:cs="Arial"/>
              </w:rPr>
            </w:pPr>
            <w:r w:rsidRPr="00D84CEC">
              <w:rPr>
                <w:rFonts w:ascii="Arial" w:hAnsi="Arial" w:cs="Arial"/>
              </w:rPr>
              <w:t>25.6</w:t>
            </w:r>
          </w:p>
        </w:tc>
        <w:tc>
          <w:tcPr>
            <w:tcW w:w="1769" w:type="dxa"/>
          </w:tcPr>
          <w:p w14:paraId="73E8B1D5" w14:textId="2685C9C7" w:rsidR="004A726C" w:rsidRDefault="00D84CEC" w:rsidP="0021207D">
            <w:pPr>
              <w:rPr>
                <w:rFonts w:ascii="Arial" w:hAnsi="Arial" w:cs="Arial"/>
              </w:rPr>
            </w:pPr>
            <w:r w:rsidRPr="00D84CEC">
              <w:rPr>
                <w:rFonts w:ascii="Arial" w:hAnsi="Arial" w:cs="Arial"/>
              </w:rPr>
              <w:t>21.2</w:t>
            </w:r>
          </w:p>
        </w:tc>
      </w:tr>
      <w:tr w:rsidR="004A726C" w14:paraId="2AF5B1F5" w14:textId="77777777" w:rsidTr="00FC6BD5">
        <w:tc>
          <w:tcPr>
            <w:tcW w:w="1931" w:type="dxa"/>
          </w:tcPr>
          <w:p w14:paraId="7ED95357" w14:textId="0FB1C248" w:rsidR="004A726C" w:rsidRDefault="00D84CEC" w:rsidP="00275D43">
            <w:pPr>
              <w:jc w:val="both"/>
              <w:rPr>
                <w:rFonts w:ascii="Arial" w:hAnsi="Arial" w:cs="Arial"/>
              </w:rPr>
            </w:pPr>
            <w:r>
              <w:rPr>
                <w:rFonts w:ascii="Arial" w:hAnsi="Arial" w:cs="Arial"/>
              </w:rPr>
              <w:t>F11</w:t>
            </w:r>
          </w:p>
        </w:tc>
        <w:tc>
          <w:tcPr>
            <w:tcW w:w="2009" w:type="dxa"/>
          </w:tcPr>
          <w:p w14:paraId="725F30E1" w14:textId="023362B8" w:rsidR="004A726C" w:rsidRDefault="006D4FFA" w:rsidP="00275D43">
            <w:pPr>
              <w:jc w:val="both"/>
              <w:rPr>
                <w:rFonts w:ascii="Arial" w:hAnsi="Arial" w:cs="Arial"/>
              </w:rPr>
            </w:pPr>
            <w:r>
              <w:rPr>
                <w:rFonts w:ascii="Arial" w:hAnsi="Arial" w:cs="Arial"/>
              </w:rPr>
              <w:t>19.5</w:t>
            </w:r>
          </w:p>
        </w:tc>
        <w:tc>
          <w:tcPr>
            <w:tcW w:w="1769" w:type="dxa"/>
          </w:tcPr>
          <w:p w14:paraId="48E326BE" w14:textId="49BA77B3" w:rsidR="004A726C" w:rsidRDefault="006D4FFA" w:rsidP="00275D43">
            <w:pPr>
              <w:jc w:val="both"/>
              <w:rPr>
                <w:rFonts w:ascii="Arial" w:hAnsi="Arial" w:cs="Arial"/>
              </w:rPr>
            </w:pPr>
            <w:r>
              <w:rPr>
                <w:rFonts w:ascii="Arial" w:hAnsi="Arial" w:cs="Arial"/>
              </w:rPr>
              <w:t>18.4</w:t>
            </w:r>
          </w:p>
        </w:tc>
        <w:tc>
          <w:tcPr>
            <w:tcW w:w="1769" w:type="dxa"/>
          </w:tcPr>
          <w:p w14:paraId="4D521C5E" w14:textId="63B34C86" w:rsidR="004A726C" w:rsidRDefault="00D84CEC" w:rsidP="00275D43">
            <w:pPr>
              <w:jc w:val="both"/>
              <w:rPr>
                <w:rFonts w:ascii="Arial" w:hAnsi="Arial" w:cs="Arial"/>
              </w:rPr>
            </w:pPr>
            <w:r w:rsidRPr="00D84CEC">
              <w:rPr>
                <w:rFonts w:ascii="Arial" w:hAnsi="Arial" w:cs="Arial"/>
              </w:rPr>
              <w:t>22.</w:t>
            </w:r>
            <w:r>
              <w:rPr>
                <w:rFonts w:ascii="Arial" w:hAnsi="Arial" w:cs="Arial"/>
              </w:rPr>
              <w:t>8</w:t>
            </w:r>
          </w:p>
        </w:tc>
        <w:tc>
          <w:tcPr>
            <w:tcW w:w="1769" w:type="dxa"/>
          </w:tcPr>
          <w:p w14:paraId="621717B7" w14:textId="56ED4CA5" w:rsidR="004A726C" w:rsidRDefault="00D84CEC" w:rsidP="00275D43">
            <w:pPr>
              <w:jc w:val="both"/>
              <w:rPr>
                <w:rFonts w:ascii="Arial" w:hAnsi="Arial" w:cs="Arial"/>
              </w:rPr>
            </w:pPr>
            <w:r w:rsidRPr="00D84CEC">
              <w:rPr>
                <w:rFonts w:ascii="Arial" w:hAnsi="Arial" w:cs="Arial"/>
              </w:rPr>
              <w:t>22.</w:t>
            </w:r>
            <w:r>
              <w:rPr>
                <w:rFonts w:ascii="Arial" w:hAnsi="Arial" w:cs="Arial"/>
              </w:rPr>
              <w:t>2</w:t>
            </w:r>
          </w:p>
        </w:tc>
      </w:tr>
      <w:tr w:rsidR="004A726C" w14:paraId="56863401" w14:textId="77777777" w:rsidTr="00FC6BD5">
        <w:tc>
          <w:tcPr>
            <w:tcW w:w="1931" w:type="dxa"/>
          </w:tcPr>
          <w:p w14:paraId="2EB8BBC0" w14:textId="62EEAC52" w:rsidR="004A726C" w:rsidRDefault="00D84CEC" w:rsidP="00275D43">
            <w:pPr>
              <w:jc w:val="both"/>
              <w:rPr>
                <w:rFonts w:ascii="Arial" w:hAnsi="Arial" w:cs="Arial"/>
              </w:rPr>
            </w:pPr>
            <w:r>
              <w:rPr>
                <w:rFonts w:ascii="Arial" w:hAnsi="Arial" w:cs="Arial"/>
              </w:rPr>
              <w:t>G11</w:t>
            </w:r>
          </w:p>
        </w:tc>
        <w:tc>
          <w:tcPr>
            <w:tcW w:w="2009" w:type="dxa"/>
          </w:tcPr>
          <w:p w14:paraId="000793FD" w14:textId="532AAAD3" w:rsidR="004A726C" w:rsidRDefault="006D4FFA" w:rsidP="00275D43">
            <w:pPr>
              <w:jc w:val="both"/>
              <w:rPr>
                <w:rFonts w:ascii="Arial" w:hAnsi="Arial" w:cs="Arial"/>
              </w:rPr>
            </w:pPr>
            <w:r>
              <w:rPr>
                <w:rFonts w:ascii="Arial" w:hAnsi="Arial" w:cs="Arial"/>
              </w:rPr>
              <w:t>22.2</w:t>
            </w:r>
          </w:p>
        </w:tc>
        <w:tc>
          <w:tcPr>
            <w:tcW w:w="1769" w:type="dxa"/>
          </w:tcPr>
          <w:p w14:paraId="3DC4FF37" w14:textId="26C3AFB2" w:rsidR="004A726C" w:rsidRDefault="006D4FFA" w:rsidP="00275D43">
            <w:pPr>
              <w:jc w:val="both"/>
              <w:rPr>
                <w:rFonts w:ascii="Arial" w:hAnsi="Arial" w:cs="Arial"/>
              </w:rPr>
            </w:pPr>
            <w:r>
              <w:rPr>
                <w:rFonts w:ascii="Arial" w:hAnsi="Arial" w:cs="Arial"/>
              </w:rPr>
              <w:t>19.1</w:t>
            </w:r>
          </w:p>
        </w:tc>
        <w:tc>
          <w:tcPr>
            <w:tcW w:w="1769" w:type="dxa"/>
          </w:tcPr>
          <w:p w14:paraId="497FC490" w14:textId="5B344AD9" w:rsidR="004A726C" w:rsidRDefault="00D84CEC" w:rsidP="00275D43">
            <w:pPr>
              <w:jc w:val="both"/>
              <w:rPr>
                <w:rFonts w:ascii="Arial" w:hAnsi="Arial" w:cs="Arial"/>
              </w:rPr>
            </w:pPr>
            <w:r w:rsidRPr="00D84CEC">
              <w:rPr>
                <w:rFonts w:ascii="Arial" w:hAnsi="Arial" w:cs="Arial"/>
              </w:rPr>
              <w:t>23.7</w:t>
            </w:r>
          </w:p>
        </w:tc>
        <w:tc>
          <w:tcPr>
            <w:tcW w:w="1769" w:type="dxa"/>
          </w:tcPr>
          <w:p w14:paraId="45A498C9" w14:textId="0388E27A" w:rsidR="004A726C" w:rsidRDefault="00D84CEC" w:rsidP="00275D43">
            <w:pPr>
              <w:jc w:val="both"/>
              <w:rPr>
                <w:rFonts w:ascii="Arial" w:hAnsi="Arial" w:cs="Arial"/>
              </w:rPr>
            </w:pPr>
            <w:r w:rsidRPr="00D84CEC">
              <w:rPr>
                <w:rFonts w:ascii="Arial" w:hAnsi="Arial" w:cs="Arial"/>
              </w:rPr>
              <w:t>22.</w:t>
            </w:r>
            <w:r>
              <w:rPr>
                <w:rFonts w:ascii="Arial" w:hAnsi="Arial" w:cs="Arial"/>
              </w:rPr>
              <w:t>9</w:t>
            </w:r>
          </w:p>
        </w:tc>
      </w:tr>
      <w:tr w:rsidR="004A726C" w14:paraId="0DA6242A" w14:textId="77777777" w:rsidTr="00FC6BD5">
        <w:tc>
          <w:tcPr>
            <w:tcW w:w="1931" w:type="dxa"/>
          </w:tcPr>
          <w:p w14:paraId="7585F429" w14:textId="186B1693" w:rsidR="004A726C" w:rsidRDefault="00D84CEC" w:rsidP="00275D43">
            <w:pPr>
              <w:jc w:val="both"/>
              <w:rPr>
                <w:rFonts w:ascii="Arial" w:hAnsi="Arial" w:cs="Arial"/>
              </w:rPr>
            </w:pPr>
            <w:r>
              <w:rPr>
                <w:rFonts w:ascii="Arial" w:hAnsi="Arial" w:cs="Arial"/>
              </w:rPr>
              <w:t>H11</w:t>
            </w:r>
          </w:p>
        </w:tc>
        <w:tc>
          <w:tcPr>
            <w:tcW w:w="2009" w:type="dxa"/>
          </w:tcPr>
          <w:p w14:paraId="2EF4B504" w14:textId="5F973BBF" w:rsidR="004A726C" w:rsidRDefault="006D4FFA" w:rsidP="00275D43">
            <w:pPr>
              <w:jc w:val="both"/>
              <w:rPr>
                <w:rFonts w:ascii="Arial" w:hAnsi="Arial" w:cs="Arial"/>
              </w:rPr>
            </w:pPr>
            <w:r>
              <w:rPr>
                <w:rFonts w:ascii="Arial" w:hAnsi="Arial" w:cs="Arial"/>
              </w:rPr>
              <w:t>26.4</w:t>
            </w:r>
          </w:p>
        </w:tc>
        <w:tc>
          <w:tcPr>
            <w:tcW w:w="1769" w:type="dxa"/>
          </w:tcPr>
          <w:p w14:paraId="7CD1387C" w14:textId="4E5B4F0E" w:rsidR="004A726C" w:rsidRDefault="006D4FFA" w:rsidP="00275D43">
            <w:pPr>
              <w:jc w:val="both"/>
              <w:rPr>
                <w:rFonts w:ascii="Arial" w:hAnsi="Arial" w:cs="Arial"/>
              </w:rPr>
            </w:pPr>
            <w:r>
              <w:rPr>
                <w:rFonts w:ascii="Arial" w:hAnsi="Arial" w:cs="Arial"/>
              </w:rPr>
              <w:t>21.3</w:t>
            </w:r>
          </w:p>
        </w:tc>
        <w:tc>
          <w:tcPr>
            <w:tcW w:w="1769" w:type="dxa"/>
          </w:tcPr>
          <w:p w14:paraId="0170EBAE" w14:textId="65221211" w:rsidR="004A726C" w:rsidRDefault="00D84CEC" w:rsidP="00275D43">
            <w:pPr>
              <w:jc w:val="both"/>
              <w:rPr>
                <w:rFonts w:ascii="Arial" w:hAnsi="Arial" w:cs="Arial"/>
              </w:rPr>
            </w:pPr>
            <w:r w:rsidRPr="00D84CEC">
              <w:rPr>
                <w:rFonts w:ascii="Arial" w:hAnsi="Arial" w:cs="Arial"/>
              </w:rPr>
              <w:t>32.</w:t>
            </w:r>
            <w:r w:rsidR="0086058C">
              <w:rPr>
                <w:rFonts w:ascii="Arial" w:hAnsi="Arial" w:cs="Arial"/>
              </w:rPr>
              <w:t>2</w:t>
            </w:r>
          </w:p>
        </w:tc>
        <w:tc>
          <w:tcPr>
            <w:tcW w:w="1769" w:type="dxa"/>
          </w:tcPr>
          <w:p w14:paraId="640E24C9" w14:textId="161DDF33" w:rsidR="004A726C" w:rsidRDefault="0086058C" w:rsidP="00275D43">
            <w:pPr>
              <w:jc w:val="both"/>
              <w:rPr>
                <w:rFonts w:ascii="Arial" w:hAnsi="Arial" w:cs="Arial"/>
              </w:rPr>
            </w:pPr>
            <w:r w:rsidRPr="0086058C">
              <w:rPr>
                <w:rFonts w:ascii="Arial" w:hAnsi="Arial" w:cs="Arial"/>
              </w:rPr>
              <w:t>26.7</w:t>
            </w:r>
          </w:p>
        </w:tc>
      </w:tr>
      <w:tr w:rsidR="004A726C" w14:paraId="388EEEC0" w14:textId="77777777" w:rsidTr="00FC6BD5">
        <w:tc>
          <w:tcPr>
            <w:tcW w:w="1931" w:type="dxa"/>
          </w:tcPr>
          <w:p w14:paraId="39C628D7" w14:textId="40735156" w:rsidR="004A726C" w:rsidRDefault="00D84CEC" w:rsidP="00275D43">
            <w:pPr>
              <w:jc w:val="both"/>
              <w:rPr>
                <w:rFonts w:ascii="Arial" w:hAnsi="Arial" w:cs="Arial"/>
              </w:rPr>
            </w:pPr>
            <w:r>
              <w:rPr>
                <w:rFonts w:ascii="Arial" w:hAnsi="Arial" w:cs="Arial"/>
              </w:rPr>
              <w:t>A12</w:t>
            </w:r>
          </w:p>
        </w:tc>
        <w:tc>
          <w:tcPr>
            <w:tcW w:w="2009" w:type="dxa"/>
          </w:tcPr>
          <w:p w14:paraId="021981D2" w14:textId="62142CEC" w:rsidR="004A726C" w:rsidRDefault="00D84CEC" w:rsidP="00275D43">
            <w:pPr>
              <w:jc w:val="both"/>
              <w:rPr>
                <w:rFonts w:ascii="Arial" w:hAnsi="Arial" w:cs="Arial"/>
              </w:rPr>
            </w:pPr>
            <w:r>
              <w:rPr>
                <w:rFonts w:ascii="Arial" w:hAnsi="Arial" w:cs="Arial"/>
              </w:rPr>
              <w:t>14.8</w:t>
            </w:r>
          </w:p>
        </w:tc>
        <w:tc>
          <w:tcPr>
            <w:tcW w:w="1769" w:type="dxa"/>
          </w:tcPr>
          <w:p w14:paraId="2796143B" w14:textId="093675F9" w:rsidR="004A726C" w:rsidRDefault="00D84CEC" w:rsidP="00275D43">
            <w:pPr>
              <w:jc w:val="both"/>
              <w:rPr>
                <w:rFonts w:ascii="Arial" w:hAnsi="Arial" w:cs="Arial"/>
              </w:rPr>
            </w:pPr>
            <w:r>
              <w:rPr>
                <w:rFonts w:ascii="Arial" w:hAnsi="Arial" w:cs="Arial"/>
              </w:rPr>
              <w:t>16.5</w:t>
            </w:r>
          </w:p>
        </w:tc>
        <w:tc>
          <w:tcPr>
            <w:tcW w:w="1769" w:type="dxa"/>
          </w:tcPr>
          <w:p w14:paraId="4392E517" w14:textId="4680CD27" w:rsidR="004A726C" w:rsidRDefault="0086058C" w:rsidP="00275D43">
            <w:pPr>
              <w:jc w:val="both"/>
              <w:rPr>
                <w:rFonts w:ascii="Arial" w:hAnsi="Arial" w:cs="Arial"/>
              </w:rPr>
            </w:pPr>
            <w:r w:rsidRPr="0086058C">
              <w:rPr>
                <w:rFonts w:ascii="Arial" w:hAnsi="Arial" w:cs="Arial"/>
              </w:rPr>
              <w:t>29.1</w:t>
            </w:r>
            <w:r>
              <w:rPr>
                <w:rFonts w:ascii="Arial" w:hAnsi="Arial" w:cs="Arial"/>
              </w:rPr>
              <w:t>5</w:t>
            </w:r>
          </w:p>
        </w:tc>
        <w:tc>
          <w:tcPr>
            <w:tcW w:w="1769" w:type="dxa"/>
          </w:tcPr>
          <w:p w14:paraId="756B8309" w14:textId="1497B7B6" w:rsidR="004A726C" w:rsidRDefault="0086058C" w:rsidP="00275D43">
            <w:pPr>
              <w:jc w:val="both"/>
              <w:rPr>
                <w:rFonts w:ascii="Arial" w:hAnsi="Arial" w:cs="Arial"/>
              </w:rPr>
            </w:pPr>
            <w:r w:rsidRPr="0086058C">
              <w:rPr>
                <w:rFonts w:ascii="Arial" w:hAnsi="Arial" w:cs="Arial"/>
              </w:rPr>
              <w:t>19.0</w:t>
            </w:r>
          </w:p>
        </w:tc>
      </w:tr>
      <w:tr w:rsidR="0021207D" w14:paraId="26DB44A0" w14:textId="77777777" w:rsidTr="00FC6BD5">
        <w:tc>
          <w:tcPr>
            <w:tcW w:w="1931" w:type="dxa"/>
          </w:tcPr>
          <w:p w14:paraId="00297E83" w14:textId="4589AD4D" w:rsidR="0021207D" w:rsidRDefault="00D84CEC" w:rsidP="00275D43">
            <w:pPr>
              <w:jc w:val="both"/>
              <w:rPr>
                <w:rFonts w:ascii="Arial" w:hAnsi="Arial" w:cs="Arial"/>
              </w:rPr>
            </w:pPr>
            <w:r>
              <w:rPr>
                <w:rFonts w:ascii="Arial" w:hAnsi="Arial" w:cs="Arial"/>
              </w:rPr>
              <w:t>B12</w:t>
            </w:r>
          </w:p>
        </w:tc>
        <w:tc>
          <w:tcPr>
            <w:tcW w:w="2009" w:type="dxa"/>
          </w:tcPr>
          <w:p w14:paraId="52E7270E" w14:textId="31A9EFF0" w:rsidR="0021207D" w:rsidRDefault="00D84CEC" w:rsidP="00275D43">
            <w:pPr>
              <w:jc w:val="both"/>
              <w:rPr>
                <w:rFonts w:ascii="Arial" w:hAnsi="Arial" w:cs="Arial"/>
              </w:rPr>
            </w:pPr>
            <w:r>
              <w:rPr>
                <w:rFonts w:ascii="Arial" w:hAnsi="Arial" w:cs="Arial"/>
              </w:rPr>
              <w:t>24.0</w:t>
            </w:r>
          </w:p>
        </w:tc>
        <w:tc>
          <w:tcPr>
            <w:tcW w:w="1769" w:type="dxa"/>
          </w:tcPr>
          <w:p w14:paraId="08D21829" w14:textId="1EA95BB4" w:rsidR="0021207D" w:rsidRDefault="00D84CEC" w:rsidP="00275D43">
            <w:pPr>
              <w:jc w:val="both"/>
              <w:rPr>
                <w:rFonts w:ascii="Arial" w:hAnsi="Arial" w:cs="Arial"/>
              </w:rPr>
            </w:pPr>
            <w:r>
              <w:rPr>
                <w:rFonts w:ascii="Arial" w:hAnsi="Arial" w:cs="Arial"/>
              </w:rPr>
              <w:t>19.6</w:t>
            </w:r>
          </w:p>
        </w:tc>
        <w:tc>
          <w:tcPr>
            <w:tcW w:w="1769" w:type="dxa"/>
          </w:tcPr>
          <w:p w14:paraId="7EF5971C" w14:textId="51F93992" w:rsidR="0021207D" w:rsidRDefault="0086058C" w:rsidP="00275D43">
            <w:pPr>
              <w:jc w:val="both"/>
              <w:rPr>
                <w:rFonts w:ascii="Arial" w:hAnsi="Arial" w:cs="Arial"/>
              </w:rPr>
            </w:pPr>
            <w:r w:rsidRPr="0086058C">
              <w:rPr>
                <w:rFonts w:ascii="Arial" w:hAnsi="Arial" w:cs="Arial"/>
              </w:rPr>
              <w:t>31.0</w:t>
            </w:r>
            <w:r>
              <w:rPr>
                <w:rFonts w:ascii="Arial" w:hAnsi="Arial" w:cs="Arial"/>
              </w:rPr>
              <w:t>5</w:t>
            </w:r>
          </w:p>
        </w:tc>
        <w:tc>
          <w:tcPr>
            <w:tcW w:w="1769" w:type="dxa"/>
          </w:tcPr>
          <w:p w14:paraId="2EB3128C" w14:textId="396EDB4D" w:rsidR="0021207D" w:rsidRDefault="0086058C" w:rsidP="00275D43">
            <w:pPr>
              <w:jc w:val="both"/>
              <w:rPr>
                <w:rFonts w:ascii="Arial" w:hAnsi="Arial" w:cs="Arial"/>
              </w:rPr>
            </w:pPr>
            <w:r w:rsidRPr="0086058C">
              <w:rPr>
                <w:rFonts w:ascii="Arial" w:hAnsi="Arial" w:cs="Arial"/>
              </w:rPr>
              <w:t>21.3</w:t>
            </w:r>
            <w:r>
              <w:rPr>
                <w:rFonts w:ascii="Arial" w:hAnsi="Arial" w:cs="Arial"/>
              </w:rPr>
              <w:t>5</w:t>
            </w:r>
          </w:p>
        </w:tc>
      </w:tr>
      <w:tr w:rsidR="0021207D" w14:paraId="17A7B1D7" w14:textId="77777777" w:rsidTr="00FC6BD5">
        <w:tc>
          <w:tcPr>
            <w:tcW w:w="1931" w:type="dxa"/>
          </w:tcPr>
          <w:p w14:paraId="3AFD61D9" w14:textId="1FDA11B8" w:rsidR="0021207D" w:rsidRDefault="00D84CEC" w:rsidP="00275D43">
            <w:pPr>
              <w:jc w:val="both"/>
              <w:rPr>
                <w:rFonts w:ascii="Arial" w:hAnsi="Arial" w:cs="Arial"/>
              </w:rPr>
            </w:pPr>
            <w:r>
              <w:rPr>
                <w:rFonts w:ascii="Arial" w:hAnsi="Arial" w:cs="Arial"/>
              </w:rPr>
              <w:t>C12</w:t>
            </w:r>
          </w:p>
        </w:tc>
        <w:tc>
          <w:tcPr>
            <w:tcW w:w="2009" w:type="dxa"/>
          </w:tcPr>
          <w:p w14:paraId="259F87BE" w14:textId="48389568" w:rsidR="0021207D" w:rsidRDefault="00D84CEC" w:rsidP="00275D43">
            <w:pPr>
              <w:jc w:val="both"/>
              <w:rPr>
                <w:rFonts w:ascii="Arial" w:hAnsi="Arial" w:cs="Arial"/>
              </w:rPr>
            </w:pPr>
            <w:r>
              <w:rPr>
                <w:rFonts w:ascii="Arial" w:hAnsi="Arial" w:cs="Arial"/>
              </w:rPr>
              <w:t>14.9</w:t>
            </w:r>
          </w:p>
        </w:tc>
        <w:tc>
          <w:tcPr>
            <w:tcW w:w="1769" w:type="dxa"/>
          </w:tcPr>
          <w:p w14:paraId="7427498E" w14:textId="188681DC" w:rsidR="0021207D" w:rsidRDefault="00D84CEC" w:rsidP="00275D43">
            <w:pPr>
              <w:jc w:val="both"/>
              <w:rPr>
                <w:rFonts w:ascii="Arial" w:hAnsi="Arial" w:cs="Arial"/>
              </w:rPr>
            </w:pPr>
            <w:r>
              <w:rPr>
                <w:rFonts w:ascii="Arial" w:hAnsi="Arial" w:cs="Arial"/>
              </w:rPr>
              <w:t>17.5</w:t>
            </w:r>
          </w:p>
        </w:tc>
        <w:tc>
          <w:tcPr>
            <w:tcW w:w="1769" w:type="dxa"/>
          </w:tcPr>
          <w:p w14:paraId="223DBC02" w14:textId="0BC17CFB" w:rsidR="0021207D" w:rsidRDefault="0086058C" w:rsidP="00275D43">
            <w:pPr>
              <w:jc w:val="both"/>
              <w:rPr>
                <w:rFonts w:ascii="Arial" w:hAnsi="Arial" w:cs="Arial"/>
              </w:rPr>
            </w:pPr>
            <w:r w:rsidRPr="0086058C">
              <w:rPr>
                <w:rFonts w:ascii="Arial" w:hAnsi="Arial" w:cs="Arial"/>
              </w:rPr>
              <w:t>20.8</w:t>
            </w:r>
            <w:r>
              <w:rPr>
                <w:rFonts w:ascii="Arial" w:hAnsi="Arial" w:cs="Arial"/>
              </w:rPr>
              <w:t>4</w:t>
            </w:r>
          </w:p>
        </w:tc>
        <w:tc>
          <w:tcPr>
            <w:tcW w:w="1769" w:type="dxa"/>
          </w:tcPr>
          <w:p w14:paraId="35625019" w14:textId="6C8E913B" w:rsidR="0021207D" w:rsidRDefault="0086058C" w:rsidP="00275D43">
            <w:pPr>
              <w:jc w:val="both"/>
              <w:rPr>
                <w:rFonts w:ascii="Arial" w:hAnsi="Arial" w:cs="Arial"/>
              </w:rPr>
            </w:pPr>
            <w:r w:rsidRPr="0086058C">
              <w:rPr>
                <w:rFonts w:ascii="Arial" w:hAnsi="Arial" w:cs="Arial"/>
              </w:rPr>
              <w:t>18.</w:t>
            </w:r>
            <w:r>
              <w:rPr>
                <w:rFonts w:ascii="Arial" w:hAnsi="Arial" w:cs="Arial"/>
              </w:rPr>
              <w:t>9</w:t>
            </w:r>
          </w:p>
        </w:tc>
      </w:tr>
    </w:tbl>
    <w:p w14:paraId="02FC3137" w14:textId="77777777" w:rsidR="00EB76AC" w:rsidRPr="00770434" w:rsidRDefault="00EB76AC" w:rsidP="0082750D">
      <w:pPr>
        <w:spacing w:after="0" w:line="240" w:lineRule="auto"/>
        <w:jc w:val="both"/>
        <w:rPr>
          <w:rFonts w:ascii="Arial" w:hAnsi="Arial" w:cs="Arial"/>
        </w:rPr>
      </w:pPr>
    </w:p>
    <w:p w14:paraId="61D6C7DD" w14:textId="2F98DBB9" w:rsidR="0082750D" w:rsidRDefault="0082750D" w:rsidP="00B90E16">
      <w:pPr>
        <w:spacing w:after="0" w:line="240" w:lineRule="auto"/>
        <w:jc w:val="both"/>
        <w:rPr>
          <w:rFonts w:ascii="Arial" w:hAnsi="Arial" w:cs="Arial"/>
        </w:rPr>
      </w:pPr>
    </w:p>
    <w:p w14:paraId="05EB8DE5" w14:textId="1EB8EA25" w:rsidR="00E1481B" w:rsidRDefault="00E1481B" w:rsidP="00E1481B">
      <w:pPr>
        <w:spacing w:after="0" w:line="240" w:lineRule="auto"/>
        <w:jc w:val="both"/>
        <w:rPr>
          <w:rFonts w:ascii="Arial" w:hAnsi="Arial" w:cs="Arial"/>
          <w:b/>
          <w:u w:val="single"/>
        </w:rPr>
      </w:pPr>
      <w:r w:rsidRPr="00FA6838">
        <w:rPr>
          <w:rFonts w:ascii="Arial" w:hAnsi="Arial" w:cs="Arial"/>
          <w:b/>
          <w:u w:val="single"/>
        </w:rPr>
        <w:t xml:space="preserve">Reviewer </w:t>
      </w:r>
      <w:r>
        <w:rPr>
          <w:rFonts w:ascii="Arial" w:hAnsi="Arial" w:cs="Arial"/>
          <w:b/>
          <w:u w:val="single"/>
        </w:rPr>
        <w:t>5</w:t>
      </w:r>
    </w:p>
    <w:p w14:paraId="38AF32CE" w14:textId="5C2FBAE1" w:rsidR="00E1481B" w:rsidRDefault="00E1481B" w:rsidP="00E1481B">
      <w:pPr>
        <w:spacing w:after="0" w:line="240" w:lineRule="auto"/>
        <w:jc w:val="both"/>
        <w:rPr>
          <w:rFonts w:ascii="Arial" w:hAnsi="Arial" w:cs="Arial"/>
        </w:rPr>
      </w:pPr>
      <w:r>
        <w:rPr>
          <w:rFonts w:ascii="Arial" w:hAnsi="Arial" w:cs="Arial"/>
        </w:rPr>
        <w:t xml:space="preserve">We thank Reviewer 5 for taking time to review our manuscript.  </w:t>
      </w:r>
    </w:p>
    <w:p w14:paraId="2E21278D" w14:textId="48F70F95" w:rsidR="00E1481B" w:rsidRDefault="00E1481B" w:rsidP="00E1481B">
      <w:pPr>
        <w:spacing w:after="0" w:line="240" w:lineRule="auto"/>
        <w:jc w:val="both"/>
        <w:rPr>
          <w:rFonts w:ascii="Arial" w:hAnsi="Arial" w:cs="Arial"/>
        </w:rPr>
      </w:pPr>
    </w:p>
    <w:p w14:paraId="2744038F" w14:textId="01EAEB22" w:rsidR="00D62481" w:rsidRPr="00E525B6" w:rsidRDefault="00D62481" w:rsidP="00D62481">
      <w:pPr>
        <w:spacing w:after="0" w:line="240" w:lineRule="auto"/>
        <w:jc w:val="both"/>
        <w:rPr>
          <w:rFonts w:ascii="Arial" w:hAnsi="Arial" w:cs="Arial"/>
        </w:rPr>
      </w:pPr>
      <w:r w:rsidRPr="007678EF">
        <w:rPr>
          <w:rFonts w:ascii="Arial" w:hAnsi="Arial" w:cs="Arial"/>
        </w:rPr>
        <w:t>1</w:t>
      </w:r>
      <w:r>
        <w:rPr>
          <w:rFonts w:ascii="Arial" w:hAnsi="Arial" w:cs="Arial"/>
        </w:rPr>
        <w:t xml:space="preserve">. </w:t>
      </w:r>
      <w:r w:rsidRPr="00D62481">
        <w:rPr>
          <w:rFonts w:ascii="Arial" w:hAnsi="Arial" w:cs="Arial"/>
          <w:i/>
          <w:iCs/>
        </w:rPr>
        <w:t>“…it does not convey how accurate and sensitive the protocol is and what is the % false positive, and false negative count of the outcome.”</w:t>
      </w:r>
      <w:r w:rsidR="00A467A4">
        <w:rPr>
          <w:rFonts w:ascii="Arial" w:hAnsi="Arial" w:cs="Arial"/>
          <w:i/>
          <w:iCs/>
        </w:rPr>
        <w:t xml:space="preserve"> </w:t>
      </w:r>
      <w:r w:rsidR="00E525B6">
        <w:rPr>
          <w:rFonts w:ascii="Arial" w:hAnsi="Arial" w:cs="Arial"/>
        </w:rPr>
        <w:t xml:space="preserve">We agree that these measurements are necessary for clinical application. </w:t>
      </w:r>
      <w:bookmarkStart w:id="2" w:name="_Hlk91177401"/>
      <w:r w:rsidR="006D34B6">
        <w:rPr>
          <w:rFonts w:ascii="Arial" w:hAnsi="Arial" w:cs="Arial"/>
        </w:rPr>
        <w:t xml:space="preserve">The assay had 98.9% specificity (1.1% false positive) and </w:t>
      </w:r>
      <w:r w:rsidR="0009374E">
        <w:rPr>
          <w:rFonts w:ascii="Arial" w:hAnsi="Arial" w:cs="Arial"/>
        </w:rPr>
        <w:t>90</w:t>
      </w:r>
      <w:r w:rsidR="006D34B6">
        <w:rPr>
          <w:rFonts w:ascii="Arial" w:hAnsi="Arial" w:cs="Arial"/>
        </w:rPr>
        <w:t>.</w:t>
      </w:r>
      <w:r w:rsidR="0009374E">
        <w:rPr>
          <w:rFonts w:ascii="Arial" w:hAnsi="Arial" w:cs="Arial"/>
        </w:rPr>
        <w:t>0</w:t>
      </w:r>
      <w:r w:rsidR="006D34B6">
        <w:rPr>
          <w:rFonts w:ascii="Arial" w:hAnsi="Arial" w:cs="Arial"/>
        </w:rPr>
        <w:t>% sensitivity (</w:t>
      </w:r>
      <w:r w:rsidR="0009374E">
        <w:rPr>
          <w:rFonts w:ascii="Arial" w:hAnsi="Arial" w:cs="Arial"/>
        </w:rPr>
        <w:t>10</w:t>
      </w:r>
      <w:r w:rsidR="006D34B6">
        <w:rPr>
          <w:rFonts w:ascii="Arial" w:hAnsi="Arial" w:cs="Arial"/>
        </w:rPr>
        <w:t>.</w:t>
      </w:r>
      <w:r w:rsidR="0009374E">
        <w:rPr>
          <w:rFonts w:ascii="Arial" w:hAnsi="Arial" w:cs="Arial"/>
        </w:rPr>
        <w:t>0</w:t>
      </w:r>
      <w:r w:rsidR="006D34B6">
        <w:rPr>
          <w:rFonts w:ascii="Arial" w:hAnsi="Arial" w:cs="Arial"/>
        </w:rPr>
        <w:t xml:space="preserve">% false negative) when evaluated against paired nasopharyngeal swabs </w:t>
      </w:r>
      <w:r w:rsidR="00DE1F4F">
        <w:rPr>
          <w:rFonts w:ascii="Arial" w:hAnsi="Arial" w:cs="Arial"/>
        </w:rPr>
        <w:t xml:space="preserve">taken at the same time </w:t>
      </w:r>
      <w:r w:rsidR="006D34B6">
        <w:rPr>
          <w:rFonts w:ascii="Arial" w:hAnsi="Arial" w:cs="Arial"/>
        </w:rPr>
        <w:t>(n=83</w:t>
      </w:r>
      <w:r w:rsidR="0009374E">
        <w:rPr>
          <w:rFonts w:ascii="Arial" w:hAnsi="Arial" w:cs="Arial"/>
        </w:rPr>
        <w:t>7</w:t>
      </w:r>
      <w:r w:rsidR="006D34B6">
        <w:rPr>
          <w:rFonts w:ascii="Arial" w:hAnsi="Arial" w:cs="Arial"/>
        </w:rPr>
        <w:t xml:space="preserve">, 817 negatives, </w:t>
      </w:r>
      <w:r w:rsidR="0009374E">
        <w:rPr>
          <w:rFonts w:ascii="Arial" w:hAnsi="Arial" w:cs="Arial"/>
        </w:rPr>
        <w:t>20</w:t>
      </w:r>
      <w:r w:rsidR="006D34B6">
        <w:rPr>
          <w:rFonts w:ascii="Arial" w:hAnsi="Arial" w:cs="Arial"/>
        </w:rPr>
        <w:t xml:space="preserve"> positives). Importantly, three participants who tested positive with TigerSaliva and negative with a nasopharyngeal swab retested with swabs 48 hours later and returned positive results, indicating that TigerSaliva may be able to detect SARS-CoV-2 infections earlier in the course of illness. </w:t>
      </w:r>
      <w:r w:rsidR="00262F3A">
        <w:rPr>
          <w:rFonts w:ascii="Arial" w:hAnsi="Arial" w:cs="Arial"/>
        </w:rPr>
        <w:t>Our assay falls under the SalivaDirect EUA filed by Yale School of Public Health.</w:t>
      </w:r>
      <w:bookmarkEnd w:id="2"/>
      <w:r w:rsidR="00262F3A">
        <w:rPr>
          <w:rFonts w:ascii="Arial" w:hAnsi="Arial" w:cs="Arial"/>
        </w:rPr>
        <w:t xml:space="preserve"> </w:t>
      </w:r>
      <w:r w:rsidR="006C6ABD">
        <w:rPr>
          <w:rFonts w:ascii="Arial" w:hAnsi="Arial" w:cs="Arial"/>
        </w:rPr>
        <w:t>As with all diagnostic tests, sensitivity and specificity affect one another, and an increase in one often correlates to a decrease in the other. Because this assay is intended to facilitate frequent and non-invasive testing, we believe it is appropriate to prioritize specificity over sensitivity. Consequences of false positives are more significant than consequences of false negatives. Moreover, we have improved sample collection instructions that may have led to poor quality samples in the initial validation. Sick participants are more likely to provide samples containing phlegm</w:t>
      </w:r>
      <w:r w:rsidR="000D1492">
        <w:rPr>
          <w:rFonts w:ascii="Arial" w:hAnsi="Arial" w:cs="Arial"/>
        </w:rPr>
        <w:t>, which may interfere with the test.</w:t>
      </w:r>
      <w:r w:rsidR="00D45A9F">
        <w:rPr>
          <w:rFonts w:ascii="Arial" w:hAnsi="Arial" w:cs="Arial"/>
        </w:rPr>
        <w:t xml:space="preserve"> </w:t>
      </w:r>
      <w:r w:rsidR="000D1492" w:rsidRPr="00D76255">
        <w:rPr>
          <w:rFonts w:ascii="Arial" w:hAnsi="Arial" w:cs="Arial"/>
        </w:rPr>
        <w:t xml:space="preserve">We have included these instructions as </w:t>
      </w:r>
      <w:r w:rsidR="00D76255" w:rsidRPr="00D76255">
        <w:rPr>
          <w:rFonts w:ascii="Arial" w:hAnsi="Arial" w:cs="Arial"/>
        </w:rPr>
        <w:t xml:space="preserve">a </w:t>
      </w:r>
      <w:r w:rsidR="000D1492" w:rsidRPr="00D76255">
        <w:rPr>
          <w:rFonts w:ascii="Arial" w:hAnsi="Arial" w:cs="Arial"/>
        </w:rPr>
        <w:t>supplemental file</w:t>
      </w:r>
      <w:r w:rsidR="0009374E">
        <w:rPr>
          <w:rFonts w:ascii="Arial" w:hAnsi="Arial" w:cs="Arial"/>
        </w:rPr>
        <w:t xml:space="preserve"> as well as a comparison with a commercially available saliva SARS-CoV-2 diagnostic assay (Table 1)</w:t>
      </w:r>
      <w:r w:rsidR="000D1492" w:rsidRPr="00D76255">
        <w:rPr>
          <w:rFonts w:ascii="Arial" w:hAnsi="Arial" w:cs="Arial"/>
        </w:rPr>
        <w:t>.</w:t>
      </w:r>
      <w:r w:rsidR="002B12F4">
        <w:rPr>
          <w:rFonts w:ascii="Arial" w:hAnsi="Arial" w:cs="Arial"/>
        </w:rPr>
        <w:t xml:space="preserve"> We have also added information regarding specificity and sensitivity to the discussion [Lines </w:t>
      </w:r>
      <w:r w:rsidR="00603597">
        <w:rPr>
          <w:rFonts w:ascii="Arial" w:hAnsi="Arial" w:cs="Arial"/>
        </w:rPr>
        <w:t>4</w:t>
      </w:r>
      <w:r w:rsidR="00D20626">
        <w:rPr>
          <w:rFonts w:ascii="Arial" w:hAnsi="Arial" w:cs="Arial"/>
        </w:rPr>
        <w:t>72</w:t>
      </w:r>
      <w:r w:rsidR="00603597">
        <w:rPr>
          <w:rFonts w:ascii="Arial" w:hAnsi="Arial" w:cs="Arial"/>
        </w:rPr>
        <w:t>-4</w:t>
      </w:r>
      <w:r w:rsidR="00D20626">
        <w:rPr>
          <w:rFonts w:ascii="Arial" w:hAnsi="Arial" w:cs="Arial"/>
        </w:rPr>
        <w:t>78</w:t>
      </w:r>
      <w:r w:rsidR="002B12F4">
        <w:rPr>
          <w:rFonts w:ascii="Arial" w:hAnsi="Arial" w:cs="Arial"/>
        </w:rPr>
        <w:t>].</w:t>
      </w:r>
    </w:p>
    <w:p w14:paraId="1D714F0F" w14:textId="77777777" w:rsidR="00D62481" w:rsidRDefault="00D62481" w:rsidP="00D62481">
      <w:pPr>
        <w:spacing w:after="0" w:line="240" w:lineRule="auto"/>
        <w:jc w:val="both"/>
        <w:rPr>
          <w:rFonts w:ascii="Arial" w:hAnsi="Arial" w:cs="Arial"/>
        </w:rPr>
      </w:pPr>
    </w:p>
    <w:p w14:paraId="723DD97C" w14:textId="5E1F0368" w:rsidR="00D62481" w:rsidRPr="00D62481" w:rsidRDefault="00D62481" w:rsidP="00D62481">
      <w:pPr>
        <w:spacing w:after="0" w:line="240" w:lineRule="auto"/>
        <w:jc w:val="both"/>
        <w:rPr>
          <w:rFonts w:ascii="Arial" w:hAnsi="Arial" w:cs="Arial"/>
          <w:i/>
          <w:iCs/>
        </w:rPr>
      </w:pPr>
      <w:r>
        <w:rPr>
          <w:rFonts w:ascii="Arial" w:hAnsi="Arial" w:cs="Arial"/>
        </w:rPr>
        <w:t xml:space="preserve">2. </w:t>
      </w:r>
      <w:r w:rsidRPr="00D62481">
        <w:rPr>
          <w:rFonts w:ascii="Arial" w:hAnsi="Arial" w:cs="Arial"/>
          <w:i/>
          <w:iCs/>
        </w:rPr>
        <w:t>“The paper needs to be supported with the following sets of data using reference samples or showing relevance to the clinical outcome of the samples as to how accurate the test outcome is….</w:t>
      </w:r>
    </w:p>
    <w:p w14:paraId="49CD62C2" w14:textId="7199ADF2" w:rsidR="00D62481" w:rsidRPr="00D62481" w:rsidRDefault="00D62481" w:rsidP="00D62481">
      <w:pPr>
        <w:spacing w:after="0" w:line="240" w:lineRule="auto"/>
        <w:ind w:firstLine="720"/>
        <w:jc w:val="both"/>
        <w:rPr>
          <w:rFonts w:ascii="Arial" w:hAnsi="Arial" w:cs="Arial"/>
          <w:i/>
          <w:iCs/>
        </w:rPr>
      </w:pPr>
      <w:r w:rsidRPr="00D62481">
        <w:rPr>
          <w:rFonts w:ascii="Arial" w:hAnsi="Arial" w:cs="Arial"/>
          <w:i/>
          <w:iCs/>
        </w:rPr>
        <w:t>a. Percent False negative, false positives encountered in the manual and automated process.</w:t>
      </w:r>
    </w:p>
    <w:p w14:paraId="675277ED" w14:textId="160F28E0" w:rsidR="00D62481" w:rsidRPr="00D62481" w:rsidRDefault="00D62481" w:rsidP="00D62481">
      <w:pPr>
        <w:spacing w:after="0" w:line="240" w:lineRule="auto"/>
        <w:ind w:firstLine="720"/>
        <w:jc w:val="both"/>
        <w:rPr>
          <w:rFonts w:ascii="Arial" w:hAnsi="Arial" w:cs="Arial"/>
          <w:i/>
          <w:iCs/>
        </w:rPr>
      </w:pPr>
      <w:r w:rsidRPr="00D62481">
        <w:rPr>
          <w:rFonts w:ascii="Arial" w:hAnsi="Arial" w:cs="Arial"/>
          <w:i/>
          <w:iCs/>
        </w:rPr>
        <w:t>b. Accuracy % of both the strategies manual and automated.</w:t>
      </w:r>
    </w:p>
    <w:p w14:paraId="0F0893D6" w14:textId="7A4D586D" w:rsidR="00D62481" w:rsidRDefault="00D62481" w:rsidP="00D62481">
      <w:pPr>
        <w:spacing w:after="0" w:line="240" w:lineRule="auto"/>
        <w:ind w:left="720"/>
        <w:jc w:val="both"/>
        <w:rPr>
          <w:rFonts w:ascii="Arial" w:hAnsi="Arial" w:cs="Arial"/>
          <w:i/>
          <w:iCs/>
        </w:rPr>
      </w:pPr>
      <w:r w:rsidRPr="00D76255">
        <w:rPr>
          <w:rFonts w:ascii="Arial" w:hAnsi="Arial" w:cs="Arial"/>
          <w:i/>
          <w:iCs/>
        </w:rPr>
        <w:t>c</w:t>
      </w:r>
      <w:r w:rsidRPr="00D62481">
        <w:rPr>
          <w:rFonts w:ascii="Arial" w:hAnsi="Arial" w:cs="Arial"/>
          <w:i/>
          <w:iCs/>
        </w:rPr>
        <w:t>. Linear curve of N1 in the presence of high copy number of Hs_RPP30 since high copy number of Hs_RPP may impact low number of copies of N1 returning such a sample as false negative.”</w:t>
      </w:r>
    </w:p>
    <w:p w14:paraId="3A00FB59" w14:textId="77777777" w:rsidR="00D76255" w:rsidRDefault="00D76255" w:rsidP="000D1492">
      <w:pPr>
        <w:spacing w:after="0" w:line="240" w:lineRule="auto"/>
        <w:jc w:val="both"/>
        <w:rPr>
          <w:rFonts w:ascii="Arial" w:hAnsi="Arial" w:cs="Arial"/>
        </w:rPr>
      </w:pPr>
    </w:p>
    <w:p w14:paraId="04464842" w14:textId="7323A86B" w:rsidR="000D1492" w:rsidRDefault="005401E0" w:rsidP="000D1492">
      <w:pPr>
        <w:spacing w:after="0" w:line="240" w:lineRule="auto"/>
        <w:jc w:val="both"/>
        <w:rPr>
          <w:rFonts w:ascii="Arial" w:hAnsi="Arial" w:cs="Arial"/>
        </w:rPr>
      </w:pPr>
      <w:r>
        <w:rPr>
          <w:rFonts w:ascii="Arial" w:hAnsi="Arial" w:cs="Arial"/>
        </w:rPr>
        <w:t xml:space="preserve">Thank you for pointing this out. We did not separate the rates of false positives and false negatives originating from manual and automated methods against the gold standard nasopharyngeal swabs. However, </w:t>
      </w:r>
      <w:r w:rsidR="008809D8">
        <w:rPr>
          <w:rFonts w:ascii="Arial" w:hAnsi="Arial" w:cs="Arial"/>
        </w:rPr>
        <w:t xml:space="preserve">we observed 100% agreement between </w:t>
      </w:r>
      <w:r w:rsidR="00262F3A">
        <w:rPr>
          <w:rFonts w:ascii="Arial" w:hAnsi="Arial" w:cs="Arial"/>
        </w:rPr>
        <w:t xml:space="preserve">manual and automated methods </w:t>
      </w:r>
      <w:r w:rsidR="008809D8">
        <w:rPr>
          <w:rFonts w:ascii="Arial" w:hAnsi="Arial" w:cs="Arial"/>
        </w:rPr>
        <w:t>for both negative and positive samples in preliminary analysis (n=93, 86 negatives, 7 positives). W</w:t>
      </w:r>
      <w:r>
        <w:rPr>
          <w:rFonts w:ascii="Arial" w:hAnsi="Arial" w:cs="Arial"/>
        </w:rPr>
        <w:t xml:space="preserve">e believe that there are negligible differences between manual and automated processes based on the low inter-assay variability demonstrated in Figure 5. </w:t>
      </w:r>
    </w:p>
    <w:p w14:paraId="29F3B4EB" w14:textId="05705B10" w:rsidR="005401E0" w:rsidRDefault="005401E0" w:rsidP="000D1492">
      <w:pPr>
        <w:spacing w:after="0" w:line="240" w:lineRule="auto"/>
        <w:jc w:val="both"/>
        <w:rPr>
          <w:rFonts w:ascii="Arial" w:hAnsi="Arial" w:cs="Arial"/>
        </w:rPr>
      </w:pPr>
    </w:p>
    <w:p w14:paraId="70E73A59" w14:textId="223001E7" w:rsidR="00D62481" w:rsidRDefault="00D76255" w:rsidP="00EE0127">
      <w:pPr>
        <w:spacing w:after="0" w:line="240" w:lineRule="auto"/>
        <w:jc w:val="both"/>
        <w:rPr>
          <w:rFonts w:ascii="Arial" w:hAnsi="Arial" w:cs="Arial"/>
        </w:rPr>
      </w:pPr>
      <w:r>
        <w:rPr>
          <w:rFonts w:ascii="Arial" w:hAnsi="Arial" w:cs="Arial"/>
        </w:rPr>
        <w:t xml:space="preserve">We do not believe that high copy number Hs-RPP30 interferes with detection of SARS-CoV-2 in saliva samples. </w:t>
      </w:r>
      <w:r w:rsidR="00384364">
        <w:rPr>
          <w:rFonts w:ascii="Arial" w:hAnsi="Arial" w:cs="Arial"/>
        </w:rPr>
        <w:t xml:space="preserve">We selected positive samples with low P1 Ct and compared with the N1 Ct (n=106). The N1 Ct values ranged from 14-33, indicating the assay has a dynamic range in saliva samples </w:t>
      </w:r>
      <w:r w:rsidR="007678EF">
        <w:rPr>
          <w:rFonts w:ascii="Arial" w:hAnsi="Arial" w:cs="Arial"/>
        </w:rPr>
        <w:t xml:space="preserve">that is </w:t>
      </w:r>
      <w:r w:rsidR="00384364">
        <w:rPr>
          <w:rFonts w:ascii="Arial" w:hAnsi="Arial" w:cs="Arial"/>
        </w:rPr>
        <w:t xml:space="preserve">comparable to the standard curve. </w:t>
      </w:r>
      <w:r w:rsidR="00FF4F09">
        <w:rPr>
          <w:rFonts w:ascii="Arial" w:hAnsi="Arial" w:cs="Arial"/>
        </w:rPr>
        <w:t>We have included this information as Supplemental Figure 1.</w:t>
      </w:r>
    </w:p>
    <w:p w14:paraId="12E0AD8A" w14:textId="506E404D" w:rsidR="00D76255" w:rsidRDefault="00D76255" w:rsidP="00EE0127">
      <w:pPr>
        <w:spacing w:after="0" w:line="240" w:lineRule="auto"/>
        <w:jc w:val="both"/>
        <w:rPr>
          <w:rFonts w:ascii="Arial" w:hAnsi="Arial" w:cs="Arial"/>
        </w:rPr>
      </w:pPr>
    </w:p>
    <w:p w14:paraId="30A5BA84" w14:textId="04A1792C" w:rsidR="00D76255" w:rsidRDefault="00D76255" w:rsidP="00EE0127">
      <w:pPr>
        <w:spacing w:after="0" w:line="240" w:lineRule="auto"/>
        <w:jc w:val="both"/>
        <w:rPr>
          <w:rFonts w:ascii="Arial" w:hAnsi="Arial" w:cs="Arial"/>
        </w:rPr>
      </w:pPr>
      <w:r>
        <w:rPr>
          <w:noProof/>
        </w:rPr>
        <w:drawing>
          <wp:inline distT="0" distB="0" distL="0" distR="0" wp14:anchorId="41B246FB" wp14:editId="01653EDD">
            <wp:extent cx="4587240" cy="2609196"/>
            <wp:effectExtent l="0" t="0" r="3810" b="127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96DAC541-7B7A-43D3-8B79-37D633B846F1}">
                          <asvg:svgBlip xmlns:asvg="http://schemas.microsoft.com/office/drawing/2016/SVG/main" r:embed="rId7"/>
                        </a:ext>
                      </a:extLst>
                    </a:blip>
                    <a:stretch>
                      <a:fillRect/>
                    </a:stretch>
                  </pic:blipFill>
                  <pic:spPr>
                    <a:xfrm>
                      <a:off x="0" y="0"/>
                      <a:ext cx="4616947" cy="2626093"/>
                    </a:xfrm>
                    <a:prstGeom prst="rect">
                      <a:avLst/>
                    </a:prstGeom>
                  </pic:spPr>
                </pic:pic>
              </a:graphicData>
            </a:graphic>
          </wp:inline>
        </w:drawing>
      </w:r>
    </w:p>
    <w:p w14:paraId="1C75644A" w14:textId="77777777" w:rsidR="00FF4F09" w:rsidRDefault="002B12F4" w:rsidP="00FF4F09">
      <w:pPr>
        <w:spacing w:after="0" w:line="240" w:lineRule="auto"/>
        <w:jc w:val="both"/>
        <w:rPr>
          <w:rFonts w:ascii="Arial" w:hAnsi="Arial" w:cs="Arial"/>
        </w:rPr>
      </w:pPr>
      <w:r>
        <w:rPr>
          <w:rFonts w:ascii="Arial" w:hAnsi="Arial" w:cs="Arial"/>
        </w:rPr>
        <w:lastRenderedPageBreak/>
        <w:t xml:space="preserve">Supplemental </w:t>
      </w:r>
      <w:r w:rsidR="00D76255">
        <w:rPr>
          <w:rFonts w:ascii="Arial" w:hAnsi="Arial" w:cs="Arial"/>
        </w:rPr>
        <w:t>Figure 1.</w:t>
      </w:r>
      <w:r w:rsidR="00384364">
        <w:rPr>
          <w:rFonts w:ascii="Arial" w:hAnsi="Arial" w:cs="Arial"/>
        </w:rPr>
        <w:t xml:space="preserve"> </w:t>
      </w:r>
      <w:r w:rsidR="007678EF">
        <w:rPr>
          <w:rFonts w:ascii="Arial" w:hAnsi="Arial" w:cs="Arial"/>
        </w:rPr>
        <w:t xml:space="preserve">Comparison of N1 Ct in low P1 Ct saliva samples. </w:t>
      </w:r>
      <w:r w:rsidR="00FF4F09">
        <w:rPr>
          <w:rFonts w:ascii="Arial" w:hAnsi="Arial" w:cs="Arial"/>
        </w:rPr>
        <w:t xml:space="preserve">We selected positive samples with low P1 Ct and compared with the N1 Ct (n=106). The N1 Ct values ranged from 14-33, indicating the assay has a dynamic range in saliva samples that is comparable to the standard curve. </w:t>
      </w:r>
    </w:p>
    <w:p w14:paraId="0A0EC6A6" w14:textId="77777777" w:rsidR="00D76255" w:rsidRDefault="00D76255" w:rsidP="00EE0127">
      <w:pPr>
        <w:spacing w:after="0" w:line="240" w:lineRule="auto"/>
        <w:jc w:val="both"/>
        <w:rPr>
          <w:rFonts w:ascii="Arial" w:hAnsi="Arial" w:cs="Arial"/>
        </w:rPr>
      </w:pPr>
    </w:p>
    <w:p w14:paraId="6ECF9D99" w14:textId="2320394D" w:rsidR="00EE0127" w:rsidRPr="00E525B6" w:rsidRDefault="00D62481" w:rsidP="00EE0127">
      <w:pPr>
        <w:spacing w:after="0" w:line="240" w:lineRule="auto"/>
        <w:jc w:val="both"/>
        <w:rPr>
          <w:rFonts w:ascii="Arial" w:hAnsi="Arial" w:cs="Arial"/>
        </w:rPr>
      </w:pPr>
      <w:r w:rsidRPr="00787493">
        <w:rPr>
          <w:rFonts w:ascii="Arial" w:hAnsi="Arial" w:cs="Arial"/>
        </w:rPr>
        <w:t>3</w:t>
      </w:r>
      <w:r w:rsidR="00EE0127">
        <w:rPr>
          <w:rFonts w:ascii="Arial" w:hAnsi="Arial" w:cs="Arial"/>
        </w:rPr>
        <w:t xml:space="preserve">. </w:t>
      </w:r>
      <w:r w:rsidR="00EE0127" w:rsidRPr="00EE0127">
        <w:rPr>
          <w:rFonts w:ascii="Arial" w:hAnsi="Arial" w:cs="Arial"/>
          <w:i/>
          <w:iCs/>
        </w:rPr>
        <w:t>“Line 62: The word 'by' is recommended to be replaced with 'for' and Line 129: The word 'Combine' may be replaced by 'Homogenize'.”</w:t>
      </w:r>
      <w:r w:rsidR="00E525B6">
        <w:rPr>
          <w:rFonts w:ascii="Arial" w:hAnsi="Arial" w:cs="Arial"/>
          <w:i/>
          <w:iCs/>
        </w:rPr>
        <w:t xml:space="preserve"> </w:t>
      </w:r>
      <w:r w:rsidR="00E525B6">
        <w:rPr>
          <w:rFonts w:ascii="Arial" w:hAnsi="Arial" w:cs="Arial"/>
        </w:rPr>
        <w:t xml:space="preserve">Agree. </w:t>
      </w:r>
      <w:r w:rsidR="00787493">
        <w:rPr>
          <w:rFonts w:ascii="Arial" w:hAnsi="Arial" w:cs="Arial"/>
        </w:rPr>
        <w:t xml:space="preserve">We reworded the earlier sentence and </w:t>
      </w:r>
      <w:r w:rsidR="00E525B6">
        <w:rPr>
          <w:rFonts w:ascii="Arial" w:hAnsi="Arial" w:cs="Arial"/>
        </w:rPr>
        <w:t>have made the</w:t>
      </w:r>
      <w:r w:rsidR="00787493">
        <w:rPr>
          <w:rFonts w:ascii="Arial" w:hAnsi="Arial" w:cs="Arial"/>
        </w:rPr>
        <w:t xml:space="preserve"> second </w:t>
      </w:r>
      <w:r w:rsidR="00E525B6">
        <w:rPr>
          <w:rFonts w:ascii="Arial" w:hAnsi="Arial" w:cs="Arial"/>
        </w:rPr>
        <w:t>word substitution [</w:t>
      </w:r>
      <w:r w:rsidR="00E525B6" w:rsidRPr="00787493">
        <w:rPr>
          <w:rFonts w:ascii="Arial" w:hAnsi="Arial" w:cs="Arial"/>
        </w:rPr>
        <w:t>Line</w:t>
      </w:r>
      <w:r w:rsidR="00787493" w:rsidRPr="00787493">
        <w:rPr>
          <w:rFonts w:ascii="Arial" w:hAnsi="Arial" w:cs="Arial"/>
        </w:rPr>
        <w:t xml:space="preserve"> </w:t>
      </w:r>
      <w:r w:rsidR="00965861" w:rsidRPr="00787493">
        <w:rPr>
          <w:rFonts w:ascii="Arial" w:hAnsi="Arial" w:cs="Arial"/>
        </w:rPr>
        <w:t>162</w:t>
      </w:r>
      <w:r w:rsidR="00E525B6">
        <w:rPr>
          <w:rFonts w:ascii="Arial" w:hAnsi="Arial" w:cs="Arial"/>
        </w:rPr>
        <w:t>].</w:t>
      </w:r>
    </w:p>
    <w:p w14:paraId="3EEC7D54" w14:textId="77777777" w:rsidR="00EE0127" w:rsidRDefault="00EE0127" w:rsidP="00EE0127">
      <w:pPr>
        <w:spacing w:after="0" w:line="240" w:lineRule="auto"/>
        <w:jc w:val="both"/>
        <w:rPr>
          <w:rFonts w:ascii="Arial" w:hAnsi="Arial" w:cs="Arial"/>
        </w:rPr>
      </w:pPr>
    </w:p>
    <w:p w14:paraId="557E928A" w14:textId="32C1C5D4" w:rsidR="00EE0127" w:rsidRPr="00EE0127" w:rsidRDefault="00D62481" w:rsidP="00EE0127">
      <w:pPr>
        <w:spacing w:after="0" w:line="240" w:lineRule="auto"/>
        <w:jc w:val="both"/>
        <w:rPr>
          <w:rFonts w:ascii="Arial" w:hAnsi="Arial" w:cs="Arial"/>
          <w:i/>
          <w:iCs/>
        </w:rPr>
      </w:pPr>
      <w:r>
        <w:rPr>
          <w:rFonts w:ascii="Arial" w:hAnsi="Arial" w:cs="Arial"/>
        </w:rPr>
        <w:t>4</w:t>
      </w:r>
      <w:r w:rsidR="00EE0127">
        <w:rPr>
          <w:rFonts w:ascii="Arial" w:hAnsi="Arial" w:cs="Arial"/>
        </w:rPr>
        <w:t xml:space="preserve">. </w:t>
      </w:r>
      <w:r w:rsidR="00EE0127" w:rsidRPr="00EE0127">
        <w:rPr>
          <w:rFonts w:ascii="Arial" w:hAnsi="Arial" w:cs="Arial"/>
          <w:i/>
          <w:iCs/>
        </w:rPr>
        <w:t>“Line 264: The claim by the authors 'We attempted to simulate positive saliva samples by spiking synthetic SARS-CoV-2 RNA of known concentrations into virus-free saliva but were unable to produce N1 amplification at low concentrations of RNA (Data not shown)." Was the saliva pre-heated before spiking or spiking was performed with native saliva? Possibly, RNases in the saliva degraded low number of copies of the spiked RNA.”</w:t>
      </w:r>
      <w:r w:rsidR="0046311D">
        <w:rPr>
          <w:rFonts w:ascii="Arial" w:hAnsi="Arial" w:cs="Arial"/>
          <w:i/>
          <w:iCs/>
        </w:rPr>
        <w:t xml:space="preserve"> </w:t>
      </w:r>
      <w:r w:rsidR="009F1BF5">
        <w:rPr>
          <w:rFonts w:ascii="Arial" w:hAnsi="Arial" w:cs="Arial"/>
        </w:rPr>
        <w:t>Thank you for the insightful question.</w:t>
      </w:r>
      <w:r w:rsidR="005A410F">
        <w:rPr>
          <w:rFonts w:ascii="Arial" w:hAnsi="Arial" w:cs="Arial"/>
        </w:rPr>
        <w:t xml:space="preserve"> </w:t>
      </w:r>
      <w:r w:rsidR="0046311D" w:rsidRPr="0046311D">
        <w:rPr>
          <w:rFonts w:ascii="Arial" w:hAnsi="Arial" w:cs="Arial"/>
        </w:rPr>
        <w:t>We performed the experiment with both heat</w:t>
      </w:r>
      <w:r w:rsidR="0040193F">
        <w:rPr>
          <w:rFonts w:ascii="Arial" w:hAnsi="Arial" w:cs="Arial"/>
        </w:rPr>
        <w:t>-</w:t>
      </w:r>
      <w:r w:rsidR="0046311D" w:rsidRPr="0046311D">
        <w:rPr>
          <w:rFonts w:ascii="Arial" w:hAnsi="Arial" w:cs="Arial"/>
        </w:rPr>
        <w:t xml:space="preserve">treated and non-heat treated saliva. The synthetic RNA was not detectable at low quantities in either, which we also suspect is due to </w:t>
      </w:r>
      <w:r w:rsidR="00D4243C">
        <w:rPr>
          <w:rFonts w:ascii="Arial" w:hAnsi="Arial" w:cs="Arial"/>
        </w:rPr>
        <w:t xml:space="preserve">residual </w:t>
      </w:r>
      <w:r w:rsidR="0046311D" w:rsidRPr="0046311D">
        <w:rPr>
          <w:rFonts w:ascii="Arial" w:hAnsi="Arial" w:cs="Arial"/>
        </w:rPr>
        <w:t>RNases</w:t>
      </w:r>
      <w:r w:rsidR="00D4243C">
        <w:rPr>
          <w:rFonts w:ascii="Arial" w:hAnsi="Arial" w:cs="Arial"/>
        </w:rPr>
        <w:t xml:space="preserve"> in the saliva</w:t>
      </w:r>
      <w:r w:rsidR="0046311D" w:rsidRPr="0046311D">
        <w:rPr>
          <w:rFonts w:ascii="Arial" w:hAnsi="Arial" w:cs="Arial"/>
        </w:rPr>
        <w:t xml:space="preserve">. </w:t>
      </w:r>
      <w:r w:rsidR="00D4243C">
        <w:rPr>
          <w:rFonts w:ascii="Arial" w:hAnsi="Arial" w:cs="Arial"/>
        </w:rPr>
        <w:t>To test this hypothesis, w</w:t>
      </w:r>
      <w:r w:rsidR="0046311D" w:rsidRPr="0046311D">
        <w:rPr>
          <w:rFonts w:ascii="Arial" w:hAnsi="Arial" w:cs="Arial"/>
        </w:rPr>
        <w:t xml:space="preserve">e then attempted treatment with RNaseOUT, which did improve the detection of synthetic RNA. However, the interaction of the saliva RNases with naked synthetic RNA is likely different from the interaction with viral particles, even after they have been denatured by heat. We have identified positive saliva samples with Ct &gt; 30 and external labs were able to analyze the </w:t>
      </w:r>
      <w:r w:rsidR="0040193F">
        <w:rPr>
          <w:rFonts w:ascii="Arial" w:hAnsi="Arial" w:cs="Arial"/>
        </w:rPr>
        <w:t xml:space="preserve">genomic </w:t>
      </w:r>
      <w:r w:rsidR="0046311D" w:rsidRPr="0046311D">
        <w:rPr>
          <w:rFonts w:ascii="Arial" w:hAnsi="Arial" w:cs="Arial"/>
        </w:rPr>
        <w:t xml:space="preserve">sequence data, which proves the presence of SARS-CoV-2 virus particles. We </w:t>
      </w:r>
      <w:r w:rsidR="00D4243C">
        <w:rPr>
          <w:rFonts w:ascii="Arial" w:hAnsi="Arial" w:cs="Arial"/>
        </w:rPr>
        <w:t>hypothesize</w:t>
      </w:r>
      <w:r w:rsidR="0046311D" w:rsidRPr="0046311D">
        <w:rPr>
          <w:rFonts w:ascii="Arial" w:hAnsi="Arial" w:cs="Arial"/>
        </w:rPr>
        <w:t xml:space="preserve"> that the viral proteins provide protection from RNA degradation in patient saliva samples, which are lacking in simulated positive samples.</w:t>
      </w:r>
    </w:p>
    <w:p w14:paraId="7A7F85CA" w14:textId="77777777" w:rsidR="00EE0127" w:rsidRDefault="00EE0127" w:rsidP="00EE0127">
      <w:pPr>
        <w:spacing w:after="0" w:line="240" w:lineRule="auto"/>
        <w:jc w:val="both"/>
        <w:rPr>
          <w:rFonts w:ascii="Arial" w:hAnsi="Arial" w:cs="Arial"/>
        </w:rPr>
      </w:pPr>
    </w:p>
    <w:p w14:paraId="73C8AC7E" w14:textId="71F9C553" w:rsidR="00EE0127" w:rsidRPr="005A410F" w:rsidRDefault="00D62481" w:rsidP="00EE0127">
      <w:pPr>
        <w:spacing w:after="0" w:line="240" w:lineRule="auto"/>
        <w:jc w:val="both"/>
        <w:rPr>
          <w:rFonts w:ascii="Arial" w:hAnsi="Arial" w:cs="Arial"/>
        </w:rPr>
      </w:pPr>
      <w:r w:rsidRPr="008B4E0C">
        <w:rPr>
          <w:rFonts w:ascii="Arial" w:hAnsi="Arial" w:cs="Arial"/>
        </w:rPr>
        <w:t>5</w:t>
      </w:r>
      <w:r w:rsidR="00EE0127" w:rsidRPr="008B4E0C">
        <w:rPr>
          <w:rFonts w:ascii="Arial" w:hAnsi="Arial" w:cs="Arial"/>
        </w:rPr>
        <w:t>.</w:t>
      </w:r>
      <w:r w:rsidR="00EE0127">
        <w:rPr>
          <w:rFonts w:ascii="Arial" w:hAnsi="Arial" w:cs="Arial"/>
        </w:rPr>
        <w:t xml:space="preserve"> </w:t>
      </w:r>
      <w:r w:rsidR="00EE0127" w:rsidRPr="00EE0127">
        <w:rPr>
          <w:rFonts w:ascii="Arial" w:hAnsi="Arial" w:cs="Arial"/>
          <w:i/>
          <w:iCs/>
        </w:rPr>
        <w:t>“Line 269: What was the uniqueness of the samples used for intra assay? Need a mention of the sample characteristics.”</w:t>
      </w:r>
      <w:r w:rsidR="0046311D">
        <w:rPr>
          <w:rFonts w:ascii="Arial" w:hAnsi="Arial" w:cs="Arial"/>
          <w:i/>
          <w:iCs/>
        </w:rPr>
        <w:t xml:space="preserve"> </w:t>
      </w:r>
      <w:r w:rsidR="005A410F">
        <w:rPr>
          <w:rFonts w:ascii="Arial" w:hAnsi="Arial" w:cs="Arial"/>
        </w:rPr>
        <w:t xml:space="preserve">We agree that this is an important clarification. </w:t>
      </w:r>
      <w:r w:rsidR="005A410F" w:rsidRPr="005A410F">
        <w:rPr>
          <w:rFonts w:ascii="Arial" w:hAnsi="Arial" w:cs="Arial"/>
        </w:rPr>
        <w:t xml:space="preserve">Each sample was </w:t>
      </w:r>
      <w:r w:rsidR="005A410F">
        <w:rPr>
          <w:rFonts w:ascii="Arial" w:hAnsi="Arial" w:cs="Arial"/>
        </w:rPr>
        <w:t xml:space="preserve">obtained </w:t>
      </w:r>
      <w:r w:rsidR="005A410F" w:rsidRPr="005A410F">
        <w:rPr>
          <w:rFonts w:ascii="Arial" w:hAnsi="Arial" w:cs="Arial"/>
        </w:rPr>
        <w:t xml:space="preserve">from a different patient, and we chose samples </w:t>
      </w:r>
      <w:r w:rsidR="005A410F">
        <w:rPr>
          <w:rFonts w:ascii="Arial" w:hAnsi="Arial" w:cs="Arial"/>
        </w:rPr>
        <w:t>spanning a range</w:t>
      </w:r>
      <w:r w:rsidR="005A410F" w:rsidRPr="005A410F">
        <w:rPr>
          <w:rFonts w:ascii="Arial" w:hAnsi="Arial" w:cs="Arial"/>
        </w:rPr>
        <w:t xml:space="preserve"> of Ct</w:t>
      </w:r>
      <w:r w:rsidR="005A410F">
        <w:rPr>
          <w:rFonts w:ascii="Arial" w:hAnsi="Arial" w:cs="Arial"/>
        </w:rPr>
        <w:t xml:space="preserve"> (Cq)</w:t>
      </w:r>
      <w:r w:rsidR="005A410F" w:rsidRPr="005A410F">
        <w:rPr>
          <w:rFonts w:ascii="Arial" w:hAnsi="Arial" w:cs="Arial"/>
        </w:rPr>
        <w:t xml:space="preserve"> values </w:t>
      </w:r>
      <w:r w:rsidR="005A410F">
        <w:rPr>
          <w:rFonts w:ascii="Arial" w:hAnsi="Arial" w:cs="Arial"/>
        </w:rPr>
        <w:t xml:space="preserve">from </w:t>
      </w:r>
      <w:r w:rsidR="005A410F" w:rsidRPr="005A410F">
        <w:rPr>
          <w:rFonts w:ascii="Arial" w:hAnsi="Arial" w:cs="Arial"/>
        </w:rPr>
        <w:t xml:space="preserve">18-32 to </w:t>
      </w:r>
      <w:r w:rsidR="005A410F">
        <w:rPr>
          <w:rFonts w:ascii="Arial" w:hAnsi="Arial" w:cs="Arial"/>
        </w:rPr>
        <w:t>determine if</w:t>
      </w:r>
      <w:r w:rsidR="005A410F" w:rsidRPr="005A410F">
        <w:rPr>
          <w:rFonts w:ascii="Arial" w:hAnsi="Arial" w:cs="Arial"/>
        </w:rPr>
        <w:t xml:space="preserve"> </w:t>
      </w:r>
      <w:r w:rsidR="005A410F">
        <w:rPr>
          <w:rFonts w:ascii="Arial" w:hAnsi="Arial" w:cs="Arial"/>
        </w:rPr>
        <w:t xml:space="preserve">viral quantity affects assay </w:t>
      </w:r>
      <w:r w:rsidR="005A410F" w:rsidRPr="005A410F">
        <w:rPr>
          <w:rFonts w:ascii="Arial" w:hAnsi="Arial" w:cs="Arial"/>
        </w:rPr>
        <w:t>variability.</w:t>
      </w:r>
      <w:r w:rsidR="005A410F">
        <w:rPr>
          <w:rFonts w:ascii="Arial" w:hAnsi="Arial" w:cs="Arial"/>
        </w:rPr>
        <w:t xml:space="preserve"> We have modified the legend to reflect this [</w:t>
      </w:r>
      <w:r w:rsidR="005A410F" w:rsidRPr="0091646F">
        <w:rPr>
          <w:rFonts w:ascii="Arial" w:hAnsi="Arial" w:cs="Arial"/>
        </w:rPr>
        <w:t xml:space="preserve">Line </w:t>
      </w:r>
      <w:r w:rsidR="0091646F" w:rsidRPr="0091646F">
        <w:rPr>
          <w:rFonts w:ascii="Arial" w:hAnsi="Arial" w:cs="Arial"/>
        </w:rPr>
        <w:t>43</w:t>
      </w:r>
      <w:r w:rsidR="00603597">
        <w:rPr>
          <w:rFonts w:ascii="Arial" w:hAnsi="Arial" w:cs="Arial"/>
        </w:rPr>
        <w:t>9</w:t>
      </w:r>
      <w:r w:rsidR="005A410F">
        <w:rPr>
          <w:rFonts w:ascii="Arial" w:hAnsi="Arial" w:cs="Arial"/>
        </w:rPr>
        <w:t>].</w:t>
      </w:r>
    </w:p>
    <w:p w14:paraId="47CC58FA" w14:textId="77777777" w:rsidR="00EE0127" w:rsidRDefault="00EE0127" w:rsidP="00EE0127">
      <w:pPr>
        <w:spacing w:after="0" w:line="240" w:lineRule="auto"/>
        <w:jc w:val="both"/>
        <w:rPr>
          <w:rFonts w:ascii="Arial" w:hAnsi="Arial" w:cs="Arial"/>
        </w:rPr>
      </w:pPr>
    </w:p>
    <w:p w14:paraId="491DAC48" w14:textId="33A36D62" w:rsidR="00E1481B" w:rsidRPr="0046311D" w:rsidRDefault="00D62481" w:rsidP="00EE0127">
      <w:pPr>
        <w:spacing w:after="0" w:line="240" w:lineRule="auto"/>
        <w:jc w:val="both"/>
        <w:rPr>
          <w:rFonts w:ascii="Arial" w:hAnsi="Arial" w:cs="Arial"/>
        </w:rPr>
      </w:pPr>
      <w:r>
        <w:rPr>
          <w:rFonts w:ascii="Arial" w:hAnsi="Arial" w:cs="Arial"/>
        </w:rPr>
        <w:t>6</w:t>
      </w:r>
      <w:r w:rsidR="00EE0127">
        <w:rPr>
          <w:rFonts w:ascii="Arial" w:hAnsi="Arial" w:cs="Arial"/>
        </w:rPr>
        <w:t xml:space="preserve">. </w:t>
      </w:r>
      <w:r w:rsidR="00EE0127" w:rsidRPr="00EE0127">
        <w:rPr>
          <w:rFonts w:ascii="Arial" w:hAnsi="Arial" w:cs="Arial"/>
          <w:i/>
          <w:iCs/>
        </w:rPr>
        <w:t>“Line 275: 'This trend is likely due to heterogeneous distribution of viral particles within the saliva, which is more pronounced when fewer particles are present. ' Is it because the saliva samples were not thoroughly homogenized during the sample prep to break the saliva pockets and the reason of the saliva strings leading to cross contamination?”</w:t>
      </w:r>
      <w:r w:rsidR="0046311D">
        <w:rPr>
          <w:rFonts w:ascii="Arial" w:hAnsi="Arial" w:cs="Arial"/>
          <w:i/>
          <w:iCs/>
        </w:rPr>
        <w:t xml:space="preserve"> </w:t>
      </w:r>
      <w:r w:rsidR="00B92084">
        <w:rPr>
          <w:rFonts w:ascii="Arial" w:hAnsi="Arial" w:cs="Arial"/>
        </w:rPr>
        <w:t xml:space="preserve">You have raised an important </w:t>
      </w:r>
      <w:r w:rsidR="009F1BF5">
        <w:rPr>
          <w:rFonts w:ascii="Arial" w:hAnsi="Arial" w:cs="Arial"/>
        </w:rPr>
        <w:t>point;</w:t>
      </w:r>
      <w:r w:rsidR="00B92084">
        <w:rPr>
          <w:rFonts w:ascii="Arial" w:hAnsi="Arial" w:cs="Arial"/>
        </w:rPr>
        <w:t xml:space="preserve"> however, we believe</w:t>
      </w:r>
      <w:r w:rsidR="0046311D" w:rsidRPr="0046311D">
        <w:rPr>
          <w:rFonts w:ascii="Arial" w:hAnsi="Arial" w:cs="Arial"/>
        </w:rPr>
        <w:t xml:space="preserve"> that homogeneity of saliva is </w:t>
      </w:r>
      <w:r w:rsidR="00D4243C">
        <w:rPr>
          <w:rFonts w:ascii="Arial" w:hAnsi="Arial" w:cs="Arial"/>
        </w:rPr>
        <w:t>only a</w:t>
      </w:r>
      <w:r w:rsidR="0046311D" w:rsidRPr="0046311D">
        <w:rPr>
          <w:rFonts w:ascii="Arial" w:hAnsi="Arial" w:cs="Arial"/>
        </w:rPr>
        <w:t xml:space="preserve"> smal</w:t>
      </w:r>
      <w:r w:rsidR="00D4243C">
        <w:rPr>
          <w:rFonts w:ascii="Arial" w:hAnsi="Arial" w:cs="Arial"/>
        </w:rPr>
        <w:t xml:space="preserve">l </w:t>
      </w:r>
      <w:r w:rsidR="0046311D" w:rsidRPr="0046311D">
        <w:rPr>
          <w:rFonts w:ascii="Arial" w:hAnsi="Arial" w:cs="Arial"/>
        </w:rPr>
        <w:t xml:space="preserve">factor to </w:t>
      </w:r>
      <w:r w:rsidR="00B92084">
        <w:rPr>
          <w:rFonts w:ascii="Arial" w:hAnsi="Arial" w:cs="Arial"/>
        </w:rPr>
        <w:t xml:space="preserve">the </w:t>
      </w:r>
      <w:r w:rsidR="0046311D" w:rsidRPr="0046311D">
        <w:rPr>
          <w:rFonts w:ascii="Arial" w:hAnsi="Arial" w:cs="Arial"/>
        </w:rPr>
        <w:t xml:space="preserve">accuracy of the assay given that the intra-assay variability is fairly low, particularly in samples with Ct &lt; 30 (Figure 5). </w:t>
      </w:r>
      <w:r w:rsidR="00D4243C">
        <w:rPr>
          <w:rFonts w:ascii="Arial" w:hAnsi="Arial" w:cs="Arial"/>
        </w:rPr>
        <w:t>F</w:t>
      </w:r>
      <w:r w:rsidR="0046311D" w:rsidRPr="0046311D">
        <w:rPr>
          <w:rFonts w:ascii="Arial" w:hAnsi="Arial" w:cs="Arial"/>
        </w:rPr>
        <w:t>ully homogeniz</w:t>
      </w:r>
      <w:r w:rsidR="00D4243C">
        <w:rPr>
          <w:rFonts w:ascii="Arial" w:hAnsi="Arial" w:cs="Arial"/>
        </w:rPr>
        <w:t>ing</w:t>
      </w:r>
      <w:r w:rsidR="0046311D" w:rsidRPr="0046311D">
        <w:rPr>
          <w:rFonts w:ascii="Arial" w:hAnsi="Arial" w:cs="Arial"/>
        </w:rPr>
        <w:t xml:space="preserve"> each sample prior to robot loading </w:t>
      </w:r>
      <w:r w:rsidR="00D4243C">
        <w:rPr>
          <w:rFonts w:ascii="Arial" w:hAnsi="Arial" w:cs="Arial"/>
        </w:rPr>
        <w:t>is</w:t>
      </w:r>
      <w:r w:rsidR="0046311D" w:rsidRPr="0046311D">
        <w:rPr>
          <w:rFonts w:ascii="Arial" w:hAnsi="Arial" w:cs="Arial"/>
        </w:rPr>
        <w:t xml:space="preserve"> time consuming</w:t>
      </w:r>
      <w:r w:rsidR="00D4243C">
        <w:rPr>
          <w:rFonts w:ascii="Arial" w:hAnsi="Arial" w:cs="Arial"/>
        </w:rPr>
        <w:t xml:space="preserve"> when a lab runs thousands of samples per day</w:t>
      </w:r>
      <w:r w:rsidR="003A52BC">
        <w:rPr>
          <w:rFonts w:ascii="Arial" w:hAnsi="Arial" w:cs="Arial"/>
        </w:rPr>
        <w:t>. While there may be small</w:t>
      </w:r>
      <w:r w:rsidR="0046311D" w:rsidRPr="0046311D">
        <w:rPr>
          <w:rFonts w:ascii="Arial" w:hAnsi="Arial" w:cs="Arial"/>
        </w:rPr>
        <w:t xml:space="preserve"> potential increase in </w:t>
      </w:r>
      <w:r w:rsidR="003A52BC">
        <w:rPr>
          <w:rFonts w:ascii="Arial" w:hAnsi="Arial" w:cs="Arial"/>
        </w:rPr>
        <w:t xml:space="preserve">sensitivity of the test, this would </w:t>
      </w:r>
      <w:r w:rsidR="0046311D" w:rsidRPr="0046311D">
        <w:rPr>
          <w:rFonts w:ascii="Arial" w:hAnsi="Arial" w:cs="Arial"/>
        </w:rPr>
        <w:t>only affect 10% or fewer samples. We believe that is not worth the sacrifice in turnaround time</w:t>
      </w:r>
      <w:r w:rsidR="003A52BC">
        <w:rPr>
          <w:rFonts w:ascii="Arial" w:hAnsi="Arial" w:cs="Arial"/>
        </w:rPr>
        <w:t xml:space="preserve"> </w:t>
      </w:r>
      <w:r w:rsidR="00BB082A">
        <w:rPr>
          <w:rFonts w:ascii="Arial" w:hAnsi="Arial" w:cs="Arial"/>
        </w:rPr>
        <w:t>for</w:t>
      </w:r>
      <w:r w:rsidR="003A52BC">
        <w:rPr>
          <w:rFonts w:ascii="Arial" w:hAnsi="Arial" w:cs="Arial"/>
        </w:rPr>
        <w:t xml:space="preserve"> a large</w:t>
      </w:r>
      <w:r w:rsidR="0009374E">
        <w:rPr>
          <w:rFonts w:ascii="Arial" w:hAnsi="Arial" w:cs="Arial"/>
        </w:rPr>
        <w:t>-</w:t>
      </w:r>
      <w:r w:rsidR="003A52BC">
        <w:rPr>
          <w:rFonts w:ascii="Arial" w:hAnsi="Arial" w:cs="Arial"/>
        </w:rPr>
        <w:t>scale screening program</w:t>
      </w:r>
      <w:r w:rsidR="0046311D" w:rsidRPr="0046311D">
        <w:rPr>
          <w:rFonts w:ascii="Arial" w:hAnsi="Arial" w:cs="Arial"/>
        </w:rPr>
        <w:t>.</w:t>
      </w:r>
      <w:r w:rsidR="00B92084">
        <w:rPr>
          <w:rFonts w:ascii="Arial" w:hAnsi="Arial" w:cs="Arial"/>
        </w:rPr>
        <w:t xml:space="preserve"> Additionally, </w:t>
      </w:r>
      <w:r w:rsidR="009F1BF5">
        <w:rPr>
          <w:rFonts w:ascii="Arial" w:hAnsi="Arial" w:cs="Arial"/>
        </w:rPr>
        <w:t xml:space="preserve">the </w:t>
      </w:r>
      <w:r w:rsidR="00B92084">
        <w:rPr>
          <w:rFonts w:ascii="Arial" w:hAnsi="Arial" w:cs="Arial"/>
        </w:rPr>
        <w:t>viscoelastic properties of saliva that lead to string formation persist</w:t>
      </w:r>
      <w:r w:rsidR="009F1BF5">
        <w:rPr>
          <w:rFonts w:ascii="Arial" w:hAnsi="Arial" w:cs="Arial"/>
        </w:rPr>
        <w:t xml:space="preserve"> after homogenization. To combat irreducible cross contamination, we designated borderline positive samples as “N1 Rerun” (Figure 3) to avoid reporting false positive results.  </w:t>
      </w:r>
    </w:p>
    <w:p w14:paraId="1632134A" w14:textId="4B9E60BB" w:rsidR="00E1481B" w:rsidRDefault="00E1481B" w:rsidP="00B90E16">
      <w:pPr>
        <w:spacing w:after="0" w:line="240" w:lineRule="auto"/>
        <w:jc w:val="both"/>
        <w:rPr>
          <w:rFonts w:ascii="Arial" w:hAnsi="Arial" w:cs="Arial"/>
        </w:rPr>
      </w:pPr>
    </w:p>
    <w:p w14:paraId="0A8EF58C" w14:textId="77777777" w:rsidR="00FF4F09" w:rsidRDefault="00FF4F09" w:rsidP="003B0E96">
      <w:pPr>
        <w:spacing w:after="0" w:line="240" w:lineRule="auto"/>
        <w:jc w:val="both"/>
        <w:rPr>
          <w:rFonts w:ascii="Arial" w:hAnsi="Arial" w:cs="Arial"/>
          <w:b/>
          <w:u w:val="single"/>
        </w:rPr>
      </w:pPr>
    </w:p>
    <w:p w14:paraId="78A42616" w14:textId="26C5BA76" w:rsidR="003B0E96" w:rsidRDefault="003B0E96" w:rsidP="003B0E96">
      <w:pPr>
        <w:spacing w:after="0" w:line="240" w:lineRule="auto"/>
        <w:jc w:val="both"/>
        <w:rPr>
          <w:rFonts w:ascii="Arial" w:hAnsi="Arial" w:cs="Arial"/>
          <w:b/>
          <w:u w:val="single"/>
        </w:rPr>
      </w:pPr>
      <w:r>
        <w:rPr>
          <w:rFonts w:ascii="Arial" w:hAnsi="Arial" w:cs="Arial"/>
          <w:b/>
          <w:u w:val="single"/>
        </w:rPr>
        <w:t>Editorial Comments</w:t>
      </w:r>
    </w:p>
    <w:p w14:paraId="4C5618EC" w14:textId="77777777" w:rsidR="003B0E96" w:rsidRDefault="003B0E96" w:rsidP="003B0E96">
      <w:pPr>
        <w:spacing w:after="0" w:line="240" w:lineRule="auto"/>
        <w:jc w:val="both"/>
        <w:rPr>
          <w:rFonts w:ascii="Arial" w:hAnsi="Arial" w:cs="Arial"/>
          <w:b/>
          <w:u w:val="single"/>
        </w:rPr>
      </w:pPr>
    </w:p>
    <w:p w14:paraId="1E06E430" w14:textId="2D075A53" w:rsidR="003B0E96" w:rsidRPr="00704760" w:rsidRDefault="003B0E96" w:rsidP="003B0E96">
      <w:pPr>
        <w:spacing w:after="0" w:line="240" w:lineRule="auto"/>
        <w:jc w:val="both"/>
        <w:rPr>
          <w:rFonts w:ascii="Arial" w:hAnsi="Arial" w:cs="Arial"/>
          <w:bCs/>
        </w:rPr>
      </w:pPr>
      <w:r w:rsidRPr="003B0E96">
        <w:rPr>
          <w:rFonts w:ascii="Arial" w:hAnsi="Arial" w:cs="Arial"/>
          <w:bCs/>
        </w:rPr>
        <w:t xml:space="preserve">1. </w:t>
      </w:r>
      <w:r w:rsidRPr="003B0E96">
        <w:rPr>
          <w:rFonts w:ascii="Arial" w:hAnsi="Arial" w:cs="Arial"/>
          <w:bCs/>
          <w:i/>
          <w:iCs/>
        </w:rPr>
        <w:t>“Please take this opportunity to thoroughly proofread the manuscript to ensure that there are no spelling or grammar issues.”</w:t>
      </w:r>
      <w:r w:rsidR="00704760">
        <w:rPr>
          <w:rFonts w:ascii="Arial" w:hAnsi="Arial" w:cs="Arial"/>
          <w:bCs/>
          <w:i/>
          <w:iCs/>
        </w:rPr>
        <w:t xml:space="preserve"> </w:t>
      </w:r>
      <w:r w:rsidR="00704760">
        <w:rPr>
          <w:rFonts w:ascii="Arial" w:hAnsi="Arial" w:cs="Arial"/>
          <w:bCs/>
        </w:rPr>
        <w:t xml:space="preserve">We have proofread and updated minor spelling and grammar issues throughout. </w:t>
      </w:r>
    </w:p>
    <w:p w14:paraId="096CBFBC" w14:textId="77777777" w:rsidR="003B0E96" w:rsidRDefault="003B0E96" w:rsidP="003B0E96">
      <w:pPr>
        <w:spacing w:after="0" w:line="240" w:lineRule="auto"/>
        <w:jc w:val="both"/>
        <w:rPr>
          <w:rFonts w:ascii="Arial" w:hAnsi="Arial" w:cs="Arial"/>
          <w:bCs/>
        </w:rPr>
      </w:pPr>
    </w:p>
    <w:p w14:paraId="2C044EEA" w14:textId="1AB980BA" w:rsidR="003B0E96" w:rsidRPr="00F92CB6" w:rsidRDefault="003B0E96" w:rsidP="003B0E96">
      <w:pPr>
        <w:spacing w:after="0" w:line="240" w:lineRule="auto"/>
        <w:jc w:val="both"/>
        <w:rPr>
          <w:rFonts w:ascii="Arial" w:hAnsi="Arial" w:cs="Arial"/>
          <w:bCs/>
        </w:rPr>
      </w:pPr>
      <w:r w:rsidRPr="003B0E96">
        <w:rPr>
          <w:rFonts w:ascii="Arial" w:hAnsi="Arial" w:cs="Arial"/>
          <w:bCs/>
        </w:rPr>
        <w:t xml:space="preserve">2. </w:t>
      </w:r>
      <w:r w:rsidRPr="003B0E96">
        <w:rPr>
          <w:rFonts w:ascii="Arial" w:hAnsi="Arial" w:cs="Arial"/>
          <w:bCs/>
          <w:i/>
          <w:iCs/>
        </w:rPr>
        <w:t>“Please confirm patient availability during filming of this protocol.”</w:t>
      </w:r>
      <w:r w:rsidR="00F92CB6">
        <w:rPr>
          <w:rFonts w:ascii="Arial" w:hAnsi="Arial" w:cs="Arial"/>
          <w:bCs/>
          <w:i/>
          <w:iCs/>
        </w:rPr>
        <w:t xml:space="preserve"> </w:t>
      </w:r>
      <w:r w:rsidR="00F92CB6">
        <w:rPr>
          <w:rFonts w:ascii="Arial" w:hAnsi="Arial" w:cs="Arial"/>
          <w:bCs/>
        </w:rPr>
        <w:t>Due to HIPAA requirements, we will not be able to film patients. However, we can ensure lab staff will demonstrate the procedures and collection protocols.</w:t>
      </w:r>
    </w:p>
    <w:p w14:paraId="3C5422A7" w14:textId="77777777" w:rsidR="003B0E96" w:rsidRDefault="003B0E96" w:rsidP="003B0E96">
      <w:pPr>
        <w:spacing w:after="0" w:line="240" w:lineRule="auto"/>
        <w:jc w:val="both"/>
        <w:rPr>
          <w:rFonts w:ascii="Arial" w:hAnsi="Arial" w:cs="Arial"/>
          <w:bCs/>
        </w:rPr>
      </w:pPr>
    </w:p>
    <w:p w14:paraId="02C22AA0" w14:textId="2D5B3B6D" w:rsidR="003B0E96" w:rsidRPr="00F92CB6" w:rsidRDefault="003B0E96" w:rsidP="003B0E96">
      <w:pPr>
        <w:spacing w:after="0" w:line="240" w:lineRule="auto"/>
        <w:jc w:val="both"/>
        <w:rPr>
          <w:rFonts w:ascii="Arial" w:hAnsi="Arial" w:cs="Arial"/>
          <w:bCs/>
        </w:rPr>
      </w:pPr>
      <w:r w:rsidRPr="003B0E96">
        <w:rPr>
          <w:rFonts w:ascii="Arial" w:hAnsi="Arial" w:cs="Arial"/>
          <w:bCs/>
        </w:rPr>
        <w:t xml:space="preserve">3. </w:t>
      </w:r>
      <w:r w:rsidRPr="003B0E96">
        <w:rPr>
          <w:rFonts w:ascii="Arial" w:hAnsi="Arial" w:cs="Arial"/>
          <w:bCs/>
          <w:i/>
          <w:iCs/>
        </w:rPr>
        <w:t>“Please rephrase the Summary to clearly describe the protocol and its applications in complete sentences between 10-50 words.”</w:t>
      </w:r>
      <w:r w:rsidR="00F92CB6">
        <w:rPr>
          <w:rFonts w:ascii="Arial" w:hAnsi="Arial" w:cs="Arial"/>
          <w:bCs/>
          <w:i/>
          <w:iCs/>
        </w:rPr>
        <w:t xml:space="preserve"> </w:t>
      </w:r>
      <w:r w:rsidR="00F92CB6">
        <w:rPr>
          <w:rFonts w:ascii="Arial" w:hAnsi="Arial" w:cs="Arial"/>
          <w:bCs/>
        </w:rPr>
        <w:t>We agree that the summary can be clarified. We have modified it per the editors’ request [</w:t>
      </w:r>
      <w:r w:rsidR="00F92CB6" w:rsidRPr="0091646F">
        <w:rPr>
          <w:rFonts w:ascii="Arial" w:hAnsi="Arial" w:cs="Arial"/>
          <w:bCs/>
        </w:rPr>
        <w:t>Line</w:t>
      </w:r>
      <w:r w:rsidR="002C6AEB" w:rsidRPr="0091646F">
        <w:rPr>
          <w:rFonts w:ascii="Arial" w:hAnsi="Arial" w:cs="Arial"/>
          <w:bCs/>
        </w:rPr>
        <w:t>s</w:t>
      </w:r>
      <w:r w:rsidR="00F92CB6" w:rsidRPr="0091646F">
        <w:rPr>
          <w:rFonts w:ascii="Arial" w:hAnsi="Arial" w:cs="Arial"/>
          <w:bCs/>
        </w:rPr>
        <w:t xml:space="preserve"> </w:t>
      </w:r>
      <w:r w:rsidR="0091646F" w:rsidRPr="0091646F">
        <w:rPr>
          <w:rFonts w:ascii="Arial" w:hAnsi="Arial" w:cs="Arial"/>
          <w:bCs/>
        </w:rPr>
        <w:t>21</w:t>
      </w:r>
      <w:r w:rsidR="00F92CB6" w:rsidRPr="0091646F">
        <w:rPr>
          <w:rFonts w:ascii="Arial" w:hAnsi="Arial" w:cs="Arial"/>
          <w:bCs/>
        </w:rPr>
        <w:t>-</w:t>
      </w:r>
      <w:r w:rsidR="0091646F" w:rsidRPr="0091646F">
        <w:rPr>
          <w:rFonts w:ascii="Arial" w:hAnsi="Arial" w:cs="Arial"/>
          <w:bCs/>
        </w:rPr>
        <w:t>23</w:t>
      </w:r>
      <w:r w:rsidR="00F92CB6">
        <w:rPr>
          <w:rFonts w:ascii="Arial" w:hAnsi="Arial" w:cs="Arial"/>
          <w:bCs/>
        </w:rPr>
        <w:t>].</w:t>
      </w:r>
    </w:p>
    <w:p w14:paraId="6DE9FA50" w14:textId="77777777" w:rsidR="003B0E96" w:rsidRDefault="003B0E96" w:rsidP="003B0E96">
      <w:pPr>
        <w:spacing w:after="0" w:line="240" w:lineRule="auto"/>
        <w:jc w:val="both"/>
        <w:rPr>
          <w:rFonts w:ascii="Arial" w:hAnsi="Arial" w:cs="Arial"/>
          <w:bCs/>
        </w:rPr>
      </w:pPr>
    </w:p>
    <w:p w14:paraId="4434C620" w14:textId="4DCAA6F4" w:rsidR="003B0E96" w:rsidRPr="00F92CB6" w:rsidRDefault="003B0E96" w:rsidP="003B0E96">
      <w:pPr>
        <w:spacing w:after="0" w:line="240" w:lineRule="auto"/>
        <w:jc w:val="both"/>
        <w:rPr>
          <w:rFonts w:ascii="Arial" w:hAnsi="Arial" w:cs="Arial"/>
          <w:bCs/>
        </w:rPr>
      </w:pPr>
      <w:r w:rsidRPr="003B0E96">
        <w:rPr>
          <w:rFonts w:ascii="Arial" w:hAnsi="Arial" w:cs="Arial"/>
          <w:bCs/>
        </w:rPr>
        <w:t xml:space="preserve">4. </w:t>
      </w:r>
      <w:r w:rsidRPr="003B0E96">
        <w:rPr>
          <w:rFonts w:ascii="Arial" w:hAnsi="Arial" w:cs="Arial"/>
          <w:bCs/>
          <w:i/>
          <w:iCs/>
        </w:rPr>
        <w:t>“Please adjust the numbering of the Protocol to follow the JoVE Instructions for Authors. For example, 1 should be followed by 1.1 and then 1.1.1 and 1.1.2 if necessary.”</w:t>
      </w:r>
      <w:r w:rsidR="00F92CB6">
        <w:rPr>
          <w:rFonts w:ascii="Arial" w:hAnsi="Arial" w:cs="Arial"/>
          <w:bCs/>
          <w:i/>
          <w:iCs/>
        </w:rPr>
        <w:t xml:space="preserve"> </w:t>
      </w:r>
      <w:r w:rsidR="00F92CB6">
        <w:rPr>
          <w:rFonts w:ascii="Arial" w:hAnsi="Arial" w:cs="Arial"/>
          <w:bCs/>
        </w:rPr>
        <w:t xml:space="preserve">We have updated the manuscript to reflect the instructions. </w:t>
      </w:r>
    </w:p>
    <w:p w14:paraId="37A19C28" w14:textId="77777777" w:rsidR="003B0E96" w:rsidRDefault="003B0E96" w:rsidP="003B0E96">
      <w:pPr>
        <w:spacing w:after="0" w:line="240" w:lineRule="auto"/>
        <w:jc w:val="both"/>
        <w:rPr>
          <w:rFonts w:ascii="Arial" w:hAnsi="Arial" w:cs="Arial"/>
          <w:bCs/>
        </w:rPr>
      </w:pPr>
    </w:p>
    <w:p w14:paraId="28DA8441" w14:textId="77777777" w:rsidR="00FF4F09" w:rsidRDefault="003B0E96" w:rsidP="003B0E96">
      <w:pPr>
        <w:spacing w:after="0" w:line="240" w:lineRule="auto"/>
        <w:jc w:val="both"/>
        <w:rPr>
          <w:rFonts w:ascii="Arial" w:hAnsi="Arial" w:cs="Arial"/>
          <w:bCs/>
        </w:rPr>
      </w:pPr>
      <w:r w:rsidRPr="003B0E96">
        <w:rPr>
          <w:rFonts w:ascii="Arial" w:hAnsi="Arial" w:cs="Arial"/>
          <w:bCs/>
        </w:rPr>
        <w:lastRenderedPageBreak/>
        <w:t xml:space="preserve">5. </w:t>
      </w:r>
      <w:r w:rsidRPr="003B0E96">
        <w:rPr>
          <w:rFonts w:ascii="Arial" w:hAnsi="Arial" w:cs="Arial"/>
          <w:bCs/>
          <w:i/>
          <w:iCs/>
        </w:rPr>
        <w:t>“Please define all abbreviations upon first use...”</w:t>
      </w:r>
      <w:r w:rsidR="00F92CB6">
        <w:rPr>
          <w:rFonts w:ascii="Arial" w:hAnsi="Arial" w:cs="Arial"/>
          <w:bCs/>
          <w:i/>
          <w:iCs/>
        </w:rPr>
        <w:t xml:space="preserve"> </w:t>
      </w:r>
      <w:r w:rsidR="00F92CB6">
        <w:rPr>
          <w:rFonts w:ascii="Arial" w:hAnsi="Arial" w:cs="Arial"/>
          <w:bCs/>
        </w:rPr>
        <w:t xml:space="preserve">We apologize for the oversight and have defined abbreviations throughout. </w:t>
      </w:r>
    </w:p>
    <w:p w14:paraId="45336C72" w14:textId="627475DD" w:rsidR="003B0E96" w:rsidRPr="00704760" w:rsidRDefault="003B0E96" w:rsidP="003B0E96">
      <w:pPr>
        <w:spacing w:after="0" w:line="240" w:lineRule="auto"/>
        <w:jc w:val="both"/>
        <w:rPr>
          <w:rFonts w:ascii="Arial" w:hAnsi="Arial" w:cs="Arial"/>
          <w:bCs/>
        </w:rPr>
      </w:pPr>
      <w:r w:rsidRPr="003B0E96">
        <w:rPr>
          <w:rFonts w:ascii="Arial" w:hAnsi="Arial" w:cs="Arial"/>
          <w:bCs/>
        </w:rPr>
        <w:t xml:space="preserve">6. </w:t>
      </w:r>
      <w:r w:rsidRPr="003B0E96">
        <w:rPr>
          <w:rFonts w:ascii="Arial" w:hAnsi="Arial" w:cs="Arial"/>
          <w:bCs/>
          <w:i/>
          <w:iCs/>
        </w:rPr>
        <w:t>“Line 83: Are Mastermix, Twist Control commercial terms? If yes, please remove them from the text.”</w:t>
      </w:r>
      <w:r w:rsidR="00F92CB6">
        <w:rPr>
          <w:rFonts w:ascii="Arial" w:hAnsi="Arial" w:cs="Arial"/>
          <w:bCs/>
          <w:i/>
          <w:iCs/>
        </w:rPr>
        <w:t xml:space="preserve"> </w:t>
      </w:r>
      <w:r w:rsidR="00704760">
        <w:rPr>
          <w:rFonts w:ascii="Arial" w:hAnsi="Arial" w:cs="Arial"/>
          <w:bCs/>
        </w:rPr>
        <w:t>Mastermix is not a commercial term and is commonly used to describe collective qPCR reagents. We have removed Twist control and replaced it with the non-commercial term “synthetic RNA control.</w:t>
      </w:r>
      <w:r w:rsidR="0091646F">
        <w:rPr>
          <w:rFonts w:ascii="Arial" w:hAnsi="Arial" w:cs="Arial"/>
          <w:bCs/>
        </w:rPr>
        <w:t>”</w:t>
      </w:r>
    </w:p>
    <w:p w14:paraId="60D42AA7" w14:textId="77777777" w:rsidR="003B0E96" w:rsidRDefault="003B0E96" w:rsidP="003B0E96">
      <w:pPr>
        <w:spacing w:after="0" w:line="240" w:lineRule="auto"/>
        <w:jc w:val="both"/>
        <w:rPr>
          <w:rFonts w:ascii="Arial" w:hAnsi="Arial" w:cs="Arial"/>
          <w:bCs/>
        </w:rPr>
      </w:pPr>
    </w:p>
    <w:p w14:paraId="46752F52" w14:textId="1FA8225E" w:rsidR="003B0E96" w:rsidRPr="00CD67A9" w:rsidRDefault="003B0E96" w:rsidP="003B0E96">
      <w:pPr>
        <w:spacing w:after="0" w:line="240" w:lineRule="auto"/>
        <w:jc w:val="both"/>
        <w:rPr>
          <w:rFonts w:ascii="Arial" w:hAnsi="Arial" w:cs="Arial"/>
          <w:bCs/>
        </w:rPr>
      </w:pPr>
      <w:r w:rsidRPr="008B4E0C">
        <w:rPr>
          <w:rFonts w:ascii="Arial" w:hAnsi="Arial" w:cs="Arial"/>
          <w:bCs/>
        </w:rPr>
        <w:t>7</w:t>
      </w:r>
      <w:r w:rsidRPr="003B0E96">
        <w:rPr>
          <w:rFonts w:ascii="Arial" w:hAnsi="Arial" w:cs="Arial"/>
          <w:bCs/>
        </w:rPr>
        <w:t xml:space="preserve">. </w:t>
      </w:r>
      <w:r w:rsidRPr="003B0E96">
        <w:rPr>
          <w:rFonts w:ascii="Arial" w:hAnsi="Arial" w:cs="Arial"/>
          <w:bCs/>
          <w:i/>
          <w:iCs/>
        </w:rPr>
        <w:t>“Please include a single line space between all the steps and ensure that the highlight is up to 3 pages of the Protocol (including headings and spacing) that identifies the essential steps of the protocol for the video, i.e., the steps that should be visualized to tell the most cohesive story of the Protocol.”</w:t>
      </w:r>
      <w:r w:rsidR="00F92CB6">
        <w:rPr>
          <w:rFonts w:ascii="Arial" w:hAnsi="Arial" w:cs="Arial"/>
          <w:bCs/>
          <w:i/>
          <w:iCs/>
        </w:rPr>
        <w:t xml:space="preserve"> </w:t>
      </w:r>
      <w:r w:rsidR="00CD67A9">
        <w:rPr>
          <w:rFonts w:ascii="Arial" w:hAnsi="Arial" w:cs="Arial"/>
          <w:bCs/>
        </w:rPr>
        <w:t xml:space="preserve">We have updated the formatting to include line spaces. We have highlighted 3.5 pages in yellow critical steps for a video entry. Many of these steps must be written in detail but are simple to explain with a visual element. </w:t>
      </w:r>
    </w:p>
    <w:p w14:paraId="18A530C9" w14:textId="77777777" w:rsidR="003B0E96" w:rsidRDefault="003B0E96" w:rsidP="003B0E96">
      <w:pPr>
        <w:spacing w:after="0" w:line="240" w:lineRule="auto"/>
        <w:jc w:val="both"/>
        <w:rPr>
          <w:rFonts w:ascii="Arial" w:hAnsi="Arial" w:cs="Arial"/>
          <w:bCs/>
        </w:rPr>
      </w:pPr>
    </w:p>
    <w:p w14:paraId="144D5A40" w14:textId="0A7D73AE" w:rsidR="003B0E96" w:rsidRPr="00F92CB6" w:rsidRDefault="003B0E96" w:rsidP="003B0E96">
      <w:pPr>
        <w:spacing w:after="0" w:line="240" w:lineRule="auto"/>
        <w:jc w:val="both"/>
        <w:rPr>
          <w:rFonts w:ascii="Arial" w:hAnsi="Arial" w:cs="Arial"/>
          <w:bCs/>
        </w:rPr>
      </w:pPr>
      <w:r w:rsidRPr="00976C8C">
        <w:rPr>
          <w:rFonts w:ascii="Arial" w:hAnsi="Arial" w:cs="Arial"/>
          <w:bCs/>
        </w:rPr>
        <w:t>8</w:t>
      </w:r>
      <w:r w:rsidRPr="003B0E96">
        <w:rPr>
          <w:rFonts w:ascii="Arial" w:hAnsi="Arial" w:cs="Arial"/>
          <w:bCs/>
        </w:rPr>
        <w:t xml:space="preserve">. </w:t>
      </w:r>
      <w:r w:rsidRPr="003B0E96">
        <w:rPr>
          <w:rFonts w:ascii="Arial" w:hAnsi="Arial" w:cs="Arial"/>
          <w:bCs/>
          <w:i/>
          <w:iCs/>
        </w:rPr>
        <w:t>“Figure 2: Please remove or blur out all commercial terms like Thermo, Griner, etc, from the image.”</w:t>
      </w:r>
      <w:r w:rsidR="00F92CB6">
        <w:rPr>
          <w:rFonts w:ascii="Arial" w:hAnsi="Arial" w:cs="Arial"/>
          <w:bCs/>
          <w:i/>
          <w:iCs/>
        </w:rPr>
        <w:t xml:space="preserve"> </w:t>
      </w:r>
      <w:r w:rsidR="00704760">
        <w:rPr>
          <w:rFonts w:ascii="Arial" w:hAnsi="Arial" w:cs="Arial"/>
          <w:bCs/>
        </w:rPr>
        <w:t>We have made the requested changes to Figure 2.</w:t>
      </w:r>
    </w:p>
    <w:p w14:paraId="768C0ACF" w14:textId="77777777" w:rsidR="003B0E96" w:rsidRDefault="003B0E96" w:rsidP="003B0E96">
      <w:pPr>
        <w:spacing w:after="0" w:line="240" w:lineRule="auto"/>
        <w:jc w:val="both"/>
        <w:rPr>
          <w:rFonts w:ascii="Arial" w:hAnsi="Arial" w:cs="Arial"/>
          <w:bCs/>
        </w:rPr>
      </w:pPr>
    </w:p>
    <w:p w14:paraId="7587A4ED" w14:textId="76C16F56" w:rsidR="003B0E96" w:rsidRPr="00F92CB6" w:rsidRDefault="003B0E96" w:rsidP="003B0E96">
      <w:pPr>
        <w:spacing w:after="0" w:line="240" w:lineRule="auto"/>
        <w:jc w:val="both"/>
        <w:rPr>
          <w:rFonts w:ascii="Arial" w:hAnsi="Arial" w:cs="Arial"/>
          <w:bCs/>
        </w:rPr>
      </w:pPr>
      <w:r w:rsidRPr="00DF709A">
        <w:rPr>
          <w:rFonts w:ascii="Arial" w:hAnsi="Arial" w:cs="Arial"/>
          <w:bCs/>
        </w:rPr>
        <w:t>9</w:t>
      </w:r>
      <w:r w:rsidRPr="003B0E96">
        <w:rPr>
          <w:rFonts w:ascii="Arial" w:hAnsi="Arial" w:cs="Arial"/>
          <w:bCs/>
        </w:rPr>
        <w:t xml:space="preserve">. </w:t>
      </w:r>
      <w:r w:rsidRPr="003B0E96">
        <w:rPr>
          <w:rFonts w:ascii="Arial" w:hAnsi="Arial" w:cs="Arial"/>
          <w:bCs/>
          <w:i/>
          <w:iCs/>
        </w:rPr>
        <w:t>“Figure 4: please use the symbol µ instead of u. Please provide all numerical notations as 1 x 104 for the x-axis values.”</w:t>
      </w:r>
      <w:r w:rsidR="00F92CB6">
        <w:rPr>
          <w:rFonts w:ascii="Arial" w:hAnsi="Arial" w:cs="Arial"/>
          <w:bCs/>
          <w:i/>
          <w:iCs/>
        </w:rPr>
        <w:t xml:space="preserve"> </w:t>
      </w:r>
      <w:r w:rsidR="00F92CB6">
        <w:rPr>
          <w:rFonts w:ascii="Arial" w:hAnsi="Arial" w:cs="Arial"/>
          <w:bCs/>
        </w:rPr>
        <w:t xml:space="preserve">We have made the requested changes to Figure 4. </w:t>
      </w:r>
    </w:p>
    <w:p w14:paraId="6FCF1081" w14:textId="77777777" w:rsidR="003B0E96" w:rsidRDefault="003B0E96" w:rsidP="003B0E96">
      <w:pPr>
        <w:spacing w:after="0" w:line="240" w:lineRule="auto"/>
        <w:jc w:val="both"/>
        <w:rPr>
          <w:rFonts w:ascii="Arial" w:hAnsi="Arial" w:cs="Arial"/>
          <w:bCs/>
        </w:rPr>
      </w:pPr>
    </w:p>
    <w:p w14:paraId="75B9212B" w14:textId="264187EA" w:rsidR="003B0E96" w:rsidRPr="00F92CB6" w:rsidRDefault="003B0E96" w:rsidP="003B0E96">
      <w:pPr>
        <w:spacing w:after="0" w:line="240" w:lineRule="auto"/>
        <w:jc w:val="both"/>
        <w:rPr>
          <w:rFonts w:ascii="Arial" w:hAnsi="Arial" w:cs="Arial"/>
          <w:bCs/>
        </w:rPr>
      </w:pPr>
      <w:r w:rsidRPr="00787493">
        <w:rPr>
          <w:rFonts w:ascii="Arial" w:hAnsi="Arial" w:cs="Arial"/>
          <w:bCs/>
        </w:rPr>
        <w:t>10.</w:t>
      </w:r>
      <w:r w:rsidRPr="003B0E96">
        <w:rPr>
          <w:rFonts w:ascii="Arial" w:hAnsi="Arial" w:cs="Arial"/>
          <w:bCs/>
        </w:rPr>
        <w:t xml:space="preserve"> </w:t>
      </w:r>
      <w:r w:rsidRPr="003B0E96">
        <w:rPr>
          <w:rFonts w:ascii="Arial" w:hAnsi="Arial" w:cs="Arial"/>
          <w:bCs/>
          <w:i/>
          <w:iCs/>
        </w:rPr>
        <w:t>“Figure 6: Please use 30 min and 60 min instead of 30-minute and 60-minute. Please remove the commercial term GraphPad, Prism from the legends.”</w:t>
      </w:r>
      <w:r w:rsidR="00F92CB6">
        <w:rPr>
          <w:rFonts w:ascii="Arial" w:hAnsi="Arial" w:cs="Arial"/>
          <w:bCs/>
          <w:i/>
          <w:iCs/>
        </w:rPr>
        <w:t xml:space="preserve"> </w:t>
      </w:r>
      <w:r w:rsidR="00F92CB6">
        <w:rPr>
          <w:rFonts w:ascii="Arial" w:hAnsi="Arial" w:cs="Arial"/>
          <w:bCs/>
        </w:rPr>
        <w:t xml:space="preserve">We have made the </w:t>
      </w:r>
      <w:r w:rsidR="00704760">
        <w:rPr>
          <w:rFonts w:ascii="Arial" w:hAnsi="Arial" w:cs="Arial"/>
          <w:bCs/>
        </w:rPr>
        <w:t>requested changes to Figure 6.</w:t>
      </w:r>
    </w:p>
    <w:p w14:paraId="5A3A55A5" w14:textId="77777777" w:rsidR="003B0E96" w:rsidRDefault="003B0E96" w:rsidP="003B0E96">
      <w:pPr>
        <w:spacing w:after="0" w:line="240" w:lineRule="auto"/>
        <w:jc w:val="both"/>
        <w:rPr>
          <w:rFonts w:ascii="Arial" w:hAnsi="Arial" w:cs="Arial"/>
          <w:bCs/>
        </w:rPr>
      </w:pPr>
    </w:p>
    <w:p w14:paraId="0AF491DB" w14:textId="08D1268F" w:rsidR="003B0E96" w:rsidRPr="003D3343" w:rsidRDefault="003B0E96" w:rsidP="003B0E96">
      <w:pPr>
        <w:spacing w:after="0" w:line="240" w:lineRule="auto"/>
        <w:jc w:val="both"/>
        <w:rPr>
          <w:rFonts w:ascii="Arial" w:hAnsi="Arial" w:cs="Arial"/>
          <w:bCs/>
        </w:rPr>
      </w:pPr>
      <w:r w:rsidRPr="00F9332B">
        <w:rPr>
          <w:rFonts w:ascii="Arial" w:hAnsi="Arial" w:cs="Arial"/>
          <w:bCs/>
        </w:rPr>
        <w:t>11.</w:t>
      </w:r>
      <w:r w:rsidRPr="003B0E96">
        <w:rPr>
          <w:rFonts w:ascii="Arial" w:hAnsi="Arial" w:cs="Arial"/>
          <w:bCs/>
        </w:rPr>
        <w:t xml:space="preserve"> </w:t>
      </w:r>
      <w:r w:rsidRPr="003B0E96">
        <w:rPr>
          <w:rFonts w:ascii="Arial" w:hAnsi="Arial" w:cs="Arial"/>
          <w:bCs/>
          <w:i/>
          <w:iCs/>
        </w:rPr>
        <w:t>“Please discuss the Critical steps within the protocol in the Discussion.”</w:t>
      </w:r>
      <w:r w:rsidR="00704760">
        <w:rPr>
          <w:rFonts w:ascii="Arial" w:hAnsi="Arial" w:cs="Arial"/>
          <w:bCs/>
          <w:i/>
          <w:iCs/>
        </w:rPr>
        <w:t xml:space="preserve"> </w:t>
      </w:r>
      <w:r w:rsidR="003D3343">
        <w:rPr>
          <w:rFonts w:ascii="Arial" w:hAnsi="Arial" w:cs="Arial"/>
          <w:bCs/>
        </w:rPr>
        <w:t xml:space="preserve">We apologize for the oversight and </w:t>
      </w:r>
      <w:r w:rsidR="00F9332B">
        <w:rPr>
          <w:rFonts w:ascii="Arial" w:hAnsi="Arial" w:cs="Arial"/>
          <w:bCs/>
        </w:rPr>
        <w:t>have</w:t>
      </w:r>
      <w:r w:rsidR="003D3343">
        <w:rPr>
          <w:rFonts w:ascii="Arial" w:hAnsi="Arial" w:cs="Arial"/>
          <w:bCs/>
        </w:rPr>
        <w:t xml:space="preserve"> added a short paragraph to the discussion [</w:t>
      </w:r>
      <w:r w:rsidR="003D3343" w:rsidRPr="00F9332B">
        <w:rPr>
          <w:rFonts w:ascii="Arial" w:hAnsi="Arial" w:cs="Arial"/>
          <w:bCs/>
        </w:rPr>
        <w:t xml:space="preserve">Lines </w:t>
      </w:r>
      <w:r w:rsidR="00F9332B" w:rsidRPr="00F9332B">
        <w:rPr>
          <w:rFonts w:ascii="Arial" w:hAnsi="Arial" w:cs="Arial"/>
          <w:bCs/>
        </w:rPr>
        <w:t>4</w:t>
      </w:r>
      <w:r w:rsidR="00D20626">
        <w:rPr>
          <w:rFonts w:ascii="Arial" w:hAnsi="Arial" w:cs="Arial"/>
          <w:bCs/>
        </w:rPr>
        <w:t>80</w:t>
      </w:r>
      <w:r w:rsidR="003D3343" w:rsidRPr="00F9332B">
        <w:rPr>
          <w:rFonts w:ascii="Arial" w:hAnsi="Arial" w:cs="Arial"/>
          <w:bCs/>
        </w:rPr>
        <w:t>-</w:t>
      </w:r>
      <w:r w:rsidR="00F9332B" w:rsidRPr="00F9332B">
        <w:rPr>
          <w:rFonts w:ascii="Arial" w:hAnsi="Arial" w:cs="Arial"/>
          <w:bCs/>
        </w:rPr>
        <w:t>4</w:t>
      </w:r>
      <w:r w:rsidR="00D20626">
        <w:rPr>
          <w:rFonts w:ascii="Arial" w:hAnsi="Arial" w:cs="Arial"/>
          <w:bCs/>
        </w:rPr>
        <w:t>84</w:t>
      </w:r>
      <w:r w:rsidR="003D3343">
        <w:rPr>
          <w:rFonts w:ascii="Arial" w:hAnsi="Arial" w:cs="Arial"/>
          <w:bCs/>
        </w:rPr>
        <w:t>].</w:t>
      </w:r>
    </w:p>
    <w:p w14:paraId="15F1CF23" w14:textId="77777777" w:rsidR="003B0E96" w:rsidRPr="00272A28" w:rsidRDefault="003B0E96" w:rsidP="00B90E16">
      <w:pPr>
        <w:spacing w:after="0" w:line="240" w:lineRule="auto"/>
        <w:jc w:val="both"/>
        <w:rPr>
          <w:rFonts w:ascii="Arial" w:hAnsi="Arial" w:cs="Arial"/>
        </w:rPr>
      </w:pPr>
    </w:p>
    <w:sectPr w:rsidR="003B0E96" w:rsidRPr="00272A28" w:rsidSect="00D862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5663E"/>
    <w:multiLevelType w:val="hybridMultilevel"/>
    <w:tmpl w:val="CEE01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C802CB"/>
    <w:multiLevelType w:val="hybridMultilevel"/>
    <w:tmpl w:val="9CCCE8EE"/>
    <w:lvl w:ilvl="0" w:tplc="6E7AA7D2">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F9"/>
    <w:rsid w:val="00014377"/>
    <w:rsid w:val="0002210F"/>
    <w:rsid w:val="00034D13"/>
    <w:rsid w:val="00041C59"/>
    <w:rsid w:val="000803F3"/>
    <w:rsid w:val="000906DD"/>
    <w:rsid w:val="0009374E"/>
    <w:rsid w:val="00094C8E"/>
    <w:rsid w:val="000D1492"/>
    <w:rsid w:val="000D55B8"/>
    <w:rsid w:val="000D7A68"/>
    <w:rsid w:val="000F4236"/>
    <w:rsid w:val="00104389"/>
    <w:rsid w:val="00105337"/>
    <w:rsid w:val="001120FD"/>
    <w:rsid w:val="001226C3"/>
    <w:rsid w:val="00122B13"/>
    <w:rsid w:val="00184B53"/>
    <w:rsid w:val="001A7FBE"/>
    <w:rsid w:val="001D3EC4"/>
    <w:rsid w:val="002010A2"/>
    <w:rsid w:val="0021207D"/>
    <w:rsid w:val="002570E6"/>
    <w:rsid w:val="00262F3A"/>
    <w:rsid w:val="00272A28"/>
    <w:rsid w:val="00284D6C"/>
    <w:rsid w:val="002B12F4"/>
    <w:rsid w:val="002B7B23"/>
    <w:rsid w:val="002C6996"/>
    <w:rsid w:val="002C6AEB"/>
    <w:rsid w:val="002E47B2"/>
    <w:rsid w:val="002F480C"/>
    <w:rsid w:val="002F6C41"/>
    <w:rsid w:val="002F6E7C"/>
    <w:rsid w:val="00305EEA"/>
    <w:rsid w:val="003114B8"/>
    <w:rsid w:val="00320921"/>
    <w:rsid w:val="00320FC0"/>
    <w:rsid w:val="00370FED"/>
    <w:rsid w:val="00384364"/>
    <w:rsid w:val="00396B81"/>
    <w:rsid w:val="00397253"/>
    <w:rsid w:val="003A52BC"/>
    <w:rsid w:val="003A6C81"/>
    <w:rsid w:val="003B0E96"/>
    <w:rsid w:val="003B7710"/>
    <w:rsid w:val="003D3343"/>
    <w:rsid w:val="003D7047"/>
    <w:rsid w:val="003E15A6"/>
    <w:rsid w:val="003E32D1"/>
    <w:rsid w:val="0040193F"/>
    <w:rsid w:val="00416C15"/>
    <w:rsid w:val="00420EDB"/>
    <w:rsid w:val="00434C46"/>
    <w:rsid w:val="004565D5"/>
    <w:rsid w:val="0046311D"/>
    <w:rsid w:val="00473E90"/>
    <w:rsid w:val="004A5EF6"/>
    <w:rsid w:val="004A726C"/>
    <w:rsid w:val="004B017F"/>
    <w:rsid w:val="0050273E"/>
    <w:rsid w:val="005217D3"/>
    <w:rsid w:val="005223B2"/>
    <w:rsid w:val="00522F9E"/>
    <w:rsid w:val="00530D8B"/>
    <w:rsid w:val="005401E0"/>
    <w:rsid w:val="00564E2C"/>
    <w:rsid w:val="005A410F"/>
    <w:rsid w:val="005B672F"/>
    <w:rsid w:val="005C203E"/>
    <w:rsid w:val="00603597"/>
    <w:rsid w:val="006125BE"/>
    <w:rsid w:val="00635B24"/>
    <w:rsid w:val="00637005"/>
    <w:rsid w:val="00677AA3"/>
    <w:rsid w:val="006A102F"/>
    <w:rsid w:val="006B071D"/>
    <w:rsid w:val="006B09C8"/>
    <w:rsid w:val="006B71BB"/>
    <w:rsid w:val="006C6ABD"/>
    <w:rsid w:val="006D34B6"/>
    <w:rsid w:val="006D4FFA"/>
    <w:rsid w:val="006E235D"/>
    <w:rsid w:val="00704760"/>
    <w:rsid w:val="00714120"/>
    <w:rsid w:val="00725D6E"/>
    <w:rsid w:val="007358AC"/>
    <w:rsid w:val="00736C52"/>
    <w:rsid w:val="007678EF"/>
    <w:rsid w:val="00770434"/>
    <w:rsid w:val="00776FBB"/>
    <w:rsid w:val="007827C1"/>
    <w:rsid w:val="00787493"/>
    <w:rsid w:val="008212A1"/>
    <w:rsid w:val="0082750D"/>
    <w:rsid w:val="008357F4"/>
    <w:rsid w:val="00840521"/>
    <w:rsid w:val="0086058C"/>
    <w:rsid w:val="008809D8"/>
    <w:rsid w:val="00887105"/>
    <w:rsid w:val="008971B4"/>
    <w:rsid w:val="008A0C6A"/>
    <w:rsid w:val="008B3EE8"/>
    <w:rsid w:val="008B4E0C"/>
    <w:rsid w:val="008F6EF2"/>
    <w:rsid w:val="00914DFC"/>
    <w:rsid w:val="0091646F"/>
    <w:rsid w:val="0093239E"/>
    <w:rsid w:val="0094022B"/>
    <w:rsid w:val="00950CD8"/>
    <w:rsid w:val="009549CD"/>
    <w:rsid w:val="00961E59"/>
    <w:rsid w:val="00965861"/>
    <w:rsid w:val="00965884"/>
    <w:rsid w:val="00967648"/>
    <w:rsid w:val="00976C8C"/>
    <w:rsid w:val="0097762E"/>
    <w:rsid w:val="00985A32"/>
    <w:rsid w:val="00996E85"/>
    <w:rsid w:val="009B3A4C"/>
    <w:rsid w:val="009B6CE7"/>
    <w:rsid w:val="009C1E06"/>
    <w:rsid w:val="009F1BF5"/>
    <w:rsid w:val="009F54AE"/>
    <w:rsid w:val="00A01402"/>
    <w:rsid w:val="00A160F9"/>
    <w:rsid w:val="00A32E6E"/>
    <w:rsid w:val="00A467A4"/>
    <w:rsid w:val="00A66FEB"/>
    <w:rsid w:val="00A7201C"/>
    <w:rsid w:val="00A9584E"/>
    <w:rsid w:val="00AB1CCD"/>
    <w:rsid w:val="00AC1D71"/>
    <w:rsid w:val="00AD4B9C"/>
    <w:rsid w:val="00AE3E30"/>
    <w:rsid w:val="00B300EA"/>
    <w:rsid w:val="00B31B27"/>
    <w:rsid w:val="00B66E35"/>
    <w:rsid w:val="00B90E16"/>
    <w:rsid w:val="00B92084"/>
    <w:rsid w:val="00B94122"/>
    <w:rsid w:val="00B94336"/>
    <w:rsid w:val="00B954C9"/>
    <w:rsid w:val="00BB082A"/>
    <w:rsid w:val="00BB6F50"/>
    <w:rsid w:val="00BC2F7F"/>
    <w:rsid w:val="00BE4857"/>
    <w:rsid w:val="00C04E79"/>
    <w:rsid w:val="00C16971"/>
    <w:rsid w:val="00C16975"/>
    <w:rsid w:val="00C43615"/>
    <w:rsid w:val="00CC604A"/>
    <w:rsid w:val="00CD67A9"/>
    <w:rsid w:val="00CE4EA0"/>
    <w:rsid w:val="00D20626"/>
    <w:rsid w:val="00D21EBE"/>
    <w:rsid w:val="00D31AE6"/>
    <w:rsid w:val="00D4243C"/>
    <w:rsid w:val="00D45A9F"/>
    <w:rsid w:val="00D46EA1"/>
    <w:rsid w:val="00D62481"/>
    <w:rsid w:val="00D65D75"/>
    <w:rsid w:val="00D76255"/>
    <w:rsid w:val="00D84407"/>
    <w:rsid w:val="00D84CEC"/>
    <w:rsid w:val="00D862D1"/>
    <w:rsid w:val="00D86CB0"/>
    <w:rsid w:val="00DC2071"/>
    <w:rsid w:val="00DD4D55"/>
    <w:rsid w:val="00DD754C"/>
    <w:rsid w:val="00DE0FAD"/>
    <w:rsid w:val="00DE117E"/>
    <w:rsid w:val="00DE1F4F"/>
    <w:rsid w:val="00DF214C"/>
    <w:rsid w:val="00DF709A"/>
    <w:rsid w:val="00E1481B"/>
    <w:rsid w:val="00E15DAD"/>
    <w:rsid w:val="00E21EC1"/>
    <w:rsid w:val="00E525B6"/>
    <w:rsid w:val="00E73A3A"/>
    <w:rsid w:val="00EB76AC"/>
    <w:rsid w:val="00EC5E2A"/>
    <w:rsid w:val="00EE0127"/>
    <w:rsid w:val="00F11428"/>
    <w:rsid w:val="00F2346D"/>
    <w:rsid w:val="00F55157"/>
    <w:rsid w:val="00F92CB6"/>
    <w:rsid w:val="00F9332B"/>
    <w:rsid w:val="00F965F6"/>
    <w:rsid w:val="00FA4FF2"/>
    <w:rsid w:val="00FA6838"/>
    <w:rsid w:val="00FB6599"/>
    <w:rsid w:val="00FC6BD5"/>
    <w:rsid w:val="00FF4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8606"/>
  <w15:docId w15:val="{4E23529D-429B-4397-A4FE-AE6D568F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D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3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389"/>
    <w:rPr>
      <w:rFonts w:ascii="Segoe UI" w:hAnsi="Segoe UI" w:cs="Segoe UI"/>
      <w:sz w:val="18"/>
      <w:szCs w:val="18"/>
    </w:rPr>
  </w:style>
  <w:style w:type="paragraph" w:styleId="ListParagraph">
    <w:name w:val="List Paragraph"/>
    <w:basedOn w:val="Normal"/>
    <w:uiPriority w:val="34"/>
    <w:qFormat/>
    <w:rsid w:val="00F2346D"/>
    <w:pPr>
      <w:ind w:left="720"/>
      <w:contextualSpacing/>
    </w:pPr>
  </w:style>
  <w:style w:type="table" w:styleId="TableGrid">
    <w:name w:val="Table Grid"/>
    <w:basedOn w:val="TableNormal"/>
    <w:uiPriority w:val="39"/>
    <w:rsid w:val="00EB7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2071"/>
    <w:rPr>
      <w:sz w:val="16"/>
      <w:szCs w:val="16"/>
    </w:rPr>
  </w:style>
  <w:style w:type="paragraph" w:styleId="CommentText">
    <w:name w:val="annotation text"/>
    <w:basedOn w:val="Normal"/>
    <w:link w:val="CommentTextChar"/>
    <w:uiPriority w:val="99"/>
    <w:semiHidden/>
    <w:unhideWhenUsed/>
    <w:rsid w:val="00DC2071"/>
    <w:pPr>
      <w:spacing w:line="240" w:lineRule="auto"/>
    </w:pPr>
    <w:rPr>
      <w:sz w:val="20"/>
      <w:szCs w:val="20"/>
    </w:rPr>
  </w:style>
  <w:style w:type="character" w:customStyle="1" w:styleId="CommentTextChar">
    <w:name w:val="Comment Text Char"/>
    <w:basedOn w:val="DefaultParagraphFont"/>
    <w:link w:val="CommentText"/>
    <w:uiPriority w:val="99"/>
    <w:semiHidden/>
    <w:rsid w:val="00DC2071"/>
    <w:rPr>
      <w:sz w:val="20"/>
      <w:szCs w:val="20"/>
    </w:rPr>
  </w:style>
  <w:style w:type="paragraph" w:styleId="CommentSubject">
    <w:name w:val="annotation subject"/>
    <w:basedOn w:val="CommentText"/>
    <w:next w:val="CommentText"/>
    <w:link w:val="CommentSubjectChar"/>
    <w:uiPriority w:val="99"/>
    <w:semiHidden/>
    <w:unhideWhenUsed/>
    <w:rsid w:val="00DC2071"/>
    <w:rPr>
      <w:b/>
      <w:bCs/>
    </w:rPr>
  </w:style>
  <w:style w:type="character" w:customStyle="1" w:styleId="CommentSubjectChar">
    <w:name w:val="Comment Subject Char"/>
    <w:basedOn w:val="CommentTextChar"/>
    <w:link w:val="CommentSubject"/>
    <w:uiPriority w:val="99"/>
    <w:semiHidden/>
    <w:rsid w:val="00DC20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66389">
      <w:bodyDiv w:val="1"/>
      <w:marLeft w:val="0"/>
      <w:marRight w:val="0"/>
      <w:marTop w:val="0"/>
      <w:marBottom w:val="0"/>
      <w:divBdr>
        <w:top w:val="none" w:sz="0" w:space="0" w:color="auto"/>
        <w:left w:val="none" w:sz="0" w:space="0" w:color="auto"/>
        <w:bottom w:val="none" w:sz="0" w:space="0" w:color="auto"/>
        <w:right w:val="none" w:sz="0" w:space="0" w:color="auto"/>
      </w:divBdr>
      <w:divsChild>
        <w:div w:id="149830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4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54394">
      <w:bodyDiv w:val="1"/>
      <w:marLeft w:val="0"/>
      <w:marRight w:val="0"/>
      <w:marTop w:val="0"/>
      <w:marBottom w:val="0"/>
      <w:divBdr>
        <w:top w:val="none" w:sz="0" w:space="0" w:color="auto"/>
        <w:left w:val="none" w:sz="0" w:space="0" w:color="auto"/>
        <w:bottom w:val="none" w:sz="0" w:space="0" w:color="auto"/>
        <w:right w:val="none" w:sz="0" w:space="0" w:color="auto"/>
      </w:divBdr>
      <w:divsChild>
        <w:div w:id="486214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96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02208">
      <w:bodyDiv w:val="1"/>
      <w:marLeft w:val="0"/>
      <w:marRight w:val="0"/>
      <w:marTop w:val="0"/>
      <w:marBottom w:val="0"/>
      <w:divBdr>
        <w:top w:val="none" w:sz="0" w:space="0" w:color="auto"/>
        <w:left w:val="none" w:sz="0" w:space="0" w:color="auto"/>
        <w:bottom w:val="none" w:sz="0" w:space="0" w:color="auto"/>
        <w:right w:val="none" w:sz="0" w:space="0" w:color="auto"/>
      </w:divBdr>
      <w:divsChild>
        <w:div w:id="1832214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4066">
      <w:bodyDiv w:val="1"/>
      <w:marLeft w:val="0"/>
      <w:marRight w:val="0"/>
      <w:marTop w:val="0"/>
      <w:marBottom w:val="0"/>
      <w:divBdr>
        <w:top w:val="none" w:sz="0" w:space="0" w:color="auto"/>
        <w:left w:val="none" w:sz="0" w:space="0" w:color="auto"/>
        <w:bottom w:val="none" w:sz="0" w:space="0" w:color="auto"/>
        <w:right w:val="none" w:sz="0" w:space="0" w:color="auto"/>
      </w:divBdr>
      <w:divsChild>
        <w:div w:id="2043817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8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1A59C-12C9-490E-AB3C-DEC30D938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3057</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Walters</dc:creator>
  <cp:keywords/>
  <dc:description/>
  <cp:lastModifiedBy>Rachel Evelyn Ham</cp:lastModifiedBy>
  <cp:revision>4</cp:revision>
  <cp:lastPrinted>2019-10-26T11:30:00Z</cp:lastPrinted>
  <dcterms:created xsi:type="dcterms:W3CDTF">2021-12-24T00:10:00Z</dcterms:created>
  <dcterms:modified xsi:type="dcterms:W3CDTF">2021-12-24T00:29:00Z</dcterms:modified>
</cp:coreProperties>
</file>