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Quantitative Reverse Transcriptase PCR Saliva Diagnostic Strategy Utilizing Open-Source Pipetting Robots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E. 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Austin R. Smothers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Kylie L. King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M. Napolitano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Theodore J. Swann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Lesslie G. Pekarek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Mark A. Blenner</w:t>
      </w:r>
      <w:r>
        <w:rPr>
          <w:rFonts w:ascii="Calibri" w:hAnsi="Calibri" w:cs="Calibri" w:eastAsia="Calibri"/>
          <w:color w:val="auto"/>
          <w:spacing w:val="0"/>
          <w:position w:val="0"/>
          <w:sz w:val="24"/>
          <w:shd w:fill="auto" w:val="clear"/>
          <w:vertAlign w:val="superscript"/>
        </w:rPr>
        <w:t xml:space="preserve">1,5,6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Delphine Dean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Innovative Medical Devices and Sensors (REDDI Lab),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Bioengineering,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Swann Medicine,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Student Health Services,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Chemical &amp;amp; Biomolecular Engineering, Clemson University, Clemson,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Chemical &amp;amp; Biomolecular Engineering, University of Delaware, Newark, DE,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Rachel E. Ham</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(rham@clemson.edu)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R. Smothers</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(arsmoth@clemson.edu)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Kylie L. King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(kyliek@clemson.edu)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Justin M. Napolitano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(jmnapol@clemson.edu)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Theodore J. Swann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(tedswannmd@swannmedicine.com)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Lesslie G. Pekarek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(lesslig@clemson.edu)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A. Blenner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(blenner@udel.edu)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Dean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(finou@clemson.edu)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Dean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(finou@clemson.edu)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a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diagnostic method that utilizes open-source automation to perform RT-qPCR molecular testing of saliva samples. This scalable approach can be applied to clinical public health surveillance as well as to increase the capacity of smaller university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emergence of the recent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global health crisis introduced key challenges for epidemiological research and clinical testing. Characterized by a high rate of transmission and low mortality, the COVID-</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pandemic necessitated accurate and efficient diagnostic testing, particularly in closed populations such as residential universities. Initial availability of nucleic acid testing, like nasopharyngeal swabs, was limited due to supply chain pressure which also delayed reporting of test results. Saliva-based reverse transcriptase quantitative polymerase chain reaction (RT-qPCR) testing has shown to be comparable in sensitivity and specificity to other testing methods, and saliva collection is less physically invasive to participants. Consequently, we developed the multiplex RT-qPCR diagnostic assay for population surveillance of the university and surrounding community. The assay utilized open-source liquid handling robots and thermocyclers instead of complex clinical automation systems to optimize workflow and system flexibility. Automation of saliva-based RT-qPCR enables rapid and accurate detection of a wide range of viral RNA concentrations for both large- and small-scale testing demands. The average turnaround for the automated system was &amp;lt; </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h for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of samples and &amp;lt;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for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of samples. The cost for a single test was $</w:t>
      </w:r>
      <w:r>
        <w:rPr>
          <w:rFonts w:ascii="Calibri" w:hAnsi="Calibri" w:cs="Calibri" w:eastAsia="Calibri"/>
          <w:color w:val="auto"/>
          <w:spacing w:val="0"/>
          <w:position w:val="0"/>
          <w:sz w:val="24"/>
          <w:shd w:fill="auto" w:val="clear"/>
        </w:rPr>
        <w:t xml:space="preserve">2.80 </w:t>
      </w:r>
      <w:r>
        <w:rPr>
          <w:rFonts w:ascii="Calibri" w:hAnsi="Calibri" w:cs="Calibri" w:eastAsia="Calibri"/>
          <w:color w:val="auto"/>
          <w:spacing w:val="0"/>
          <w:position w:val="0"/>
          <w:sz w:val="24"/>
          <w:shd w:fill="auto" w:val="clear"/>
        </w:rPr>
        <w:t xml:space="preserve">when all reagents were purchased in bulk quantities.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acute respiratory syndrome-associated coronavirus-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(SARS-CoV-</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 novel coronavirus, emerged in late </w:t>
      </w:r>
      <w:r>
        <w:rPr>
          <w:rFonts w:ascii="Calibri" w:hAnsi="Calibri" w:cs="Calibri" w:eastAsia="Calibri"/>
          <w:color w:val="auto"/>
          <w:spacing w:val="0"/>
          <w:position w:val="0"/>
          <w:sz w:val="24"/>
          <w:shd w:fill="auto" w:val="clear"/>
        </w:rPr>
        <w:t xml:space="preserve">2019 </w:t>
      </w:r>
      <w:r>
        <w:rPr>
          <w:rFonts w:ascii="Calibri" w:hAnsi="Calibri" w:cs="Calibri" w:eastAsia="Calibri"/>
          <w:color w:val="auto"/>
          <w:spacing w:val="0"/>
          <w:position w:val="0"/>
          <w:sz w:val="24"/>
          <w:shd w:fill="auto" w:val="clear"/>
        </w:rPr>
        <w:t xml:space="preserve">and rapidly spread throughout the global populations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infection causes coronavirus disease </w:t>
      </w:r>
      <w:r>
        <w:rPr>
          <w:rFonts w:ascii="Calibri" w:hAnsi="Calibri" w:cs="Calibri" w:eastAsia="Calibri"/>
          <w:color w:val="auto"/>
          <w:spacing w:val="0"/>
          <w:position w:val="0"/>
          <w:sz w:val="24"/>
          <w:shd w:fill="auto" w:val="clear"/>
        </w:rPr>
        <w:t xml:space="preserve">2019 </w:t>
      </w:r>
      <w:r>
        <w:rPr>
          <w:rFonts w:ascii="Calibri" w:hAnsi="Calibri" w:cs="Calibri" w:eastAsia="Calibri"/>
          <w:color w:val="auto"/>
          <w:spacing w:val="0"/>
          <w:position w:val="0"/>
          <w:sz w:val="24"/>
          <w:shd w:fill="auto" w:val="clear"/>
        </w:rPr>
        <w:t xml:space="preserve">(COVID-</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a highly contagious disease with potentially severe respiratory and inflammatory symptoms. High transmissibility coupled with low mortality indicated that the virus would spread rapidly through populations and would require increased diagnostic testing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Public health recommendations encouraged wide-scale population screening to isolate cases and subsequently reduce transmission rates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models of population surveillance revealed that increasing testing frequency and decreasing reporting time had a greater effect on reducing transmission than increasing test sensitivity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is likely because infected individuals could be quarantined earlier, thereby breaking chains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nucleic acid amplification testing (NAAT) standard was nasopharyngeal (NP) swabs processed by RT-qPCR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complications arise with this form of testing for very large populations, such as increased relative cost and exacerbated supply chain pressure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Moreover, both specimen collection and processing of common NAAT methods (including NP swabs, oropharyngeal swabs, mid-turbinate swabs, and nasal swabs) are reliant on specialized equipment, reagents, and medical personnel</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adequate substitute for NP swab RT-qPCR testing is saliva-based testing, which is an accurate diagnostic tool for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detection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Directly performing RT-qPCR on saliva samples yields similar sensitivity and specificity as NP swabs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One major advantage saliva testing has over NP swab testing is that it allows for self-collection of specimens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minimizes the need for medical personnel and maximizes ease of sample collection for patients by being less invasive than yet as prompt as NP swabs. Additionally, since saliva samples do not require buffers to remove the sample from a swab (as in the case of NP samples), saliva-based tests can utilize heat-based ribonucleic acid (RNA) extraction directly, which decreases testing costs by removing the need for additional buffers, transport media, and/or RNA extraction reagents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Clemson University Research and Education in Disease Diagnostics and Intervention (REDDI) Lab was established to address the university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needs for COVID-</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testing and surveillance. In closed populations, including universities, frequent surveillance testing coupled with social distancing produced the most favorable outcomes in epidemiological models of disease prevalence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consolidated CDC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-nCOV RT-qPCR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SalivaDirect</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protocols were adapted, and automation was utilized in the clinical workflow to decrease cost and improve turnaround time. Previous groups had used open-source liquid handling robots for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extraction steps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but we maximized the use of the robots to prepare test plates and load specimens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we show that the adapted protocol and the utilization of open-source liquid handling systems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allows for quick and accurate saliva-based RT-qPCR and is an effective strategy for large-scale public health surveillance.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research was performed in compliance with Clemson University and Prisma Health Institutional Review Boards (Prisma Health IRB # Pro</w:t>
      </w:r>
      <w:r>
        <w:rPr>
          <w:rFonts w:ascii="Calibri" w:hAnsi="Calibri" w:cs="Calibri" w:eastAsia="Calibri"/>
          <w:color w:val="000000"/>
          <w:spacing w:val="0"/>
          <w:position w:val="0"/>
          <w:sz w:val="24"/>
          <w:shd w:fill="auto" w:val="clear"/>
        </w:rPr>
        <w:t xml:space="preserve">00099491</w:t>
      </w:r>
      <w:r>
        <w:rPr>
          <w:rFonts w:ascii="Calibri" w:hAnsi="Calibri" w:cs="Calibri" w:eastAsia="Calibri"/>
          <w:color w:val="000000"/>
          <w:spacing w:val="0"/>
          <w:position w:val="0"/>
          <w:sz w:val="24"/>
          <w:shd w:fill="auto" w:val="clear"/>
        </w:rPr>
        <w:t xml:space="preserve">, July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Setup of open-source liquid handling robot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Install high-efficiency particulate air (HEPA) filter modules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top of each liquid handling robot as per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Attach an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-channel P</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pipette to the left mount of the master mix plate preparation robot(s) as per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Attach a P</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pipette to the right mount of the sample loading robot(s) as per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Download the custom Python scripts (</w:t>
      </w:r>
      <w:r>
        <w:rPr>
          <w:rFonts w:ascii="Calibri" w:hAnsi="Calibri" w:cs="Calibri" w:eastAsia="Calibri"/>
          <w:b/>
          <w:color w:val="000000"/>
          <w:spacing w:val="0"/>
          <w:position w:val="0"/>
          <w:sz w:val="24"/>
          <w:shd w:fill="auto" w:val="clear"/>
        </w:rPr>
        <w:t xml:space="preserve">Supplemental File </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and Supplemental File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on the appropriate computers.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Open </w:t>
      </w:r>
      <w:r>
        <w:rPr>
          <w:rFonts w:ascii="Calibri" w:hAnsi="Calibri" w:cs="Calibri" w:eastAsia="Calibri"/>
          <w:b/>
          <w:color w:val="000000"/>
          <w:spacing w:val="0"/>
          <w:position w:val="0"/>
          <w:sz w:val="24"/>
          <w:shd w:fill="auto" w:val="clear"/>
        </w:rPr>
        <w:t xml:space="preserve">TigerSaliva Full </w:t>
      </w:r>
      <w:r>
        <w:rPr>
          <w:rFonts w:ascii="Calibri" w:hAnsi="Calibri" w:cs="Calibri" w:eastAsia="Calibri"/>
          <w:b/>
          <w:color w:val="000000"/>
          <w:spacing w:val="0"/>
          <w:position w:val="0"/>
          <w:sz w:val="24"/>
          <w:shd w:fill="auto" w:val="clear"/>
        </w:rPr>
        <w:t xml:space="preserve">384 </w:t>
      </w:r>
      <w:r>
        <w:rPr>
          <w:rFonts w:ascii="Calibri" w:hAnsi="Calibri" w:cs="Calibri" w:eastAsia="Calibri"/>
          <w:b/>
          <w:color w:val="000000"/>
          <w:spacing w:val="0"/>
          <w:position w:val="0"/>
          <w:sz w:val="24"/>
          <w:shd w:fill="auto" w:val="clear"/>
        </w:rPr>
        <w:t xml:space="preserve">Loading.py</w:t>
      </w:r>
      <w:r>
        <w:rPr>
          <w:rFonts w:ascii="Calibri" w:hAnsi="Calibri" w:cs="Calibri" w:eastAsia="Calibri"/>
          <w:color w:val="000000"/>
          <w:spacing w:val="0"/>
          <w:position w:val="0"/>
          <w:sz w:val="24"/>
          <w:shd w:fill="auto" w:val="clear"/>
        </w:rPr>
        <w:t xml:space="preserve"> in the desktop application at the sample loading robot computers. Click </w:t>
      </w:r>
      <w:r>
        <w:rPr>
          <w:rFonts w:ascii="Calibri" w:hAnsi="Calibri" w:cs="Calibri" w:eastAsia="Calibri"/>
          <w:b/>
          <w:color w:val="000000"/>
          <w:spacing w:val="0"/>
          <w:position w:val="0"/>
          <w:sz w:val="24"/>
          <w:shd w:fill="auto" w:val="clear"/>
        </w:rPr>
        <w:t xml:space="preserve">Calibrate</w:t>
      </w:r>
      <w:r>
        <w:rPr>
          <w:rFonts w:ascii="Calibri" w:hAnsi="Calibri" w:cs="Calibri" w:eastAsia="Calibri"/>
          <w:color w:val="000000"/>
          <w:spacing w:val="0"/>
          <w:position w:val="0"/>
          <w:sz w:val="24"/>
          <w:shd w:fill="auto" w:val="clear"/>
        </w:rPr>
        <w:t xml:space="preserve"> and set up both the pipette and the program as per software directions.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Open </w:t>
      </w:r>
      <w:r>
        <w:rPr>
          <w:rFonts w:ascii="Calibri" w:hAnsi="Calibri" w:cs="Calibri" w:eastAsia="Calibri"/>
          <w:b/>
          <w:color w:val="000000"/>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Full Plates.py</w:t>
      </w:r>
      <w:r>
        <w:rPr>
          <w:rFonts w:ascii="Calibri" w:hAnsi="Calibri" w:cs="Calibri" w:eastAsia="Calibri"/>
          <w:color w:val="000000"/>
          <w:spacing w:val="0"/>
          <w:position w:val="0"/>
          <w:sz w:val="24"/>
          <w:shd w:fill="auto" w:val="clear"/>
        </w:rPr>
        <w:t xml:space="preserve"> in the desktop application at the master mix robot computer. Click </w:t>
      </w:r>
      <w:r>
        <w:rPr>
          <w:rFonts w:ascii="Calibri" w:hAnsi="Calibri" w:cs="Calibri" w:eastAsia="Calibri"/>
          <w:b/>
          <w:color w:val="000000"/>
          <w:spacing w:val="0"/>
          <w:position w:val="0"/>
          <w:sz w:val="24"/>
          <w:shd w:fill="auto" w:val="clear"/>
        </w:rPr>
        <w:t xml:space="preserve">Calibrate</w:t>
      </w:r>
      <w:r>
        <w:rPr>
          <w:rFonts w:ascii="Calibri" w:hAnsi="Calibri" w:cs="Calibri" w:eastAsia="Calibri"/>
          <w:color w:val="000000"/>
          <w:spacing w:val="0"/>
          <w:position w:val="0"/>
          <w:sz w:val="24"/>
          <w:shd w:fill="auto" w:val="clear"/>
        </w:rPr>
        <w:t xml:space="preserve"> and set up both the pipette and the program as per software directions.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Print custom sample racks with a fused deposition modeling three-dimensional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printer using a computer-aided design (CAD) file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https://www.myminifactory.com/object/</w:t>
        </w:r>
        <w:r>
          <w:rPr>
            <w:rFonts w:ascii="Calibri" w:hAnsi="Calibri" w:cs="Calibri" w:eastAsia="Calibri"/>
            <w:color w:val="0000FF"/>
            <w:spacing w:val="0"/>
            <w:position w:val="0"/>
            <w:sz w:val="24"/>
            <w:u w:val="single"/>
            <w:shd w:fill="auto" w:val="clear"/>
          </w:rPr>
          <w:t xml:space="preserve">3</w:t>
        </w:r>
        <w:r>
          <w:rPr>
            <w:rFonts w:ascii="Calibri" w:hAnsi="Calibri" w:cs="Calibri" w:eastAsia="Calibri"/>
            <w:color w:val="0000FF"/>
            <w:spacing w:val="0"/>
            <w:position w:val="0"/>
            <w:sz w:val="24"/>
            <w:u w:val="single"/>
            <w:shd w:fill="auto" w:val="clear"/>
          </w:rPr>
          <w:t xml:space="preserve">d-print-</w:t>
        </w:r>
        <w:r>
          <w:rPr>
            <w:rFonts w:ascii="Calibri" w:hAnsi="Calibri" w:cs="Calibri" w:eastAsia="Calibri"/>
            <w:color w:val="0000FF"/>
            <w:spacing w:val="0"/>
            <w:position w:val="0"/>
            <w:sz w:val="24"/>
            <w:u w:val="single"/>
            <w:shd w:fill="auto" w:val="clear"/>
          </w:rPr>
          <w:t xml:space="preserve">141363</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Print </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racks per sample loading robot, for two sets of eight racks.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w:t>
      </w:r>
      <w:r>
        <w:rPr>
          <w:rFonts w:ascii="Calibri" w:hAnsi="Calibri" w:cs="Calibri" w:eastAsia="Calibri"/>
          <w:b/>
          <w:color w:val="000000"/>
          <w:spacing w:val="0"/>
          <w:position w:val="0"/>
          <w:sz w:val="24"/>
          <w:shd w:fill="auto" w:val="clear"/>
        </w:rPr>
        <w:t xml:space="preserve">20</w:t>
      </w:r>
      <w:r>
        <w:rPr>
          <w:rFonts w:ascii="Calibri" w:hAnsi="Calibri" w:cs="Calibri" w:eastAsia="Calibri"/>
          <w:b/>
          <w:color w:val="000000"/>
          <w:spacing w:val="0"/>
          <w:position w:val="0"/>
          <w:sz w:val="24"/>
          <w:shd w:fill="auto" w:val="clear"/>
        </w:rPr>
        <w:t xml:space="preserve">x multiplex N</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+P</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probe/primer mix</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Prepare a batch of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x multiplex 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probe/primer mix (total volume of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mL,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 a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mL conical tube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sterile environment away from synthetic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RNA or patient specimens.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Aliquot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mL of the mix using a serological pipette into sterile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mL centrifuge tubes and label appropriately.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Store aliquots in a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freezer until ready to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positive control mix</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Positive control mix should not be made in the same sterile environment as probe/primer mix or other master mix components. A separate container of nuclease-free water should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Dilute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synthetic RNA (N</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from </w:t>
      </w:r>
      <w:r>
        <w:rPr>
          <w:rFonts w:ascii="Calibri" w:hAnsi="Calibri" w:cs="Calibri" w:eastAsia="Calibri"/>
          <w:color w:val="000000"/>
          <w:spacing w:val="0"/>
          <w:position w:val="0"/>
          <w:sz w:val="24"/>
          <w:shd w:fill="auto" w:val="clear"/>
        </w:rPr>
        <w:t xml:space="preserve">1,000,000 </w:t>
      </w:r>
      <w:r>
        <w:rPr>
          <w:rFonts w:ascii="Calibri" w:hAnsi="Calibri" w:cs="Calibri" w:eastAsia="Calibri"/>
          <w:color w:val="000000"/>
          <w:spacing w:val="0"/>
          <w:position w:val="0"/>
          <w:sz w:val="24"/>
          <w:shd w:fill="auto" w:val="clear"/>
        </w:rPr>
        <w:t xml:space="preserve">gene copies/&amp;#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by adding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stock solution to </w:t>
      </w:r>
      <w:r>
        <w:rPr>
          <w:rFonts w:ascii="Calibri" w:hAnsi="Calibri" w:cs="Calibri" w:eastAsia="Calibri"/>
          <w:color w:val="000000"/>
          <w:spacing w:val="0"/>
          <w:position w:val="0"/>
          <w:sz w:val="24"/>
          <w:shd w:fill="auto" w:val="clear"/>
        </w:rPr>
        <w:t xml:space="preserve">990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nuclease-free water. Aliquot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into sterile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mL tubes and label appropriately. Store unused aliquots at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Synthetic RNA must be stored at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to prevent degradation.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Dilute Hs_RPP</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synthetic DNA (P</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from </w:t>
      </w:r>
      <w:r>
        <w:rPr>
          <w:rFonts w:ascii="Calibri" w:hAnsi="Calibri" w:cs="Calibri" w:eastAsia="Calibri"/>
          <w:color w:val="000000"/>
          <w:spacing w:val="0"/>
          <w:position w:val="0"/>
          <w:sz w:val="24"/>
          <w:shd w:fill="auto" w:val="clear"/>
        </w:rPr>
        <w:t xml:space="preserve">200,000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by adding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stock solution to </w:t>
      </w:r>
      <w:r>
        <w:rPr>
          <w:rFonts w:ascii="Calibri" w:hAnsi="Calibri" w:cs="Calibri" w:eastAsia="Calibri"/>
          <w:color w:val="000000"/>
          <w:spacing w:val="0"/>
          <w:position w:val="0"/>
          <w:sz w:val="24"/>
          <w:shd w:fill="auto" w:val="clear"/>
        </w:rPr>
        <w:t xml:space="preserve">950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nuclease-free water. Aliquot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into sterile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mL tubes and label appropriately. Store unused aliquots at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Dilute each component to a final concentration of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by adding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both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Hs_RPP</w:t>
      </w:r>
      <w:r>
        <w:rPr>
          <w:rFonts w:ascii="Calibri" w:hAnsi="Calibri" w:cs="Calibri" w:eastAsia="Calibri"/>
          <w:color w:val="000000"/>
          <w:spacing w:val="0"/>
          <w:position w:val="0"/>
          <w:sz w:val="24"/>
          <w:shd w:fill="auto" w:val="clear"/>
        </w:rPr>
        <w:t xml:space="preserve">30 10,000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stocks to </w:t>
      </w:r>
      <w:r>
        <w:rPr>
          <w:rFonts w:ascii="Calibri" w:hAnsi="Calibri" w:cs="Calibri" w:eastAsia="Calibri"/>
          <w:color w:val="000000"/>
          <w:spacing w:val="0"/>
          <w:position w:val="0"/>
          <w:sz w:val="24"/>
          <w:shd w:fill="auto" w:val="clear"/>
        </w:rPr>
        <w:t xml:space="preserve">960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nuclease-free water, for a total of </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Aliquot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mixed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cp&amp;#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positive control into </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mL tubes and label appropriately. Store aliquots at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until ready for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master mix plate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master mix in a sterile environment away from synthetic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RNA or patient specimens. All components must be completely thawed before adding to the mixture; without proper thawing, the concentrations may be incorrect. Inadequate thawing is indicated by the presence of ice or uneven color of reagents. Store on a freezer block while preparing the mixture.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Prepare a batch of multiplex master mix (total volume of </w:t>
      </w: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mL,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in a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mL conical tube.</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Homogenize the mixture by turning the tube over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x. Do not mix by pipetting up and down or vortexing as this will damage the enzyme.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Fill columns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of a sterile </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deep well reservoir by transferring </w:t>
      </w:r>
      <w:r>
        <w:rPr>
          <w:rFonts w:ascii="Calibri" w:hAnsi="Calibri" w:cs="Calibri" w:eastAsia="Calibri"/>
          <w:color w:val="000000"/>
          <w:spacing w:val="0"/>
          <w:position w:val="0"/>
          <w:sz w:val="24"/>
          <w:shd w:fill="auto" w:val="clear"/>
        </w:rPr>
        <w:t xml:space="preserve">1.48 </w:t>
      </w:r>
      <w:r>
        <w:rPr>
          <w:rFonts w:ascii="Calibri" w:hAnsi="Calibri" w:cs="Calibri" w:eastAsia="Calibri"/>
          <w:color w:val="000000"/>
          <w:spacing w:val="0"/>
          <w:position w:val="0"/>
          <w:sz w:val="24"/>
          <w:shd w:fill="auto" w:val="clear"/>
        </w:rPr>
        <w:t xml:space="preserve">mL of master mix into each well. One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mL conical fills four columns, enough for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Cover the deep well reservoir with a foil seal and place it in the dedicated master mix liquid handling robot. Place the filled deep well reservoir on deck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place six empty </w:t>
      </w:r>
      <w:r>
        <w:rPr>
          <w:rFonts w:ascii="Calibri" w:hAnsi="Calibri" w:cs="Calibri" w:eastAsia="Calibri"/>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-well plates on decks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and the P</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tip box on deck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Uncover the deep well plate and tip boxes and close the robot.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Initialize the custom Python operating protocol by clicking </w:t>
      </w:r>
      <w:r>
        <w:rPr>
          <w:rFonts w:ascii="Calibri" w:hAnsi="Calibri" w:cs="Calibri" w:eastAsia="Calibri"/>
          <w:b/>
          <w:color w:val="000000"/>
          <w:spacing w:val="0"/>
          <w:position w:val="0"/>
          <w:sz w:val="24"/>
          <w:shd w:fill="auto" w:val="clear"/>
        </w:rPr>
        <w:t xml:space="preserve">Start Run</w:t>
      </w:r>
      <w:r>
        <w:rPr>
          <w:rFonts w:ascii="Calibri" w:hAnsi="Calibri" w:cs="Calibri" w:eastAsia="Calibri"/>
          <w:color w:val="000000"/>
          <w:spacing w:val="0"/>
          <w:position w:val="0"/>
          <w:sz w:val="24"/>
          <w:shd w:fill="auto" w:val="clear"/>
        </w:rPr>
        <w:t xml:space="preserve"> in the robot desktop application.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After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min, the run will pause. Cover the filled </w:t>
      </w:r>
      <w:r>
        <w:rPr>
          <w:rFonts w:ascii="Calibri" w:hAnsi="Calibri" w:cs="Calibri" w:eastAsia="Calibri"/>
          <w:color w:val="000000"/>
          <w:spacing w:val="0"/>
          <w:position w:val="0"/>
          <w:sz w:val="24"/>
          <w:shd w:fill="auto" w:val="clear"/>
        </w:rPr>
        <w:t xml:space="preserve">384 </w:t>
      </w:r>
      <w:r>
        <w:rPr>
          <w:rFonts w:ascii="Calibri" w:hAnsi="Calibri" w:cs="Calibri" w:eastAsia="Calibri"/>
          <w:color w:val="000000"/>
          <w:spacing w:val="0"/>
          <w:position w:val="0"/>
          <w:sz w:val="24"/>
          <w:shd w:fill="auto" w:val="clear"/>
        </w:rPr>
        <w:t xml:space="preserve">well plates with foil seals while they remain in the robot and press down with the roller to ensure adherence. Label the edge of each plate with a batch identifier.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Place six new empty </w:t>
      </w:r>
      <w:r>
        <w:rPr>
          <w:rFonts w:ascii="Calibri" w:hAnsi="Calibri" w:cs="Calibri" w:eastAsia="Calibri"/>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-well plates on decks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and resume operating protocol by clicking </w:t>
      </w:r>
      <w:r>
        <w:rPr>
          <w:rFonts w:ascii="Calibri" w:hAnsi="Calibri" w:cs="Calibri" w:eastAsia="Calibri"/>
          <w:b/>
          <w:color w:val="000000"/>
          <w:spacing w:val="0"/>
          <w:position w:val="0"/>
          <w:sz w:val="24"/>
          <w:shd w:fill="auto" w:val="clear"/>
        </w:rPr>
        <w:t xml:space="preserve">Resume Run</w:t>
      </w:r>
      <w:r>
        <w:rPr>
          <w:rFonts w:ascii="Calibri" w:hAnsi="Calibri" w:cs="Calibri" w:eastAsia="Calibri"/>
          <w:color w:val="000000"/>
          <w:spacing w:val="0"/>
          <w:position w:val="0"/>
          <w:sz w:val="24"/>
          <w:shd w:fill="auto" w:val="clear"/>
        </w:rPr>
        <w:t xml:space="preserve">. After the run is complete, cover the final set of </w:t>
      </w:r>
      <w:r>
        <w:rPr>
          <w:rFonts w:ascii="Calibri" w:hAnsi="Calibri" w:cs="Calibri" w:eastAsia="Calibri"/>
          <w:color w:val="000000"/>
          <w:spacing w:val="0"/>
          <w:position w:val="0"/>
          <w:sz w:val="24"/>
          <w:shd w:fill="auto" w:val="clear"/>
        </w:rPr>
        <w:t xml:space="preserve">384 </w:t>
      </w:r>
      <w:r>
        <w:rPr>
          <w:rFonts w:ascii="Calibri" w:hAnsi="Calibri" w:cs="Calibri" w:eastAsia="Calibri"/>
          <w:color w:val="000000"/>
          <w:spacing w:val="0"/>
          <w:position w:val="0"/>
          <w:sz w:val="24"/>
          <w:shd w:fill="auto" w:val="clear"/>
        </w:rPr>
        <w:t xml:space="preserve">well plates with foil seals.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Pipette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the remaining master mix into columns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of an empty </w:t>
      </w:r>
      <w:r>
        <w:rPr>
          <w:rFonts w:ascii="Calibri" w:hAnsi="Calibri" w:cs="Calibri" w:eastAsia="Calibri"/>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-well plate for batch quality control. Seal with an optically clear seal and run on the thermocycler (section </w:t>
      </w:r>
      <w:r>
        <w:rPr>
          <w:rFonts w:ascii="Calibri" w:hAnsi="Calibri" w:cs="Calibri" w:eastAsia="Calibri"/>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If any wells have N</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threshold cycle (Ct) values or if more than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wells have P</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Ct values, the batch is contaminated and cannot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Store the prepared master mix plates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and use them within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days of preparation.</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Sample collection, intake, and heat treatment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r>
      <w:r>
        <w:rPr>
          <w:rFonts w:ascii="Calibri" w:hAnsi="Calibri" w:cs="Calibri" w:eastAsia="Calibri"/>
          <w:color w:val="000000"/>
          <w:spacing w:val="0"/>
          <w:position w:val="0"/>
          <w:sz w:val="24"/>
          <w:shd w:fill="FFFF00" w:val="clear"/>
        </w:rPr>
        <w:t xml:space="preserve">. Instruct participants to avoid eating, drinking, smoking, or conducting dental hygiene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prior to the saliva collection. Instruct participants to collect at least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saliva that naturally pools in the mouth and deposit it into a sterile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mL conical tube without preservatives, then cap the tube (</w:t>
      </w:r>
      <w:r>
        <w:rPr>
          <w:rFonts w:ascii="Calibri" w:hAnsi="Calibri" w:cs="Calibri" w:eastAsia="Calibri"/>
          <w:b/>
          <w:color w:val="000000"/>
          <w:spacing w:val="0"/>
          <w:position w:val="0"/>
          <w:sz w:val="24"/>
          <w:shd w:fill="FFFF00" w:val="clear"/>
        </w:rPr>
        <w:t xml:space="preserve">Supplemental File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r>
      <w:r>
        <w:rPr>
          <w:rFonts w:ascii="Calibri" w:hAnsi="Calibri" w:cs="Calibri" w:eastAsia="Calibri"/>
          <w:color w:val="000000"/>
          <w:spacing w:val="0"/>
          <w:position w:val="0"/>
          <w:sz w:val="24"/>
          <w:shd w:fill="FFFF00" w:val="clear"/>
        </w:rPr>
        <w:t xml:space="preserve">. Decontaminate the outside of saliva collection tubes with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ethanol or disinfecting wipes and transfer them to the laboratory for testing.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r>
      <w:r>
        <w:rPr>
          <w:rFonts w:ascii="Calibri" w:hAnsi="Calibri" w:cs="Calibri" w:eastAsia="Calibri"/>
          <w:color w:val="000000"/>
          <w:spacing w:val="0"/>
          <w:position w:val="0"/>
          <w:sz w:val="24"/>
          <w:shd w:fill="FFFF00" w:val="clear"/>
        </w:rPr>
        <w:t xml:space="preserve">. Record sample arrival by scanning each sample barcode into the daily intake spreadsheet (</w:t>
      </w:r>
      <w:r>
        <w:rPr>
          <w:rFonts w:ascii="Calibri" w:hAnsi="Calibri" w:cs="Calibri" w:eastAsia="Calibri"/>
          <w:b/>
          <w:color w:val="000000"/>
          <w:spacing w:val="0"/>
          <w:position w:val="0"/>
          <w:sz w:val="24"/>
          <w:shd w:fill="FFFF00" w:val="clear"/>
        </w:rPr>
        <w:t xml:space="preserve">Supplemental File </w:t>
      </w: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r>
      <w:r>
        <w:rPr>
          <w:rFonts w:ascii="Calibri" w:hAnsi="Calibri" w:cs="Calibri" w:eastAsia="Calibri"/>
          <w:color w:val="000000"/>
          <w:spacing w:val="0"/>
          <w:position w:val="0"/>
          <w:sz w:val="24"/>
          <w:shd w:fill="FFFF00" w:val="clear"/>
        </w:rPr>
        <w:t xml:space="preserve">. Heat-treat the scanned samples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in a </w:t>
      </w:r>
      <w:r>
        <w:rPr>
          <w:rFonts w:ascii="Calibri" w:hAnsi="Calibri" w:cs="Calibri" w:eastAsia="Calibri"/>
          <w:color w:val="000000"/>
          <w:spacing w:val="0"/>
          <w:position w:val="0"/>
          <w:sz w:val="24"/>
          <w:shd w:fill="FFFF00" w:val="clear"/>
        </w:rPr>
        <w:t xml:space="preserve">95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oven. Remove samples while wearing heat-resistant gloves.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Untreated samples are stable at room temperature (</w:t>
      </w:r>
      <w:r>
        <w:rPr>
          <w:rFonts w:ascii="Calibri" w:hAnsi="Calibri" w:cs="Calibri" w:eastAsia="Calibri"/>
          <w:color w:val="000000"/>
          <w:spacing w:val="0"/>
          <w:position w:val="0"/>
          <w:sz w:val="24"/>
          <w:shd w:fill="FFFF00" w:val="clear"/>
        </w:rPr>
        <w:t xml:space="preserve">23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up to </w:t>
      </w:r>
      <w:r>
        <w:rPr>
          <w:rFonts w:ascii="Calibri" w:hAnsi="Calibri" w:cs="Calibri" w:eastAsia="Calibri"/>
          <w:color w:val="000000"/>
          <w:spacing w:val="0"/>
          <w:position w:val="0"/>
          <w:sz w:val="24"/>
          <w:shd w:fill="FFFF00" w:val="clear"/>
        </w:rPr>
        <w:t xml:space="preserve">72 </w:t>
      </w:r>
      <w:r>
        <w:rPr>
          <w:rFonts w:ascii="Calibri" w:hAnsi="Calibri" w:cs="Calibri" w:eastAsia="Calibri"/>
          <w:color w:val="000000"/>
          <w:spacing w:val="0"/>
          <w:position w:val="0"/>
          <w:sz w:val="24"/>
          <w:shd w:fill="FFFF00" w:val="clear"/>
        </w:rPr>
        <w:t xml:space="preserve">h. Once heat-treated, samples must be stored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if not being processed immediately.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Sample Assignment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r>
      <w:r>
        <w:rPr>
          <w:rFonts w:ascii="Calibri" w:hAnsi="Calibri" w:cs="Calibri" w:eastAsia="Calibri"/>
          <w:color w:val="000000"/>
          <w:spacing w:val="0"/>
          <w:position w:val="0"/>
          <w:sz w:val="24"/>
          <w:shd w:fill="FFFF00" w:val="clear"/>
        </w:rPr>
        <w:t xml:space="preserve">. Open the daily sample loading spreadsheets for each sample loading robot (</w:t>
      </w:r>
      <w:r>
        <w:rPr>
          <w:rFonts w:ascii="Calibri" w:hAnsi="Calibri" w:cs="Calibri" w:eastAsia="Calibri"/>
          <w:b/>
          <w:color w:val="000000"/>
          <w:spacing w:val="0"/>
          <w:position w:val="0"/>
          <w:sz w:val="24"/>
          <w:shd w:fill="FFFF00" w:val="clear"/>
        </w:rPr>
        <w:t xml:space="preserve">Supplemental File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on the computer at the sample assignment station.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r>
      <w:r>
        <w:rPr>
          <w:rFonts w:ascii="Calibri" w:hAnsi="Calibri" w:cs="Calibri" w:eastAsia="Calibri"/>
          <w:color w:val="000000"/>
          <w:spacing w:val="0"/>
          <w:position w:val="0"/>
          <w:sz w:val="24"/>
          <w:shd w:fill="FFFF00" w:val="clear"/>
        </w:rPr>
        <w:t xml:space="preserve">. Assign </w:t>
      </w:r>
      <w:r>
        <w:rPr>
          <w:rFonts w:ascii="Calibri" w:hAnsi="Calibri" w:cs="Calibri" w:eastAsia="Calibri"/>
          <w:color w:val="000000"/>
          <w:spacing w:val="0"/>
          <w:position w:val="0"/>
          <w:sz w:val="24"/>
          <w:shd w:fill="FFFF00" w:val="clear"/>
        </w:rPr>
        <w:t xml:space="preserve">188 </w:t>
      </w:r>
      <w:r>
        <w:rPr>
          <w:rFonts w:ascii="Calibri" w:hAnsi="Calibri" w:cs="Calibri" w:eastAsia="Calibri"/>
          <w:color w:val="000000"/>
          <w:spacing w:val="0"/>
          <w:position w:val="0"/>
          <w:sz w:val="24"/>
          <w:shd w:fill="FFFF00" w:val="clear"/>
        </w:rPr>
        <w:t xml:space="preserve">samples to each </w:t>
      </w:r>
      <w:r>
        <w:rPr>
          <w:rFonts w:ascii="Calibri" w:hAnsi="Calibri" w:cs="Calibri" w:eastAsia="Calibri"/>
          <w:color w:val="000000"/>
          <w:spacing w:val="0"/>
          <w:position w:val="0"/>
          <w:sz w:val="24"/>
          <w:shd w:fill="FFFF00" w:val="clear"/>
        </w:rPr>
        <w:t xml:space="preserve">384</w:t>
      </w:r>
      <w:r>
        <w:rPr>
          <w:rFonts w:ascii="Calibri" w:hAnsi="Calibri" w:cs="Calibri" w:eastAsia="Calibri"/>
          <w:color w:val="000000"/>
          <w:spacing w:val="0"/>
          <w:position w:val="0"/>
          <w:sz w:val="24"/>
          <w:shd w:fill="FFFF00" w:val="clear"/>
        </w:rPr>
        <w:t xml:space="preserve">-well plate as follows: Samples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48 </w:t>
      </w:r>
      <w:r>
        <w:rPr>
          <w:rFonts w:ascii="Calibri" w:hAnsi="Calibri" w:cs="Calibri" w:eastAsia="Calibri"/>
          <w:color w:val="000000"/>
          <w:spacing w:val="0"/>
          <w:position w:val="0"/>
          <w:sz w:val="24"/>
          <w:shd w:fill="FFFF00" w:val="clear"/>
        </w:rPr>
        <w:t xml:space="preserve">are considered quarter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samples </w:t>
      </w:r>
      <w:r>
        <w:rPr>
          <w:rFonts w:ascii="Calibri" w:hAnsi="Calibri" w:cs="Calibri" w:eastAsia="Calibri"/>
          <w:color w:val="000000"/>
          <w:spacing w:val="0"/>
          <w:position w:val="0"/>
          <w:sz w:val="24"/>
          <w:shd w:fill="FFFF00" w:val="clear"/>
        </w:rPr>
        <w:t xml:space="preserve">49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96 </w:t>
      </w:r>
      <w:r>
        <w:rPr>
          <w:rFonts w:ascii="Calibri" w:hAnsi="Calibri" w:cs="Calibri" w:eastAsia="Calibri"/>
          <w:color w:val="000000"/>
          <w:spacing w:val="0"/>
          <w:position w:val="0"/>
          <w:sz w:val="24"/>
          <w:shd w:fill="FFFF00" w:val="clear"/>
        </w:rPr>
        <w:t xml:space="preserve">are considered quarter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samples </w:t>
      </w:r>
      <w:r>
        <w:rPr>
          <w:rFonts w:ascii="Calibri" w:hAnsi="Calibri" w:cs="Calibri" w:eastAsia="Calibri"/>
          <w:color w:val="000000"/>
          <w:spacing w:val="0"/>
          <w:position w:val="0"/>
          <w:sz w:val="24"/>
          <w:shd w:fill="FFFF00" w:val="clear"/>
        </w:rPr>
        <w:t xml:space="preserve">97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144 </w:t>
      </w:r>
      <w:r>
        <w:rPr>
          <w:rFonts w:ascii="Calibri" w:hAnsi="Calibri" w:cs="Calibri" w:eastAsia="Calibri"/>
          <w:color w:val="000000"/>
          <w:spacing w:val="0"/>
          <w:position w:val="0"/>
          <w:sz w:val="24"/>
          <w:shd w:fill="FFFF00" w:val="clear"/>
        </w:rPr>
        <w:t xml:space="preserve">are considered quarter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and samples </w:t>
      </w:r>
      <w:r>
        <w:rPr>
          <w:rFonts w:ascii="Calibri" w:hAnsi="Calibri" w:cs="Calibri" w:eastAsia="Calibri"/>
          <w:color w:val="000000"/>
          <w:spacing w:val="0"/>
          <w:position w:val="0"/>
          <w:sz w:val="24"/>
          <w:shd w:fill="FFFF00" w:val="clear"/>
        </w:rPr>
        <w:t xml:space="preserve">145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188 </w:t>
      </w:r>
      <w:r>
        <w:rPr>
          <w:rFonts w:ascii="Calibri" w:hAnsi="Calibri" w:cs="Calibri" w:eastAsia="Calibri"/>
          <w:color w:val="000000"/>
          <w:spacing w:val="0"/>
          <w:position w:val="0"/>
          <w:sz w:val="24"/>
          <w:shd w:fill="FFFF00" w:val="clear"/>
        </w:rPr>
        <w:t xml:space="preserve">are considered quarter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Sample are analyzed in duplicates.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Label trays with plate name, date, and quarter number. </w:t>
      </w:r>
      <w:r>
        <w:rPr>
          <w:rFonts w:ascii="Calibri" w:hAnsi="Calibri" w:cs="Calibri" w:eastAsia="Calibri"/>
          <w:color w:val="auto"/>
          <w:spacing w:val="0"/>
          <w:position w:val="0"/>
          <w:sz w:val="24"/>
          <w:shd w:fill="FFFF00" w:val="clear"/>
        </w:rPr>
        <w:t xml:space="preserve">Scan the samples in order into the sample loading spreadsheet.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Samples from earlier plates may need to be manually run, as defined in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Refer to sections </w:t>
      </w:r>
      <w:r>
        <w:rPr>
          <w:rFonts w:ascii="Calibri" w:hAnsi="Calibri" w:cs="Calibri" w:eastAsia="Calibri"/>
          <w:color w:val="000000"/>
          <w:spacing w:val="0"/>
          <w:position w:val="0"/>
          <w:sz w:val="24"/>
          <w:shd w:fill="FFFF00" w:val="clear"/>
        </w:rPr>
        <w:t xml:space="preserve">8.1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8.3 </w:t>
      </w:r>
      <w:r>
        <w:rPr>
          <w:rFonts w:ascii="Calibri" w:hAnsi="Calibri" w:cs="Calibri" w:eastAsia="Calibri"/>
          <w:color w:val="000000"/>
          <w:spacing w:val="0"/>
          <w:position w:val="0"/>
          <w:sz w:val="24"/>
          <w:shd w:fill="FFFF00" w:val="clear"/>
        </w:rPr>
        <w:t xml:space="preserve">for manual sample assignment and loading instructions.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Operating sample loading robots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r>
      <w:r>
        <w:rPr>
          <w:rFonts w:ascii="Calibri" w:hAnsi="Calibri" w:cs="Calibri" w:eastAsia="Calibri"/>
          <w:color w:val="000000"/>
          <w:spacing w:val="0"/>
          <w:position w:val="0"/>
          <w:sz w:val="24"/>
          <w:shd w:fill="FFFF00" w:val="clear"/>
        </w:rPr>
        <w:t xml:space="preserve">. At the sample loading station, line up two full sets of eight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D printed racks corresponding to the deck placement in the robot.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r>
      <w:r>
        <w:rPr>
          <w:rFonts w:ascii="Calibri" w:hAnsi="Calibri" w:cs="Calibri" w:eastAsia="Calibri"/>
          <w:color w:val="000000"/>
          <w:spacing w:val="0"/>
          <w:position w:val="0"/>
          <w:sz w:val="24"/>
          <w:shd w:fill="FFFF00" w:val="clear"/>
        </w:rPr>
        <w:t xml:space="preserve">. Uncap quarter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tubes and place in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D printed racks, starting with position A</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in rack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Fill each rack from left to right and top to bottom. Continue this loading pattern in rack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then proceed to racks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(refer to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Racks are not numbered consecutively due to the robot program parameters.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r>
      <w:r>
        <w:rPr>
          <w:rFonts w:ascii="Calibri" w:hAnsi="Calibri" w:cs="Calibri" w:eastAsia="Calibri"/>
          <w:color w:val="000000"/>
          <w:spacing w:val="0"/>
          <w:position w:val="0"/>
          <w:sz w:val="24"/>
          <w:shd w:fill="FFFF00" w:val="clear"/>
        </w:rPr>
        <w:t xml:space="preserve">. Place loaded quarter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sample racks on decks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 xml:space="preserve">. Place P</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tips on decks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9</w:t>
      </w:r>
      <w:r>
        <w:rPr>
          <w:rFonts w:ascii="Calibri" w:hAnsi="Calibri" w:cs="Calibri" w:eastAsia="Calibri"/>
          <w:color w:val="000000"/>
          <w:spacing w:val="0"/>
          <w:position w:val="0"/>
          <w:sz w:val="24"/>
          <w:shd w:fill="FFFF00" w:val="clear"/>
        </w:rPr>
        <w:t xml:space="preserve">. To simplify the set-up process, load materials from back to front into the robot.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r>
      <w:r>
        <w:rPr>
          <w:rFonts w:ascii="Calibri" w:hAnsi="Calibri" w:cs="Calibri" w:eastAsia="Calibri"/>
          <w:color w:val="000000"/>
          <w:spacing w:val="0"/>
          <w:position w:val="0"/>
          <w:sz w:val="24"/>
          <w:shd w:fill="FFFF00" w:val="clear"/>
        </w:rPr>
        <w:t xml:space="preserve">. Take a premade master mix plate from the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label it with plate name and use a sharp blade to cut a line in the foil around the control wells (N</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O</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and P</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r>
      <w:r>
        <w:rPr>
          <w:rFonts w:ascii="Calibri" w:hAnsi="Calibri" w:cs="Calibri" w:eastAsia="Calibri"/>
          <w:color w:val="000000"/>
          <w:spacing w:val="0"/>
          <w:position w:val="0"/>
          <w:sz w:val="24"/>
          <w:shd w:fill="FFFF00" w:val="clear"/>
        </w:rPr>
        <w:t xml:space="preserve">. Place the master mix plate on deck </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and peel away the foil cover, leaving behind the small rectangle covering the control wells. Uncover the tip boxes and close the robot.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r>
      <w:r>
        <w:rPr>
          <w:rFonts w:ascii="Calibri" w:hAnsi="Calibri" w:cs="Calibri" w:eastAsia="Calibri"/>
          <w:color w:val="000000"/>
          <w:spacing w:val="0"/>
          <w:position w:val="0"/>
          <w:sz w:val="24"/>
          <w:shd w:fill="FFFF00" w:val="clear"/>
        </w:rPr>
        <w:t xml:space="preserve">. Initialize the custom Python operating protocol by clicking </w:t>
      </w:r>
      <w:r>
        <w:rPr>
          <w:rFonts w:ascii="Calibri" w:hAnsi="Calibri" w:cs="Calibri" w:eastAsia="Calibri"/>
          <w:b/>
          <w:color w:val="000000"/>
          <w:spacing w:val="0"/>
          <w:position w:val="0"/>
          <w:sz w:val="24"/>
          <w:shd w:fill="FFFF00" w:val="clear"/>
        </w:rPr>
        <w:t xml:space="preserve">Start Run</w:t>
      </w:r>
      <w:r>
        <w:rPr>
          <w:rFonts w:ascii="Calibri" w:hAnsi="Calibri" w:cs="Calibri" w:eastAsia="Calibri"/>
          <w:color w:val="000000"/>
          <w:spacing w:val="0"/>
          <w:position w:val="0"/>
          <w:sz w:val="24"/>
          <w:shd w:fill="FFFF00" w:val="clear"/>
        </w:rPr>
        <w:t xml:space="preserve"> through the robot desktop application. Each quarter takes </w:t>
      </w:r>
      <w:r>
        <w:rPr>
          <w:rFonts w:ascii="Calibri" w:hAnsi="Calibri" w:cs="Calibri" w:eastAsia="Calibri"/>
          <w:color w:val="000000"/>
          <w:spacing w:val="0"/>
          <w:position w:val="0"/>
          <w:sz w:val="24"/>
          <w:shd w:fill="FFFF00" w:val="clear"/>
        </w:rPr>
        <w:t xml:space="preserve">24.5 </w:t>
      </w:r>
      <w:r>
        <w:rPr>
          <w:rFonts w:ascii="Calibri" w:hAnsi="Calibri" w:cs="Calibri" w:eastAsia="Calibri"/>
          <w:color w:val="000000"/>
          <w:spacing w:val="0"/>
          <w:position w:val="0"/>
          <w:sz w:val="24"/>
          <w:shd w:fill="FFFF00" w:val="clear"/>
        </w:rPr>
        <w:t xml:space="preserve">min to load onto the plate; set a timer as a reminder.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r>
      <w:r>
        <w:rPr>
          <w:rFonts w:ascii="Calibri" w:hAnsi="Calibri" w:cs="Calibri" w:eastAsia="Calibri"/>
          <w:color w:val="000000"/>
          <w:spacing w:val="0"/>
          <w:position w:val="0"/>
          <w:sz w:val="24"/>
          <w:shd w:fill="FFFF00" w:val="clear"/>
        </w:rPr>
        <w:t xml:space="preserve">. While the robot is running, uncap and load quarter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sample tubes into the second set of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D printed racks as described in section </w:t>
      </w:r>
      <w:r>
        <w:rPr>
          <w:rFonts w:ascii="Calibri" w:hAnsi="Calibri" w:cs="Calibri" w:eastAsia="Calibri"/>
          <w:color w:val="000000"/>
          <w:spacing w:val="0"/>
          <w:position w:val="0"/>
          <w:sz w:val="24"/>
          <w:shd w:fill="FFFF00" w:val="clear"/>
        </w:rPr>
        <w:t xml:space="preserve">7.2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w:t>
      </w:r>
      <w:r>
        <w:rPr>
          <w:rFonts w:ascii="Calibri" w:hAnsi="Calibri" w:cs="Calibri" w:eastAsia="Calibri"/>
          <w:color w:val="000000"/>
          <w:spacing w:val="0"/>
          <w:position w:val="0"/>
          <w:sz w:val="24"/>
          <w:shd w:fill="FFFF00" w:val="clear"/>
        </w:rPr>
        <w:t xml:space="preserve">. When the robot pauses, remove quarter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racks, and replace them with quarter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racks. Click </w:t>
      </w:r>
      <w:r>
        <w:rPr>
          <w:rFonts w:ascii="Calibri" w:hAnsi="Calibri" w:cs="Calibri" w:eastAsia="Calibri"/>
          <w:b/>
          <w:color w:val="000000"/>
          <w:spacing w:val="0"/>
          <w:position w:val="0"/>
          <w:sz w:val="24"/>
          <w:shd w:fill="FFFF00" w:val="clear"/>
        </w:rPr>
        <w:t xml:space="preserve">Resume Run</w:t>
      </w:r>
      <w:r>
        <w:rPr>
          <w:rFonts w:ascii="Calibri" w:hAnsi="Calibri" w:cs="Calibri" w:eastAsia="Calibri"/>
          <w:color w:val="000000"/>
          <w:spacing w:val="0"/>
          <w:position w:val="0"/>
          <w:sz w:val="24"/>
          <w:shd w:fill="FFFF00" w:val="clear"/>
        </w:rPr>
        <w:t xml:space="preserve"> in the desktop application.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r>
      <w:r>
        <w:rPr>
          <w:rFonts w:ascii="Calibri" w:hAnsi="Calibri" w:cs="Calibri" w:eastAsia="Calibri"/>
          <w:color w:val="000000"/>
          <w:spacing w:val="0"/>
          <w:position w:val="0"/>
          <w:sz w:val="24"/>
          <w:shd w:fill="FFFF00" w:val="clear"/>
        </w:rPr>
        <w:t xml:space="preserve">. Recap quarter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sample tubes and store them in a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refrigerator while awaiting results.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this loading process for quarters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w:t>
      </w:r>
      <w:r>
        <w:rPr>
          <w:rFonts w:ascii="Calibri" w:hAnsi="Calibri" w:cs="Calibri" w:eastAsia="Calibri"/>
          <w:color w:val="000000"/>
          <w:spacing w:val="0"/>
          <w:position w:val="0"/>
          <w:sz w:val="24"/>
          <w:shd w:fill="FFFF00" w:val="clear"/>
        </w:rPr>
        <w:t xml:space="preserve">. Transfer the loaded plate to a biosafety cabinet. To minimize contamination, keep plate covered during transfer.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Manual sample loading</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Perform a single manual run on repeat samples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Rerun or Rerun, see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in case of inadequate robotic loading.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r>
      <w:r>
        <w:rPr>
          <w:rFonts w:ascii="Calibri" w:hAnsi="Calibri" w:cs="Calibri" w:eastAsia="Calibri"/>
          <w:color w:val="000000"/>
          <w:spacing w:val="0"/>
          <w:position w:val="0"/>
          <w:sz w:val="24"/>
          <w:shd w:fill="FFFF00" w:val="clear"/>
        </w:rPr>
        <w:t xml:space="preserve">. Gather any repeat samples and assign them as the last samples in quarter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(see section </w:t>
      </w:r>
      <w:r>
        <w:rPr>
          <w:rFonts w:ascii="Calibri" w:hAnsi="Calibri" w:cs="Calibri" w:eastAsia="Calibri"/>
          <w:color w:val="000000"/>
          <w:spacing w:val="0"/>
          <w:position w:val="0"/>
          <w:sz w:val="24"/>
          <w:shd w:fill="FFFF00" w:val="clear"/>
        </w:rPr>
        <w:t xml:space="preserve">6.2</w:t>
      </w:r>
      <w:r>
        <w:rPr>
          <w:rFonts w:ascii="Calibri" w:hAnsi="Calibri" w:cs="Calibri" w:eastAsia="Calibri"/>
          <w:color w:val="000000"/>
          <w:spacing w:val="0"/>
          <w:position w:val="0"/>
          <w:sz w:val="24"/>
          <w:shd w:fill="FFFF00" w:val="clear"/>
        </w:rPr>
        <w:t xml:space="preserve">). Number samples, scan the barcodes, and enter the original sample location and result into the sample loading spreadsheet.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r>
      <w:r>
        <w:rPr>
          <w:rFonts w:ascii="Calibri" w:hAnsi="Calibri" w:cs="Calibri" w:eastAsia="Calibri"/>
          <w:color w:val="000000"/>
          <w:spacing w:val="0"/>
          <w:position w:val="0"/>
          <w:sz w:val="24"/>
          <w:shd w:fill="FFFF00" w:val="clear"/>
        </w:rPr>
        <w:t xml:space="preserve">. Transfer repeat samples to the biosafety cabinet. Do not load repeat sample tubes into the robot loading racks.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r>
      <w:r>
        <w:rPr>
          <w:rFonts w:ascii="Calibri" w:hAnsi="Calibri" w:cs="Calibri" w:eastAsia="Calibri"/>
          <w:color w:val="000000"/>
          <w:spacing w:val="0"/>
          <w:position w:val="0"/>
          <w:sz w:val="24"/>
          <w:shd w:fill="FFFF00" w:val="clear"/>
        </w:rPr>
        <w:t xml:space="preserve">. Pipette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each repeat sample to the correct wells following the plate layout diagram (</w:t>
      </w:r>
      <w:r>
        <w:rPr>
          <w:rFonts w:ascii="Calibri" w:hAnsi="Calibri" w:cs="Calibri" w:eastAsia="Calibri"/>
          <w:b/>
          <w:color w:val="000000"/>
          <w:spacing w:val="0"/>
          <w:position w:val="0"/>
          <w:sz w:val="24"/>
          <w:shd w:fill="FFFF00" w:val="clear"/>
        </w:rPr>
        <w:t xml:space="preserve">Supplemental File </w:t>
      </w:r>
      <w:r>
        <w:rPr>
          <w:rFonts w:ascii="Calibri" w:hAnsi="Calibri" w:cs="Calibri" w:eastAsia="Calibri"/>
          <w:b/>
          <w:color w:val="000000"/>
          <w:spacing w:val="0"/>
          <w:position w:val="0"/>
          <w:sz w:val="24"/>
          <w:shd w:fill="FFFF00" w:val="clear"/>
        </w:rPr>
        <w:t xml:space="preserve">6</w:t>
      </w:r>
      <w:r>
        <w:rPr>
          <w:rFonts w:ascii="Calibri" w:hAnsi="Calibri" w:cs="Calibri" w:eastAsia="Calibri"/>
          <w:color w:val="000000"/>
          <w:spacing w:val="0"/>
          <w:position w:val="0"/>
          <w:sz w:val="24"/>
          <w:shd w:fill="FFFF00" w:val="clear"/>
        </w:rPr>
        <w:t xml:space="preserve">). Use a designated pipette for adding patient samples. Keep control wells covered with foil while adding samples to minimize contamination.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Addition of controls to testing plates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r>
      <w:r>
        <w:rPr>
          <w:rFonts w:ascii="Calibri" w:hAnsi="Calibri" w:cs="Calibri" w:eastAsia="Calibri"/>
          <w:color w:val="000000"/>
          <w:spacing w:val="0"/>
          <w:position w:val="0"/>
          <w:sz w:val="24"/>
          <w:shd w:fill="FFFF00" w:val="clear"/>
        </w:rPr>
        <w:t xml:space="preserve">. Peel away foil cover over control wells using forceps.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Pipette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nuclease-free water (no template control) to wells N</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24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w:t>
      </w:r>
      <w:r>
        <w:rPr>
          <w:rFonts w:ascii="Calibri" w:hAnsi="Calibri" w:cs="Calibri" w:eastAsia="Calibri"/>
          <w:color w:val="000000"/>
          <w:spacing w:val="0"/>
          <w:position w:val="0"/>
          <w:sz w:val="24"/>
          <w:shd w:fill="FFFF00" w:val="clear"/>
        </w:rPr>
        <w:t xml:space="preserve">200 </w:t>
      </w:r>
      <w:r>
        <w:rPr>
          <w:rFonts w:ascii="Calibri" w:hAnsi="Calibri" w:cs="Calibri" w:eastAsia="Calibri"/>
          <w:color w:val="000000"/>
          <w:spacing w:val="0"/>
          <w:position w:val="0"/>
          <w:sz w:val="24"/>
          <w:shd w:fill="FFFF00" w:val="clear"/>
        </w:rPr>
        <w:t xml:space="preserve">cp&amp;#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 mixed positive control (refer to section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to wells O</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Pipette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a confirmed positive patient sample control into wells M</w:t>
      </w: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as an additional control. Leave wells P</w:t>
      </w: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empty to monitor master mix batch quality.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Cover the plate with an optically clear seal and use the applicator roller to adhere seal to all wells. </w:t>
      </w:r>
      <w:r>
        <w:rPr>
          <w:rFonts w:ascii="Calibri" w:hAnsi="Calibri" w:cs="Calibri" w:eastAsia="Calibri"/>
          <w:color w:val="auto"/>
          <w:spacing w:val="0"/>
          <w:position w:val="0"/>
          <w:sz w:val="24"/>
          <w:shd w:fill="FFFF00" w:val="clear"/>
        </w:rPr>
        <w:t xml:space="preserve">Vortex the plate at </w:t>
      </w:r>
      <w:r>
        <w:rPr>
          <w:rFonts w:ascii="Calibri" w:hAnsi="Calibri" w:cs="Calibri" w:eastAsia="Calibri"/>
          <w:color w:val="auto"/>
          <w:spacing w:val="0"/>
          <w:position w:val="0"/>
          <w:sz w:val="24"/>
          <w:shd w:fill="FFFF00" w:val="clear"/>
        </w:rPr>
        <w:t xml:space="preserve">2500 </w:t>
      </w:r>
      <w:r>
        <w:rPr>
          <w:rFonts w:ascii="Calibri" w:hAnsi="Calibri" w:cs="Calibri" w:eastAsia="Calibri"/>
          <w:color w:val="auto"/>
          <w:spacing w:val="0"/>
          <w:position w:val="0"/>
          <w:sz w:val="24"/>
          <w:shd w:fill="FFFF00" w:val="clear"/>
        </w:rPr>
        <w:t xml:space="preserve">rpm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sec to mix thoroughly. Centrifuge the plate at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Performing RT-qPCR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Create a protocol program in the thermocycler software according to the conditions described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Save the protocol for future plates. </w:t>
      </w:r>
      <w:r>
        <w:rPr>
          <w:rFonts w:ascii="Calibri" w:hAnsi="Calibri" w:cs="Calibri" w:eastAsia="Calibri"/>
          <w:color w:val="auto"/>
          <w:spacing w:val="0"/>
          <w:position w:val="0"/>
          <w:sz w:val="24"/>
          <w:shd w:fill="FFFF00" w:val="clear"/>
        </w:rPr>
        <w:t xml:space="preserve">Place the sealed plate in the thermocycler and run the protocol.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r>
      <w:r>
        <w:rPr>
          <w:rFonts w:ascii="Calibri" w:hAnsi="Calibri" w:cs="Calibri" w:eastAsia="Calibri"/>
          <w:color w:val="000000"/>
          <w:spacing w:val="0"/>
          <w:position w:val="0"/>
          <w:sz w:val="24"/>
          <w:shd w:fill="FFFF00" w:val="clear"/>
        </w:rPr>
        <w:t xml:space="preserve">. Export Ct values as a .xslx file and copy the values into the sample loading spreadsheet (</w:t>
      </w:r>
      <w:r>
        <w:rPr>
          <w:rFonts w:ascii="Calibri" w:hAnsi="Calibri" w:cs="Calibri" w:eastAsia="Calibri"/>
          <w:b/>
          <w:color w:val="000000"/>
          <w:spacing w:val="0"/>
          <w:position w:val="0"/>
          <w:sz w:val="24"/>
          <w:shd w:fill="00B0F0" w:val="clear"/>
        </w:rPr>
        <w:t xml:space="preserve">Supplemental File </w:t>
      </w:r>
      <w:r>
        <w:rPr>
          <w:rFonts w:ascii="Calibri" w:hAnsi="Calibri" w:cs="Calibri" w:eastAsia="Calibri"/>
          <w:b/>
          <w:color w:val="000000"/>
          <w:spacing w:val="0"/>
          <w:position w:val="0"/>
          <w:sz w:val="24"/>
          <w:shd w:fill="00B0F0" w:val="clear"/>
        </w:rPr>
        <w:t xml:space="preserve">5</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NOTE:These sheets were custom-designed for Ct output files from manufacturer software and may need modification to accept other formats.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Determining plate validity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r>
      <w:r>
        <w:rPr>
          <w:rFonts w:ascii="Calibri" w:hAnsi="Calibri" w:cs="Calibri" w:eastAsia="Calibri"/>
          <w:color w:val="000000"/>
          <w:spacing w:val="0"/>
          <w:position w:val="0"/>
          <w:sz w:val="24"/>
          <w:shd w:fill="FFFF00" w:val="clear"/>
        </w:rPr>
        <w:t xml:space="preserve">. Validate both</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positive control and/or known positive samples and</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negative control to consider the plate results as valid. Assess the control wells with the following criteria.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w:t>
      </w:r>
      <w:r>
        <w:rPr>
          <w:rFonts w:ascii="Calibri" w:hAnsi="Calibri" w:cs="Calibri" w:eastAsia="Calibri"/>
          <w:color w:val="000000"/>
          <w:spacing w:val="0"/>
          <w:position w:val="0"/>
          <w:sz w:val="24"/>
          <w:shd w:fill="FFFF00" w:val="clear"/>
        </w:rPr>
        <w:t xml:space="preserve">. For positive control, check if at least one positive control well (O</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produces Ct values of between </w:t>
      </w: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w:t>
      </w:r>
      <w:r>
        <w:rPr>
          <w:rFonts w:ascii="Calibri" w:hAnsi="Calibri" w:cs="Calibri" w:eastAsia="Calibri"/>
          <w:color w:val="000000"/>
          <w:spacing w:val="0"/>
          <w:position w:val="0"/>
          <w:sz w:val="24"/>
          <w:shd w:fill="FFFF00" w:val="clear"/>
        </w:rPr>
        <w:t xml:space="preserve">for both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probes. Alternatively, the known positive sample wells (M</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produce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Ct values &amp;lt;</w:t>
      </w:r>
      <w:r>
        <w:rPr>
          <w:rFonts w:ascii="Calibri" w:hAnsi="Calibri" w:cs="Calibri" w:eastAsia="Calibri"/>
          <w:color w:val="000000"/>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on the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w:t>
      </w:r>
      <w:r>
        <w:rPr>
          <w:rFonts w:ascii="Calibri" w:hAnsi="Calibri" w:cs="Calibri" w:eastAsia="Calibri"/>
          <w:color w:val="000000"/>
          <w:spacing w:val="0"/>
          <w:position w:val="0"/>
          <w:sz w:val="24"/>
          <w:shd w:fill="FFFF00" w:val="clear"/>
        </w:rPr>
        <w:t xml:space="preserve">. For negative control, check that there are no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or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Ct values in either of the two negative control well (N</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Confirm that Ct values have valid amplification curves before invalidating the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Interpreting sample results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r>
      <w:r>
        <w:rPr>
          <w:rFonts w:ascii="Calibri" w:hAnsi="Calibri" w:cs="Calibri" w:eastAsia="Calibri"/>
          <w:color w:val="000000"/>
          <w:spacing w:val="0"/>
          <w:position w:val="0"/>
          <w:sz w:val="24"/>
          <w:shd w:fill="FFFF00" w:val="clear"/>
        </w:rPr>
        <w:t xml:space="preserve">. Determine the patient result following the diagram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and report resolved samples.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w:t>
      </w:r>
      <w:r>
        <w:rPr>
          <w:rFonts w:ascii="Calibri" w:hAnsi="Calibri" w:cs="Calibri" w:eastAsia="Calibri"/>
          <w:color w:val="000000"/>
          <w:spacing w:val="0"/>
          <w:position w:val="0"/>
          <w:sz w:val="24"/>
          <w:shd w:fill="FFFF00" w:val="clear"/>
        </w:rPr>
        <w:t xml:space="preserve">. Assess the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result as VALID or INVALID. If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produces a result of Ct &amp;lt;</w:t>
      </w: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 xml:space="preserve">, consider the well VALID and proceed to result from N</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If P</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produces a result of Ct &amp;gt;=</w:t>
      </w:r>
      <w:r>
        <w:rPr>
          <w:rFonts w:ascii="Calibri" w:hAnsi="Calibri" w:cs="Calibri" w:eastAsia="Calibri"/>
          <w:color w:val="000000"/>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or no Ct value, consider the well INVALID.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12.1.2</w:t>
      </w:r>
      <w:r>
        <w:rPr>
          <w:rFonts w:ascii="Calibri" w:hAnsi="Calibri" w:cs="Calibri" w:eastAsia="Calibri"/>
          <w:color w:val="000000"/>
          <w:spacing w:val="0"/>
          <w:position w:val="0"/>
          <w:sz w:val="24"/>
          <w:shd w:fill="FFFF00" w:val="clear"/>
        </w:rPr>
        <w:t xml:space="preserve">. Assess the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Result as YES, NO, or NO*. If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produces a result of Ct &amp;lt;</w:t>
      </w: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 xml:space="preserve">, the well is YES. If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does not produce a Ct value, the well is NO. If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produces a Ct &amp;gt;=</w:t>
      </w: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 xml:space="preserve">, the well is NO*. Confirm that all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Ct values are associated with a real amplification curve. If a Ct value for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has no amplification curve, the well is NO.</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r>
      <w:r>
        <w:rPr>
          <w:rFonts w:ascii="Calibri" w:hAnsi="Calibri" w:cs="Calibri" w:eastAsia="Calibri"/>
          <w:color w:val="000000"/>
          <w:spacing w:val="0"/>
          <w:position w:val="0"/>
          <w:sz w:val="24"/>
          <w:shd w:fill="FFFF00" w:val="clear"/>
        </w:rPr>
        <w:t xml:space="preserve">. Identify repeat samples (N</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Rerun or Rerun), label them with an internal sample number and sample type and return them to the loading workflow (section </w:t>
      </w:r>
      <w:r>
        <w:rPr>
          <w:rFonts w:ascii="Calibri" w:hAnsi="Calibri" w:cs="Calibri" w:eastAsia="Calibri"/>
          <w:color w:val="000000"/>
          <w:spacing w:val="0"/>
          <w:position w:val="0"/>
          <w:sz w:val="24"/>
          <w:shd w:fill="FFFF00" w:val="clear"/>
        </w:rPr>
        <w:t xml:space="preserve">8.1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Laboratory cleanup</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w:t>
      </w:r>
      <w:r>
        <w:rPr>
          <w:rFonts w:ascii="Calibri" w:hAnsi="Calibri" w:cs="Calibri" w:eastAsia="Calibri"/>
          <w:color w:val="000000"/>
          <w:spacing w:val="0"/>
          <w:position w:val="0"/>
          <w:sz w:val="24"/>
          <w:shd w:fill="FFFFFF" w:val="clear"/>
        </w:rPr>
        <w:t xml:space="preserve">. Liquid handling robots</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13.1.1</w:t>
      </w:r>
      <w:r>
        <w:rPr>
          <w:rFonts w:ascii="Calibri" w:hAnsi="Calibri" w:cs="Calibri" w:eastAsia="Calibri"/>
          <w:color w:val="000000"/>
          <w:spacing w:val="0"/>
          <w:position w:val="0"/>
          <w:sz w:val="24"/>
          <w:shd w:fill="FFFFFF" w:val="clear"/>
        </w:rPr>
        <w:t xml:space="preserve">. Clean all sides with intermediate-level disinfectant. Do not use ethanol as it will degrade the plastic.</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13.1.2</w:t>
      </w:r>
      <w:r>
        <w:rPr>
          <w:rFonts w:ascii="Calibri" w:hAnsi="Calibri" w:cs="Calibri" w:eastAsia="Calibri"/>
          <w:color w:val="000000"/>
          <w:spacing w:val="0"/>
          <w:position w:val="0"/>
          <w:sz w:val="24"/>
          <w:shd w:fill="FFFFFF" w:val="clear"/>
        </w:rPr>
        <w:t xml:space="preserve">. Gently wipe pipette tip end and waste bin with an alcohol (</w:t>
      </w:r>
      <w:r>
        <w:rPr>
          <w:rFonts w:ascii="Calibri" w:hAnsi="Calibri" w:cs="Calibri" w:eastAsia="Calibri"/>
          <w:color w:val="000000"/>
          <w:spacing w:val="0"/>
          <w:position w:val="0"/>
          <w:sz w:val="24"/>
          <w:shd w:fill="FFFFFF" w:val="clear"/>
        </w:rPr>
        <w:t xml:space="preserve">70</w:t>
      </w:r>
      <w:r>
        <w:rPr>
          <w:rFonts w:ascii="Calibri" w:hAnsi="Calibri" w:cs="Calibri" w:eastAsia="Calibri"/>
          <w:color w:val="000000"/>
          <w:spacing w:val="0"/>
          <w:position w:val="0"/>
          <w:sz w:val="24"/>
          <w:shd w:fill="FFFFFF" w:val="clear"/>
        </w:rPr>
        <w:t xml:space="preserve">% ethanol or </w:t>
      </w:r>
      <w:r>
        <w:rPr>
          <w:rFonts w:ascii="Calibri" w:hAnsi="Calibri" w:cs="Calibri" w:eastAsia="Calibri"/>
          <w:color w:val="000000"/>
          <w:spacing w:val="0"/>
          <w:position w:val="0"/>
          <w:sz w:val="24"/>
          <w:shd w:fill="FFFFFF" w:val="clear"/>
        </w:rPr>
        <w:t xml:space="preserve">100</w:t>
      </w:r>
      <w:r>
        <w:rPr>
          <w:rFonts w:ascii="Calibri" w:hAnsi="Calibri" w:cs="Calibri" w:eastAsia="Calibri"/>
          <w:color w:val="000000"/>
          <w:spacing w:val="0"/>
          <w:position w:val="0"/>
          <w:sz w:val="24"/>
          <w:shd w:fill="FFFFFF" w:val="clear"/>
        </w:rPr>
        <w:t xml:space="preserve">% isopropanol) wipe. Wipe down the keyboard and mouse.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13.2</w:t>
      </w:r>
      <w:r>
        <w:rPr>
          <w:rFonts w:ascii="Calibri" w:hAnsi="Calibri" w:cs="Calibri" w:eastAsia="Calibri"/>
          <w:color w:val="000000"/>
          <w:spacing w:val="0"/>
          <w:position w:val="0"/>
          <w:sz w:val="24"/>
          <w:shd w:fill="FFFFFF" w:val="clear"/>
        </w:rPr>
        <w:t xml:space="preserve">. Biosafety cabinet</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13.2.1</w:t>
      </w:r>
      <w:r>
        <w:rPr>
          <w:rFonts w:ascii="Calibri" w:hAnsi="Calibri" w:cs="Calibri" w:eastAsia="Calibri"/>
          <w:color w:val="000000"/>
          <w:spacing w:val="0"/>
          <w:position w:val="0"/>
          <w:sz w:val="24"/>
          <w:shd w:fill="FFFFFF" w:val="clear"/>
        </w:rPr>
        <w:t xml:space="preserve">. Clean all surfaces with intermediate-level disinfectant. Turn on the UV light for </w:t>
      </w:r>
      <w:r>
        <w:rPr>
          <w:rFonts w:ascii="Calibri" w:hAnsi="Calibri" w:cs="Calibri" w:eastAsia="Calibri"/>
          <w:color w:val="000000"/>
          <w:spacing w:val="0"/>
          <w:position w:val="0"/>
          <w:sz w:val="24"/>
          <w:shd w:fill="FFFFFF" w:val="clear"/>
        </w:rPr>
        <w:t xml:space="preserve">15 </w:t>
      </w:r>
      <w:r>
        <w:rPr>
          <w:rFonts w:ascii="Calibri" w:hAnsi="Calibri" w:cs="Calibri" w:eastAsia="Calibri"/>
          <w:color w:val="000000"/>
          <w:spacing w:val="0"/>
          <w:position w:val="0"/>
          <w:sz w:val="24"/>
          <w:shd w:fill="FFFFFF" w:val="clear"/>
        </w:rPr>
        <w:t xml:space="preserve">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determined the range of detection for RT-qPCR probes and primers for synthetic nucleic acid content for both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Hs_RPP</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-fold serial dilution of known concentrations of combined synthetic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and synthetic Hs_RPP</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DNA in water was done. The following formula was used to convert molecular weight to gene copy number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copy number = (ng * </w:t>
      </w:r>
      <w:r>
        <w:rPr>
          <w:rFonts w:ascii="Calibri" w:hAnsi="Calibri" w:cs="Calibri" w:eastAsia="Calibri"/>
          <w:color w:val="auto"/>
          <w:spacing w:val="0"/>
          <w:position w:val="0"/>
          <w:sz w:val="24"/>
          <w:shd w:fill="auto" w:val="clear"/>
        </w:rPr>
        <w:t xml:space="preserve">6.0221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)/((length in base pairs*</w:t>
      </w:r>
      <w:r>
        <w:rPr>
          <w:rFonts w:ascii="Calibri" w:hAnsi="Calibri" w:cs="Calibri" w:eastAsia="Calibri"/>
          <w:color w:val="auto"/>
          <w:spacing w:val="0"/>
          <w:position w:val="0"/>
          <w:sz w:val="24"/>
          <w:shd w:fill="auto" w:val="clear"/>
        </w:rPr>
        <w:t xml:space="preserve">660 </w:t>
      </w:r>
      <w:r>
        <w:rPr>
          <w:rFonts w:ascii="Calibri" w:hAnsi="Calibri" w:cs="Calibri" w:eastAsia="Calibri"/>
          <w:color w:val="auto"/>
          <w:spacing w:val="0"/>
          <w:position w:val="0"/>
          <w:sz w:val="24"/>
          <w:shd w:fill="auto" w:val="clear"/>
        </w:rPr>
        <w:t xml:space="preserve">g/mole)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ng/g)</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RT-qPCR was performed. After carrying out RT-qPCR, linear curves for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detection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detection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showed good correlation coefficients across a wide range of gene copy concentrations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0.9975 </w:t>
      </w:r>
      <w:r>
        <w:rPr>
          <w:rFonts w:ascii="Calibri" w:hAnsi="Calibri" w:cs="Calibri" w:eastAsia="Calibri"/>
          <w:color w:val="auto"/>
          <w:spacing w:val="0"/>
          <w:position w:val="0"/>
          <w:sz w:val="24"/>
          <w:shd w:fill="auto" w:val="clear"/>
        </w:rPr>
        <w:t xml:space="preserve">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0.9884</w:t>
      </w:r>
      <w:r>
        <w:rPr>
          <w:rFonts w:ascii="Calibri" w:hAnsi="Calibri" w:cs="Calibri" w:eastAsia="Calibri"/>
          <w:color w:val="auto"/>
          <w:spacing w:val="0"/>
          <w:position w:val="0"/>
          <w:sz w:val="24"/>
          <w:shd w:fill="auto" w:val="clear"/>
        </w:rPr>
        <w:t xml:space="preserve">, respectively). This result indicates that the combination of primer and probe sets is not inhibitory and can accurately detect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at one gene copy/&amp;#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(Cq=</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One gene copy is roughly equivalent to one viral copy; however, we did not determine quantitative viral copy numbers in saliva due to the semi-quantitative nature of RT-qPCR. We attempted to simulate positive saliva samples by spiking synthetic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of known concentrations into virus-free saliva (both heat-treated and non-heat treated) but were unable to produce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amplification at low concentrations of RNA (Data not shown). This might be due to RNase degradation or other confounding factors.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inter-and intra-assay variability between automated and manual sample loading methods was also assessed. To evaluate inter-assay variability,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unique positive samples were loaded using the manual (described in section </w:t>
      </w:r>
      <w:r>
        <w:rPr>
          <w:rFonts w:ascii="Calibri" w:hAnsi="Calibri" w:cs="Calibri" w:eastAsia="Calibr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and automated (described in section </w:t>
      </w:r>
      <w:r>
        <w:rPr>
          <w:rFonts w:ascii="Calibri" w:hAnsi="Calibri" w:cs="Calibri" w:eastAsia="Calibri"/>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w:t>
      </w:r>
      <w:r>
        <w:rPr>
          <w:rFonts w:ascii="Calibri" w:hAnsi="Calibri" w:cs="Calibri" w:eastAsia="Calibri"/>
          <w:color w:val="auto"/>
          <w:spacing w:val="0"/>
          <w:position w:val="0"/>
          <w:sz w:val="24"/>
          <w:shd w:fill="auto" w:val="clear"/>
        </w:rPr>
        <w:t xml:space="preserve">) methods.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were compared to determine if liquid handling robots and manual sample loading produced equivalent results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linear relationship between manual and automated methods produced a high correlation coefficient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0.9088</w:t>
      </w:r>
      <w:r>
        <w:rPr>
          <w:rFonts w:ascii="Calibri" w:hAnsi="Calibri" w:cs="Calibri" w:eastAsia="Calibri"/>
          <w:color w:val="auto"/>
          <w:spacing w:val="0"/>
          <w:position w:val="0"/>
          <w:sz w:val="24"/>
          <w:shd w:fill="auto" w:val="clear"/>
        </w:rPr>
        <w:t xml:space="preserve">), indicating that both methods are functionally equivalent. As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increased, variability of Ct values also increased. This trend is likely due to the heterogeneous distribution of viral particles within the saliva, which is more pronounced when fewer particles are present. To evaluate intra-assay variability, a comparison between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from replicate wells of unique saliva samples using both methods of sample loading was done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linear relationship between replicates of automated sample loading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0.9622</w:t>
      </w:r>
      <w:r>
        <w:rPr>
          <w:rFonts w:ascii="Calibri" w:hAnsi="Calibri" w:cs="Calibri" w:eastAsia="Calibri"/>
          <w:color w:val="auto"/>
          <w:spacing w:val="0"/>
          <w:position w:val="0"/>
          <w:sz w:val="24"/>
          <w:shd w:fill="auto" w:val="clear"/>
        </w:rPr>
        <w:t xml:space="preserve">) produced a slightly higher correlation coefficient than that of manual loading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0.9589</w:t>
      </w:r>
      <w:r>
        <w:rPr>
          <w:rFonts w:ascii="Calibri" w:hAnsi="Calibri" w:cs="Calibri" w:eastAsia="Calibri"/>
          <w:color w:val="auto"/>
          <w:spacing w:val="0"/>
          <w:position w:val="0"/>
          <w:sz w:val="24"/>
          <w:shd w:fill="auto" w:val="clear"/>
        </w:rPr>
        <w:t xml:space="preserve">), indicating high reproducibility of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detection for both loading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 evaluation of saliva viscosity reduction with respect to the heat treatment methods was done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Saliva was obtained from a single source to eliminate sample variability. Greater variability in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within one heat treatment method may be indicative of higher sample viscosity as viscous saliva cannot be aspirated and dispensed precisely. Both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and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min heat treatment methods produced significantly decreased sample variability when compared to no treatment control (p = </w:t>
      </w:r>
      <w:r>
        <w:rPr>
          <w:rFonts w:ascii="Calibri" w:hAnsi="Calibri" w:cs="Calibri" w:eastAsia="Calibri"/>
          <w:color w:val="auto"/>
          <w:spacing w:val="0"/>
          <w:position w:val="0"/>
          <w:sz w:val="24"/>
          <w:shd w:fill="auto" w:val="clear"/>
        </w:rPr>
        <w:t xml:space="preserve">0.0006 </w:t>
      </w:r>
      <w:r>
        <w:rPr>
          <w:rFonts w:ascii="Calibri" w:hAnsi="Calibri" w:cs="Calibri" w:eastAsia="Calibri"/>
          <w:color w:val="auto"/>
          <w:spacing w:val="0"/>
          <w:position w:val="0"/>
          <w:sz w:val="24"/>
          <w:shd w:fill="auto" w:val="clear"/>
        </w:rPr>
        <w:t xml:space="preserve">and p = </w:t>
      </w:r>
      <w:r>
        <w:rPr>
          <w:rFonts w:ascii="Calibri" w:hAnsi="Calibri" w:cs="Calibri" w:eastAsia="Calibri"/>
          <w:color w:val="auto"/>
          <w:spacing w:val="0"/>
          <w:position w:val="0"/>
          <w:sz w:val="24"/>
          <w:shd w:fill="auto" w:val="clear"/>
        </w:rPr>
        <w:t xml:space="preserve">0.0429</w:t>
      </w:r>
      <w:r>
        <w:rPr>
          <w:rFonts w:ascii="Calibri" w:hAnsi="Calibri" w:cs="Calibri" w:eastAsia="Calibri"/>
          <w:color w:val="auto"/>
          <w:spacing w:val="0"/>
          <w:position w:val="0"/>
          <w:sz w:val="24"/>
          <w:shd w:fill="auto" w:val="clear"/>
        </w:rPr>
        <w:t xml:space="preserve">, respectively). There was no significant difference between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and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min treatments (p = </w:t>
      </w:r>
      <w:r>
        <w:rPr>
          <w:rFonts w:ascii="Calibri" w:hAnsi="Calibri" w:cs="Calibri" w:eastAsia="Calibri"/>
          <w:color w:val="auto"/>
          <w:spacing w:val="0"/>
          <w:position w:val="0"/>
          <w:sz w:val="24"/>
          <w:shd w:fill="auto" w:val="clear"/>
        </w:rPr>
        <w:t xml:space="preserve">0.2245</w:t>
      </w:r>
      <w:r>
        <w:rPr>
          <w:rFonts w:ascii="Calibri" w:hAnsi="Calibri" w:cs="Calibri" w:eastAsia="Calibri"/>
          <w:color w:val="auto"/>
          <w:spacing w:val="0"/>
          <w:position w:val="0"/>
          <w:sz w:val="24"/>
          <w:shd w:fill="auto" w:val="clear"/>
        </w:rPr>
        <w:t xml:space="preserve">); therefore, the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-min heat treatment method was implemented to reduce processing time.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Laboratory workflow utilizing the saliva-based RT-qPCR diagnostic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are collected and heat-treated at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Treated samples are sorted and tracked with patient information through an in-house spreadsheet system. A liquid handling robot loads samples into duplicate wells of prepared master mix plates. A technician manually loads the controls, seals the plate, and places the plate in a thermocycler for processing. Results are analyzed through an automated computer system and verified by a technician.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technician prepares reagents for the master mix which are added to a deep well reservoir in a sterile biosafety cabinet. Filled deep well reservoirs are loaded into a dedicated liquid handling robot. Completed plates are sealed with foil, labeled, and stored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Layouts used for the liquid handling robot.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Deck layout for master mix plate preparation robot(s). With an eight-channel pipette, the robot is programmed to pick up pipette tips, aspirate master mix from a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-well deep well reservoir, dispense master mix into empty </w:t>
      </w:r>
      <w:r>
        <w:rPr>
          <w:rFonts w:ascii="Calibri" w:hAnsi="Calibri" w:cs="Calibri" w:eastAsia="Calibri"/>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-well plates, and eject the pipette tips into a waste bin. This is repeated for six plates per run.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Deck setup for sample loading robot(s). With a single-channel pipette, the robot is programmed to pick up a pipette tip, aspirate a saliva sample, dispense a saliva sample into duplicate wells of a </w:t>
      </w:r>
      <w:r>
        <w:rPr>
          <w:rFonts w:ascii="Calibri" w:hAnsi="Calibri" w:cs="Calibri" w:eastAsia="Calibri"/>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-well master mix plate, and eject the pipette tip into a waste bin. This is repeated for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samples per run.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 tube loading order for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racks. Red arrows indicate loading order within a rack, and the white boxed numbers indicate the loading order of the entire set of racks. The entire setup will load </w:t>
      </w:r>
      <w:r>
        <w:rPr>
          <w:rFonts w:ascii="Calibri" w:hAnsi="Calibri" w:cs="Calibri" w:eastAsia="Calibri"/>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samples in duplicate into a </w:t>
      </w:r>
      <w:r>
        <w:rPr>
          <w:rFonts w:ascii="Calibri" w:hAnsi="Calibri" w:cs="Calibri" w:eastAsia="Calibri"/>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Sample resulting flowchart.</w:t>
      </w:r>
      <w:r>
        <w:rPr>
          <w:rFonts w:ascii="Calibri" w:hAnsi="Calibri" w:cs="Calibri" w:eastAsia="Calibri"/>
          <w:color w:val="auto"/>
          <w:spacing w:val="0"/>
          <w:position w:val="0"/>
          <w:sz w:val="24"/>
          <w:shd w:fill="auto" w:val="clear"/>
        </w:rPr>
        <w:t xml:space="preserve"> Samples with valid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positive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were determined to be human saliva samples positive for SARS-CoV-</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Valid and positive/negative sample results were considered conclusive. Samples that did not produce conclusive results in the first run were categorized as Rerun (denoted RR) or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(denoted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RR). Rerun samples had no valid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amplification, and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samples had positive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amplification in a single replicate. If no valid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amplification could be produced by a subsequent manual run, or both replicates had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above the positive threshold (Ct &amp;gt;</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the sample results were considered inconclusive. For clinical purposes, patient samples that did not arrive at the lab, had an insufficient quantity of saliva to pipette or were damaged were considered invalid.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RT-qPCR detection of N</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(SARS-CoV-</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synthetic RNA and 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(Hs_RPP</w:t>
      </w:r>
      <w:r>
        <w:rPr>
          <w:rFonts w:ascii="Calibri" w:hAnsi="Calibri" w:cs="Calibri" w:eastAsia="Calibri"/>
          <w:b/>
          <w:color w:val="auto"/>
          <w:spacing w:val="0"/>
          <w:position w:val="0"/>
          <w:sz w:val="24"/>
          <w:shd w:fill="auto" w:val="clear"/>
        </w:rPr>
        <w:t xml:space="preserve">30</w:t>
      </w:r>
      <w:r>
        <w:rPr>
          <w:rFonts w:ascii="Calibri" w:hAnsi="Calibri" w:cs="Calibri" w:eastAsia="Calibri"/>
          <w:b/>
          <w:color w:val="auto"/>
          <w:spacing w:val="0"/>
          <w:position w:val="0"/>
          <w:sz w:val="24"/>
          <w:shd w:fill="auto" w:val="clear"/>
        </w:rPr>
        <w:t xml:space="preserve">) synthetic DNA.</w:t>
      </w:r>
      <w:r>
        <w:rPr>
          <w:rFonts w:ascii="Calibri" w:hAnsi="Calibri" w:cs="Calibri" w:eastAsia="Calibri"/>
          <w:color w:val="auto"/>
          <w:spacing w:val="0"/>
          <w:position w:val="0"/>
          <w:sz w:val="24"/>
          <w:shd w:fill="auto" w:val="clear"/>
        </w:rPr>
        <w:t xml:space="preserve"> Standard curves were plotted with standard deviations to determine the range of accurate detection using this probe/primer combination.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mean Ct values (n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obtained in respective dilutions were plotted against the estimated quantity of synthetic RNA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copies in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RT-qPCR reaction).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mean Ct values (n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obtained in respective dilutions were plotted against the estimated quantity of synthetic DNA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copies in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RT-qPCR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Comparison between manual and automated saliva transfer SARS-CoV-</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Ct values.</w:t>
      </w:r>
      <w:r>
        <w:rPr>
          <w:rFonts w:ascii="Calibri" w:hAnsi="Calibri" w:cs="Calibri" w:eastAsia="Calibri"/>
          <w:color w:val="auto"/>
          <w:spacing w:val="0"/>
          <w:position w:val="0"/>
          <w:sz w:val="24"/>
          <w:shd w:fill="auto" w:val="clear"/>
        </w:rPr>
        <w:t xml:space="preserve"> The known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positive saliva samples (n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were loaded in duplicate into an RT-qPCR master mix plate by a liquid handling robot. The samples have a Ct value ranging from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for N</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same samples were then manually loaded into duplicate wells in a different plate location.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obtained from unique samples using both the robot and manual sample loading were transposed to determine inter-assay variability between manual and robot loading.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Intra-assay variability was also determined by using transposed replicate of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obtained from both robot and manual sample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Evaluation of heat treatment methods for viscosity reduction in saliva.</w:t>
      </w:r>
      <w:r>
        <w:rPr>
          <w:rFonts w:ascii="Calibri" w:hAnsi="Calibri" w:cs="Calibri" w:eastAsia="Calibri"/>
          <w:color w:val="auto"/>
          <w:spacing w:val="0"/>
          <w:position w:val="0"/>
          <w:sz w:val="24"/>
          <w:shd w:fill="auto" w:val="clear"/>
        </w:rPr>
        <w:t xml:space="preserve">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negative saliva was collected from a single source and aliquots were heat-treated for either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min,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or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from technical replicates (n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of each condition were plotted to determine variability between treatment methods. Pairwise comparisons between groups were evaluated with an unpaired t-test (*** indicates p &amp;lt;</w:t>
      </w:r>
      <w:r>
        <w:rPr>
          <w:rFonts w:ascii="Calibri" w:hAnsi="Calibri" w:cs="Calibri" w:eastAsia="Calibri"/>
          <w:color w:val="auto"/>
          <w:spacing w:val="0"/>
          <w:position w:val="0"/>
          <w:sz w:val="24"/>
          <w:shd w:fill="auto" w:val="clear"/>
        </w:rPr>
        <w:t xml:space="preserve">0.001</w:t>
      </w:r>
      <w:r>
        <w:rPr>
          <w:rFonts w:ascii="Calibri" w:hAnsi="Calibri" w:cs="Calibri" w:eastAsia="Calibri"/>
          <w:color w:val="auto"/>
          <w:spacing w:val="0"/>
          <w:position w:val="0"/>
          <w:sz w:val="24"/>
          <w:shd w:fill="auto" w:val="clear"/>
        </w:rPr>
        <w:t xml:space="preserve">, * indicates p &amp;lt;</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Comparison of N</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Ct in low 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Ct saliva samples. </w:t>
      </w:r>
      <w:r>
        <w:rPr>
          <w:rFonts w:ascii="Calibri" w:hAnsi="Calibri" w:cs="Calibri" w:eastAsia="Calibri"/>
          <w:color w:val="auto"/>
          <w:spacing w:val="0"/>
          <w:position w:val="0"/>
          <w:sz w:val="24"/>
          <w:shd w:fill="auto" w:val="clear"/>
        </w:rPr>
        <w:t xml:space="preserve">The positive samples with low 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were selected and compared with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(n =</w:t>
      </w:r>
      <w:r>
        <w:rPr>
          <w:rFonts w:ascii="Calibri" w:hAnsi="Calibri" w:cs="Calibri" w:eastAsia="Calibri"/>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Ct values ranged from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indicating the assay has a dynamic range in saliva samples that is comparable to the standard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Components of N</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probe/primer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Components of multiplex SARS-CoV-</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Touchdown RT-qPCR protocol</w:t>
      </w:r>
      <w:r>
        <w:rPr>
          <w:rFonts w:ascii="Calibri" w:hAnsi="Calibri" w:cs="Calibri" w:eastAsia="Calibri"/>
          <w:color w:val="auto"/>
          <w:spacing w:val="0"/>
          <w:position w:val="0"/>
          <w:sz w:val="24"/>
          <w:shd w:fill="auto" w:val="clear"/>
        </w:rPr>
        <w:t xml:space="preserve">. Thermocycling conditions for one-step RT-qPCR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diagnostic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Comparison of touchdown Ct values for five positive samples against no touchdown Ct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TigerSaliva Ct results and commercially available saliva-based SARS-CoV-</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assay results.</w:t>
      </w:r>
      <w:r>
        <w:rPr>
          <w:rFonts w:ascii="Calibri" w:hAnsi="Calibri" w:cs="Calibri" w:eastAsia="Calibri"/>
          <w:color w:val="auto"/>
          <w:spacing w:val="0"/>
          <w:position w:val="0"/>
          <w:sz w:val="24"/>
          <w:shd w:fill="auto" w:val="clear"/>
        </w:rPr>
        <w:t xml:space="preserve"> Both assays were performed on the same saliva samples (n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Custom script for robot master mix plate creation.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Custom script for saliva processing on sample loading robots.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Instructions for self-collection of high-quality saliva samples from participants. </w:t>
      </w:r>
      <w:r>
        <w:rPr>
          <w:rFonts w:ascii="Calibri" w:hAnsi="Calibri" w:cs="Calibri" w:eastAsia="Calibri"/>
          <w:color w:val="auto"/>
          <w:spacing w:val="0"/>
          <w:position w:val="0"/>
          <w:sz w:val="24"/>
          <w:shd w:fill="auto" w:val="clear"/>
        </w:rPr>
        <w:t xml:space="preserve">Further details can be found in the short video description of the testing process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https://www.clemson.edu/centers-institutes/reddilab/index.html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Sample intake spreadsheet.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Sample loading spreadsheet.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Sample </w:t>
      </w:r>
      <w:r>
        <w:rPr>
          <w:rFonts w:ascii="Calibri" w:hAnsi="Calibri" w:cs="Calibri" w:eastAsia="Calibri"/>
          <w:b/>
          <w:color w:val="auto"/>
          <w:spacing w:val="0"/>
          <w:position w:val="0"/>
          <w:sz w:val="24"/>
          <w:shd w:fill="auto" w:val="clear"/>
        </w:rPr>
        <w:t xml:space="preserve">384</w:t>
      </w:r>
      <w:r>
        <w:rPr>
          <w:rFonts w:ascii="Calibri" w:hAnsi="Calibri" w:cs="Calibri" w:eastAsia="Calibri"/>
          <w:b/>
          <w:color w:val="auto"/>
          <w:spacing w:val="0"/>
          <w:position w:val="0"/>
          <w:sz w:val="24"/>
          <w:shd w:fill="auto" w:val="clear"/>
        </w:rPr>
        <w:t xml:space="preserve">-well plate layout diagram.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described in the protocol was assessed by an independent validation study. It was found that the assay had </w:t>
      </w:r>
      <w:r>
        <w:rPr>
          <w:rFonts w:ascii="Calibri" w:hAnsi="Calibri" w:cs="Calibri" w:eastAsia="Calibri"/>
          <w:color w:val="auto"/>
          <w:spacing w:val="0"/>
          <w:position w:val="0"/>
          <w:sz w:val="24"/>
          <w:shd w:fill="auto" w:val="clear"/>
        </w:rPr>
        <w:t xml:space="preserve">98.9</w:t>
      </w:r>
      <w:r>
        <w:rPr>
          <w:rFonts w:ascii="Calibri" w:hAnsi="Calibri" w:cs="Calibri" w:eastAsia="Calibri"/>
          <w:color w:val="auto"/>
          <w:spacing w:val="0"/>
          <w:position w:val="0"/>
          <w:sz w:val="24"/>
          <w:shd w:fill="auto" w:val="clear"/>
        </w:rPr>
        <w:t xml:space="preserve">% specificity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false positive) and </w:t>
      </w:r>
      <w:r>
        <w:rPr>
          <w:rFonts w:ascii="Calibri" w:hAnsi="Calibri" w:cs="Calibri" w:eastAsia="Calibri"/>
          <w:color w:val="auto"/>
          <w:spacing w:val="0"/>
          <w:position w:val="0"/>
          <w:sz w:val="24"/>
          <w:shd w:fill="auto" w:val="clear"/>
        </w:rPr>
        <w:t xml:space="preserve">90.0</w:t>
      </w:r>
      <w:r>
        <w:rPr>
          <w:rFonts w:ascii="Calibri" w:hAnsi="Calibri" w:cs="Calibri" w:eastAsia="Calibri"/>
          <w:color w:val="auto"/>
          <w:spacing w:val="0"/>
          <w:position w:val="0"/>
          <w:sz w:val="24"/>
          <w:shd w:fill="auto" w:val="clear"/>
        </w:rPr>
        <w:t xml:space="preserve">% sensitivity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false negative) when evaluated against paired nasopharyngeal swabs taken at the same time (n =</w:t>
      </w:r>
      <w:r>
        <w:rPr>
          <w:rFonts w:ascii="Calibri" w:hAnsi="Calibri" w:cs="Calibri" w:eastAsia="Calibri"/>
          <w:color w:val="auto"/>
          <w:spacing w:val="0"/>
          <w:position w:val="0"/>
          <w:sz w:val="24"/>
          <w:shd w:fill="auto" w:val="clear"/>
        </w:rPr>
        <w:t xml:space="preserve">837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817 </w:t>
      </w:r>
      <w:r>
        <w:rPr>
          <w:rFonts w:ascii="Calibri" w:hAnsi="Calibri" w:cs="Calibri" w:eastAsia="Calibri"/>
          <w:color w:val="auto"/>
          <w:spacing w:val="0"/>
          <w:position w:val="0"/>
          <w:sz w:val="24"/>
          <w:shd w:fill="auto" w:val="clear"/>
        </w:rPr>
        <w:t xml:space="preserve">negatives,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positive). Importantly, three participants who tested positive with TigerSaliva and negative with a nasopharyngeal swab were retested with swabs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later and returned positive results, indicating that TigerSaliva may be able to detect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infections earlier in the course of illness.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used to determine the Ct limit in saliva by simulating positive saliva samples by spiking with known concentrations of synthetic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into virus-free saliva (both heat-treated and non-heat treated) and performing 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-fold dilution. The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gene was not detectable below </w:t>
      </w:r>
      <w:r>
        <w:rPr>
          <w:rFonts w:ascii="Calibri" w:hAnsi="Calibri" w:cs="Calibri" w:eastAsia="Calibri"/>
          <w:color w:val="auto"/>
          <w:spacing w:val="0"/>
          <w:position w:val="0"/>
          <w:sz w:val="24"/>
          <w:shd w:fill="auto" w:val="clear"/>
        </w:rPr>
        <w:t xml:space="preserve">10,000 </w:t>
      </w:r>
      <w:r>
        <w:rPr>
          <w:rFonts w:ascii="Calibri" w:hAnsi="Calibri" w:cs="Calibri" w:eastAsia="Calibri"/>
          <w:color w:val="auto"/>
          <w:spacing w:val="0"/>
          <w:position w:val="0"/>
          <w:sz w:val="24"/>
          <w:shd w:fill="auto" w:val="clear"/>
        </w:rPr>
        <w:t xml:space="preserve">gene copies (approximately Ct = </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in simulated positive samples. We suspect this is due to RNase degradation or other confounding factors. However, the interaction of saliva RNases with naked synthetic RNA is likely different from the interaction with viral particles, even after they have been denatured by heat. Positive saliva samples have been identified with Ct &amp;gt;</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and external labs obtained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genetic sequence data from these samples. We speculate that the viral proteins provide protection from RNA degradation in patient saliva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the protocol is the implementation of automation for master mix preparation and saliva sample processing (sections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respectively). This allows for overlapping task processes, which drastically reduces turnaround time. Another critical step is clinical result interpretation (sections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Establishing intermediate result categories (Rerun and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also minimized the occurrence of inconclusive test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that variation between manual and automated saliva sample loading methods is negligible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that automation may improve the reproducibility of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detection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Automation should be favored to facilitate testing when designing and expanding clinical labs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Laboratory workflow is improved with the implementation of robot-automated tasks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Open-source capabilities of the liquid handling robots allow for the implementation of custom scripting for protocol design. This makes liquid handling robots inexpensive and acts a highly modifiable system compared to traditional clinical automation methods. It is also an ideal strategy for executing highly repetitive laboratory tasks. The high level of customizability of the system translates to freedom to alter labware (e.g., collection tubes, pipette tips, or </w:t>
      </w:r>
      <w:r>
        <w:rPr>
          <w:rFonts w:ascii="Calibri" w:hAnsi="Calibri" w:cs="Calibri" w:eastAsia="Calibri"/>
          <w:color w:val="auto"/>
          <w:spacing w:val="0"/>
          <w:position w:val="0"/>
          <w:sz w:val="24"/>
          <w:shd w:fill="auto" w:val="clear"/>
        </w:rPr>
        <w:t xml:space="preserve">384</w:t>
      </w:r>
      <w:r>
        <w:rPr>
          <w:rFonts w:ascii="Calibri" w:hAnsi="Calibri" w:cs="Calibri" w:eastAsia="Calibri"/>
          <w:color w:val="auto"/>
          <w:spacing w:val="0"/>
          <w:position w:val="0"/>
          <w:sz w:val="24"/>
          <w:shd w:fill="auto" w:val="clear"/>
        </w:rPr>
        <w:t xml:space="preserve">-well plates) in case of shortages. Therefore, automation by using liquid handling robots is viable for both large-scale and small-scale surveillance and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this testing strategy is a much shorter turnaround time relative to other clinical labs. The utilization of automated liquid handling robots plays a key role in reducing turnaround time, but concurrent use of robots and thermocyclers is also instrumental in maximizing testing efficiency. One robot and thermocycler should be operated as a pair, where both machines are used in tandem for uninterrupted sample loading and sample result analysis. Once a steady flow of assigned samples is established, all machine pairs can be operated simultaneously. Constant concurrent use of robots and thermocyclers drastically increases testing capacity and efficiency, which is crucial to accommodate the high testing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with other established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RT-qPCR protocols, we included a touchdown step in the thermocycler protocol to improve annealing of the probe and primer sets to the target genes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reducing the risk of failed amplification. The results demonstrated that the touchdown improved the detection of positive samples without risking the loss of specific primer binding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We determined that a wide range of both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RNA copies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Hs_RPP</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DNA copies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 be simultaneously detected by the RT-qPCR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liquid handling robots is the possibility of cross-contamination from positive samples during saliva transfer. Saliva is a viscoelastic fluid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may string across adjacent wells after being dispensed from the pipette tip. Furthermore, the heterogeneity of saliva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may cause uneven distribution of viral particles throughout the sample. This increases the possibility of both false positives and negatives, necessitating the designation of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and Rerun samples. However, </w:t>
      </w:r>
      <w:r>
        <w:rPr>
          <w:rFonts w:ascii="Calibri" w:hAnsi="Calibri" w:cs="Calibri" w:eastAsia="Calibri"/>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of samples initially designated as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resolved as positive for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were more than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times more likely than Rerun samples to resolve as positive after retesting. Consequently, differentiating Rerun from N</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Rerun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allowed for more accurate separation of potentially positive samples, increasing the sensitivity and specificity of our diagnostic assay. Other resulting parameters for diagnostic saliva testing did not make this distinction</w:t>
      </w:r>
      <w:r>
        <w:rPr>
          <w:rFonts w:ascii="Calibri" w:hAnsi="Calibri" w:cs="Calibri" w:eastAsia="Calibri"/>
          <w:color w:val="auto"/>
          <w:spacing w:val="0"/>
          <w:position w:val="0"/>
          <w:sz w:val="24"/>
          <w:shd w:fill="auto" w:val="clear"/>
          <w:vertAlign w:val="superscript"/>
        </w:rPr>
        <w:t xml:space="preserve">12,14,24,30,31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Saliva specimens can be difficult to pipette due to heterogeneity and viscosity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Heat treatment adequately denatures proteins in the saliva biomatrix, reducing viscosity and eliminating the need for RNA extraction reagents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were scarce during the early stages of the pandemic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Extended heat treatment also inactivates present viruses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allows for laboratory processing at lower biosafety levels. Consequently, a heat-based RNA extraction (described in section </w:t>
      </w: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was implemented to decrease viscosity through protein denaturation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Based on the results, we postulate that heat treatment may also homogenize saliva samples in addition to denaturing the protein biomatrix. Other groups combined heat treatment and proteinase K treatment to increase homogeneity</w:t>
      </w:r>
      <w:r>
        <w:rPr>
          <w:rFonts w:ascii="Calibri" w:hAnsi="Calibri" w:cs="Calibri" w:eastAsia="Calibri"/>
          <w:color w:val="auto"/>
          <w:spacing w:val="0"/>
          <w:position w:val="0"/>
          <w:sz w:val="24"/>
          <w:shd w:fill="auto" w:val="clear"/>
          <w:vertAlign w:val="superscript"/>
        </w:rPr>
        <w:t xml:space="preserve">9,14,34</w:t>
      </w:r>
      <w:r>
        <w:rPr>
          <w:rFonts w:ascii="Calibri" w:hAnsi="Calibri" w:cs="Calibri" w:eastAsia="Calibri"/>
          <w:color w:val="auto"/>
          <w:spacing w:val="0"/>
          <w:position w:val="0"/>
          <w:sz w:val="24"/>
          <w:shd w:fill="auto" w:val="clear"/>
        </w:rPr>
        <w:t xml:space="preserve">. We chose to not implement this step as it may denature virion proteins at a rate that leaves viral RNA exposed to heat degradation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sample dilution with proteinase K may mask positive samples containing fewer viral particles thus, decreasing sensitivity. In addition, the assay results were compared to a commercially available saliva-based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assay (Logix Smart COVID-</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which uses magnetic bead RNA extraction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It was found that the current assay was better suited at detecting weak positive samples as compared to the commercially available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difficult to quantify virus copy number in saliva using only RT-qPCR, because qPCR is semi-quantitative. There is inherent variation between Ct values that originates from technical limitations. Gene copy number can be determined from Ct values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is roughly equivalent to viral copy number. One possible solution to determine the viral copy number in saliva samples is ddPCR, which provides hard quantification of gene copies in the reaction. However, we believe that it is adequate to provide qualitative results to clinicians and relative viral content can be compared across samples processed with our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some limitations that arise when using saliva, the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assay by saliva-based RT-qPCR proves to be an effective method for quick and reliable viral RNA detection at any scale of testing. This is especially true when coupled with the utilization of open-source liquid handling systems. This testing approach can be modified to detect other nucleic acid sequences relevant to diagnostics, such as infectious disease agents, disease markers, or other viruses. This makes the assay applicable for both clinical and research diagnostic efforts.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The assay described in the protocol falls under the SalivaDirect EUA filed by Yale School of Public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Clemson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administration, medical staff, and clinical lab employees at the REDDI Lab who helped implement and manage SARS-CoV-</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testing. We thank Dr. Phillip Buckhaults and Dr. Carolyn Bannister from the University of South Carolina for initial project consulting and industry contacts for equipment procurement. We thank many students, professors, and staff for their assistance in sample collection. Thank you to Creative Inquiry students for standard curve data collection. Funding for this study was received from the National Institutes of Health grant P</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GM</w:t>
      </w:r>
      <w:r>
        <w:rPr>
          <w:rFonts w:ascii="Calibri" w:hAnsi="Calibri" w:cs="Calibri" w:eastAsia="Calibri"/>
          <w:color w:val="auto"/>
          <w:spacing w:val="0"/>
          <w:position w:val="0"/>
          <w:sz w:val="24"/>
          <w:shd w:fill="auto" w:val="clear"/>
        </w:rPr>
        <w:t xml:space="preserve">121342 </w:t>
      </w:r>
      <w:r>
        <w:rPr>
          <w:rFonts w:ascii="Calibri" w:hAnsi="Calibri" w:cs="Calibri" w:eastAsia="Calibri"/>
          <w:color w:val="auto"/>
          <w:spacing w:val="0"/>
          <w:position w:val="0"/>
          <w:sz w:val="24"/>
          <w:shd w:fill="auto" w:val="clear"/>
        </w:rPr>
        <w:t xml:space="preserve">(awarded to DD and LGP), Clemson Athletic Department, Clemson University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Vice President for Research, and the South Carolina Governor &amp;amp; Joint Bond Review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Zhu, N., et al. A novel coronavirus from patients with pneumonia in China,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England Journal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Chen, J. Pathogenicity and transmissibility of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-nCoV-A quick overview and comparison with other emerging viruses. </w:t>
      </w:r>
      <w:r>
        <w:rPr>
          <w:rFonts w:ascii="Calibri" w:hAnsi="Calibri" w:cs="Calibri" w:eastAsia="Calibri"/>
          <w:i/>
          <w:color w:val="000000"/>
          <w:spacing w:val="0"/>
          <w:position w:val="0"/>
          <w:sz w:val="24"/>
          <w:shd w:fill="auto" w:val="clear"/>
        </w:rPr>
        <w:t xml:space="preserve">Microbes and Infection.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Petersen, E. et al. Comparing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with SARS-CoV and influenza pandemics. </w:t>
      </w:r>
      <w:r>
        <w:rPr>
          <w:rFonts w:ascii="Calibri" w:hAnsi="Calibri" w:cs="Calibri" w:eastAsia="Calibri"/>
          <w:i/>
          <w:color w:val="000000"/>
          <w:spacing w:val="0"/>
          <w:position w:val="0"/>
          <w:sz w:val="24"/>
          <w:shd w:fill="auto" w:val="clear"/>
        </w:rPr>
        <w:t xml:space="preserve">The Lancet.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Honein, M.A. et al. Summary of Guidance for Public Health Strategies to Address High Levels of Community Transmission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and Related Deaths, December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MMWR.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Morbidity and Mortality Weekly 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World Health Organization. Surveillance strategies for COVID-</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human infection: interim guidance,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May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World Health Organization.</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https://apps.who.int/iris/handle/</w:t>
        </w:r>
        <w:r>
          <w:rPr>
            <w:rFonts w:ascii="Calibri" w:hAnsi="Calibri" w:cs="Calibri" w:eastAsia="Calibri"/>
            <w:color w:val="0000FF"/>
            <w:spacing w:val="0"/>
            <w:position w:val="0"/>
            <w:sz w:val="24"/>
            <w:u w:val="single"/>
            <w:shd w:fill="auto" w:val="clear"/>
          </w:rPr>
          <w:t xml:space="preserve">10665</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u w:val="single"/>
            <w:shd w:fill="auto" w:val="clear"/>
          </w:rPr>
          <w:t xml:space="preserve">332051</w:t>
        </w:r>
      </w:hyperlink>
      <w:r>
        <w:rPr>
          <w:rFonts w:ascii="Calibri" w:hAnsi="Calibri" w:cs="Calibri" w:eastAsia="Calibri"/>
          <w:color w:val="1155CC"/>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2020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Centers for Disease Control. Screening testing for early detection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infection. Division of viral diseases.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July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Centers for Disease Control.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https://www.cdc.gov/coronavirus/</w:t>
        </w:r>
        <w:r>
          <w:rPr>
            <w:rFonts w:ascii="Calibri" w:hAnsi="Calibri" w:cs="Calibri" w:eastAsia="Calibri"/>
            <w:color w:val="0000FF"/>
            <w:spacing w:val="0"/>
            <w:position w:val="0"/>
            <w:sz w:val="24"/>
            <w:u w:val="single"/>
            <w:shd w:fill="auto" w:val="clear"/>
          </w:rPr>
          <w:t xml:space="preserve">2019</w:t>
        </w:r>
        <w:r>
          <w:rPr>
            <w:rFonts w:ascii="Calibri" w:hAnsi="Calibri" w:cs="Calibri" w:eastAsia="Calibri"/>
            <w:color w:val="0000FF"/>
            <w:spacing w:val="0"/>
            <w:position w:val="0"/>
            <w:sz w:val="24"/>
            <w:u w:val="single"/>
            <w:shd w:fill="auto" w:val="clear"/>
          </w:rPr>
          <w:t xml:space="preserve">-ncov/hcp/testing-overview.html#PublicHealthSurveillance</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2020</w:t>
      </w:r>
      <w:r>
        <w:rPr>
          <w:rFonts w:ascii="Calibri" w:hAnsi="Calibri" w:cs="Calibri" w:eastAsia="Calibri"/>
          <w:color w:val="auto"/>
          <w:spacing w:val="0"/>
          <w:position w:val="0"/>
          <w:sz w:val="24"/>
          <w:u w:val="single"/>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Larremore, D.B. et al. Test sensitivity is secondary to frequency and turnaround time for COVID-</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screening.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eabd</w:t>
      </w:r>
      <w:r>
        <w:rPr>
          <w:rFonts w:ascii="Calibri" w:hAnsi="Calibri" w:cs="Calibri" w:eastAsia="Calibri"/>
          <w:color w:val="000000"/>
          <w:spacing w:val="0"/>
          <w:position w:val="0"/>
          <w:sz w:val="24"/>
          <w:shd w:fill="auto" w:val="clear"/>
        </w:rPr>
        <w:t xml:space="preserve">5393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Sethuraman, N., Jeremiah, S.S., Ryo, A. Interpreting Diagnostic Tests for SARS-CoV-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Chu, A.W. et al. Evaluation of simple nucleic acid extraction methods for the detection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 nasopharyngeal and saliva specimens during global shortage of extraction kits. </w:t>
      </w:r>
      <w:r>
        <w:rPr>
          <w:rFonts w:ascii="Calibri" w:hAnsi="Calibri" w:cs="Calibri" w:eastAsia="Calibri"/>
          <w:i/>
          <w:color w:val="000000"/>
          <w:spacing w:val="0"/>
          <w:position w:val="0"/>
          <w:sz w:val="24"/>
          <w:shd w:fill="auto" w:val="clear"/>
        </w:rPr>
        <w:t xml:space="preserve">Journal of clinical virology: the official publication of the Pan American Society for Clinical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104519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Guan, D. et al. Global supply-chain effects of COVID-</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control measures. </w:t>
      </w:r>
      <w:r>
        <w:rPr>
          <w:rFonts w:ascii="Calibri" w:hAnsi="Calibri" w:cs="Calibri" w:eastAsia="Calibri"/>
          <w:i/>
          <w:color w:val="000000"/>
          <w:spacing w:val="0"/>
          <w:position w:val="0"/>
          <w:sz w:val="24"/>
          <w:shd w:fill="auto" w:val="clear"/>
        </w:rPr>
        <w:t xml:space="preserve">Nature Human 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Bastos, M.L., Perlman-Arrow, S., Menzies, D., Campbell, J.R. The Sensitivity and Costs of Testing for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Infection With Saliva Versus Nasopharyngeal Swabs: A Systematic Review and Meta-analysis. </w:t>
      </w:r>
      <w:r>
        <w:rPr>
          <w:rFonts w:ascii="Calibri" w:hAnsi="Calibri" w:cs="Calibri" w:eastAsia="Calibri"/>
          <w:i/>
          <w:color w:val="000000"/>
          <w:spacing w:val="0"/>
          <w:position w:val="0"/>
          <w:sz w:val="24"/>
          <w:shd w:fill="auto" w:val="clear"/>
        </w:rPr>
        <w:t xml:space="preserve">Annals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Pasomsub, E. et al. Saliva sample as a non-invasive specimen for the diagnosis of coronavirus disease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a cross-sectional study. </w:t>
      </w:r>
      <w:r>
        <w:rPr>
          <w:rFonts w:ascii="Calibri" w:hAnsi="Calibri" w:cs="Calibri" w:eastAsia="Calibri"/>
          <w:i/>
          <w:color w:val="000000"/>
          <w:spacing w:val="0"/>
          <w:position w:val="0"/>
          <w:sz w:val="24"/>
          <w:shd w:fill="auto" w:val="clear"/>
        </w:rPr>
        <w:t xml:space="preserve">Clinical Microbiology and Infection: The Official Publication of The European Society of Clinical Microbiology and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To, K.K. et al. Consistent Detection of </w:t>
      </w:r>
      <w:r>
        <w:rPr>
          <w:rFonts w:ascii="Calibri" w:hAnsi="Calibri" w:cs="Calibri" w:eastAsia="Calibri"/>
          <w:color w:val="000000"/>
          <w:spacing w:val="0"/>
          <w:position w:val="0"/>
          <w:sz w:val="24"/>
          <w:shd w:fill="auto" w:val="clear"/>
        </w:rPr>
        <w:t xml:space="preserve">2019 </w:t>
      </w:r>
      <w:r>
        <w:rPr>
          <w:rFonts w:ascii="Calibri" w:hAnsi="Calibri" w:cs="Calibri" w:eastAsia="Calibri"/>
          <w:color w:val="000000"/>
          <w:spacing w:val="0"/>
          <w:position w:val="0"/>
          <w:sz w:val="24"/>
          <w:shd w:fill="auto" w:val="clear"/>
        </w:rPr>
        <w:t xml:space="preserve">Novel Coronavirus in Saliva. </w:t>
      </w:r>
      <w:r>
        <w:rPr>
          <w:rFonts w:ascii="Calibri" w:hAnsi="Calibri" w:cs="Calibri" w:eastAsia="Calibri"/>
          <w:i/>
          <w:color w:val="000000"/>
          <w:spacing w:val="0"/>
          <w:position w:val="0"/>
          <w:sz w:val="24"/>
          <w:shd w:fill="auto" w:val="clear"/>
        </w:rPr>
        <w:t xml:space="preserve">Clinical Infectious Diseases: An Official Publication of The Infectious Diseases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Vogels, C.B. et al. SalivaDirect: A simplified and flexible platform to enhance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testing capacity. </w:t>
      </w:r>
      <w:r>
        <w:rPr>
          <w:rFonts w:ascii="Calibri" w:hAnsi="Calibri" w:cs="Calibri" w:eastAsia="Calibri"/>
          <w:i/>
          <w:color w:val="000000"/>
          <w:spacing w:val="0"/>
          <w:position w:val="0"/>
          <w:sz w:val="24"/>
          <w:shd w:fill="auto" w:val="clear"/>
        </w:rPr>
        <w:t xml:space="preserve">Med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Griesemer, S.B. et al. Evaluation of Specimen Types and Saliva Stabilization Solutions for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Testing.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Wehrhahn, M.C. et al. Self-collection: An appropriate alternative during the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pandemic. </w:t>
      </w:r>
      <w:r>
        <w:rPr>
          <w:rFonts w:ascii="Calibri" w:hAnsi="Calibri" w:cs="Calibri" w:eastAsia="Calibri"/>
          <w:i/>
          <w:color w:val="000000"/>
          <w:spacing w:val="0"/>
          <w:position w:val="0"/>
          <w:sz w:val="24"/>
          <w:shd w:fill="auto" w:val="clear"/>
        </w:rPr>
        <w:t xml:space="preserve">Journal of Clinical Virology: The Official Publication of The Pan American Society for Clinical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104417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Barza, R., Patel, P., Sabatini, L., Singh, K. Use of a simplified sample processing step without RNA extraction for direct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RT-PCR detection</w:t>
      </w:r>
      <w:r>
        <w:rPr>
          <w:rFonts w:ascii="Calibri" w:hAnsi="Calibri" w:cs="Calibri" w:eastAsia="Calibri"/>
          <w:i/>
          <w:color w:val="000000"/>
          <w:spacing w:val="0"/>
          <w:position w:val="0"/>
          <w:sz w:val="24"/>
          <w:shd w:fill="auto" w:val="clear"/>
        </w:rPr>
        <w:t xml:space="preserve">. Journal of Clinical Virology: The Official Publication of The Pan American Society for Clinical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104587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Paltiel, A.D., Zheng, A., Walensky, R.P. Assessment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Screening Strategies to Permit the Safe Reopening of College Campuses in the United States. JAMA </w:t>
      </w:r>
      <w:r>
        <w:rPr>
          <w:rFonts w:ascii="Calibri" w:hAnsi="Calibri" w:cs="Calibri" w:eastAsia="Calibri"/>
          <w:i/>
          <w:color w:val="000000"/>
          <w:spacing w:val="0"/>
          <w:position w:val="0"/>
          <w:sz w:val="24"/>
          <w:shd w:fill="auto" w:val="clear"/>
        </w:rPr>
        <w:t xml:space="preserve">Network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2016818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Centers for Disease Control.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-Novel Coronavirus (</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-nCoV) Real-Time RT-PCR Primers and Probes. </w:t>
      </w:r>
      <w:r>
        <w:rPr>
          <w:rFonts w:ascii="Calibri" w:hAnsi="Calibri" w:cs="Calibri" w:eastAsia="Calibri"/>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May </w:t>
      </w: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U.S. Department of Health and Human Services.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https://www.cdc.gov/coronavirus/</w:t>
        </w:r>
        <w:r>
          <w:rPr>
            <w:rFonts w:ascii="Calibri" w:hAnsi="Calibri" w:cs="Calibri" w:eastAsia="Calibri"/>
            <w:color w:val="0000FF"/>
            <w:spacing w:val="0"/>
            <w:position w:val="0"/>
            <w:sz w:val="24"/>
            <w:u w:val="single"/>
            <w:shd w:fill="auto" w:val="clear"/>
          </w:rPr>
          <w:t xml:space="preserve">2019</w:t>
        </w:r>
        <w:r>
          <w:rPr>
            <w:rFonts w:ascii="Calibri" w:hAnsi="Calibri" w:cs="Calibri" w:eastAsia="Calibri"/>
            <w:color w:val="0000FF"/>
            <w:spacing w:val="0"/>
            <w:position w:val="0"/>
            <w:sz w:val="24"/>
            <w:u w:val="single"/>
            <w:shd w:fill="auto" w:val="clear"/>
          </w:rPr>
          <w:t xml:space="preserve">-ncov/lab/rt-pcr-panel-primer-probes.html</w:t>
        </w:r>
      </w:hyperlink>
      <w:r>
        <w:rPr>
          <w:rFonts w:ascii="Calibri" w:hAnsi="Calibri" w:cs="Calibri" w:eastAsia="Calibri"/>
          <w:color w:val="000000"/>
          <w:spacing w:val="0"/>
          <w:position w:val="0"/>
          <w:sz w:val="24"/>
          <w:shd w:fill="auto" w:val="clear"/>
        </w:rPr>
        <w:t xml:space="preserve">. Accessed May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Cresswell, K., Ramalingam, S., Sheikh, A. Can Robots Improve Testing Capacity for SARS-CoV-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Medical Internet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20169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22222"/>
          <w:spacing w:val="0"/>
          <w:position w:val="0"/>
          <w:sz w:val="24"/>
          <w:shd w:fill="FFFFFF" w:val="clear"/>
        </w:rPr>
        <w:t xml:space="preserve">Villanueva-Ca&amp;#</w:t>
      </w:r>
      <w:r>
        <w:rPr>
          <w:rFonts w:ascii="Calibri" w:hAnsi="Calibri" w:cs="Calibri" w:eastAsia="Calibri"/>
          <w:color w:val="222222"/>
          <w:spacing w:val="0"/>
          <w:position w:val="0"/>
          <w:sz w:val="24"/>
          <w:shd w:fill="FFFFFF" w:val="clear"/>
        </w:rPr>
        <w:t xml:space="preserve">241</w:t>
      </w:r>
      <w:r>
        <w:rPr>
          <w:rFonts w:ascii="Calibri" w:hAnsi="Calibri" w:cs="Calibri" w:eastAsia="Calibri"/>
          <w:color w:val="222222"/>
          <w:spacing w:val="0"/>
          <w:position w:val="0"/>
          <w:sz w:val="24"/>
          <w:shd w:fill="FFFFFF" w:val="clear"/>
        </w:rPr>
        <w:t xml:space="preserve">;as, J. L. et al. Implementation of an open-source robotic platform for SARS-CoV-</w:t>
      </w:r>
      <w:r>
        <w:rPr>
          <w:rFonts w:ascii="Calibri" w:hAnsi="Calibri" w:cs="Calibri" w:eastAsia="Calibri"/>
          <w:color w:val="222222"/>
          <w:spacing w:val="0"/>
          <w:position w:val="0"/>
          <w:sz w:val="24"/>
          <w:shd w:fill="FFFFFF" w:val="clear"/>
        </w:rPr>
        <w:t xml:space="preserve">2 </w:t>
      </w:r>
      <w:r>
        <w:rPr>
          <w:rFonts w:ascii="Calibri" w:hAnsi="Calibri" w:cs="Calibri" w:eastAsia="Calibri"/>
          <w:color w:val="222222"/>
          <w:spacing w:val="0"/>
          <w:position w:val="0"/>
          <w:sz w:val="24"/>
          <w:shd w:fill="FFFFFF" w:val="clear"/>
        </w:rPr>
        <w:t xml:space="preserve">testing by real-time RT-PCR. </w:t>
      </w:r>
      <w:r>
        <w:rPr>
          <w:rFonts w:ascii="Calibri" w:hAnsi="Calibri" w:cs="Calibri" w:eastAsia="Calibri"/>
          <w:i/>
          <w:color w:val="222222"/>
          <w:spacing w:val="0"/>
          <w:position w:val="0"/>
          <w:sz w:val="24"/>
          <w:shd w:fill="FFFFFF" w:val="clear"/>
        </w:rPr>
        <w:t xml:space="preserve">PLoS One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16</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7</w:t>
      </w:r>
      <w:r>
        <w:rPr>
          <w:rFonts w:ascii="Calibri" w:hAnsi="Calibri" w:cs="Calibri" w:eastAsia="Calibri"/>
          <w:color w:val="222222"/>
          <w:spacing w:val="0"/>
          <w:position w:val="0"/>
          <w:sz w:val="24"/>
          <w:shd w:fill="FFFFFF" w:val="clear"/>
        </w:rPr>
        <w:t xml:space="preserve">), e</w:t>
      </w:r>
      <w:r>
        <w:rPr>
          <w:rFonts w:ascii="Calibri" w:hAnsi="Calibri" w:cs="Calibri" w:eastAsia="Calibri"/>
          <w:color w:val="222222"/>
          <w:spacing w:val="0"/>
          <w:position w:val="0"/>
          <w:sz w:val="24"/>
          <w:shd w:fill="FFFFFF" w:val="clear"/>
        </w:rPr>
        <w:t xml:space="preserve">0252509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2021</w:t>
      </w:r>
      <w:r>
        <w:rPr>
          <w:rFonts w:ascii="Calibri" w:hAnsi="Calibri" w:cs="Calibri" w:eastAsia="Calibri"/>
          <w:color w:val="222222"/>
          <w:spacing w:val="0"/>
          <w:position w:val="0"/>
          <w:sz w:val="24"/>
          <w:shd w:fill="FFFFFF"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University of South Carolina College of Pharmacy. Robot Boosts COVID-</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Testing Efficiency.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https://sc.edu/study/colleges_schools/pharmacy/about/news/</w:t>
        </w:r>
        <w:r>
          <w:rPr>
            <w:rFonts w:ascii="Calibri" w:hAnsi="Calibri" w:cs="Calibri" w:eastAsia="Calibri"/>
            <w:color w:val="000000"/>
            <w:spacing w:val="0"/>
            <w:position w:val="0"/>
            <w:sz w:val="24"/>
            <w:u w:val="single"/>
            <w:shd w:fill="auto" w:val="clear"/>
          </w:rPr>
          <w:t xml:space="preserve">2020</w:t>
        </w:r>
        <w:r>
          <w:rPr>
            <w:rFonts w:ascii="Calibri" w:hAnsi="Calibri" w:cs="Calibri" w:eastAsia="Calibri"/>
            <w:color w:val="000000"/>
            <w:spacing w:val="0"/>
            <w:position w:val="0"/>
            <w:sz w:val="24"/>
            <w:u w:val="single"/>
            <w:shd w:fill="auto" w:val="clear"/>
          </w:rPr>
          <w:t xml:space="preserve">/robot-boosts-testing-efforts.php</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Matic, N. et al. Practical challenges to the clinical implementation of saliva for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detection. </w:t>
      </w:r>
      <w:r>
        <w:rPr>
          <w:rFonts w:ascii="Calibri" w:hAnsi="Calibri" w:cs="Calibri" w:eastAsia="Calibri"/>
          <w:i/>
          <w:color w:val="000000"/>
          <w:spacing w:val="0"/>
          <w:position w:val="0"/>
          <w:sz w:val="24"/>
          <w:shd w:fill="auto" w:val="clear"/>
        </w:rPr>
        <w:t xml:space="preserve">European Journal of Clinical Microbiology &amp;amp; Infectious Diseases: Official Publication of The European Society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Sahajpal, N.S. et al. SalivaSTAT: Direct-PCR and Pooling of Saliva Samples Collected in Healthcare and Community Setting for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Mass Surveillance. </w:t>
      </w:r>
      <w:r>
        <w:rPr>
          <w:rFonts w:ascii="Calibri" w:hAnsi="Calibri" w:cs="Calibri" w:eastAsia="Calibri"/>
          <w:i/>
          <w:color w:val="000000"/>
          <w:spacing w:val="0"/>
          <w:position w:val="0"/>
          <w:sz w:val="24"/>
          <w:shd w:fill="auto" w:val="clear"/>
        </w:rPr>
        <w:t xml:space="preserve">Diagnostics (Basel, Switzerland)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Genzen, J.R. et al. Challenges and Opportunities in Implementing Total Laboratory Automation.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Archetti, C., Montanelli, A., Finazzi, D., Caimi, L., Garrafa, E. Clinical Laboratory Automation: A Case Study. </w:t>
      </w:r>
      <w:r>
        <w:rPr>
          <w:rFonts w:ascii="Calibri" w:hAnsi="Calibri" w:cs="Calibri" w:eastAsia="Calibri"/>
          <w:i/>
          <w:color w:val="000000"/>
          <w:spacing w:val="0"/>
          <w:position w:val="0"/>
          <w:sz w:val="24"/>
          <w:shd w:fill="auto" w:val="clear"/>
        </w:rPr>
        <w:t xml:space="preserve">Journal of Public Health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881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12121"/>
          <w:spacing w:val="0"/>
          <w:position w:val="0"/>
          <w:sz w:val="24"/>
          <w:shd w:fill="auto" w:val="clear"/>
        </w:rPr>
        <w:t xml:space="preserve">Hecker, K.H., Roux, K.H. High and low annealing temperatures increase both specificity and yield in touchdown and stepdown PCR. </w:t>
      </w:r>
      <w:r>
        <w:rPr>
          <w:rFonts w:ascii="Calibri" w:hAnsi="Calibri" w:cs="Calibri" w:eastAsia="Calibri"/>
          <w:i/>
          <w:color w:val="212121"/>
          <w:spacing w:val="0"/>
          <w:position w:val="0"/>
          <w:sz w:val="24"/>
          <w:shd w:fill="auto" w:val="clear"/>
        </w:rPr>
        <w:t xml:space="preserve">BioTechniques</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20</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3</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478</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485 </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1996</w:t>
      </w:r>
      <w:r>
        <w:rPr>
          <w:rFonts w:ascii="Calibri" w:hAnsi="Calibri" w:cs="Calibri" w:eastAsia="Calibri"/>
          <w:color w:val="212121"/>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22222"/>
          <w:spacing w:val="0"/>
          <w:position w:val="0"/>
          <w:sz w:val="24"/>
          <w:shd w:fill="auto" w:val="clear"/>
        </w:rPr>
        <w:t xml:space="preserve">Bhat, P.P. et al. Formation of beads-on-a-string structures during break-up of viscoelastic filaments. </w:t>
      </w:r>
      <w:r>
        <w:rPr>
          <w:rFonts w:ascii="Calibri" w:hAnsi="Calibri" w:cs="Calibri" w:eastAsia="Calibri"/>
          <w:i/>
          <w:color w:val="222222"/>
          <w:spacing w:val="0"/>
          <w:position w:val="0"/>
          <w:sz w:val="24"/>
          <w:shd w:fill="auto" w:val="clear"/>
        </w:rPr>
        <w:t xml:space="preserve">Nature Physics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6</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625</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631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2010</w:t>
      </w:r>
      <w:r>
        <w:rPr>
          <w:rFonts w:ascii="Calibri" w:hAnsi="Calibri" w:cs="Calibri" w:eastAsia="Calibri"/>
          <w:color w:val="222222"/>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22222"/>
          <w:spacing w:val="0"/>
          <w:position w:val="0"/>
          <w:sz w:val="24"/>
          <w:shd w:fill="auto" w:val="clear"/>
        </w:rPr>
        <w:t xml:space="preserve">Miller, C.S. et al. Current developments in salivary diagnostics. </w:t>
      </w:r>
      <w:r>
        <w:rPr>
          <w:rFonts w:ascii="Calibri" w:hAnsi="Calibri" w:cs="Calibri" w:eastAsia="Calibri"/>
          <w:i/>
          <w:color w:val="222222"/>
          <w:spacing w:val="0"/>
          <w:position w:val="0"/>
          <w:sz w:val="24"/>
          <w:shd w:fill="auto" w:val="clear"/>
        </w:rPr>
        <w:t xml:space="preserve">Biomarkers in Medicine</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4</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171</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189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2010</w:t>
      </w:r>
      <w:r>
        <w:rPr>
          <w:rFonts w:ascii="Calibri" w:hAnsi="Calibri" w:cs="Calibri" w:eastAsia="Calibri"/>
          <w:color w:val="222222"/>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Moreno-Contreras, J. et al. Saliva Sampling and Its Direct Lysis, an Excellent Option To Increase the Number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Diagnostic Tests in Settings with Supply Shortages.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01659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Wang, W. et al. Detection of SARS-CoV-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 Different Types of Clinical Specimens.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Landry, M.L., Criscuolo, J., Peaper, D.R. Challenges in use of saliva for detection of SARS CoV-</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RNA in symptomatic outpatients. </w:t>
      </w:r>
      <w:r>
        <w:rPr>
          <w:rFonts w:ascii="Calibri" w:hAnsi="Calibri" w:cs="Calibri" w:eastAsia="Calibri"/>
          <w:i/>
          <w:color w:val="000000"/>
          <w:spacing w:val="0"/>
          <w:position w:val="0"/>
          <w:sz w:val="24"/>
          <w:shd w:fill="auto" w:val="clear"/>
        </w:rPr>
        <w:t xml:space="preserve">Journal of Clinical Virology: The Official Publication of The Pan American Society for Clinical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104567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22222"/>
          <w:spacing w:val="0"/>
          <w:position w:val="0"/>
          <w:sz w:val="24"/>
          <w:shd w:fill="auto" w:val="clear"/>
        </w:rPr>
        <w:t xml:space="preserve">Lista, M.J. et al. Resilient SARS-CoV-</w:t>
      </w:r>
      <w:r>
        <w:rPr>
          <w:rFonts w:ascii="Calibri" w:hAnsi="Calibri" w:cs="Calibri" w:eastAsia="Calibri"/>
          <w:color w:val="222222"/>
          <w:spacing w:val="0"/>
          <w:position w:val="0"/>
          <w:sz w:val="24"/>
          <w:shd w:fill="auto" w:val="clear"/>
        </w:rPr>
        <w:t xml:space="preserve">2 </w:t>
      </w:r>
      <w:r>
        <w:rPr>
          <w:rFonts w:ascii="Calibri" w:hAnsi="Calibri" w:cs="Calibri" w:eastAsia="Calibri"/>
          <w:color w:val="222222"/>
          <w:spacing w:val="0"/>
          <w:position w:val="0"/>
          <w:sz w:val="24"/>
          <w:shd w:fill="auto" w:val="clear"/>
        </w:rPr>
        <w:t xml:space="preserve">diagnostics workflows including viral heat inactivation. </w:t>
      </w:r>
      <w:r>
        <w:rPr>
          <w:rFonts w:ascii="Calibri" w:hAnsi="Calibri" w:cs="Calibri" w:eastAsia="Calibri"/>
          <w:i/>
          <w:color w:val="222222"/>
          <w:spacing w:val="0"/>
          <w:position w:val="0"/>
          <w:sz w:val="24"/>
          <w:shd w:fill="auto" w:val="clear"/>
        </w:rPr>
        <w:t xml:space="preserve">PLoS One</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16</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9</w:t>
      </w:r>
      <w:r>
        <w:rPr>
          <w:rFonts w:ascii="Calibri" w:hAnsi="Calibri" w:cs="Calibri" w:eastAsia="Calibri"/>
          <w:color w:val="222222"/>
          <w:spacing w:val="0"/>
          <w:position w:val="0"/>
          <w:sz w:val="24"/>
          <w:shd w:fill="auto" w:val="clear"/>
        </w:rPr>
        <w:t xml:space="preserve">), e</w:t>
      </w:r>
      <w:r>
        <w:rPr>
          <w:rFonts w:ascii="Calibri" w:hAnsi="Calibri" w:cs="Calibri" w:eastAsia="Calibri"/>
          <w:color w:val="222222"/>
          <w:spacing w:val="0"/>
          <w:position w:val="0"/>
          <w:sz w:val="24"/>
          <w:shd w:fill="auto" w:val="clear"/>
        </w:rPr>
        <w:t xml:space="preserve">0256813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2021</w:t>
      </w:r>
      <w:r>
        <w:rPr>
          <w:rFonts w:ascii="Calibri" w:hAnsi="Calibri" w:cs="Calibri" w:eastAsia="Calibri"/>
          <w:color w:val="222222"/>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222222"/>
          <w:spacing w:val="0"/>
          <w:position w:val="0"/>
          <w:sz w:val="24"/>
          <w:shd w:fill="auto" w:val="clear"/>
        </w:rPr>
        <w:t xml:space="preserve">Brotons, P. et al. Validation and implementation of a direct RT-qPCR method for rapid screening of SARS-CoV-</w:t>
      </w:r>
      <w:r>
        <w:rPr>
          <w:rFonts w:ascii="Calibri" w:hAnsi="Calibri" w:cs="Calibri" w:eastAsia="Calibri"/>
          <w:color w:val="222222"/>
          <w:spacing w:val="0"/>
          <w:position w:val="0"/>
          <w:sz w:val="24"/>
          <w:shd w:fill="auto" w:val="clear"/>
        </w:rPr>
        <w:t xml:space="preserve">2 </w:t>
      </w:r>
      <w:r>
        <w:rPr>
          <w:rFonts w:ascii="Calibri" w:hAnsi="Calibri" w:cs="Calibri" w:eastAsia="Calibri"/>
          <w:color w:val="222222"/>
          <w:spacing w:val="0"/>
          <w:position w:val="0"/>
          <w:sz w:val="24"/>
          <w:shd w:fill="auto" w:val="clear"/>
        </w:rPr>
        <w:t xml:space="preserve">infection by using non-invasive saliva samples. </w:t>
      </w:r>
      <w:r>
        <w:rPr>
          <w:rFonts w:ascii="Calibri" w:hAnsi="Calibri" w:cs="Calibri" w:eastAsia="Calibri"/>
          <w:i/>
          <w:color w:val="222222"/>
          <w:spacing w:val="0"/>
          <w:position w:val="0"/>
          <w:sz w:val="24"/>
          <w:shd w:fill="auto" w:val="clear"/>
        </w:rPr>
        <w:t xml:space="preserve">International Journal of Infectious Diseases: IJID: Official Publication of The International Society for Infectious Diseases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110</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363</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370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2021</w:t>
      </w:r>
      <w:r>
        <w:rPr>
          <w:rFonts w:ascii="Calibri" w:hAnsi="Calibri" w:cs="Calibri" w:eastAsia="Calibri"/>
          <w:color w:val="222222"/>
          <w:spacing w:val="0"/>
          <w:position w:val="0"/>
          <w:sz w:val="24"/>
          <w:shd w:fill="auto" w:val="clear"/>
        </w:rPr>
        <w:t xml:space="preserve">).</w:t>
      </w:r>
    </w:p>
    <w:p>
      <w:pPr>
        <w:widowControl w:val="false"/>
        <w:tabs>
          <w:tab w:val="left" w:pos="426" w:leader="none"/>
        </w:tabs>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Bat&amp;#</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;jat, C., Grassin, Q., Manuguerra, J.C., Leclercr, I. Heat inactivation of the severe acute respiratory syndrome coronavirus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Biosafety and Biosecurity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lemson.edu/centers-institutes/reddilab/index.html" Id="docRId1" Type="http://schemas.openxmlformats.org/officeDocument/2006/relationships/hyperlink" /><Relationship TargetMode="External" Target="https://www.cdc.gov/coronavirus/2019-ncov/hcp/testing-overview.html#PublicHealthSurveillance" Id="docRId3" Type="http://schemas.openxmlformats.org/officeDocument/2006/relationships/hyperlink" /><Relationship TargetMode="External" Target="https://sc.edu/study/colleges_schools/pharmacy/about/news/2020/robot-boosts-testing-efforts.php" Id="docRId5" Type="http://schemas.openxmlformats.org/officeDocument/2006/relationships/hyperlink" /><Relationship Target="styles.xml" Id="docRId7" Type="http://schemas.openxmlformats.org/officeDocument/2006/relationships/styles" /><Relationship TargetMode="External" Target="https://www.myminifactory.com/object/3d-print-141363" Id="docRId0" Type="http://schemas.openxmlformats.org/officeDocument/2006/relationships/hyperlink" /><Relationship TargetMode="External" Target="https://apps.who.int/iris/handle/10665/332051" Id="docRId2" Type="http://schemas.openxmlformats.org/officeDocument/2006/relationships/hyperlink" /><Relationship TargetMode="External" Target="https://www.cdc.gov/coronavirus/2019-ncov/lab/rt-pcr-panel-primer-probes.html" Id="docRId4" Type="http://schemas.openxmlformats.org/officeDocument/2006/relationships/hyperlink" /><Relationship Target="numbering.xml" Id="docRId6" Type="http://schemas.openxmlformats.org/officeDocument/2006/relationships/numbering" /></Relationships>
</file>