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D314B28" w:rsidR="006E4797" w:rsidRPr="00A0027B" w:rsidRDefault="00551D82" w:rsidP="00A0027B">
      <w:pPr>
        <w:pBdr>
          <w:top w:val="nil"/>
          <w:left w:val="nil"/>
          <w:bottom w:val="nil"/>
          <w:right w:val="nil"/>
          <w:between w:val="nil"/>
        </w:pBdr>
        <w:rPr>
          <w:color w:val="000000"/>
        </w:rPr>
      </w:pPr>
      <w:r w:rsidRPr="00A0027B">
        <w:rPr>
          <w:b/>
          <w:color w:val="000000"/>
        </w:rPr>
        <w:t>TITLE:</w:t>
      </w:r>
    </w:p>
    <w:p w14:paraId="06C0C87E" w14:textId="7781E2F2" w:rsidR="006E4797" w:rsidRPr="00A0027B" w:rsidRDefault="00AE21CE" w:rsidP="00A0027B">
      <w:r w:rsidRPr="00A0027B">
        <w:t xml:space="preserve">Efficient SARS-CoV-2 </w:t>
      </w:r>
      <w:r w:rsidR="00DD5C98" w:rsidRPr="00A0027B">
        <w:t xml:space="preserve">Quantitative Reverse Transcriptase </w:t>
      </w:r>
      <w:r w:rsidR="00C02965" w:rsidRPr="00A0027B">
        <w:t xml:space="preserve">PCR </w:t>
      </w:r>
      <w:r w:rsidRPr="00A0027B">
        <w:t>Saliva Diagnostic Strategy Utilizing Open-Source Pipetting Robots</w:t>
      </w:r>
    </w:p>
    <w:p w14:paraId="5F67DD86" w14:textId="77777777" w:rsidR="00AE21CE" w:rsidRPr="00A0027B" w:rsidRDefault="00AE21CE" w:rsidP="00A0027B">
      <w:pPr>
        <w:rPr>
          <w:b/>
        </w:rPr>
      </w:pPr>
    </w:p>
    <w:p w14:paraId="2CD8481E" w14:textId="2002BE6C" w:rsidR="006E4797" w:rsidRPr="00A0027B" w:rsidRDefault="00551D82" w:rsidP="00A0027B">
      <w:pPr>
        <w:rPr>
          <w:color w:val="808080"/>
        </w:rPr>
      </w:pPr>
      <w:r w:rsidRPr="00A0027B">
        <w:rPr>
          <w:b/>
        </w:rPr>
        <w:t>AUTHORS AND AFFILIATIONS:</w:t>
      </w:r>
    </w:p>
    <w:p w14:paraId="22A16D8A" w14:textId="7D9100CF" w:rsidR="00AE21CE" w:rsidRPr="00A0027B" w:rsidRDefault="00AE21CE" w:rsidP="00A0027B">
      <w:pPr>
        <w:pBdr>
          <w:top w:val="nil"/>
          <w:left w:val="nil"/>
          <w:bottom w:val="nil"/>
          <w:right w:val="nil"/>
          <w:between w:val="nil"/>
        </w:pBdr>
      </w:pPr>
      <w:r w:rsidRPr="00A0027B">
        <w:t>Rachel E. Ham</w:t>
      </w:r>
      <w:r w:rsidRPr="00A0027B">
        <w:rPr>
          <w:vertAlign w:val="superscript"/>
        </w:rPr>
        <w:t>1</w:t>
      </w:r>
      <w:r w:rsidR="00447F37" w:rsidRPr="00A0027B">
        <w:rPr>
          <w:vertAlign w:val="superscript"/>
        </w:rPr>
        <w:t>*</w:t>
      </w:r>
      <w:r w:rsidRPr="00A0027B">
        <w:t>, Austin R. Smothers</w:t>
      </w:r>
      <w:r w:rsidRPr="00A0027B">
        <w:rPr>
          <w:vertAlign w:val="superscript"/>
        </w:rPr>
        <w:t>1,2</w:t>
      </w:r>
      <w:r w:rsidR="00447F37" w:rsidRPr="00A0027B">
        <w:rPr>
          <w:vertAlign w:val="superscript"/>
        </w:rPr>
        <w:t>*</w:t>
      </w:r>
      <w:r w:rsidRPr="00A0027B">
        <w:t>, Kylie L. King</w:t>
      </w:r>
      <w:r w:rsidRPr="00A0027B">
        <w:rPr>
          <w:vertAlign w:val="superscript"/>
        </w:rPr>
        <w:t>1</w:t>
      </w:r>
      <w:r w:rsidRPr="00A0027B">
        <w:t>, Justin M. Napolitano</w:t>
      </w:r>
      <w:r w:rsidRPr="00A0027B">
        <w:rPr>
          <w:vertAlign w:val="superscript"/>
        </w:rPr>
        <w:t>1</w:t>
      </w:r>
      <w:r w:rsidRPr="00A0027B">
        <w:t>, Theodore J. Swann</w:t>
      </w:r>
      <w:r w:rsidRPr="00A0027B">
        <w:rPr>
          <w:vertAlign w:val="superscript"/>
        </w:rPr>
        <w:t>3</w:t>
      </w:r>
      <w:r w:rsidRPr="00A0027B">
        <w:t xml:space="preserve">, </w:t>
      </w:r>
      <w:proofErr w:type="spellStart"/>
      <w:r w:rsidRPr="00A0027B">
        <w:t>Lesslie</w:t>
      </w:r>
      <w:proofErr w:type="spellEnd"/>
      <w:r w:rsidRPr="00A0027B">
        <w:t xml:space="preserve"> G. Pekarek</w:t>
      </w:r>
      <w:r w:rsidRPr="00A0027B">
        <w:rPr>
          <w:vertAlign w:val="superscript"/>
        </w:rPr>
        <w:t>4</w:t>
      </w:r>
      <w:r w:rsidRPr="00A0027B">
        <w:t>, Mark A. Blenner</w:t>
      </w:r>
      <w:r w:rsidRPr="00A0027B">
        <w:rPr>
          <w:vertAlign w:val="superscript"/>
        </w:rPr>
        <w:t>1,5,6̀</w:t>
      </w:r>
      <w:r w:rsidR="00404A0C" w:rsidRPr="00A0027B">
        <w:rPr>
          <w:vertAlign w:val="superscript"/>
        </w:rPr>
        <w:t>#</w:t>
      </w:r>
      <w:r w:rsidR="005D5346" w:rsidRPr="00A0027B">
        <w:t>,</w:t>
      </w:r>
      <w:r w:rsidRPr="00A0027B">
        <w:rPr>
          <w:vertAlign w:val="superscript"/>
        </w:rPr>
        <w:t xml:space="preserve"> </w:t>
      </w:r>
      <w:r w:rsidRPr="00A0027B">
        <w:t>Delphine Dean</w:t>
      </w:r>
      <w:r w:rsidRPr="00A0027B">
        <w:rPr>
          <w:vertAlign w:val="superscript"/>
        </w:rPr>
        <w:t>1,2</w:t>
      </w:r>
      <w:r w:rsidR="00404A0C" w:rsidRPr="00A0027B">
        <w:rPr>
          <w:vertAlign w:val="superscript"/>
        </w:rPr>
        <w:t>#</w:t>
      </w:r>
    </w:p>
    <w:p w14:paraId="25F40A0C" w14:textId="77777777" w:rsidR="00AE21CE" w:rsidRPr="00A0027B" w:rsidRDefault="00AE21CE" w:rsidP="00A0027B">
      <w:pPr>
        <w:pBdr>
          <w:top w:val="nil"/>
          <w:left w:val="nil"/>
          <w:bottom w:val="nil"/>
          <w:right w:val="nil"/>
          <w:between w:val="nil"/>
        </w:pBdr>
      </w:pPr>
    </w:p>
    <w:p w14:paraId="1E3229B4" w14:textId="77777777" w:rsidR="00AE21CE" w:rsidRPr="00A0027B" w:rsidRDefault="00AE21CE" w:rsidP="00A0027B">
      <w:pPr>
        <w:pBdr>
          <w:top w:val="nil"/>
          <w:left w:val="nil"/>
          <w:bottom w:val="nil"/>
          <w:right w:val="nil"/>
          <w:between w:val="nil"/>
        </w:pBdr>
      </w:pPr>
      <w:r w:rsidRPr="00A0027B">
        <w:rPr>
          <w:vertAlign w:val="superscript"/>
        </w:rPr>
        <w:t>1</w:t>
      </w:r>
      <w:r w:rsidRPr="00A0027B">
        <w:t>Center for Innovative Medical Devices and Sensors (REDDI Lab), Clemson University, Clemson, SC, USA.</w:t>
      </w:r>
    </w:p>
    <w:p w14:paraId="0576B2D7" w14:textId="574AD9E6" w:rsidR="00AE21CE" w:rsidRPr="00A0027B" w:rsidRDefault="00AE21CE" w:rsidP="00A0027B">
      <w:pPr>
        <w:pBdr>
          <w:top w:val="nil"/>
          <w:left w:val="nil"/>
          <w:bottom w:val="nil"/>
          <w:right w:val="nil"/>
          <w:between w:val="nil"/>
        </w:pBdr>
      </w:pPr>
      <w:r w:rsidRPr="00A0027B">
        <w:rPr>
          <w:vertAlign w:val="superscript"/>
        </w:rPr>
        <w:t>2</w:t>
      </w:r>
      <w:r w:rsidRPr="00A0027B">
        <w:t>Department of Bioengineering, Clemson University, Clemson, SC, USA</w:t>
      </w:r>
    </w:p>
    <w:p w14:paraId="35B78A6B" w14:textId="6D962B09" w:rsidR="00AE21CE" w:rsidRPr="00A0027B" w:rsidRDefault="00AE21CE" w:rsidP="00A0027B">
      <w:pPr>
        <w:pBdr>
          <w:top w:val="nil"/>
          <w:left w:val="nil"/>
          <w:bottom w:val="nil"/>
          <w:right w:val="nil"/>
          <w:between w:val="nil"/>
        </w:pBdr>
      </w:pPr>
      <w:r w:rsidRPr="00A0027B">
        <w:rPr>
          <w:vertAlign w:val="superscript"/>
        </w:rPr>
        <w:t>3</w:t>
      </w:r>
      <w:r w:rsidRPr="00A0027B">
        <w:t>Swann Medicine, Clemson, SC, USA</w:t>
      </w:r>
    </w:p>
    <w:p w14:paraId="5D45FA12" w14:textId="34FDFA59" w:rsidR="00AE21CE" w:rsidRPr="00A0027B" w:rsidRDefault="00AE21CE" w:rsidP="00A0027B">
      <w:pPr>
        <w:pBdr>
          <w:top w:val="nil"/>
          <w:left w:val="nil"/>
          <w:bottom w:val="nil"/>
          <w:right w:val="nil"/>
          <w:between w:val="nil"/>
        </w:pBdr>
      </w:pPr>
      <w:r w:rsidRPr="00A0027B">
        <w:rPr>
          <w:vertAlign w:val="superscript"/>
        </w:rPr>
        <w:t>4</w:t>
      </w:r>
      <w:r w:rsidRPr="00A0027B">
        <w:t>Student Health Services, Clemson University, Clemson, SC, USA</w:t>
      </w:r>
    </w:p>
    <w:p w14:paraId="60975E27" w14:textId="0E79E866" w:rsidR="00AE21CE" w:rsidRPr="00A0027B" w:rsidRDefault="00AE21CE" w:rsidP="00A0027B">
      <w:pPr>
        <w:pBdr>
          <w:top w:val="nil"/>
          <w:left w:val="nil"/>
          <w:bottom w:val="nil"/>
          <w:right w:val="nil"/>
          <w:between w:val="nil"/>
        </w:pBdr>
      </w:pPr>
      <w:r w:rsidRPr="00A0027B">
        <w:rPr>
          <w:vertAlign w:val="superscript"/>
        </w:rPr>
        <w:t>5</w:t>
      </w:r>
      <w:r w:rsidRPr="00A0027B">
        <w:t>Department of Chemical &amp; Biomolecular Engineering, Clemson University, Clemson, SC, USA</w:t>
      </w:r>
    </w:p>
    <w:p w14:paraId="2A03E14D" w14:textId="75D55024" w:rsidR="00AE21CE" w:rsidRPr="00A0027B" w:rsidRDefault="00AE21CE" w:rsidP="00A0027B">
      <w:pPr>
        <w:pBdr>
          <w:top w:val="nil"/>
          <w:left w:val="nil"/>
          <w:bottom w:val="nil"/>
          <w:right w:val="nil"/>
          <w:between w:val="nil"/>
        </w:pBdr>
      </w:pPr>
      <w:r w:rsidRPr="00A0027B">
        <w:rPr>
          <w:vertAlign w:val="superscript"/>
        </w:rPr>
        <w:t>6</w:t>
      </w:r>
      <w:r w:rsidRPr="00A0027B">
        <w:t>Department of Chemical &amp; Biomolecular Engineering, University of Delaware, Newark, DE, USA</w:t>
      </w:r>
    </w:p>
    <w:p w14:paraId="389CE894" w14:textId="77777777" w:rsidR="00404A0C" w:rsidRPr="00A0027B" w:rsidRDefault="00404A0C" w:rsidP="00A0027B">
      <w:pPr>
        <w:pBdr>
          <w:top w:val="nil"/>
          <w:left w:val="nil"/>
          <w:bottom w:val="nil"/>
          <w:right w:val="nil"/>
          <w:between w:val="nil"/>
        </w:pBdr>
      </w:pPr>
    </w:p>
    <w:p w14:paraId="71E7065C" w14:textId="13707309" w:rsidR="00AE21CE" w:rsidRPr="00A0027B" w:rsidRDefault="00404A0C" w:rsidP="00A0027B">
      <w:pPr>
        <w:pBdr>
          <w:top w:val="nil"/>
          <w:left w:val="nil"/>
          <w:bottom w:val="nil"/>
          <w:right w:val="nil"/>
          <w:between w:val="nil"/>
        </w:pBdr>
      </w:pPr>
      <w:proofErr w:type="gramStart"/>
      <w:r w:rsidRPr="00A0027B">
        <w:t>*</w:t>
      </w:r>
      <w:r w:rsidR="004C5716" w:rsidRPr="00A0027B">
        <w:rPr>
          <w:vertAlign w:val="superscript"/>
        </w:rPr>
        <w:t>,#</w:t>
      </w:r>
      <w:proofErr w:type="gramEnd"/>
      <w:r w:rsidR="00AE21CE" w:rsidRPr="00A0027B">
        <w:t>These authors contributed equally.</w:t>
      </w:r>
    </w:p>
    <w:p w14:paraId="1EC3C82E" w14:textId="1C31418F" w:rsidR="00404A0C" w:rsidRPr="00A0027B" w:rsidRDefault="00404A0C" w:rsidP="00A0027B">
      <w:pPr>
        <w:pBdr>
          <w:top w:val="nil"/>
          <w:left w:val="nil"/>
          <w:bottom w:val="nil"/>
          <w:right w:val="nil"/>
          <w:between w:val="nil"/>
        </w:pBdr>
      </w:pPr>
    </w:p>
    <w:p w14:paraId="19AAD0E6" w14:textId="5B4A6758" w:rsidR="00404A0C" w:rsidRPr="00A0027B" w:rsidRDefault="00404A0C" w:rsidP="00A0027B">
      <w:pPr>
        <w:pBdr>
          <w:top w:val="nil"/>
          <w:left w:val="nil"/>
          <w:bottom w:val="nil"/>
          <w:right w:val="nil"/>
          <w:between w:val="nil"/>
        </w:pBdr>
      </w:pPr>
      <w:r w:rsidRPr="00A0027B">
        <w:t>Email addresses of co-authors:</w:t>
      </w:r>
    </w:p>
    <w:p w14:paraId="2588A935" w14:textId="26C22F22" w:rsidR="00813C58" w:rsidRPr="00A0027B" w:rsidRDefault="00813C58" w:rsidP="00A0027B">
      <w:pPr>
        <w:rPr>
          <w:rStyle w:val="Hyperlink"/>
          <w:color w:val="auto"/>
          <w:u w:val="none"/>
        </w:rPr>
      </w:pPr>
      <w:r w:rsidRPr="00A0027B">
        <w:t>Rachel E. Ham</w:t>
      </w:r>
      <w:r w:rsidRPr="00A0027B">
        <w:tab/>
      </w:r>
      <w:r w:rsidRPr="00A0027B">
        <w:tab/>
      </w:r>
      <w:r w:rsidRPr="00A0027B">
        <w:tab/>
        <w:t>(rham@clemson.edu)</w:t>
      </w:r>
    </w:p>
    <w:p w14:paraId="76A869E5" w14:textId="22BB8844" w:rsidR="00813C58" w:rsidRPr="00A0027B" w:rsidRDefault="00813C58" w:rsidP="00A0027B">
      <w:r w:rsidRPr="00A0027B">
        <w:t>Austin R. Smothers</w:t>
      </w:r>
      <w:r w:rsidRPr="00A0027B">
        <w:tab/>
      </w:r>
      <w:r w:rsidRPr="00A0027B">
        <w:tab/>
        <w:t>(arsmoth@clemson.edu)</w:t>
      </w:r>
    </w:p>
    <w:p w14:paraId="26294E22" w14:textId="7C5E3464" w:rsidR="00813C58" w:rsidRPr="00A0027B" w:rsidRDefault="00813C58" w:rsidP="00A0027B">
      <w:pPr>
        <w:pBdr>
          <w:top w:val="nil"/>
          <w:left w:val="nil"/>
          <w:bottom w:val="nil"/>
          <w:right w:val="nil"/>
          <w:between w:val="nil"/>
        </w:pBdr>
      </w:pPr>
      <w:r w:rsidRPr="00A0027B">
        <w:t>Kylie L. King</w:t>
      </w:r>
      <w:r w:rsidR="007C1D52" w:rsidRPr="00A0027B">
        <w:t xml:space="preserve"> </w:t>
      </w:r>
      <w:r w:rsidRPr="00A0027B">
        <w:tab/>
      </w:r>
      <w:r w:rsidRPr="00A0027B">
        <w:tab/>
      </w:r>
      <w:r w:rsidRPr="00A0027B">
        <w:tab/>
        <w:t>(kyliek@clemson.edu)</w:t>
      </w:r>
    </w:p>
    <w:p w14:paraId="000E18D6" w14:textId="714817DD" w:rsidR="00813C58" w:rsidRPr="00A0027B" w:rsidRDefault="00813C58" w:rsidP="00A0027B">
      <w:pPr>
        <w:pBdr>
          <w:top w:val="nil"/>
          <w:left w:val="nil"/>
          <w:bottom w:val="nil"/>
          <w:right w:val="nil"/>
          <w:between w:val="nil"/>
        </w:pBdr>
        <w:rPr>
          <w:rStyle w:val="Hyperlink"/>
          <w:color w:val="auto"/>
          <w:u w:val="none"/>
        </w:rPr>
      </w:pPr>
      <w:r w:rsidRPr="00A0027B">
        <w:t>Justin M. Napolitano</w:t>
      </w:r>
      <w:r w:rsidRPr="00A0027B">
        <w:tab/>
      </w:r>
      <w:r w:rsidRPr="00A0027B">
        <w:tab/>
        <w:t>(jmnapol@clemson.edu)</w:t>
      </w:r>
    </w:p>
    <w:p w14:paraId="05A3C152" w14:textId="29D867FD" w:rsidR="00813C58" w:rsidRPr="00A0027B" w:rsidRDefault="00813C58" w:rsidP="00A0027B">
      <w:pPr>
        <w:pBdr>
          <w:top w:val="nil"/>
          <w:left w:val="nil"/>
          <w:bottom w:val="nil"/>
          <w:right w:val="nil"/>
          <w:between w:val="nil"/>
        </w:pBdr>
        <w:rPr>
          <w:rStyle w:val="Hyperlink"/>
          <w:color w:val="auto"/>
          <w:u w:val="none"/>
        </w:rPr>
      </w:pPr>
      <w:r w:rsidRPr="00A0027B">
        <w:t xml:space="preserve">Theodore J. Swann </w:t>
      </w:r>
      <w:r w:rsidRPr="00A0027B">
        <w:tab/>
      </w:r>
      <w:r w:rsidRPr="00A0027B">
        <w:tab/>
        <w:t>(tedswannmd@swannmedicine.com)</w:t>
      </w:r>
    </w:p>
    <w:p w14:paraId="3D747D6A" w14:textId="6C57B54D" w:rsidR="00813C58" w:rsidRPr="00A0027B" w:rsidRDefault="00813C58" w:rsidP="00A0027B">
      <w:pPr>
        <w:pBdr>
          <w:top w:val="nil"/>
          <w:left w:val="nil"/>
          <w:bottom w:val="nil"/>
          <w:right w:val="nil"/>
          <w:between w:val="nil"/>
        </w:pBdr>
        <w:rPr>
          <w:rStyle w:val="Hyperlink"/>
          <w:color w:val="auto"/>
          <w:u w:val="none"/>
        </w:rPr>
      </w:pPr>
      <w:proofErr w:type="spellStart"/>
      <w:r w:rsidRPr="00A0027B">
        <w:t>Lesslie</w:t>
      </w:r>
      <w:proofErr w:type="spellEnd"/>
      <w:r w:rsidRPr="00A0027B">
        <w:t xml:space="preserve"> G. </w:t>
      </w:r>
      <w:proofErr w:type="spellStart"/>
      <w:r w:rsidR="00706017" w:rsidRPr="00A0027B">
        <w:t>Pekarek</w:t>
      </w:r>
      <w:proofErr w:type="spellEnd"/>
      <w:r w:rsidR="00706017" w:rsidRPr="00A0027B">
        <w:t xml:space="preserve"> </w:t>
      </w:r>
      <w:r w:rsidR="00706017" w:rsidRPr="00A0027B">
        <w:tab/>
      </w:r>
      <w:r w:rsidRPr="00A0027B">
        <w:tab/>
        <w:t>(lesslig@clemson.edu)</w:t>
      </w:r>
    </w:p>
    <w:p w14:paraId="57978CAF" w14:textId="6A76E18B" w:rsidR="00813C58" w:rsidRPr="00A0027B" w:rsidRDefault="00813C58" w:rsidP="00A0027B">
      <w:r w:rsidRPr="00A0027B">
        <w:t xml:space="preserve">Mark A. </w:t>
      </w:r>
      <w:proofErr w:type="spellStart"/>
      <w:r w:rsidRPr="00A0027B">
        <w:t>Blenner</w:t>
      </w:r>
      <w:proofErr w:type="spellEnd"/>
      <w:r w:rsidR="007C1D52" w:rsidRPr="00A0027B">
        <w:t xml:space="preserve"> </w:t>
      </w:r>
      <w:r w:rsidRPr="00A0027B">
        <w:tab/>
      </w:r>
      <w:r w:rsidRPr="00A0027B">
        <w:tab/>
        <w:t xml:space="preserve">(blenner@udel.edu) </w:t>
      </w:r>
    </w:p>
    <w:p w14:paraId="7EF6D777" w14:textId="60611041" w:rsidR="00404A0C" w:rsidRPr="00A0027B" w:rsidRDefault="00813C58" w:rsidP="00A0027B">
      <w:pPr>
        <w:pBdr>
          <w:top w:val="nil"/>
          <w:left w:val="nil"/>
          <w:bottom w:val="nil"/>
          <w:right w:val="nil"/>
          <w:between w:val="nil"/>
        </w:pBdr>
      </w:pPr>
      <w:r w:rsidRPr="00A0027B">
        <w:t>Delphine Dean</w:t>
      </w:r>
      <w:r w:rsidR="007C1D52" w:rsidRPr="00A0027B">
        <w:t xml:space="preserve"> </w:t>
      </w:r>
      <w:r w:rsidRPr="00A0027B">
        <w:tab/>
      </w:r>
      <w:r w:rsidRPr="00A0027B">
        <w:tab/>
        <w:t>(</w:t>
      </w:r>
      <w:r w:rsidR="007C1D52" w:rsidRPr="00A0027B">
        <w:t>finou@clemson.edu</w:t>
      </w:r>
      <w:r w:rsidRPr="00A0027B">
        <w:t>)</w:t>
      </w:r>
    </w:p>
    <w:p w14:paraId="1A23C4E4" w14:textId="77777777" w:rsidR="007C1D52" w:rsidRPr="00A0027B" w:rsidRDefault="007C1D52" w:rsidP="00A0027B">
      <w:pPr>
        <w:pBdr>
          <w:top w:val="nil"/>
          <w:left w:val="nil"/>
          <w:bottom w:val="nil"/>
          <w:right w:val="nil"/>
          <w:between w:val="nil"/>
        </w:pBdr>
      </w:pPr>
    </w:p>
    <w:p w14:paraId="7078A79F" w14:textId="7502FCA4" w:rsidR="007C1D52" w:rsidRPr="00A0027B" w:rsidRDefault="007C1D52" w:rsidP="00A0027B">
      <w:pPr>
        <w:pBdr>
          <w:top w:val="nil"/>
          <w:left w:val="nil"/>
          <w:bottom w:val="nil"/>
          <w:right w:val="nil"/>
          <w:between w:val="nil"/>
        </w:pBdr>
      </w:pPr>
      <w:r w:rsidRPr="00A0027B">
        <w:t>Corresponding author:</w:t>
      </w:r>
    </w:p>
    <w:p w14:paraId="63C15878" w14:textId="255B0F01" w:rsidR="007C1D52" w:rsidRPr="00A0027B" w:rsidRDefault="007C1D52" w:rsidP="00A0027B">
      <w:pPr>
        <w:pBdr>
          <w:top w:val="nil"/>
          <w:left w:val="nil"/>
          <w:bottom w:val="nil"/>
          <w:right w:val="nil"/>
          <w:between w:val="nil"/>
        </w:pBdr>
      </w:pPr>
      <w:r w:rsidRPr="00A0027B">
        <w:t xml:space="preserve">Delphine Dean </w:t>
      </w:r>
      <w:r w:rsidRPr="00A0027B">
        <w:tab/>
      </w:r>
      <w:r w:rsidRPr="00A0027B">
        <w:tab/>
        <w:t>(finou@clemson.edu)</w:t>
      </w:r>
    </w:p>
    <w:p w14:paraId="683B3F30" w14:textId="77777777" w:rsidR="00AE21CE" w:rsidRPr="00A0027B" w:rsidRDefault="00AE21CE" w:rsidP="00A0027B">
      <w:pPr>
        <w:pBdr>
          <w:top w:val="nil"/>
          <w:left w:val="nil"/>
          <w:bottom w:val="nil"/>
          <w:right w:val="nil"/>
          <w:between w:val="nil"/>
        </w:pBdr>
      </w:pPr>
    </w:p>
    <w:p w14:paraId="60F3B8D4" w14:textId="452C1C44" w:rsidR="006E4797" w:rsidRPr="00A0027B" w:rsidRDefault="00551D82" w:rsidP="00A0027B">
      <w:r w:rsidRPr="00A0027B">
        <w:rPr>
          <w:b/>
        </w:rPr>
        <w:t>SUMMARY:</w:t>
      </w:r>
    </w:p>
    <w:p w14:paraId="3E872A37" w14:textId="57B5CCC4" w:rsidR="004475DE" w:rsidRPr="00A0027B" w:rsidRDefault="004C5716" w:rsidP="00A0027B">
      <w:r w:rsidRPr="00A0027B">
        <w:t xml:space="preserve">The </w:t>
      </w:r>
      <w:r w:rsidR="00851BDF" w:rsidRPr="00A0027B">
        <w:t xml:space="preserve">protocol describes a </w:t>
      </w:r>
      <w:r w:rsidR="002C1E80" w:rsidRPr="00A0027B">
        <w:t xml:space="preserve">SARS-CoV-2 diagnostic method </w:t>
      </w:r>
      <w:r w:rsidR="00851BDF" w:rsidRPr="00A0027B">
        <w:t xml:space="preserve">that </w:t>
      </w:r>
      <w:r w:rsidR="002C1E80" w:rsidRPr="00A0027B">
        <w:t xml:space="preserve">utilizes open-source automation to perform RT-qPCR molecular testing of saliva samples. This scalable approach can be applied to clinical public health surveillance </w:t>
      </w:r>
      <w:r w:rsidR="007148FB" w:rsidRPr="00A0027B">
        <w:t xml:space="preserve">as well as </w:t>
      </w:r>
      <w:r w:rsidR="00C14F31" w:rsidRPr="00A0027B">
        <w:t xml:space="preserve">to </w:t>
      </w:r>
      <w:r w:rsidR="002C1E80" w:rsidRPr="00A0027B">
        <w:t xml:space="preserve">increase </w:t>
      </w:r>
      <w:r w:rsidR="00C9063E" w:rsidRPr="00A0027B">
        <w:t xml:space="preserve">the </w:t>
      </w:r>
      <w:r w:rsidR="002C1E80" w:rsidRPr="00A0027B">
        <w:t>capacity of smaller university laboratories.</w:t>
      </w:r>
    </w:p>
    <w:p w14:paraId="64B736B6" w14:textId="77777777" w:rsidR="00933249" w:rsidRPr="00A0027B" w:rsidRDefault="00933249" w:rsidP="00A0027B"/>
    <w:p w14:paraId="2DF8E628" w14:textId="12107019" w:rsidR="006E4797" w:rsidRPr="00A0027B" w:rsidRDefault="00551D82" w:rsidP="00A0027B">
      <w:pPr>
        <w:rPr>
          <w:color w:val="808080"/>
        </w:rPr>
      </w:pPr>
      <w:r w:rsidRPr="00A0027B">
        <w:rPr>
          <w:b/>
        </w:rPr>
        <w:t>ABSTRACT:</w:t>
      </w:r>
    </w:p>
    <w:p w14:paraId="2CF9CD54" w14:textId="7F25D94F" w:rsidR="006E4797" w:rsidRPr="00A0027B" w:rsidRDefault="00933249" w:rsidP="00A0027B">
      <w:r w:rsidRPr="00A0027B">
        <w:t xml:space="preserve">The emergence of the recent SARS-CoV-2 global health crisis introduced key challenges for epidemiological research and clinical testing. Characterized by </w:t>
      </w:r>
      <w:r w:rsidR="007148FB" w:rsidRPr="00A0027B">
        <w:t xml:space="preserve">a </w:t>
      </w:r>
      <w:r w:rsidRPr="00A0027B">
        <w:t xml:space="preserve">high rate of transmission and low mortality, the COVID-19 pandemic necessitated accurate and efficient diagnostic testing, particularly in closed populations such as residential universities. Initial availability of nucleic acid testing, like nasopharyngeal swabs, was limited due to supply chain pressure which also delayed reporting of test results. Saliva-based reverse transcriptase quantitative polymerase chain </w:t>
      </w:r>
      <w:r w:rsidRPr="00A0027B">
        <w:lastRenderedPageBreak/>
        <w:t>reaction (RT-qPCR) testing has shown to be comparable in sensitivity and specificity to other testing methods, and saliva collection is less physically invasive to participants. Consequently, we developed the multiplex RT-qPCR diagnostic assay for population surveillance of the university and surrounding community.</w:t>
      </w:r>
      <w:r w:rsidR="000C2662" w:rsidRPr="00A0027B">
        <w:t xml:space="preserve"> The </w:t>
      </w:r>
      <w:r w:rsidRPr="00A0027B">
        <w:t>assay utilized open-source liquid handling robots and thermocyclers in</w:t>
      </w:r>
      <w:r w:rsidR="00615B13" w:rsidRPr="00A0027B">
        <w:t>stead</w:t>
      </w:r>
      <w:r w:rsidRPr="00A0027B">
        <w:t xml:space="preserve"> of complex clinical automation systems to optimize workflow and system flexibility. Automation of saliva-based RT-qPCR enables rapid and accurate detection of a wide range of viral RNA concentrations for both large- and small-scale testing demands.</w:t>
      </w:r>
      <w:r w:rsidR="00FD335E" w:rsidRPr="00A0027B">
        <w:t xml:space="preserve"> The average turnaround for the automated system was &lt; 9 h for 95% of samples and &lt; 24 h for 99% of samples. The cost for a single test was $2.80 when all reagents were purchased in bulk quantities.</w:t>
      </w:r>
    </w:p>
    <w:p w14:paraId="73F1859D" w14:textId="77777777" w:rsidR="00933249" w:rsidRPr="00A0027B" w:rsidRDefault="00933249" w:rsidP="00A0027B">
      <w:pPr>
        <w:rPr>
          <w:b/>
        </w:rPr>
      </w:pPr>
    </w:p>
    <w:p w14:paraId="0646E204" w14:textId="2E031BE6" w:rsidR="006E4797" w:rsidRPr="00A0027B" w:rsidRDefault="00551D82" w:rsidP="00A0027B">
      <w:pPr>
        <w:rPr>
          <w:color w:val="808080"/>
        </w:rPr>
      </w:pPr>
      <w:r w:rsidRPr="00A0027B">
        <w:rPr>
          <w:b/>
        </w:rPr>
        <w:t>INTRODUCTION:</w:t>
      </w:r>
    </w:p>
    <w:p w14:paraId="5D32E0D6" w14:textId="1A2F5B98" w:rsidR="00933249" w:rsidRPr="00A0027B" w:rsidRDefault="00375416" w:rsidP="00A0027B">
      <w:r w:rsidRPr="00A0027B">
        <w:t>Severe acute respiratory syndrome-</w:t>
      </w:r>
      <w:r w:rsidR="005B62A8" w:rsidRPr="00A0027B">
        <w:t>associated coronavirus-2 (</w:t>
      </w:r>
      <w:r w:rsidR="00933249" w:rsidRPr="00A0027B">
        <w:t>SARS-CoV-2</w:t>
      </w:r>
      <w:r w:rsidR="005B62A8" w:rsidRPr="00A0027B">
        <w:t>)</w:t>
      </w:r>
      <w:r w:rsidR="00933249" w:rsidRPr="00A0027B">
        <w:t xml:space="preserve">, a novel coronavirus, emerged in late 2019 and rapidly spread throughout </w:t>
      </w:r>
      <w:r w:rsidR="00614D64">
        <w:t xml:space="preserve">the </w:t>
      </w:r>
      <w:r w:rsidR="00933249" w:rsidRPr="00A0027B">
        <w:t>global populations</w:t>
      </w:r>
      <w:r w:rsidR="00933249" w:rsidRPr="00A0027B">
        <w:rPr>
          <w:vertAlign w:val="superscript"/>
        </w:rPr>
        <w:t>1</w:t>
      </w:r>
      <w:r w:rsidR="00933249" w:rsidRPr="00A0027B">
        <w:t xml:space="preserve">. </w:t>
      </w:r>
      <w:r w:rsidR="00924319" w:rsidRPr="00A0027B">
        <w:t xml:space="preserve">The </w:t>
      </w:r>
      <w:r w:rsidR="00933249" w:rsidRPr="00A0027B">
        <w:t xml:space="preserve">SARS-CoV-2 infection causes </w:t>
      </w:r>
      <w:r w:rsidR="00924319" w:rsidRPr="00A0027B">
        <w:t>c</w:t>
      </w:r>
      <w:r w:rsidR="002C1E80" w:rsidRPr="00A0027B">
        <w:t xml:space="preserve">oronavirus </w:t>
      </w:r>
      <w:r w:rsidR="00924319" w:rsidRPr="00A0027B">
        <w:t>d</w:t>
      </w:r>
      <w:r w:rsidR="002C1E80" w:rsidRPr="00A0027B">
        <w:t>isease 2019 (</w:t>
      </w:r>
      <w:r w:rsidR="00933249" w:rsidRPr="00A0027B">
        <w:t>COVID-19</w:t>
      </w:r>
      <w:r w:rsidR="002C1E80" w:rsidRPr="00A0027B">
        <w:t>)</w:t>
      </w:r>
      <w:r w:rsidR="00933249" w:rsidRPr="00A0027B">
        <w:t xml:space="preserve">, </w:t>
      </w:r>
      <w:r w:rsidR="00E11FE9" w:rsidRPr="00A0027B">
        <w:t xml:space="preserve">a </w:t>
      </w:r>
      <w:r w:rsidR="00933249" w:rsidRPr="00A0027B">
        <w:t>highly contagious disease with potentially severe respiratory and inflammatory symptoms. High transmissibility coupled with low mortality indicated that the virus would spread rapidly through populations and would require increased diagnostic testing</w:t>
      </w:r>
      <w:r w:rsidR="00933249" w:rsidRPr="00A0027B">
        <w:rPr>
          <w:vertAlign w:val="superscript"/>
        </w:rPr>
        <w:t>2,3</w:t>
      </w:r>
      <w:r w:rsidR="00933249" w:rsidRPr="00A0027B">
        <w:t>. Public health recommendations encouraged wide-scale population screening to isolate cases and subsequently reduce transmission rates</w:t>
      </w:r>
      <w:r w:rsidR="00933249" w:rsidRPr="00A0027B">
        <w:rPr>
          <w:vertAlign w:val="superscript"/>
        </w:rPr>
        <w:t>4</w:t>
      </w:r>
      <w:r w:rsidR="00E870F2" w:rsidRPr="00A0027B">
        <w:rPr>
          <w:vertAlign w:val="superscript"/>
        </w:rPr>
        <w:t>–</w:t>
      </w:r>
      <w:r w:rsidR="00933249" w:rsidRPr="00A0027B">
        <w:rPr>
          <w:vertAlign w:val="superscript"/>
        </w:rPr>
        <w:t>6</w:t>
      </w:r>
      <w:r w:rsidR="00933249" w:rsidRPr="00A0027B">
        <w:t>. Furthermore, models of population surveillance revealed that increasing testing frequency and decreasing reporting time had a greater effect on reducing transmission than increasing test sensitivity</w:t>
      </w:r>
      <w:r w:rsidR="00933249" w:rsidRPr="00A0027B">
        <w:rPr>
          <w:vertAlign w:val="superscript"/>
        </w:rPr>
        <w:t>7</w:t>
      </w:r>
      <w:r w:rsidR="00933249" w:rsidRPr="00A0027B">
        <w:t>. This is likely because infected individuals could be quarantined earlier, thereby breaking chains of infection.</w:t>
      </w:r>
    </w:p>
    <w:p w14:paraId="03E862E3" w14:textId="77777777" w:rsidR="00933249" w:rsidRPr="00A0027B" w:rsidRDefault="00933249" w:rsidP="00A0027B"/>
    <w:p w14:paraId="05265C96" w14:textId="070F7C39" w:rsidR="00933249" w:rsidRPr="00A0027B" w:rsidRDefault="00933249" w:rsidP="00A0027B">
      <w:r w:rsidRPr="00A0027B">
        <w:t xml:space="preserve">The original nucleic acid amplification testing (NAAT) standard was nasopharyngeal (NP) swabs processed </w:t>
      </w:r>
      <w:r w:rsidR="00F65052" w:rsidRPr="00F65052">
        <w:t>by</w:t>
      </w:r>
      <w:r w:rsidRPr="00A0027B">
        <w:t xml:space="preserve"> RT-qPCR</w:t>
      </w:r>
      <w:r w:rsidRPr="00A0027B">
        <w:rPr>
          <w:vertAlign w:val="superscript"/>
        </w:rPr>
        <w:t>8</w:t>
      </w:r>
      <w:r w:rsidRPr="00A0027B">
        <w:t>. However, complications arise with this form of testing for very large populations, such as increased relative cost and exacerbated supply chain pressure</w:t>
      </w:r>
      <w:r w:rsidRPr="00A0027B">
        <w:rPr>
          <w:vertAlign w:val="superscript"/>
        </w:rPr>
        <w:t>9,10</w:t>
      </w:r>
      <w:r w:rsidRPr="00A0027B">
        <w:t>. Moreover, both specimen collection and processing of common NAAT methods (including NP swabs, oropharyngeal swabs, mid-turbinate swabs, and nasal swabs) are reliant on specialized equipment, reagents, and medical personnel</w:t>
      </w:r>
      <w:r w:rsidRPr="00A0027B">
        <w:rPr>
          <w:vertAlign w:val="superscript"/>
        </w:rPr>
        <w:t>9,10</w:t>
      </w:r>
      <w:r w:rsidRPr="00A0027B">
        <w:t>.</w:t>
      </w:r>
    </w:p>
    <w:p w14:paraId="2BBA89DC" w14:textId="77777777" w:rsidR="00933249" w:rsidRPr="00A0027B" w:rsidRDefault="00933249" w:rsidP="00A0027B"/>
    <w:p w14:paraId="2E478C92" w14:textId="1D91C9D6" w:rsidR="00933249" w:rsidRPr="00A0027B" w:rsidRDefault="00933249" w:rsidP="00A0027B">
      <w:r w:rsidRPr="00A0027B">
        <w:t>An adequate substitute for NP swab RT-qPCR testing is saliva-based testing, which is an accurate diagnostic tool for SARS-CoV-2 detection</w:t>
      </w:r>
      <w:r w:rsidRPr="00A0027B">
        <w:rPr>
          <w:vertAlign w:val="superscript"/>
        </w:rPr>
        <w:t>11</w:t>
      </w:r>
      <w:r w:rsidR="004B3F4C" w:rsidRPr="00A0027B">
        <w:rPr>
          <w:vertAlign w:val="superscript"/>
        </w:rPr>
        <w:t>–</w:t>
      </w:r>
      <w:r w:rsidRPr="00A0027B">
        <w:rPr>
          <w:vertAlign w:val="superscript"/>
        </w:rPr>
        <w:t>14</w:t>
      </w:r>
      <w:r w:rsidRPr="00A0027B">
        <w:t>. Directly performing RT-qPCR on saliva samples yields similar sensitivity and specificity as NP swabs</w:t>
      </w:r>
      <w:r w:rsidRPr="00A0027B">
        <w:rPr>
          <w:vertAlign w:val="superscript"/>
        </w:rPr>
        <w:t>15</w:t>
      </w:r>
      <w:r w:rsidRPr="00A0027B">
        <w:t xml:space="preserve">. One major advantage saliva testing has </w:t>
      </w:r>
      <w:r w:rsidR="001D2A9B" w:rsidRPr="00A0027B">
        <w:t xml:space="preserve">over </w:t>
      </w:r>
      <w:r w:rsidRPr="00A0027B">
        <w:t>NP swab testing is that it allows for self-collection of specimens</w:t>
      </w:r>
      <w:r w:rsidRPr="00A0027B">
        <w:rPr>
          <w:vertAlign w:val="superscript"/>
        </w:rPr>
        <w:t>16</w:t>
      </w:r>
      <w:r w:rsidRPr="00A0027B">
        <w:t xml:space="preserve">. This minimizes the need for medical personnel </w:t>
      </w:r>
      <w:r w:rsidR="001D2A9B" w:rsidRPr="00A0027B">
        <w:t>and</w:t>
      </w:r>
      <w:r w:rsidRPr="00A0027B">
        <w:t xml:space="preserve"> maximizes ease of sample collection for patients by being less invasive than yet as prompt as NP swabs.</w:t>
      </w:r>
      <w:r w:rsidR="00FE4339" w:rsidRPr="00A0027B">
        <w:t xml:space="preserve"> </w:t>
      </w:r>
      <w:r w:rsidR="005551B2" w:rsidRPr="00A0027B">
        <w:t xml:space="preserve">Additionally, since </w:t>
      </w:r>
      <w:r w:rsidR="00156EF7" w:rsidRPr="00A0027B">
        <w:t>saliva samples</w:t>
      </w:r>
      <w:r w:rsidR="005551B2" w:rsidRPr="00A0027B">
        <w:t xml:space="preserve"> do not require buffers to remove the sample from a swab</w:t>
      </w:r>
      <w:r w:rsidR="00156EF7" w:rsidRPr="00A0027B">
        <w:t xml:space="preserve"> (as in the case of NP </w:t>
      </w:r>
      <w:r w:rsidR="00825F98" w:rsidRPr="00A0027B">
        <w:t>samples</w:t>
      </w:r>
      <w:r w:rsidR="00156EF7" w:rsidRPr="00A0027B">
        <w:t>)</w:t>
      </w:r>
      <w:r w:rsidR="005551B2" w:rsidRPr="00A0027B">
        <w:t>, saliva-based tests can utilize heat-based ribonucleic acid (RNA) extraction directly, which decreases testing costs by removing the need for</w:t>
      </w:r>
      <w:r w:rsidR="005679FA" w:rsidRPr="00A0027B">
        <w:t xml:space="preserve"> additional buffers,</w:t>
      </w:r>
      <w:r w:rsidR="005551B2" w:rsidRPr="00A0027B">
        <w:t xml:space="preserve"> transport media</w:t>
      </w:r>
      <w:r w:rsidR="005679FA" w:rsidRPr="00A0027B">
        <w:t>,</w:t>
      </w:r>
      <w:r w:rsidR="005551B2" w:rsidRPr="00A0027B">
        <w:t xml:space="preserve"> and/or RNA extraction reagents</w:t>
      </w:r>
      <w:r w:rsidR="005551B2" w:rsidRPr="00A0027B">
        <w:rPr>
          <w:vertAlign w:val="superscript"/>
        </w:rPr>
        <w:t>14,17</w:t>
      </w:r>
      <w:r w:rsidR="005551B2" w:rsidRPr="00A0027B">
        <w:t>.</w:t>
      </w:r>
      <w:r w:rsidR="00FE4339" w:rsidRPr="00A0027B">
        <w:t xml:space="preserve"> </w:t>
      </w:r>
    </w:p>
    <w:p w14:paraId="09E89A1B" w14:textId="77777777" w:rsidR="00933249" w:rsidRPr="00A0027B" w:rsidRDefault="00933249" w:rsidP="00A0027B"/>
    <w:p w14:paraId="48BA6B0A" w14:textId="15BCD954" w:rsidR="006E4797" w:rsidRPr="00A0027B" w:rsidRDefault="00933249" w:rsidP="00A0027B">
      <w:r w:rsidRPr="00A0027B">
        <w:t xml:space="preserve">The Clemson University Research and Education in Disease Diagnostics and Intervention (REDDI) Lab was established to address the university’s needs for COVID-19 testing and surveillance. In closed populations, including universities, frequent surveillance testing coupled with social distancing produced the most favorable outcomes in epidemiological models of disease </w:t>
      </w:r>
      <w:r w:rsidRPr="00A0027B">
        <w:lastRenderedPageBreak/>
        <w:t>prevalence</w:t>
      </w:r>
      <w:r w:rsidRPr="00A0027B">
        <w:rPr>
          <w:vertAlign w:val="superscript"/>
        </w:rPr>
        <w:t>18</w:t>
      </w:r>
      <w:r w:rsidRPr="00A0027B">
        <w:t xml:space="preserve">. </w:t>
      </w:r>
      <w:r w:rsidR="004361A9" w:rsidRPr="00A0027B">
        <w:t>The</w:t>
      </w:r>
      <w:r w:rsidRPr="00A0027B">
        <w:t xml:space="preserve"> consolidated CDC 2019-nCOV RT-qPCR</w:t>
      </w:r>
      <w:r w:rsidRPr="00A0027B">
        <w:rPr>
          <w:vertAlign w:val="superscript"/>
        </w:rPr>
        <w:t>19</w:t>
      </w:r>
      <w:r w:rsidRPr="00A0027B">
        <w:t xml:space="preserve"> and SalivaDirect</w:t>
      </w:r>
      <w:r w:rsidRPr="00A0027B">
        <w:rPr>
          <w:vertAlign w:val="superscript"/>
        </w:rPr>
        <w:t xml:space="preserve">14 </w:t>
      </w:r>
      <w:r w:rsidRPr="00A0027B">
        <w:t xml:space="preserve">protocols </w:t>
      </w:r>
      <w:r w:rsidR="004361A9" w:rsidRPr="00A0027B">
        <w:t>w</w:t>
      </w:r>
      <w:r w:rsidR="002268E8" w:rsidRPr="00A0027B">
        <w:t>ere</w:t>
      </w:r>
      <w:r w:rsidR="004361A9" w:rsidRPr="00A0027B">
        <w:t xml:space="preserve"> </w:t>
      </w:r>
      <w:r w:rsidR="002D56CE" w:rsidRPr="00A0027B">
        <w:t>adapted,</w:t>
      </w:r>
      <w:r w:rsidR="004361A9" w:rsidRPr="00A0027B">
        <w:t xml:space="preserve"> </w:t>
      </w:r>
      <w:r w:rsidRPr="00A0027B">
        <w:t xml:space="preserve">and automation </w:t>
      </w:r>
      <w:r w:rsidR="000318FE" w:rsidRPr="00A0027B">
        <w:t xml:space="preserve">was utilized </w:t>
      </w:r>
      <w:r w:rsidRPr="00A0027B">
        <w:t xml:space="preserve">in </w:t>
      </w:r>
      <w:r w:rsidR="000318FE" w:rsidRPr="00A0027B">
        <w:t xml:space="preserve">the </w:t>
      </w:r>
      <w:r w:rsidRPr="00A0027B">
        <w:t>clinical workflow to decrease cost and improve turnaround time. Previous groups had used open-source liquid handling robots for SARS-CoV-2 RNA extraction steps</w:t>
      </w:r>
      <w:r w:rsidRPr="00A0027B">
        <w:rPr>
          <w:vertAlign w:val="superscript"/>
        </w:rPr>
        <w:t>20,21</w:t>
      </w:r>
      <w:r w:rsidRPr="00A0027B">
        <w:t xml:space="preserve">, but we maximized </w:t>
      </w:r>
      <w:r w:rsidR="00C55EEF" w:rsidRPr="00A0027B">
        <w:t xml:space="preserve">the </w:t>
      </w:r>
      <w:r w:rsidRPr="00A0027B">
        <w:t>use of the robots to prepare test plates and load specimens</w:t>
      </w:r>
      <w:r w:rsidRPr="00A0027B">
        <w:rPr>
          <w:vertAlign w:val="superscript"/>
        </w:rPr>
        <w:t>22</w:t>
      </w:r>
      <w:r w:rsidRPr="00A0027B">
        <w:t xml:space="preserve">. Here, we show that </w:t>
      </w:r>
      <w:r w:rsidR="00176A99">
        <w:t xml:space="preserve">the </w:t>
      </w:r>
      <w:r w:rsidRPr="00A0027B">
        <w:t xml:space="preserve">adapted protocol and </w:t>
      </w:r>
      <w:r w:rsidR="00176A99">
        <w:t xml:space="preserve">the </w:t>
      </w:r>
      <w:r w:rsidRPr="00A0027B">
        <w:t>utilization of open-source liquid handling systems (</w:t>
      </w:r>
      <w:r w:rsidRPr="00A0027B">
        <w:rPr>
          <w:b/>
          <w:bCs/>
        </w:rPr>
        <w:t>Figure 1</w:t>
      </w:r>
      <w:r w:rsidRPr="00A0027B">
        <w:t>) allows for quick and accurate saliva-based RT-qPCR and is an effective strategy for large-scale public health surveillance.</w:t>
      </w:r>
    </w:p>
    <w:p w14:paraId="7830C020" w14:textId="77777777" w:rsidR="00933249" w:rsidRPr="00A0027B" w:rsidRDefault="00933249" w:rsidP="00A0027B">
      <w:pPr>
        <w:rPr>
          <w:b/>
        </w:rPr>
      </w:pPr>
    </w:p>
    <w:p w14:paraId="32A92E82" w14:textId="339304AA" w:rsidR="006E4797" w:rsidRPr="00A0027B" w:rsidRDefault="00551D82" w:rsidP="00A0027B">
      <w:r w:rsidRPr="00A0027B">
        <w:rPr>
          <w:b/>
        </w:rPr>
        <w:t>PROTOCOL:</w:t>
      </w:r>
      <w:r w:rsidRPr="00A0027B">
        <w:t xml:space="preserve"> </w:t>
      </w:r>
    </w:p>
    <w:p w14:paraId="7E1FA430" w14:textId="77777777" w:rsidR="00B20D1B" w:rsidRPr="00A0027B" w:rsidRDefault="00B20D1B" w:rsidP="00A0027B">
      <w:pPr>
        <w:rPr>
          <w:color w:val="808080"/>
        </w:rPr>
      </w:pPr>
    </w:p>
    <w:p w14:paraId="3200EBB0" w14:textId="61D7F664" w:rsidR="003F543C" w:rsidRPr="00A0027B" w:rsidRDefault="003F543C" w:rsidP="00A0027B">
      <w:pPr>
        <w:widowControl/>
        <w:textAlignment w:val="baseline"/>
        <w:rPr>
          <w:rFonts w:eastAsia="Times New Roman"/>
          <w:color w:val="000000"/>
        </w:rPr>
      </w:pPr>
      <w:r w:rsidRPr="00A0027B">
        <w:rPr>
          <w:rFonts w:eastAsia="Times New Roman"/>
          <w:color w:val="000000"/>
        </w:rPr>
        <w:t>All research was performed in compliance with Clemson University and Prisma Health Institutional Review Boards (Prisma Health IRB # Pro00099491, July 1, 2020).</w:t>
      </w:r>
    </w:p>
    <w:p w14:paraId="35143DC2" w14:textId="77777777" w:rsidR="00087B11" w:rsidRPr="00A0027B" w:rsidRDefault="00087B11" w:rsidP="00A0027B">
      <w:pPr>
        <w:widowControl/>
        <w:textAlignment w:val="baseline"/>
        <w:rPr>
          <w:rFonts w:eastAsia="Times New Roman"/>
          <w:color w:val="000000"/>
        </w:rPr>
      </w:pPr>
    </w:p>
    <w:p w14:paraId="39EA2F15" w14:textId="2DCA450C" w:rsidR="002E4C19" w:rsidRPr="00A0027B" w:rsidRDefault="004C07CC" w:rsidP="00A0027B">
      <w:pPr>
        <w:widowControl/>
        <w:numPr>
          <w:ilvl w:val="0"/>
          <w:numId w:val="13"/>
        </w:numPr>
        <w:ind w:left="0" w:firstLine="0"/>
        <w:textAlignment w:val="baseline"/>
        <w:rPr>
          <w:rFonts w:eastAsia="Times New Roman"/>
          <w:b/>
          <w:bCs/>
          <w:color w:val="000000"/>
        </w:rPr>
      </w:pPr>
      <w:r w:rsidRPr="00A0027B">
        <w:rPr>
          <w:rFonts w:eastAsia="Times New Roman"/>
          <w:b/>
          <w:bCs/>
          <w:color w:val="000000"/>
        </w:rPr>
        <w:t>Setup of o</w:t>
      </w:r>
      <w:r w:rsidR="00454C68" w:rsidRPr="00A0027B">
        <w:rPr>
          <w:rFonts w:eastAsia="Times New Roman"/>
          <w:b/>
          <w:bCs/>
          <w:color w:val="000000"/>
        </w:rPr>
        <w:t>pen-</w:t>
      </w:r>
      <w:r w:rsidR="00057B45" w:rsidRPr="00A0027B">
        <w:rPr>
          <w:rFonts w:eastAsia="Times New Roman"/>
          <w:b/>
          <w:bCs/>
          <w:color w:val="000000"/>
        </w:rPr>
        <w:t>s</w:t>
      </w:r>
      <w:r w:rsidR="00454C68" w:rsidRPr="00A0027B">
        <w:rPr>
          <w:rFonts w:eastAsia="Times New Roman"/>
          <w:b/>
          <w:bCs/>
          <w:color w:val="000000"/>
        </w:rPr>
        <w:t>ource</w:t>
      </w:r>
      <w:r w:rsidR="002E4C19" w:rsidRPr="00A0027B">
        <w:rPr>
          <w:rFonts w:eastAsia="Times New Roman"/>
          <w:b/>
          <w:bCs/>
          <w:color w:val="000000"/>
        </w:rPr>
        <w:t xml:space="preserve"> </w:t>
      </w:r>
      <w:r w:rsidR="00057B45" w:rsidRPr="00A0027B">
        <w:rPr>
          <w:rFonts w:eastAsia="Times New Roman"/>
          <w:b/>
          <w:bCs/>
          <w:color w:val="000000"/>
        </w:rPr>
        <w:t>l</w:t>
      </w:r>
      <w:r w:rsidR="002E4C19" w:rsidRPr="00A0027B">
        <w:rPr>
          <w:rFonts w:eastAsia="Times New Roman"/>
          <w:b/>
          <w:bCs/>
          <w:color w:val="000000"/>
        </w:rPr>
        <w:t xml:space="preserve">iquid </w:t>
      </w:r>
      <w:r w:rsidR="00057B45" w:rsidRPr="00A0027B">
        <w:rPr>
          <w:rFonts w:eastAsia="Times New Roman"/>
          <w:b/>
          <w:bCs/>
          <w:color w:val="000000"/>
        </w:rPr>
        <w:t>h</w:t>
      </w:r>
      <w:r w:rsidR="002E4C19" w:rsidRPr="00A0027B">
        <w:rPr>
          <w:rFonts w:eastAsia="Times New Roman"/>
          <w:b/>
          <w:bCs/>
          <w:color w:val="000000"/>
        </w:rPr>
        <w:t xml:space="preserve">andling </w:t>
      </w:r>
      <w:r w:rsidR="00057B45" w:rsidRPr="00A0027B">
        <w:rPr>
          <w:rFonts w:eastAsia="Times New Roman"/>
          <w:b/>
          <w:bCs/>
          <w:color w:val="000000"/>
        </w:rPr>
        <w:t>r</w:t>
      </w:r>
      <w:r w:rsidR="002E4C19" w:rsidRPr="00A0027B">
        <w:rPr>
          <w:rFonts w:eastAsia="Times New Roman"/>
          <w:b/>
          <w:bCs/>
          <w:color w:val="000000"/>
        </w:rPr>
        <w:t xml:space="preserve">obot </w:t>
      </w:r>
    </w:p>
    <w:p w14:paraId="38973D5E" w14:textId="77777777" w:rsidR="00064692" w:rsidRPr="00A0027B" w:rsidRDefault="00064692" w:rsidP="00A0027B">
      <w:pPr>
        <w:widowControl/>
        <w:textAlignment w:val="baseline"/>
        <w:rPr>
          <w:rFonts w:eastAsia="Times New Roman"/>
          <w:b/>
          <w:bCs/>
          <w:color w:val="000000"/>
        </w:rPr>
      </w:pPr>
    </w:p>
    <w:p w14:paraId="681CF911" w14:textId="3F12EAE3"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Install </w:t>
      </w:r>
      <w:r w:rsidR="00057B45" w:rsidRPr="00A0027B">
        <w:rPr>
          <w:rFonts w:eastAsia="Times New Roman"/>
          <w:color w:val="000000"/>
        </w:rPr>
        <w:t>high-e</w:t>
      </w:r>
      <w:r w:rsidR="00A21F21" w:rsidRPr="00A0027B">
        <w:rPr>
          <w:rFonts w:eastAsia="Times New Roman"/>
          <w:color w:val="000000"/>
        </w:rPr>
        <w:t xml:space="preserve">fficiency </w:t>
      </w:r>
      <w:r w:rsidR="00057B45" w:rsidRPr="00A0027B">
        <w:rPr>
          <w:rFonts w:eastAsia="Times New Roman"/>
          <w:color w:val="000000"/>
        </w:rPr>
        <w:t>p</w:t>
      </w:r>
      <w:r w:rsidR="00A21F21" w:rsidRPr="00A0027B">
        <w:rPr>
          <w:rFonts w:eastAsia="Times New Roman"/>
          <w:color w:val="000000"/>
        </w:rPr>
        <w:t xml:space="preserve">articulate </w:t>
      </w:r>
      <w:r w:rsidR="00057B45" w:rsidRPr="00A0027B">
        <w:rPr>
          <w:rFonts w:eastAsia="Times New Roman"/>
          <w:color w:val="000000"/>
        </w:rPr>
        <w:t>a</w:t>
      </w:r>
      <w:r w:rsidR="00A21F21" w:rsidRPr="00A0027B">
        <w:rPr>
          <w:rFonts w:eastAsia="Times New Roman"/>
          <w:color w:val="000000"/>
        </w:rPr>
        <w:t>ir (</w:t>
      </w:r>
      <w:r w:rsidRPr="00A0027B">
        <w:rPr>
          <w:rFonts w:eastAsia="Times New Roman"/>
          <w:color w:val="000000"/>
        </w:rPr>
        <w:t>HEPA</w:t>
      </w:r>
      <w:r w:rsidR="00A21F21" w:rsidRPr="00A0027B">
        <w:rPr>
          <w:rFonts w:eastAsia="Times New Roman"/>
          <w:color w:val="000000"/>
        </w:rPr>
        <w:t>)</w:t>
      </w:r>
      <w:r w:rsidRPr="00A0027B">
        <w:rPr>
          <w:rFonts w:eastAsia="Times New Roman"/>
          <w:color w:val="000000"/>
        </w:rPr>
        <w:t xml:space="preserve"> filter modules (</w:t>
      </w:r>
      <w:r w:rsidR="000E0546" w:rsidRPr="00A0027B">
        <w:rPr>
          <w:rFonts w:eastAsia="Times New Roman"/>
          <w:color w:val="000000"/>
        </w:rPr>
        <w:t xml:space="preserve">see </w:t>
      </w:r>
      <w:r w:rsidRPr="00A0027B">
        <w:rPr>
          <w:rFonts w:eastAsia="Times New Roman"/>
          <w:b/>
          <w:bCs/>
          <w:color w:val="000000"/>
        </w:rPr>
        <w:t>Table of Materials</w:t>
      </w:r>
      <w:r w:rsidRPr="00A0027B">
        <w:rPr>
          <w:rFonts w:eastAsia="Times New Roman"/>
          <w:color w:val="000000"/>
        </w:rPr>
        <w:t xml:space="preserve">) to the top of each liquid handling robot </w:t>
      </w:r>
      <w:r w:rsidR="00DB66B8" w:rsidRPr="00A0027B">
        <w:rPr>
          <w:rFonts w:eastAsia="Times New Roman"/>
          <w:color w:val="000000"/>
        </w:rPr>
        <w:t xml:space="preserve">as </w:t>
      </w:r>
      <w:r w:rsidRPr="00A0027B">
        <w:rPr>
          <w:rFonts w:eastAsia="Times New Roman"/>
          <w:color w:val="000000"/>
        </w:rPr>
        <w:t>per manufacturer</w:t>
      </w:r>
      <w:r w:rsidR="00293A17">
        <w:rPr>
          <w:rFonts w:eastAsia="Times New Roman"/>
          <w:color w:val="000000"/>
        </w:rPr>
        <w:t>’s</w:t>
      </w:r>
      <w:r w:rsidRPr="00A0027B">
        <w:rPr>
          <w:rFonts w:eastAsia="Times New Roman"/>
          <w:color w:val="000000"/>
        </w:rPr>
        <w:t xml:space="preserve"> instructions.</w:t>
      </w:r>
    </w:p>
    <w:p w14:paraId="3DA5D723" w14:textId="77777777" w:rsidR="00087B11" w:rsidRPr="00A0027B" w:rsidRDefault="00087B11" w:rsidP="00A0027B">
      <w:pPr>
        <w:widowControl/>
        <w:textAlignment w:val="baseline"/>
        <w:rPr>
          <w:rFonts w:eastAsia="Times New Roman"/>
          <w:color w:val="000000"/>
        </w:rPr>
      </w:pPr>
    </w:p>
    <w:p w14:paraId="78C1F1CE" w14:textId="68ED196D" w:rsidR="00087B11"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Attach an 8-channel P20 pipette to the left mount</w:t>
      </w:r>
      <w:r w:rsidR="0020156A" w:rsidRPr="00A0027B">
        <w:rPr>
          <w:rFonts w:eastAsia="Times New Roman"/>
          <w:color w:val="000000"/>
        </w:rPr>
        <w:t xml:space="preserve"> of the master mix plate preparation robot(s)</w:t>
      </w:r>
      <w:r w:rsidRPr="00A0027B">
        <w:rPr>
          <w:rFonts w:eastAsia="Times New Roman"/>
          <w:color w:val="000000"/>
        </w:rPr>
        <w:t xml:space="preserve"> </w:t>
      </w:r>
      <w:r w:rsidR="00DB66B8" w:rsidRPr="00A0027B">
        <w:rPr>
          <w:rFonts w:eastAsia="Times New Roman"/>
          <w:color w:val="000000"/>
        </w:rPr>
        <w:t xml:space="preserve">as </w:t>
      </w:r>
      <w:r w:rsidRPr="00A0027B">
        <w:rPr>
          <w:rFonts w:eastAsia="Times New Roman"/>
          <w:color w:val="000000"/>
        </w:rPr>
        <w:t>per manufacturer</w:t>
      </w:r>
      <w:r w:rsidR="00293A17">
        <w:rPr>
          <w:rFonts w:eastAsia="Times New Roman"/>
          <w:color w:val="000000"/>
        </w:rPr>
        <w:t>’s</w:t>
      </w:r>
      <w:r w:rsidRPr="00A0027B">
        <w:rPr>
          <w:rFonts w:eastAsia="Times New Roman"/>
          <w:color w:val="000000"/>
        </w:rPr>
        <w:t xml:space="preserve"> instructions.</w:t>
      </w:r>
    </w:p>
    <w:p w14:paraId="3A8BE31C" w14:textId="6F0B4B54" w:rsidR="002E4C19" w:rsidRPr="00A0027B" w:rsidRDefault="002E4C19" w:rsidP="00A0027B">
      <w:pPr>
        <w:widowControl/>
        <w:textAlignment w:val="baseline"/>
        <w:rPr>
          <w:rFonts w:eastAsia="Times New Roman"/>
          <w:color w:val="000000"/>
        </w:rPr>
      </w:pPr>
    </w:p>
    <w:p w14:paraId="23946C29" w14:textId="4A1BCAB6"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Attach a P20 pipette to the right </w:t>
      </w:r>
      <w:proofErr w:type="spellStart"/>
      <w:r w:rsidRPr="00A0027B">
        <w:rPr>
          <w:rFonts w:eastAsia="Times New Roman"/>
          <w:color w:val="000000"/>
        </w:rPr>
        <w:t>mount</w:t>
      </w:r>
      <w:proofErr w:type="spellEnd"/>
      <w:r w:rsidR="0020156A" w:rsidRPr="00A0027B">
        <w:rPr>
          <w:rFonts w:eastAsia="Times New Roman"/>
          <w:color w:val="000000"/>
        </w:rPr>
        <w:t xml:space="preserve"> of the sample loading robot(s)</w:t>
      </w:r>
      <w:r w:rsidR="002503EC" w:rsidRPr="00A0027B">
        <w:rPr>
          <w:rFonts w:eastAsia="Times New Roman"/>
          <w:color w:val="000000"/>
        </w:rPr>
        <w:t xml:space="preserve"> </w:t>
      </w:r>
      <w:r w:rsidR="00BC2979" w:rsidRPr="00A0027B">
        <w:rPr>
          <w:rFonts w:eastAsia="Times New Roman"/>
          <w:color w:val="000000"/>
        </w:rPr>
        <w:t xml:space="preserve">as </w:t>
      </w:r>
      <w:r w:rsidRPr="00A0027B">
        <w:rPr>
          <w:rFonts w:eastAsia="Times New Roman"/>
          <w:color w:val="000000"/>
        </w:rPr>
        <w:t>per manufacturer</w:t>
      </w:r>
      <w:r w:rsidR="00293A17">
        <w:rPr>
          <w:rFonts w:eastAsia="Times New Roman"/>
          <w:color w:val="000000"/>
        </w:rPr>
        <w:t>’s</w:t>
      </w:r>
      <w:r w:rsidRPr="00A0027B">
        <w:rPr>
          <w:rFonts w:eastAsia="Times New Roman"/>
          <w:color w:val="000000"/>
        </w:rPr>
        <w:t xml:space="preserve"> </w:t>
      </w:r>
      <w:r w:rsidR="0020156A" w:rsidRPr="00A0027B">
        <w:rPr>
          <w:rFonts w:eastAsia="Times New Roman"/>
          <w:color w:val="000000"/>
        </w:rPr>
        <w:t>instructions.</w:t>
      </w:r>
    </w:p>
    <w:p w14:paraId="5EEA734D" w14:textId="77777777" w:rsidR="00087B11" w:rsidRPr="00A0027B" w:rsidRDefault="00087B11" w:rsidP="00A0027B">
      <w:pPr>
        <w:widowControl/>
        <w:textAlignment w:val="baseline"/>
        <w:rPr>
          <w:rFonts w:eastAsia="Times New Roman"/>
          <w:color w:val="000000"/>
        </w:rPr>
      </w:pPr>
    </w:p>
    <w:p w14:paraId="10062336" w14:textId="6F6C7359"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Download the custom Python scripts</w:t>
      </w:r>
      <w:r w:rsidR="00216CBB" w:rsidRPr="00A0027B">
        <w:rPr>
          <w:rFonts w:eastAsia="Times New Roman"/>
          <w:color w:val="000000"/>
        </w:rPr>
        <w:t xml:space="preserve"> (</w:t>
      </w:r>
      <w:r w:rsidR="00216CBB" w:rsidRPr="00A0027B">
        <w:rPr>
          <w:rFonts w:eastAsia="Times New Roman"/>
          <w:b/>
          <w:bCs/>
          <w:color w:val="000000"/>
        </w:rPr>
        <w:t xml:space="preserve">Supplemental </w:t>
      </w:r>
      <w:r w:rsidR="00626BE5" w:rsidRPr="00A0027B">
        <w:rPr>
          <w:rFonts w:eastAsia="Times New Roman"/>
          <w:b/>
          <w:bCs/>
          <w:color w:val="000000"/>
        </w:rPr>
        <w:t>F</w:t>
      </w:r>
      <w:r w:rsidR="00216CBB" w:rsidRPr="00A0027B">
        <w:rPr>
          <w:rFonts w:eastAsia="Times New Roman"/>
          <w:b/>
          <w:bCs/>
          <w:color w:val="000000"/>
        </w:rPr>
        <w:t xml:space="preserve">ile 1 and </w:t>
      </w:r>
      <w:r w:rsidR="00BC2979" w:rsidRPr="00A0027B">
        <w:rPr>
          <w:rFonts w:eastAsia="Times New Roman"/>
          <w:b/>
          <w:bCs/>
          <w:color w:val="000000"/>
        </w:rPr>
        <w:t xml:space="preserve">Supplemental </w:t>
      </w:r>
      <w:r w:rsidR="00626BE5" w:rsidRPr="00A0027B">
        <w:rPr>
          <w:rFonts w:eastAsia="Times New Roman"/>
          <w:b/>
          <w:bCs/>
          <w:color w:val="000000"/>
        </w:rPr>
        <w:t>F</w:t>
      </w:r>
      <w:r w:rsidR="00BC2979" w:rsidRPr="00A0027B">
        <w:rPr>
          <w:rFonts w:eastAsia="Times New Roman"/>
          <w:b/>
          <w:bCs/>
          <w:color w:val="000000"/>
        </w:rPr>
        <w:t xml:space="preserve">ile </w:t>
      </w:r>
      <w:r w:rsidR="00216CBB" w:rsidRPr="00A0027B">
        <w:rPr>
          <w:rFonts w:eastAsia="Times New Roman"/>
          <w:b/>
          <w:bCs/>
          <w:color w:val="000000"/>
        </w:rPr>
        <w:t>2</w:t>
      </w:r>
      <w:r w:rsidR="00216CBB" w:rsidRPr="00A0027B">
        <w:rPr>
          <w:rFonts w:eastAsia="Times New Roman"/>
          <w:color w:val="000000"/>
        </w:rPr>
        <w:t xml:space="preserve">) </w:t>
      </w:r>
      <w:r w:rsidR="00BC2979" w:rsidRPr="00A0027B">
        <w:rPr>
          <w:rFonts w:eastAsia="Times New Roman"/>
          <w:color w:val="000000"/>
        </w:rPr>
        <w:t>on</w:t>
      </w:r>
      <w:r w:rsidRPr="00A0027B">
        <w:rPr>
          <w:rFonts w:eastAsia="Times New Roman"/>
          <w:color w:val="000000"/>
        </w:rPr>
        <w:t xml:space="preserve"> the appropriate computers. </w:t>
      </w:r>
    </w:p>
    <w:p w14:paraId="18E3727D" w14:textId="77777777" w:rsidR="00087B11" w:rsidRPr="00A0027B" w:rsidRDefault="00087B11" w:rsidP="00A0027B">
      <w:pPr>
        <w:widowControl/>
        <w:textAlignment w:val="baseline"/>
        <w:rPr>
          <w:rFonts w:eastAsia="Times New Roman"/>
          <w:color w:val="000000"/>
        </w:rPr>
      </w:pPr>
    </w:p>
    <w:p w14:paraId="56817893" w14:textId="099EE70C"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Open </w:t>
      </w:r>
      <w:proofErr w:type="spellStart"/>
      <w:r w:rsidR="00405847" w:rsidRPr="00A0027B">
        <w:rPr>
          <w:rFonts w:eastAsia="Times New Roman"/>
          <w:b/>
          <w:bCs/>
          <w:color w:val="000000"/>
        </w:rPr>
        <w:t>TigerSaliva</w:t>
      </w:r>
      <w:proofErr w:type="spellEnd"/>
      <w:r w:rsidR="00405847" w:rsidRPr="00A0027B">
        <w:rPr>
          <w:rFonts w:eastAsia="Times New Roman"/>
          <w:b/>
          <w:bCs/>
          <w:color w:val="000000"/>
        </w:rPr>
        <w:t xml:space="preserve"> Full 384 Loading</w:t>
      </w:r>
      <w:r w:rsidRPr="00A0027B">
        <w:rPr>
          <w:rFonts w:eastAsia="Times New Roman"/>
          <w:b/>
          <w:bCs/>
          <w:color w:val="000000"/>
        </w:rPr>
        <w:t>.py</w:t>
      </w:r>
      <w:r w:rsidRPr="00A0027B">
        <w:rPr>
          <w:rFonts w:eastAsia="Times New Roman"/>
          <w:color w:val="000000"/>
        </w:rPr>
        <w:t xml:space="preserve"> in the desktop application at the sample loading robot computers. Click </w:t>
      </w:r>
      <w:r w:rsidRPr="00A0027B">
        <w:rPr>
          <w:rFonts w:eastAsia="Times New Roman"/>
          <w:b/>
          <w:bCs/>
          <w:color w:val="000000"/>
        </w:rPr>
        <w:t>Calibrate</w:t>
      </w:r>
      <w:r w:rsidRPr="00A0027B">
        <w:rPr>
          <w:rFonts w:eastAsia="Times New Roman"/>
          <w:color w:val="000000"/>
        </w:rPr>
        <w:t xml:space="preserve"> and set up both the pipette and the program </w:t>
      </w:r>
      <w:r w:rsidR="003C79DF" w:rsidRPr="00A0027B">
        <w:rPr>
          <w:rFonts w:eastAsia="Times New Roman"/>
          <w:color w:val="000000"/>
        </w:rPr>
        <w:t xml:space="preserve">as </w:t>
      </w:r>
      <w:r w:rsidRPr="00A0027B">
        <w:rPr>
          <w:rFonts w:eastAsia="Times New Roman"/>
          <w:color w:val="000000"/>
        </w:rPr>
        <w:t>per software directions. </w:t>
      </w:r>
    </w:p>
    <w:p w14:paraId="259D7869" w14:textId="77777777" w:rsidR="00087B11" w:rsidRPr="00A0027B" w:rsidRDefault="00087B11" w:rsidP="00A0027B">
      <w:pPr>
        <w:widowControl/>
        <w:textAlignment w:val="baseline"/>
        <w:rPr>
          <w:rFonts w:eastAsia="Times New Roman"/>
          <w:color w:val="000000"/>
        </w:rPr>
      </w:pPr>
    </w:p>
    <w:p w14:paraId="3FFB94D1" w14:textId="7F8174E0"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Open </w:t>
      </w:r>
      <w:r w:rsidR="00405847" w:rsidRPr="00A0027B">
        <w:rPr>
          <w:rFonts w:eastAsia="Times New Roman"/>
          <w:b/>
          <w:bCs/>
          <w:color w:val="000000"/>
        </w:rPr>
        <w:t>12 Full Plates.py</w:t>
      </w:r>
      <w:r w:rsidRPr="00A0027B">
        <w:rPr>
          <w:rFonts w:eastAsia="Times New Roman"/>
          <w:color w:val="000000"/>
        </w:rPr>
        <w:t xml:space="preserve"> in the desktop application at the master</w:t>
      </w:r>
      <w:r w:rsidR="003C79DF" w:rsidRPr="00A0027B">
        <w:rPr>
          <w:rFonts w:eastAsia="Times New Roman"/>
          <w:color w:val="000000"/>
        </w:rPr>
        <w:t xml:space="preserve"> </w:t>
      </w:r>
      <w:r w:rsidRPr="00A0027B">
        <w:rPr>
          <w:rFonts w:eastAsia="Times New Roman"/>
          <w:color w:val="000000"/>
        </w:rPr>
        <w:t xml:space="preserve">mix robot computer. Click </w:t>
      </w:r>
      <w:r w:rsidRPr="00A0027B">
        <w:rPr>
          <w:rFonts w:eastAsia="Times New Roman"/>
          <w:b/>
          <w:bCs/>
          <w:color w:val="000000"/>
        </w:rPr>
        <w:t>Calibrate</w:t>
      </w:r>
      <w:r w:rsidRPr="00A0027B">
        <w:rPr>
          <w:rFonts w:eastAsia="Times New Roman"/>
          <w:color w:val="000000"/>
        </w:rPr>
        <w:t xml:space="preserve"> and set up both the pipette and the program </w:t>
      </w:r>
      <w:r w:rsidR="003C79DF" w:rsidRPr="00A0027B">
        <w:rPr>
          <w:rFonts w:eastAsia="Times New Roman"/>
          <w:color w:val="000000"/>
        </w:rPr>
        <w:t xml:space="preserve">as </w:t>
      </w:r>
      <w:r w:rsidRPr="00A0027B">
        <w:rPr>
          <w:rFonts w:eastAsia="Times New Roman"/>
          <w:color w:val="000000"/>
        </w:rPr>
        <w:t>per software directions. </w:t>
      </w:r>
    </w:p>
    <w:p w14:paraId="204E170E" w14:textId="77777777" w:rsidR="00087B11" w:rsidRPr="00A0027B" w:rsidRDefault="00087B11" w:rsidP="00A0027B">
      <w:pPr>
        <w:widowControl/>
        <w:textAlignment w:val="baseline"/>
        <w:rPr>
          <w:rFonts w:eastAsia="Times New Roman"/>
          <w:color w:val="000000"/>
        </w:rPr>
      </w:pPr>
    </w:p>
    <w:p w14:paraId="6B43BC51" w14:textId="4C5BDE1C" w:rsidR="002E4C19" w:rsidRPr="00A0027B" w:rsidRDefault="00216CBB" w:rsidP="00A0027B">
      <w:pPr>
        <w:pStyle w:val="ListParagraph"/>
        <w:numPr>
          <w:ilvl w:val="1"/>
          <w:numId w:val="13"/>
        </w:numPr>
        <w:ind w:left="0" w:firstLine="0"/>
        <w:contextualSpacing w:val="0"/>
      </w:pPr>
      <w:r w:rsidRPr="00A0027B">
        <w:rPr>
          <w:rFonts w:eastAsia="Times New Roman"/>
          <w:color w:val="000000"/>
        </w:rPr>
        <w:t xml:space="preserve">Print custom sample racks with a fused deposition modeling </w:t>
      </w:r>
      <w:r w:rsidR="00E26B57" w:rsidRPr="00A0027B">
        <w:rPr>
          <w:rFonts w:eastAsia="Times New Roman"/>
          <w:color w:val="000000"/>
        </w:rPr>
        <w:t>three-dimen</w:t>
      </w:r>
      <w:r w:rsidR="0024501F" w:rsidRPr="00A0027B">
        <w:rPr>
          <w:rFonts w:eastAsia="Times New Roman"/>
          <w:color w:val="000000"/>
        </w:rPr>
        <w:t>si</w:t>
      </w:r>
      <w:r w:rsidR="00E26B57" w:rsidRPr="00A0027B">
        <w:rPr>
          <w:rFonts w:eastAsia="Times New Roman"/>
          <w:color w:val="000000"/>
        </w:rPr>
        <w:t>onal (</w:t>
      </w:r>
      <w:r w:rsidRPr="00A0027B">
        <w:rPr>
          <w:rFonts w:eastAsia="Times New Roman"/>
          <w:color w:val="000000"/>
        </w:rPr>
        <w:t>3D</w:t>
      </w:r>
      <w:r w:rsidR="0024501F" w:rsidRPr="00A0027B">
        <w:rPr>
          <w:rFonts w:eastAsia="Times New Roman"/>
          <w:color w:val="000000"/>
        </w:rPr>
        <w:t>)</w:t>
      </w:r>
      <w:r w:rsidRPr="00A0027B">
        <w:rPr>
          <w:rFonts w:eastAsia="Times New Roman"/>
          <w:color w:val="000000"/>
        </w:rPr>
        <w:t xml:space="preserve"> printer using </w:t>
      </w:r>
      <w:r w:rsidR="00E26B57" w:rsidRPr="00A0027B">
        <w:rPr>
          <w:rFonts w:eastAsia="Times New Roman"/>
          <w:color w:val="000000"/>
        </w:rPr>
        <w:t xml:space="preserve">a </w:t>
      </w:r>
      <w:r w:rsidR="0081558B" w:rsidRPr="00A0027B">
        <w:rPr>
          <w:rFonts w:eastAsia="Times New Roman"/>
          <w:color w:val="000000"/>
        </w:rPr>
        <w:t>computer-aided design (</w:t>
      </w:r>
      <w:r w:rsidRPr="00A0027B">
        <w:rPr>
          <w:rFonts w:eastAsia="Times New Roman"/>
          <w:color w:val="000000"/>
        </w:rPr>
        <w:t>CAD</w:t>
      </w:r>
      <w:r w:rsidR="0081558B" w:rsidRPr="00A0027B">
        <w:rPr>
          <w:rFonts w:eastAsia="Times New Roman"/>
          <w:color w:val="000000"/>
        </w:rPr>
        <w:t>)</w:t>
      </w:r>
      <w:r w:rsidRPr="00A0027B">
        <w:rPr>
          <w:rFonts w:eastAsia="Times New Roman"/>
          <w:color w:val="000000"/>
        </w:rPr>
        <w:t xml:space="preserve"> file (</w:t>
      </w:r>
      <w:hyperlink r:id="rId8" w:history="1">
        <w:r w:rsidR="00EE3A07" w:rsidRPr="00A0027B">
          <w:rPr>
            <w:rStyle w:val="Hyperlink"/>
            <w:rFonts w:eastAsia="Times New Roman"/>
          </w:rPr>
          <w:t>https://www.myminifactory.com/object/3d-print-141363</w:t>
        </w:r>
      </w:hyperlink>
      <w:r w:rsidRPr="00A0027B">
        <w:rPr>
          <w:rFonts w:eastAsia="Times New Roman"/>
          <w:color w:val="000000"/>
        </w:rPr>
        <w:t>).</w:t>
      </w:r>
      <w:r w:rsidR="000E0546" w:rsidRPr="00A0027B">
        <w:rPr>
          <w:rFonts w:eastAsia="Times New Roman"/>
          <w:color w:val="000000"/>
        </w:rPr>
        <w:t xml:space="preserve"> </w:t>
      </w:r>
      <w:r w:rsidR="002E4C19" w:rsidRPr="00A0027B">
        <w:t xml:space="preserve">Print 16 racks per sample loading robot, for two sets of </w:t>
      </w:r>
      <w:r w:rsidR="00C31FAB">
        <w:t>eight</w:t>
      </w:r>
      <w:r w:rsidR="002E4C19" w:rsidRPr="00A0027B">
        <w:t xml:space="preserve"> racks.</w:t>
      </w:r>
    </w:p>
    <w:p w14:paraId="37B71A47" w14:textId="77777777" w:rsidR="00087B11" w:rsidRPr="00A0027B" w:rsidRDefault="00087B11" w:rsidP="00A0027B">
      <w:pPr>
        <w:pStyle w:val="ListParagraph"/>
        <w:widowControl/>
        <w:ind w:left="0"/>
        <w:contextualSpacing w:val="0"/>
        <w:rPr>
          <w:rFonts w:eastAsia="Times New Roman"/>
        </w:rPr>
      </w:pPr>
    </w:p>
    <w:p w14:paraId="250CB088" w14:textId="486C4A09" w:rsidR="002E4C19" w:rsidRPr="00A0027B" w:rsidRDefault="002E4C19" w:rsidP="00A0027B">
      <w:pPr>
        <w:widowControl/>
        <w:numPr>
          <w:ilvl w:val="0"/>
          <w:numId w:val="13"/>
        </w:numPr>
        <w:ind w:left="0" w:firstLine="0"/>
        <w:textAlignment w:val="baseline"/>
        <w:rPr>
          <w:rFonts w:eastAsia="Times New Roman"/>
          <w:b/>
          <w:bCs/>
          <w:color w:val="000000"/>
        </w:rPr>
      </w:pPr>
      <w:r w:rsidRPr="00A0027B">
        <w:rPr>
          <w:rFonts w:eastAsia="Times New Roman"/>
          <w:b/>
          <w:bCs/>
          <w:color w:val="000000"/>
        </w:rPr>
        <w:t>Preparation of 20</w:t>
      </w:r>
      <w:r w:rsidR="0024501F" w:rsidRPr="00A0027B">
        <w:rPr>
          <w:rFonts w:eastAsia="Times New Roman"/>
          <w:b/>
          <w:bCs/>
          <w:color w:val="000000"/>
        </w:rPr>
        <w:t>x</w:t>
      </w:r>
      <w:r w:rsidRPr="00A0027B">
        <w:rPr>
          <w:rFonts w:eastAsia="Times New Roman"/>
          <w:b/>
          <w:bCs/>
          <w:color w:val="000000"/>
        </w:rPr>
        <w:t xml:space="preserve"> </w:t>
      </w:r>
      <w:r w:rsidR="0024501F" w:rsidRPr="00A0027B">
        <w:rPr>
          <w:rFonts w:eastAsia="Times New Roman"/>
          <w:b/>
          <w:bCs/>
          <w:color w:val="000000"/>
        </w:rPr>
        <w:t>m</w:t>
      </w:r>
      <w:r w:rsidRPr="00A0027B">
        <w:rPr>
          <w:rFonts w:eastAsia="Times New Roman"/>
          <w:b/>
          <w:bCs/>
          <w:color w:val="000000"/>
        </w:rPr>
        <w:t xml:space="preserve">ultiplex N1+P1 </w:t>
      </w:r>
      <w:r w:rsidR="0024501F" w:rsidRPr="00A0027B">
        <w:rPr>
          <w:rFonts w:eastAsia="Times New Roman"/>
          <w:b/>
          <w:bCs/>
          <w:color w:val="000000"/>
        </w:rPr>
        <w:t>p</w:t>
      </w:r>
      <w:r w:rsidRPr="00A0027B">
        <w:rPr>
          <w:rFonts w:eastAsia="Times New Roman"/>
          <w:b/>
          <w:bCs/>
          <w:color w:val="000000"/>
        </w:rPr>
        <w:t>robe/</w:t>
      </w:r>
      <w:r w:rsidR="0024501F" w:rsidRPr="00A0027B">
        <w:rPr>
          <w:rFonts w:eastAsia="Times New Roman"/>
          <w:b/>
          <w:bCs/>
          <w:color w:val="000000"/>
        </w:rPr>
        <w:t>p</w:t>
      </w:r>
      <w:r w:rsidRPr="00A0027B">
        <w:rPr>
          <w:rFonts w:eastAsia="Times New Roman"/>
          <w:b/>
          <w:bCs/>
          <w:color w:val="000000"/>
        </w:rPr>
        <w:t xml:space="preserve">rimer </w:t>
      </w:r>
      <w:r w:rsidR="0024501F" w:rsidRPr="00A0027B">
        <w:rPr>
          <w:rFonts w:eastAsia="Times New Roman"/>
          <w:b/>
          <w:bCs/>
          <w:color w:val="000000"/>
        </w:rPr>
        <w:t>m</w:t>
      </w:r>
      <w:r w:rsidRPr="00A0027B">
        <w:rPr>
          <w:rFonts w:eastAsia="Times New Roman"/>
          <w:b/>
          <w:bCs/>
          <w:color w:val="000000"/>
        </w:rPr>
        <w:t>ix</w:t>
      </w:r>
    </w:p>
    <w:p w14:paraId="3A9C230C" w14:textId="77777777" w:rsidR="00087B11" w:rsidRPr="00A0027B" w:rsidRDefault="00087B11" w:rsidP="00A0027B">
      <w:pPr>
        <w:pStyle w:val="ListParagraph"/>
        <w:widowControl/>
        <w:ind w:left="0"/>
        <w:contextualSpacing w:val="0"/>
        <w:textAlignment w:val="baseline"/>
        <w:rPr>
          <w:rFonts w:eastAsia="Times New Roman"/>
          <w:b/>
          <w:bCs/>
          <w:color w:val="000000"/>
        </w:rPr>
      </w:pPr>
    </w:p>
    <w:p w14:paraId="7F58E8F8" w14:textId="38A208C3" w:rsidR="002E4C19" w:rsidRPr="00A0027B" w:rsidRDefault="002E4C19" w:rsidP="00A0027B">
      <w:pPr>
        <w:pStyle w:val="ListParagraph"/>
        <w:widowControl/>
        <w:numPr>
          <w:ilvl w:val="1"/>
          <w:numId w:val="13"/>
        </w:numPr>
        <w:ind w:left="0" w:firstLine="0"/>
        <w:contextualSpacing w:val="0"/>
        <w:textAlignment w:val="baseline"/>
        <w:rPr>
          <w:rFonts w:eastAsia="Times New Roman"/>
          <w:color w:val="000000"/>
        </w:rPr>
      </w:pPr>
      <w:r w:rsidRPr="00A0027B">
        <w:rPr>
          <w:rFonts w:eastAsia="Times New Roman"/>
          <w:color w:val="000000"/>
        </w:rPr>
        <w:t xml:space="preserve">Prepare a batch of </w:t>
      </w:r>
      <w:r w:rsidR="003F42F2" w:rsidRPr="00A0027B">
        <w:rPr>
          <w:rFonts w:eastAsia="Times New Roman"/>
          <w:color w:val="000000"/>
        </w:rPr>
        <w:t>20x m</w:t>
      </w:r>
      <w:r w:rsidRPr="00A0027B">
        <w:rPr>
          <w:rFonts w:eastAsia="Times New Roman"/>
          <w:color w:val="000000"/>
        </w:rPr>
        <w:t xml:space="preserve">ultiplex N1+P1 </w:t>
      </w:r>
      <w:r w:rsidR="00D34677" w:rsidRPr="00A0027B">
        <w:rPr>
          <w:rFonts w:eastAsia="Times New Roman"/>
          <w:color w:val="000000"/>
        </w:rPr>
        <w:t>p</w:t>
      </w:r>
      <w:r w:rsidRPr="00A0027B">
        <w:rPr>
          <w:rFonts w:eastAsia="Times New Roman"/>
          <w:color w:val="000000"/>
        </w:rPr>
        <w:t>robe/</w:t>
      </w:r>
      <w:r w:rsidR="00D34677" w:rsidRPr="00A0027B">
        <w:rPr>
          <w:rFonts w:eastAsia="Times New Roman"/>
          <w:color w:val="000000"/>
        </w:rPr>
        <w:t>p</w:t>
      </w:r>
      <w:r w:rsidRPr="00A0027B">
        <w:rPr>
          <w:rFonts w:eastAsia="Times New Roman"/>
          <w:color w:val="000000"/>
        </w:rPr>
        <w:t xml:space="preserve">rimer </w:t>
      </w:r>
      <w:r w:rsidR="00D34677" w:rsidRPr="00A0027B">
        <w:rPr>
          <w:rFonts w:eastAsia="Times New Roman"/>
          <w:color w:val="000000"/>
        </w:rPr>
        <w:t>m</w:t>
      </w:r>
      <w:r w:rsidRPr="00A0027B">
        <w:rPr>
          <w:rFonts w:eastAsia="Times New Roman"/>
          <w:color w:val="000000"/>
        </w:rPr>
        <w:t xml:space="preserve">ix (total volume of 20 mL, </w:t>
      </w:r>
      <w:r w:rsidRPr="00A0027B">
        <w:rPr>
          <w:rFonts w:eastAsia="Times New Roman"/>
          <w:b/>
          <w:bCs/>
          <w:color w:val="000000"/>
        </w:rPr>
        <w:t>Table 1</w:t>
      </w:r>
      <w:r w:rsidRPr="00A0027B">
        <w:rPr>
          <w:rFonts w:eastAsia="Times New Roman"/>
          <w:color w:val="000000"/>
        </w:rPr>
        <w:t>) in a 50 mL conical tube</w:t>
      </w:r>
      <w:r w:rsidR="003F42F2" w:rsidRPr="00A0027B">
        <w:rPr>
          <w:rFonts w:eastAsia="Times New Roman"/>
          <w:b/>
          <w:bCs/>
          <w:color w:val="000000"/>
        </w:rPr>
        <w:t xml:space="preserve"> </w:t>
      </w:r>
      <w:r w:rsidR="003F42F2" w:rsidRPr="00A0027B">
        <w:rPr>
          <w:rFonts w:eastAsia="Times New Roman"/>
          <w:color w:val="000000"/>
        </w:rPr>
        <w:t xml:space="preserve">in a sterile environment away from synthetic SARS-CoV-2 RNA or patient specimens. </w:t>
      </w:r>
    </w:p>
    <w:p w14:paraId="0DCC940B" w14:textId="77777777" w:rsidR="00087B11" w:rsidRPr="00A0027B" w:rsidRDefault="00087B11" w:rsidP="00A0027B">
      <w:pPr>
        <w:widowControl/>
        <w:textAlignment w:val="baseline"/>
        <w:rPr>
          <w:rFonts w:eastAsia="Times New Roman"/>
          <w:color w:val="000000"/>
        </w:rPr>
      </w:pPr>
    </w:p>
    <w:p w14:paraId="10EE7825" w14:textId="08A1BE41"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lastRenderedPageBreak/>
        <w:t xml:space="preserve">Aliquot 1.6 mL </w:t>
      </w:r>
      <w:r w:rsidR="009E5FA1" w:rsidRPr="00A0027B">
        <w:rPr>
          <w:rFonts w:eastAsia="Times New Roman"/>
          <w:color w:val="000000"/>
        </w:rPr>
        <w:t xml:space="preserve">of the mix </w:t>
      </w:r>
      <w:r w:rsidRPr="00A0027B">
        <w:rPr>
          <w:rFonts w:eastAsia="Times New Roman"/>
          <w:color w:val="000000"/>
        </w:rPr>
        <w:t>using a serological pipette into sterile 2.0 mL centrifuge tubes and label appropriately. </w:t>
      </w:r>
    </w:p>
    <w:p w14:paraId="52044B0B" w14:textId="77777777" w:rsidR="00087B11" w:rsidRPr="00A0027B" w:rsidRDefault="00087B11" w:rsidP="00A0027B">
      <w:pPr>
        <w:widowControl/>
        <w:textAlignment w:val="baseline"/>
        <w:rPr>
          <w:rFonts w:eastAsia="Times New Roman"/>
          <w:color w:val="000000"/>
        </w:rPr>
      </w:pPr>
    </w:p>
    <w:p w14:paraId="2783D545" w14:textId="3B36E7DF"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Store aliquots in </w:t>
      </w:r>
      <w:r w:rsidR="00D55C2B" w:rsidRPr="00A0027B">
        <w:rPr>
          <w:rFonts w:eastAsia="Times New Roman"/>
          <w:color w:val="000000"/>
        </w:rPr>
        <w:t xml:space="preserve">a </w:t>
      </w:r>
      <w:r w:rsidRPr="00A0027B">
        <w:rPr>
          <w:rFonts w:eastAsia="Times New Roman"/>
          <w:color w:val="000000"/>
        </w:rPr>
        <w:t>-20</w:t>
      </w:r>
      <w:r w:rsidR="00BC0861" w:rsidRPr="00A0027B">
        <w:rPr>
          <w:rFonts w:eastAsia="Times New Roman"/>
          <w:color w:val="000000"/>
        </w:rPr>
        <w:t xml:space="preserve"> </w:t>
      </w:r>
      <w:r w:rsidRPr="00A0027B">
        <w:rPr>
          <w:rFonts w:eastAsia="Times New Roman"/>
          <w:color w:val="000000"/>
        </w:rPr>
        <w:t>°C freezer until ready to use. </w:t>
      </w:r>
    </w:p>
    <w:p w14:paraId="262E82C2" w14:textId="77777777" w:rsidR="00087B11" w:rsidRPr="00A0027B" w:rsidRDefault="00087B11" w:rsidP="00A0027B">
      <w:pPr>
        <w:widowControl/>
        <w:textAlignment w:val="baseline"/>
        <w:rPr>
          <w:rFonts w:eastAsia="Times New Roman"/>
          <w:color w:val="000000"/>
        </w:rPr>
      </w:pPr>
    </w:p>
    <w:p w14:paraId="079989E4" w14:textId="7BAF6E1A" w:rsidR="002E4C19" w:rsidRPr="00A0027B" w:rsidRDefault="002E4C19" w:rsidP="00A0027B">
      <w:pPr>
        <w:widowControl/>
        <w:numPr>
          <w:ilvl w:val="0"/>
          <w:numId w:val="13"/>
        </w:numPr>
        <w:ind w:left="0" w:firstLine="0"/>
        <w:textAlignment w:val="baseline"/>
        <w:rPr>
          <w:rFonts w:eastAsia="Times New Roman"/>
          <w:b/>
          <w:bCs/>
          <w:color w:val="000000"/>
        </w:rPr>
      </w:pPr>
      <w:r w:rsidRPr="00A0027B">
        <w:rPr>
          <w:rFonts w:eastAsia="Times New Roman"/>
          <w:b/>
          <w:bCs/>
          <w:color w:val="000000"/>
        </w:rPr>
        <w:t xml:space="preserve">Preparation of </w:t>
      </w:r>
      <w:r w:rsidR="00D55C2B" w:rsidRPr="00A0027B">
        <w:rPr>
          <w:rFonts w:eastAsia="Times New Roman"/>
          <w:b/>
          <w:bCs/>
          <w:color w:val="000000"/>
        </w:rPr>
        <w:t>p</w:t>
      </w:r>
      <w:r w:rsidRPr="00A0027B">
        <w:rPr>
          <w:rFonts w:eastAsia="Times New Roman"/>
          <w:b/>
          <w:bCs/>
          <w:color w:val="000000"/>
        </w:rPr>
        <w:t xml:space="preserve">ositive </w:t>
      </w:r>
      <w:r w:rsidR="00D55C2B" w:rsidRPr="00A0027B">
        <w:rPr>
          <w:rFonts w:eastAsia="Times New Roman"/>
          <w:b/>
          <w:bCs/>
          <w:color w:val="000000"/>
        </w:rPr>
        <w:t>c</w:t>
      </w:r>
      <w:r w:rsidRPr="00A0027B">
        <w:rPr>
          <w:rFonts w:eastAsia="Times New Roman"/>
          <w:b/>
          <w:bCs/>
          <w:color w:val="000000"/>
        </w:rPr>
        <w:t xml:space="preserve">ontrol </w:t>
      </w:r>
      <w:r w:rsidR="00D55C2B" w:rsidRPr="00A0027B">
        <w:rPr>
          <w:rFonts w:eastAsia="Times New Roman"/>
          <w:b/>
          <w:bCs/>
          <w:color w:val="000000"/>
        </w:rPr>
        <w:t>m</w:t>
      </w:r>
      <w:r w:rsidRPr="00A0027B">
        <w:rPr>
          <w:rFonts w:eastAsia="Times New Roman"/>
          <w:b/>
          <w:bCs/>
          <w:color w:val="000000"/>
        </w:rPr>
        <w:t>ix</w:t>
      </w:r>
    </w:p>
    <w:p w14:paraId="6CE99F57" w14:textId="77777777" w:rsidR="00D55C2B" w:rsidRPr="00A0027B" w:rsidRDefault="00D55C2B" w:rsidP="00A0027B">
      <w:pPr>
        <w:widowControl/>
        <w:textAlignment w:val="baseline"/>
        <w:rPr>
          <w:rFonts w:eastAsia="Times New Roman"/>
          <w:b/>
          <w:bCs/>
          <w:color w:val="000000"/>
        </w:rPr>
      </w:pPr>
    </w:p>
    <w:p w14:paraId="7B1B93A1" w14:textId="0FB88367" w:rsidR="00087B11" w:rsidRPr="00A0027B" w:rsidRDefault="002E4C19" w:rsidP="00A0027B">
      <w:pPr>
        <w:pStyle w:val="ListParagraph"/>
        <w:widowControl/>
        <w:ind w:left="0"/>
        <w:contextualSpacing w:val="0"/>
        <w:rPr>
          <w:rFonts w:eastAsia="Times New Roman"/>
          <w:color w:val="000000"/>
        </w:rPr>
      </w:pPr>
      <w:r w:rsidRPr="00A0027B">
        <w:rPr>
          <w:rFonts w:eastAsia="Times New Roman"/>
          <w:color w:val="000000"/>
        </w:rPr>
        <w:t xml:space="preserve">NOTE: Positive </w:t>
      </w:r>
      <w:r w:rsidR="00F13945" w:rsidRPr="00A0027B">
        <w:rPr>
          <w:rFonts w:eastAsia="Times New Roman"/>
          <w:color w:val="000000"/>
        </w:rPr>
        <w:t>c</w:t>
      </w:r>
      <w:r w:rsidRPr="00A0027B">
        <w:rPr>
          <w:rFonts w:eastAsia="Times New Roman"/>
          <w:color w:val="000000"/>
        </w:rPr>
        <w:t xml:space="preserve">ontrol </w:t>
      </w:r>
      <w:r w:rsidR="00F13945" w:rsidRPr="00A0027B">
        <w:rPr>
          <w:rFonts w:eastAsia="Times New Roman"/>
          <w:color w:val="000000"/>
        </w:rPr>
        <w:t>m</w:t>
      </w:r>
      <w:r w:rsidRPr="00A0027B">
        <w:rPr>
          <w:rFonts w:eastAsia="Times New Roman"/>
          <w:color w:val="000000"/>
        </w:rPr>
        <w:t xml:space="preserve">ix should not be made in the same sterile environment as </w:t>
      </w:r>
      <w:r w:rsidR="00A16E95">
        <w:rPr>
          <w:rFonts w:eastAsia="Times New Roman"/>
          <w:color w:val="000000"/>
        </w:rPr>
        <w:t>p</w:t>
      </w:r>
      <w:r w:rsidRPr="00A0027B">
        <w:rPr>
          <w:rFonts w:eastAsia="Times New Roman"/>
          <w:color w:val="000000"/>
        </w:rPr>
        <w:t>robe/</w:t>
      </w:r>
      <w:r w:rsidR="00A16E95">
        <w:rPr>
          <w:rFonts w:eastAsia="Times New Roman"/>
          <w:color w:val="000000"/>
        </w:rPr>
        <w:t>p</w:t>
      </w:r>
      <w:r w:rsidRPr="00A0027B">
        <w:rPr>
          <w:rFonts w:eastAsia="Times New Roman"/>
          <w:color w:val="000000"/>
        </w:rPr>
        <w:t xml:space="preserve">rimer </w:t>
      </w:r>
      <w:r w:rsidR="00A16E95">
        <w:rPr>
          <w:rFonts w:eastAsia="Times New Roman"/>
          <w:color w:val="000000"/>
        </w:rPr>
        <w:t>m</w:t>
      </w:r>
      <w:r w:rsidRPr="00A0027B">
        <w:rPr>
          <w:rFonts w:eastAsia="Times New Roman"/>
          <w:color w:val="000000"/>
        </w:rPr>
        <w:t xml:space="preserve">ix or other </w:t>
      </w:r>
      <w:r w:rsidR="006A28A6" w:rsidRPr="00A0027B">
        <w:rPr>
          <w:rFonts w:eastAsia="Times New Roman"/>
          <w:color w:val="000000"/>
        </w:rPr>
        <w:t>m</w:t>
      </w:r>
      <w:r w:rsidRPr="00A0027B">
        <w:rPr>
          <w:rFonts w:eastAsia="Times New Roman"/>
          <w:color w:val="000000"/>
        </w:rPr>
        <w:t>aster</w:t>
      </w:r>
      <w:r w:rsidR="00F13945" w:rsidRPr="00A0027B">
        <w:rPr>
          <w:rFonts w:eastAsia="Times New Roman"/>
          <w:color w:val="000000"/>
        </w:rPr>
        <w:t xml:space="preserve"> </w:t>
      </w:r>
      <w:r w:rsidRPr="00A0027B">
        <w:rPr>
          <w:rFonts w:eastAsia="Times New Roman"/>
          <w:color w:val="000000"/>
        </w:rPr>
        <w:t xml:space="preserve">mix components. A separate container of </w:t>
      </w:r>
      <w:r w:rsidR="00F13945" w:rsidRPr="00A0027B">
        <w:rPr>
          <w:rFonts w:eastAsia="Times New Roman"/>
          <w:color w:val="000000"/>
        </w:rPr>
        <w:t>nuclease-</w:t>
      </w:r>
      <w:r w:rsidRPr="00A0027B">
        <w:rPr>
          <w:rFonts w:eastAsia="Times New Roman"/>
          <w:color w:val="000000"/>
        </w:rPr>
        <w:t>free water should be used.</w:t>
      </w:r>
    </w:p>
    <w:p w14:paraId="284BB0CB" w14:textId="67C8608A" w:rsidR="002E4C19" w:rsidRPr="00A0027B" w:rsidRDefault="002E4C19" w:rsidP="00A0027B">
      <w:pPr>
        <w:pStyle w:val="ListParagraph"/>
        <w:widowControl/>
        <w:ind w:left="0"/>
        <w:contextualSpacing w:val="0"/>
        <w:rPr>
          <w:rFonts w:eastAsia="Times New Roman"/>
        </w:rPr>
      </w:pPr>
    </w:p>
    <w:p w14:paraId="7ACA21BA" w14:textId="3AE6022E" w:rsidR="002E4C19" w:rsidRPr="00A0027B" w:rsidRDefault="002E4C19" w:rsidP="00A0027B">
      <w:pPr>
        <w:pStyle w:val="ListParagraph"/>
        <w:numPr>
          <w:ilvl w:val="1"/>
          <w:numId w:val="13"/>
        </w:numPr>
        <w:ind w:left="0" w:firstLine="0"/>
        <w:contextualSpacing w:val="0"/>
      </w:pPr>
      <w:r w:rsidRPr="00A0027B">
        <w:rPr>
          <w:rFonts w:eastAsia="Times New Roman"/>
          <w:color w:val="000000"/>
        </w:rPr>
        <w:t>Dilute</w:t>
      </w:r>
      <w:r w:rsidR="007C1D52" w:rsidRPr="00A0027B">
        <w:rPr>
          <w:rFonts w:eastAsia="Times New Roman"/>
          <w:color w:val="000000"/>
        </w:rPr>
        <w:t xml:space="preserve"> </w:t>
      </w:r>
      <w:r w:rsidR="00A21F21" w:rsidRPr="00A0027B">
        <w:rPr>
          <w:rFonts w:eastAsia="Times New Roman"/>
          <w:color w:val="000000"/>
        </w:rPr>
        <w:t xml:space="preserve">SARS-CoV-2 </w:t>
      </w:r>
      <w:r w:rsidRPr="00A0027B">
        <w:rPr>
          <w:rFonts w:eastAsia="Times New Roman"/>
          <w:color w:val="000000"/>
        </w:rPr>
        <w:t>synthetic RNA</w:t>
      </w:r>
      <w:r w:rsidR="002D3995" w:rsidRPr="00A0027B">
        <w:rPr>
          <w:rFonts w:eastAsia="Times New Roman"/>
          <w:color w:val="000000"/>
        </w:rPr>
        <w:t xml:space="preserve"> (N1)</w:t>
      </w:r>
      <w:r w:rsidRPr="00A0027B">
        <w:rPr>
          <w:rFonts w:eastAsia="Times New Roman"/>
          <w:color w:val="000000"/>
        </w:rPr>
        <w:t xml:space="preserve"> from 1,000,000 </w:t>
      </w:r>
      <w:r w:rsidR="0081558B" w:rsidRPr="00A0027B">
        <w:rPr>
          <w:rFonts w:eastAsia="Times New Roman"/>
          <w:color w:val="000000"/>
        </w:rPr>
        <w:t>gene</w:t>
      </w:r>
      <w:r w:rsidR="00C96914" w:rsidRPr="00A0027B">
        <w:rPr>
          <w:rFonts w:eastAsia="Times New Roman"/>
          <w:color w:val="000000"/>
        </w:rPr>
        <w:t xml:space="preserve"> copies</w:t>
      </w:r>
      <w:r w:rsidRPr="00A0027B">
        <w:rPr>
          <w:rFonts w:eastAsia="Times New Roman"/>
          <w:color w:val="000000"/>
        </w:rPr>
        <w:t>/</w:t>
      </w:r>
      <w:r w:rsidR="00BC0861" w:rsidRPr="00A0027B">
        <w:rPr>
          <w:rFonts w:eastAsia="Times New Roman"/>
          <w:color w:val="000000"/>
        </w:rPr>
        <w:t>µL</w:t>
      </w:r>
      <w:r w:rsidRPr="00A0027B">
        <w:rPr>
          <w:rFonts w:eastAsia="Times New Roman"/>
          <w:color w:val="000000"/>
        </w:rPr>
        <w:t xml:space="preserve"> </w:t>
      </w:r>
      <w:r w:rsidR="00C96914" w:rsidRPr="00A0027B">
        <w:rPr>
          <w:rFonts w:eastAsia="Times New Roman"/>
          <w:color w:val="000000"/>
        </w:rPr>
        <w:t xml:space="preserve">(cpµ) </w:t>
      </w:r>
      <w:r w:rsidRPr="00A0027B">
        <w:rPr>
          <w:rFonts w:eastAsia="Times New Roman"/>
          <w:color w:val="000000"/>
        </w:rPr>
        <w:t xml:space="preserve">to 10,000 </w:t>
      </w:r>
      <w:r w:rsidR="00C96914" w:rsidRPr="00A0027B">
        <w:rPr>
          <w:rFonts w:eastAsia="Times New Roman"/>
          <w:color w:val="000000"/>
        </w:rPr>
        <w:t>cpµ</w:t>
      </w:r>
      <w:r w:rsidRPr="00A0027B">
        <w:rPr>
          <w:rFonts w:eastAsia="Times New Roman"/>
          <w:color w:val="000000"/>
        </w:rPr>
        <w:t xml:space="preserve"> by adding 10 </w:t>
      </w:r>
      <w:r w:rsidR="00BC0861" w:rsidRPr="00A0027B">
        <w:rPr>
          <w:rFonts w:eastAsia="Times New Roman"/>
          <w:color w:val="000000"/>
        </w:rPr>
        <w:t>µL</w:t>
      </w:r>
      <w:r w:rsidRPr="00A0027B">
        <w:rPr>
          <w:rFonts w:eastAsia="Times New Roman"/>
          <w:color w:val="000000"/>
        </w:rPr>
        <w:t xml:space="preserve"> of stock solution to 990 </w:t>
      </w:r>
      <w:r w:rsidR="00BC0861" w:rsidRPr="00A0027B">
        <w:rPr>
          <w:rFonts w:eastAsia="Times New Roman"/>
          <w:color w:val="000000"/>
        </w:rPr>
        <w:t>µL</w:t>
      </w:r>
      <w:r w:rsidRPr="00A0027B">
        <w:rPr>
          <w:rFonts w:eastAsia="Times New Roman"/>
          <w:color w:val="000000"/>
        </w:rPr>
        <w:t xml:space="preserve"> of </w:t>
      </w:r>
      <w:r w:rsidR="00F13945" w:rsidRPr="00A0027B">
        <w:rPr>
          <w:rFonts w:eastAsia="Times New Roman"/>
          <w:color w:val="000000"/>
        </w:rPr>
        <w:t>nuclease-</w:t>
      </w:r>
      <w:r w:rsidRPr="00A0027B">
        <w:rPr>
          <w:rFonts w:eastAsia="Times New Roman"/>
          <w:color w:val="000000"/>
        </w:rPr>
        <w:t>free water.</w:t>
      </w:r>
      <w:r w:rsidR="00D37875" w:rsidRPr="00A0027B">
        <w:rPr>
          <w:rFonts w:eastAsia="Times New Roman"/>
          <w:color w:val="000000"/>
        </w:rPr>
        <w:t xml:space="preserve"> Aliquot 25 µL of 10,000 cpµ into sterile 0.2 mL tubes and label appropriately. Store unused aliquots at -80°C.</w:t>
      </w:r>
    </w:p>
    <w:p w14:paraId="4C54C6C0" w14:textId="77777777" w:rsidR="00F13945" w:rsidRPr="00A0027B" w:rsidRDefault="00F13945" w:rsidP="00A0027B">
      <w:pPr>
        <w:widowControl/>
        <w:textAlignment w:val="baseline"/>
        <w:rPr>
          <w:rFonts w:eastAsia="Times New Roman"/>
          <w:color w:val="000000"/>
        </w:rPr>
      </w:pPr>
    </w:p>
    <w:p w14:paraId="377CCF70" w14:textId="78512C3C" w:rsidR="002E4C19" w:rsidRPr="00A0027B" w:rsidRDefault="002E4C19" w:rsidP="00A0027B">
      <w:pPr>
        <w:pStyle w:val="ListParagraph"/>
        <w:widowControl/>
        <w:ind w:left="0"/>
        <w:contextualSpacing w:val="0"/>
        <w:rPr>
          <w:rFonts w:eastAsia="Times New Roman"/>
          <w:color w:val="000000"/>
        </w:rPr>
      </w:pPr>
      <w:r w:rsidRPr="00A0027B">
        <w:rPr>
          <w:rFonts w:eastAsia="Times New Roman"/>
          <w:color w:val="000000"/>
        </w:rPr>
        <w:t xml:space="preserve">NOTE: </w:t>
      </w:r>
      <w:r w:rsidR="00A21F21" w:rsidRPr="00A0027B">
        <w:rPr>
          <w:rFonts w:eastAsia="Times New Roman"/>
          <w:color w:val="000000"/>
        </w:rPr>
        <w:t>S</w:t>
      </w:r>
      <w:r w:rsidRPr="00A0027B">
        <w:rPr>
          <w:rFonts w:eastAsia="Times New Roman"/>
          <w:color w:val="000000"/>
        </w:rPr>
        <w:t>ynthetic RNA must be stored at -8</w:t>
      </w:r>
      <w:r w:rsidR="00933249" w:rsidRPr="00A0027B">
        <w:rPr>
          <w:rFonts w:eastAsia="Times New Roman"/>
          <w:color w:val="000000"/>
        </w:rPr>
        <w:t>0°</w:t>
      </w:r>
      <w:r w:rsidRPr="00A0027B">
        <w:rPr>
          <w:rFonts w:eastAsia="Times New Roman"/>
          <w:color w:val="000000"/>
        </w:rPr>
        <w:t>C to prevent degradation.</w:t>
      </w:r>
    </w:p>
    <w:p w14:paraId="4EF4F9B6" w14:textId="77777777" w:rsidR="00087B11" w:rsidRPr="00A0027B" w:rsidRDefault="00087B11" w:rsidP="00A0027B">
      <w:pPr>
        <w:widowControl/>
        <w:textAlignment w:val="baseline"/>
        <w:rPr>
          <w:rFonts w:eastAsia="Times New Roman"/>
          <w:color w:val="000000"/>
        </w:rPr>
      </w:pPr>
    </w:p>
    <w:p w14:paraId="5A80E144" w14:textId="3E872729"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Dilute Hs_RPP30 synthetic DNA</w:t>
      </w:r>
      <w:r w:rsidR="002D3995" w:rsidRPr="00A0027B">
        <w:rPr>
          <w:rFonts w:eastAsia="Times New Roman"/>
          <w:color w:val="000000"/>
        </w:rPr>
        <w:t xml:space="preserve"> (P1)</w:t>
      </w:r>
      <w:r w:rsidRPr="00A0027B">
        <w:rPr>
          <w:rFonts w:eastAsia="Times New Roman"/>
          <w:color w:val="000000"/>
        </w:rPr>
        <w:t xml:space="preserve"> from 200,000 </w:t>
      </w:r>
      <w:r w:rsidR="00C96914" w:rsidRPr="00A0027B">
        <w:rPr>
          <w:rFonts w:eastAsia="Times New Roman"/>
          <w:color w:val="000000"/>
        </w:rPr>
        <w:t xml:space="preserve">cpµ </w:t>
      </w:r>
      <w:r w:rsidRPr="00A0027B">
        <w:rPr>
          <w:rFonts w:eastAsia="Times New Roman"/>
          <w:color w:val="000000"/>
        </w:rPr>
        <w:t xml:space="preserve">to 10,000 </w:t>
      </w:r>
      <w:r w:rsidR="00C96914" w:rsidRPr="00A0027B">
        <w:rPr>
          <w:rFonts w:eastAsia="Times New Roman"/>
          <w:color w:val="000000"/>
        </w:rPr>
        <w:t xml:space="preserve">cpµ </w:t>
      </w:r>
      <w:r w:rsidRPr="00A0027B">
        <w:rPr>
          <w:rFonts w:eastAsia="Times New Roman"/>
          <w:color w:val="000000"/>
        </w:rPr>
        <w:t xml:space="preserve">by adding 50 </w:t>
      </w:r>
      <w:r w:rsidR="00BC0861" w:rsidRPr="00A0027B">
        <w:rPr>
          <w:rFonts w:eastAsia="Times New Roman"/>
          <w:color w:val="000000"/>
        </w:rPr>
        <w:t>µL</w:t>
      </w:r>
      <w:r w:rsidRPr="00A0027B">
        <w:rPr>
          <w:rFonts w:eastAsia="Times New Roman"/>
          <w:color w:val="000000"/>
        </w:rPr>
        <w:t xml:space="preserve"> of stock solution to 950 </w:t>
      </w:r>
      <w:r w:rsidR="00BC0861" w:rsidRPr="00A0027B">
        <w:rPr>
          <w:rFonts w:eastAsia="Times New Roman"/>
          <w:color w:val="000000"/>
        </w:rPr>
        <w:t>µL</w:t>
      </w:r>
      <w:r w:rsidRPr="00A0027B">
        <w:rPr>
          <w:rFonts w:eastAsia="Times New Roman"/>
          <w:color w:val="000000"/>
        </w:rPr>
        <w:t xml:space="preserve"> </w:t>
      </w:r>
      <w:r w:rsidR="00F13945" w:rsidRPr="00A0027B">
        <w:rPr>
          <w:rFonts w:eastAsia="Times New Roman"/>
          <w:color w:val="000000"/>
        </w:rPr>
        <w:t>nuclease-</w:t>
      </w:r>
      <w:r w:rsidRPr="00A0027B">
        <w:rPr>
          <w:rFonts w:eastAsia="Times New Roman"/>
          <w:color w:val="000000"/>
        </w:rPr>
        <w:t>free water.</w:t>
      </w:r>
      <w:r w:rsidR="00D37875" w:rsidRPr="00A0027B">
        <w:rPr>
          <w:rFonts w:eastAsia="Times New Roman"/>
          <w:color w:val="000000"/>
        </w:rPr>
        <w:t xml:space="preserve"> </w:t>
      </w:r>
      <w:r w:rsidRPr="00A0027B">
        <w:rPr>
          <w:rFonts w:eastAsia="Times New Roman"/>
          <w:color w:val="000000"/>
        </w:rPr>
        <w:t xml:space="preserve">Aliquot 25 </w:t>
      </w:r>
      <w:r w:rsidR="00BC0861" w:rsidRPr="00A0027B">
        <w:rPr>
          <w:rFonts w:eastAsia="Times New Roman"/>
          <w:color w:val="000000"/>
        </w:rPr>
        <w:t>µL</w:t>
      </w:r>
      <w:r w:rsidRPr="00A0027B">
        <w:rPr>
          <w:rFonts w:eastAsia="Times New Roman"/>
          <w:color w:val="000000"/>
        </w:rPr>
        <w:t xml:space="preserve"> of 10,000 </w:t>
      </w:r>
      <w:r w:rsidR="00C96914" w:rsidRPr="00A0027B">
        <w:rPr>
          <w:rFonts w:eastAsia="Times New Roman"/>
          <w:color w:val="000000"/>
        </w:rPr>
        <w:t xml:space="preserve">cpµ </w:t>
      </w:r>
      <w:r w:rsidRPr="00A0027B">
        <w:rPr>
          <w:rFonts w:eastAsia="Times New Roman"/>
          <w:color w:val="000000"/>
        </w:rPr>
        <w:t>into sterile 0.2 mL tubes and label appropriately. Store unused aliquots at -8</w:t>
      </w:r>
      <w:r w:rsidR="00933249" w:rsidRPr="00A0027B">
        <w:rPr>
          <w:rFonts w:eastAsia="Times New Roman"/>
          <w:color w:val="000000"/>
        </w:rPr>
        <w:t>0°</w:t>
      </w:r>
      <w:r w:rsidRPr="00A0027B">
        <w:rPr>
          <w:rFonts w:eastAsia="Times New Roman"/>
          <w:color w:val="000000"/>
        </w:rPr>
        <w:t>C.</w:t>
      </w:r>
    </w:p>
    <w:p w14:paraId="110D69B8" w14:textId="77777777" w:rsidR="00087B11" w:rsidRPr="00A0027B" w:rsidRDefault="00087B11" w:rsidP="00A0027B">
      <w:pPr>
        <w:widowControl/>
        <w:textAlignment w:val="baseline"/>
        <w:rPr>
          <w:rFonts w:eastAsia="Times New Roman"/>
          <w:color w:val="000000"/>
        </w:rPr>
      </w:pPr>
    </w:p>
    <w:p w14:paraId="7232F233" w14:textId="3C619351"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Dilute each component to a final concentration of 200 </w:t>
      </w:r>
      <w:r w:rsidR="0081558B" w:rsidRPr="00A0027B">
        <w:rPr>
          <w:rFonts w:eastAsia="Times New Roman"/>
          <w:color w:val="000000"/>
        </w:rPr>
        <w:t xml:space="preserve">cpµ </w:t>
      </w:r>
      <w:r w:rsidRPr="00A0027B">
        <w:rPr>
          <w:rFonts w:eastAsia="Times New Roman"/>
          <w:color w:val="000000"/>
        </w:rPr>
        <w:t xml:space="preserve">by adding 20 </w:t>
      </w:r>
      <w:r w:rsidR="00BC0861" w:rsidRPr="00A0027B">
        <w:rPr>
          <w:rFonts w:eastAsia="Times New Roman"/>
          <w:color w:val="000000"/>
        </w:rPr>
        <w:t>µL</w:t>
      </w:r>
      <w:r w:rsidRPr="00A0027B">
        <w:rPr>
          <w:rFonts w:eastAsia="Times New Roman"/>
          <w:color w:val="000000"/>
        </w:rPr>
        <w:t xml:space="preserve"> of both </w:t>
      </w:r>
      <w:r w:rsidR="00A21F21" w:rsidRPr="00A0027B">
        <w:rPr>
          <w:rFonts w:eastAsia="Times New Roman"/>
          <w:color w:val="000000"/>
        </w:rPr>
        <w:t>SARS-CoV-2</w:t>
      </w:r>
      <w:r w:rsidRPr="00A0027B">
        <w:rPr>
          <w:rFonts w:eastAsia="Times New Roman"/>
          <w:color w:val="000000"/>
        </w:rPr>
        <w:t xml:space="preserve"> and Hs</w:t>
      </w:r>
      <w:r w:rsidR="005909BD" w:rsidRPr="00A0027B">
        <w:rPr>
          <w:rFonts w:eastAsia="Times New Roman"/>
          <w:color w:val="000000"/>
        </w:rPr>
        <w:t>_</w:t>
      </w:r>
      <w:r w:rsidRPr="00A0027B">
        <w:rPr>
          <w:rFonts w:eastAsia="Times New Roman"/>
          <w:color w:val="000000"/>
        </w:rPr>
        <w:t xml:space="preserve">RPP30 10,000 </w:t>
      </w:r>
      <w:r w:rsidR="0081558B" w:rsidRPr="00A0027B">
        <w:rPr>
          <w:rFonts w:eastAsia="Times New Roman"/>
          <w:color w:val="000000"/>
        </w:rPr>
        <w:t xml:space="preserve">cpµ </w:t>
      </w:r>
      <w:r w:rsidRPr="00A0027B">
        <w:rPr>
          <w:rFonts w:eastAsia="Times New Roman"/>
          <w:color w:val="000000"/>
        </w:rPr>
        <w:t xml:space="preserve">stocks to 960 </w:t>
      </w:r>
      <w:r w:rsidR="00BC0861" w:rsidRPr="00A0027B">
        <w:rPr>
          <w:rFonts w:eastAsia="Times New Roman"/>
          <w:color w:val="000000"/>
        </w:rPr>
        <w:t>µL</w:t>
      </w:r>
      <w:r w:rsidRPr="00A0027B">
        <w:rPr>
          <w:rFonts w:eastAsia="Times New Roman"/>
          <w:color w:val="000000"/>
        </w:rPr>
        <w:t xml:space="preserve"> of </w:t>
      </w:r>
      <w:r w:rsidR="005909BD" w:rsidRPr="00A0027B">
        <w:rPr>
          <w:rFonts w:eastAsia="Times New Roman"/>
          <w:color w:val="000000"/>
        </w:rPr>
        <w:t>nuclease-</w:t>
      </w:r>
      <w:r w:rsidRPr="00A0027B">
        <w:rPr>
          <w:rFonts w:eastAsia="Times New Roman"/>
          <w:color w:val="000000"/>
        </w:rPr>
        <w:t xml:space="preserve">free water, for a total of 1000 </w:t>
      </w:r>
      <w:r w:rsidR="00BC0861" w:rsidRPr="00A0027B">
        <w:rPr>
          <w:rFonts w:eastAsia="Times New Roman"/>
          <w:color w:val="000000"/>
        </w:rPr>
        <w:t>µL</w:t>
      </w:r>
      <w:r w:rsidRPr="00A0027B">
        <w:rPr>
          <w:rFonts w:eastAsia="Times New Roman"/>
          <w:color w:val="000000"/>
        </w:rPr>
        <w:t>.</w:t>
      </w:r>
      <w:r w:rsidR="002728CB" w:rsidRPr="00A0027B">
        <w:rPr>
          <w:rFonts w:eastAsia="Times New Roman"/>
          <w:color w:val="000000"/>
        </w:rPr>
        <w:t xml:space="preserve"> </w:t>
      </w:r>
      <w:r w:rsidRPr="00A0027B">
        <w:rPr>
          <w:rFonts w:eastAsia="Times New Roman"/>
          <w:color w:val="000000"/>
        </w:rPr>
        <w:t xml:space="preserve">Aliquot 20 </w:t>
      </w:r>
      <w:r w:rsidR="00BC0861" w:rsidRPr="00A0027B">
        <w:rPr>
          <w:rFonts w:eastAsia="Times New Roman"/>
          <w:color w:val="000000"/>
        </w:rPr>
        <w:t>µL</w:t>
      </w:r>
      <w:r w:rsidRPr="00A0027B">
        <w:rPr>
          <w:rFonts w:eastAsia="Times New Roman"/>
          <w:color w:val="000000"/>
        </w:rPr>
        <w:t xml:space="preserve"> of mixed 200 </w:t>
      </w:r>
      <w:r w:rsidR="0081558B" w:rsidRPr="00A0027B">
        <w:rPr>
          <w:rFonts w:eastAsia="Times New Roman"/>
          <w:color w:val="000000"/>
        </w:rPr>
        <w:t xml:space="preserve">cpµ </w:t>
      </w:r>
      <w:r w:rsidRPr="00A0027B">
        <w:rPr>
          <w:rFonts w:eastAsia="Times New Roman"/>
          <w:color w:val="000000"/>
        </w:rPr>
        <w:t>positive control into 0.2 mL tubes and label appropriately. Store aliquots at -8</w:t>
      </w:r>
      <w:r w:rsidR="00933249" w:rsidRPr="00A0027B">
        <w:rPr>
          <w:rFonts w:eastAsia="Times New Roman"/>
          <w:color w:val="000000"/>
        </w:rPr>
        <w:t>0°</w:t>
      </w:r>
      <w:r w:rsidRPr="00A0027B">
        <w:rPr>
          <w:rFonts w:eastAsia="Times New Roman"/>
          <w:color w:val="000000"/>
        </w:rPr>
        <w:t>C until ready for use.</w:t>
      </w:r>
    </w:p>
    <w:p w14:paraId="3B1BA6AB" w14:textId="77777777" w:rsidR="00087B11" w:rsidRPr="00A0027B" w:rsidRDefault="00087B11" w:rsidP="00A0027B">
      <w:pPr>
        <w:widowControl/>
        <w:textAlignment w:val="baseline"/>
        <w:rPr>
          <w:rFonts w:eastAsia="Times New Roman"/>
          <w:color w:val="000000"/>
        </w:rPr>
      </w:pPr>
    </w:p>
    <w:p w14:paraId="278288E3" w14:textId="21513930" w:rsidR="002E4C19" w:rsidRPr="00A0027B" w:rsidRDefault="004C07CC" w:rsidP="00A0027B">
      <w:pPr>
        <w:widowControl/>
        <w:numPr>
          <w:ilvl w:val="0"/>
          <w:numId w:val="13"/>
        </w:numPr>
        <w:ind w:left="0" w:firstLine="0"/>
        <w:textAlignment w:val="baseline"/>
        <w:rPr>
          <w:rFonts w:eastAsia="Times New Roman"/>
          <w:b/>
          <w:bCs/>
          <w:color w:val="000000"/>
        </w:rPr>
      </w:pPr>
      <w:r w:rsidRPr="00A0027B">
        <w:rPr>
          <w:rFonts w:eastAsia="Times New Roman"/>
          <w:b/>
          <w:bCs/>
          <w:color w:val="000000"/>
        </w:rPr>
        <w:t>Preparation of m</w:t>
      </w:r>
      <w:r w:rsidR="002E4C19" w:rsidRPr="00A0027B">
        <w:rPr>
          <w:rFonts w:eastAsia="Times New Roman"/>
          <w:b/>
          <w:bCs/>
          <w:color w:val="000000"/>
        </w:rPr>
        <w:t>aster</w:t>
      </w:r>
      <w:r w:rsidRPr="00A0027B">
        <w:rPr>
          <w:rFonts w:eastAsia="Times New Roman"/>
          <w:b/>
          <w:bCs/>
          <w:color w:val="000000"/>
        </w:rPr>
        <w:t xml:space="preserve"> </w:t>
      </w:r>
      <w:r w:rsidR="002E4C19" w:rsidRPr="00A0027B">
        <w:rPr>
          <w:rFonts w:eastAsia="Times New Roman"/>
          <w:b/>
          <w:bCs/>
          <w:color w:val="000000"/>
        </w:rPr>
        <w:t xml:space="preserve">mix </w:t>
      </w:r>
      <w:r w:rsidR="00947CA7" w:rsidRPr="00A0027B">
        <w:rPr>
          <w:rFonts w:eastAsia="Times New Roman"/>
          <w:b/>
          <w:bCs/>
          <w:color w:val="000000"/>
        </w:rPr>
        <w:t>p</w:t>
      </w:r>
      <w:r w:rsidR="002E4C19" w:rsidRPr="00A0027B">
        <w:rPr>
          <w:rFonts w:eastAsia="Times New Roman"/>
          <w:b/>
          <w:bCs/>
          <w:color w:val="000000"/>
        </w:rPr>
        <w:t>late</w:t>
      </w:r>
    </w:p>
    <w:p w14:paraId="3C8D491F" w14:textId="77777777" w:rsidR="002728CB" w:rsidRPr="00A0027B" w:rsidRDefault="002728CB" w:rsidP="00A0027B">
      <w:pPr>
        <w:widowControl/>
        <w:textAlignment w:val="baseline"/>
        <w:rPr>
          <w:rFonts w:eastAsia="Times New Roman"/>
          <w:b/>
          <w:bCs/>
          <w:color w:val="000000"/>
        </w:rPr>
      </w:pPr>
    </w:p>
    <w:p w14:paraId="55CA37C4" w14:textId="33B57DE4" w:rsidR="002E4C19" w:rsidRPr="00A0027B" w:rsidRDefault="002E4C19" w:rsidP="00A0027B">
      <w:pPr>
        <w:pStyle w:val="ListParagraph"/>
        <w:widowControl/>
        <w:ind w:left="0"/>
        <w:contextualSpacing w:val="0"/>
        <w:rPr>
          <w:rFonts w:eastAsia="Times New Roman"/>
          <w:color w:val="000000"/>
        </w:rPr>
      </w:pPr>
      <w:r w:rsidRPr="00A0027B">
        <w:rPr>
          <w:rFonts w:eastAsia="Times New Roman"/>
          <w:color w:val="000000"/>
        </w:rPr>
        <w:t xml:space="preserve">NOTE: </w:t>
      </w:r>
      <w:r w:rsidR="00F024DD" w:rsidRPr="00A0027B">
        <w:rPr>
          <w:rFonts w:eastAsia="Times New Roman"/>
          <w:color w:val="000000"/>
        </w:rPr>
        <w:t>Make m</w:t>
      </w:r>
      <w:r w:rsidRPr="00A0027B">
        <w:rPr>
          <w:rFonts w:eastAsia="Times New Roman"/>
          <w:color w:val="000000"/>
        </w:rPr>
        <w:t>aster</w:t>
      </w:r>
      <w:r w:rsidR="00947CA7" w:rsidRPr="00A0027B">
        <w:rPr>
          <w:rFonts w:eastAsia="Times New Roman"/>
          <w:color w:val="000000"/>
        </w:rPr>
        <w:t xml:space="preserve"> </w:t>
      </w:r>
      <w:r w:rsidRPr="00A0027B">
        <w:rPr>
          <w:rFonts w:eastAsia="Times New Roman"/>
          <w:color w:val="000000"/>
        </w:rPr>
        <w:t>mix in a sterile environment away from synthetic SARS-CoV-2 RNA or patient specimens. </w:t>
      </w:r>
      <w:r w:rsidR="00454C68" w:rsidRPr="00A0027B">
        <w:rPr>
          <w:rFonts w:eastAsia="Times New Roman"/>
          <w:color w:val="000000"/>
        </w:rPr>
        <w:t>All components must be completely thawed before adding to the mixture</w:t>
      </w:r>
      <w:r w:rsidR="00532BEF" w:rsidRPr="00A0027B">
        <w:rPr>
          <w:rFonts w:eastAsia="Times New Roman"/>
          <w:color w:val="000000"/>
        </w:rPr>
        <w:t>; without proper thawing</w:t>
      </w:r>
      <w:r w:rsidR="00947CA7" w:rsidRPr="00A0027B">
        <w:rPr>
          <w:rFonts w:eastAsia="Times New Roman"/>
          <w:color w:val="000000"/>
        </w:rPr>
        <w:t>,</w:t>
      </w:r>
      <w:r w:rsidR="00532BEF" w:rsidRPr="00A0027B">
        <w:rPr>
          <w:rFonts w:eastAsia="Times New Roman"/>
          <w:color w:val="000000"/>
        </w:rPr>
        <w:t xml:space="preserve"> the concentrations may be incorrect</w:t>
      </w:r>
      <w:r w:rsidR="00454C68" w:rsidRPr="00A0027B">
        <w:rPr>
          <w:rFonts w:eastAsia="Times New Roman"/>
          <w:color w:val="000000"/>
        </w:rPr>
        <w:t xml:space="preserve">. </w:t>
      </w:r>
      <w:r w:rsidR="004C3E11" w:rsidRPr="00A0027B">
        <w:rPr>
          <w:rFonts w:eastAsia="Times New Roman"/>
          <w:color w:val="000000"/>
        </w:rPr>
        <w:t>In</w:t>
      </w:r>
      <w:r w:rsidR="00454C68" w:rsidRPr="00A0027B">
        <w:rPr>
          <w:rFonts w:eastAsia="Times New Roman"/>
          <w:color w:val="000000"/>
        </w:rPr>
        <w:t>adequate thawing</w:t>
      </w:r>
      <w:r w:rsidR="004C3E11" w:rsidRPr="00A0027B">
        <w:rPr>
          <w:rFonts w:eastAsia="Times New Roman"/>
          <w:color w:val="000000"/>
        </w:rPr>
        <w:t xml:space="preserve"> is indicated by </w:t>
      </w:r>
      <w:r w:rsidR="00947CA7" w:rsidRPr="00A0027B">
        <w:rPr>
          <w:rFonts w:eastAsia="Times New Roman"/>
          <w:color w:val="000000"/>
        </w:rPr>
        <w:t xml:space="preserve">the </w:t>
      </w:r>
      <w:r w:rsidR="004C3E11" w:rsidRPr="00A0027B">
        <w:rPr>
          <w:rFonts w:eastAsia="Times New Roman"/>
          <w:color w:val="000000"/>
        </w:rPr>
        <w:t>presence of ice or uneven color of reagents</w:t>
      </w:r>
      <w:r w:rsidR="00532BEF" w:rsidRPr="00A0027B">
        <w:rPr>
          <w:rFonts w:eastAsia="Times New Roman"/>
          <w:color w:val="000000"/>
        </w:rPr>
        <w:t>.</w:t>
      </w:r>
      <w:r w:rsidR="00454C68" w:rsidRPr="00A0027B">
        <w:rPr>
          <w:rFonts w:eastAsia="Times New Roman"/>
          <w:color w:val="000000"/>
        </w:rPr>
        <w:t xml:space="preserve"> Store on a freezer block while preparing the mixture.</w:t>
      </w:r>
      <w:r w:rsidRPr="00A0027B">
        <w:rPr>
          <w:rFonts w:eastAsia="Times New Roman"/>
          <w:color w:val="000000"/>
        </w:rPr>
        <w:t> </w:t>
      </w:r>
    </w:p>
    <w:p w14:paraId="1AD5E069" w14:textId="77777777" w:rsidR="00087B11" w:rsidRPr="00A0027B" w:rsidRDefault="00087B11" w:rsidP="00A0027B">
      <w:pPr>
        <w:pStyle w:val="ListParagraph"/>
        <w:widowControl/>
        <w:ind w:left="0"/>
        <w:contextualSpacing w:val="0"/>
        <w:rPr>
          <w:rFonts w:eastAsia="Times New Roman"/>
        </w:rPr>
      </w:pPr>
    </w:p>
    <w:p w14:paraId="70631753" w14:textId="54AB67BF"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Prepare a batch of </w:t>
      </w:r>
      <w:r w:rsidR="00947CA7" w:rsidRPr="00A0027B">
        <w:rPr>
          <w:rFonts w:eastAsia="Times New Roman"/>
          <w:color w:val="000000"/>
        </w:rPr>
        <w:t>m</w:t>
      </w:r>
      <w:r w:rsidRPr="00A0027B">
        <w:rPr>
          <w:rFonts w:eastAsia="Times New Roman"/>
          <w:color w:val="000000"/>
        </w:rPr>
        <w:t xml:space="preserve">ultiplex </w:t>
      </w:r>
      <w:r w:rsidR="006A28A6" w:rsidRPr="00A0027B">
        <w:rPr>
          <w:rFonts w:eastAsia="Times New Roman"/>
          <w:color w:val="000000"/>
        </w:rPr>
        <w:t>m</w:t>
      </w:r>
      <w:r w:rsidRPr="00A0027B">
        <w:rPr>
          <w:rFonts w:eastAsia="Times New Roman"/>
          <w:color w:val="000000"/>
        </w:rPr>
        <w:t>aster</w:t>
      </w:r>
      <w:r w:rsidR="00CE585F" w:rsidRPr="00A0027B">
        <w:rPr>
          <w:rFonts w:eastAsia="Times New Roman"/>
          <w:color w:val="000000"/>
        </w:rPr>
        <w:t xml:space="preserve"> </w:t>
      </w:r>
      <w:r w:rsidRPr="00A0027B">
        <w:rPr>
          <w:rFonts w:eastAsia="Times New Roman"/>
          <w:color w:val="000000"/>
        </w:rPr>
        <w:t xml:space="preserve">mix (total volume of 48 mL, </w:t>
      </w:r>
      <w:r w:rsidRPr="00A0027B">
        <w:rPr>
          <w:rFonts w:eastAsia="Times New Roman"/>
          <w:b/>
          <w:bCs/>
          <w:color w:val="000000"/>
        </w:rPr>
        <w:t>Table 2</w:t>
      </w:r>
      <w:r w:rsidRPr="00A0027B">
        <w:rPr>
          <w:rFonts w:eastAsia="Times New Roman"/>
          <w:color w:val="000000"/>
        </w:rPr>
        <w:t>) in a 50 mL conical tube.</w:t>
      </w:r>
      <w:r w:rsidRPr="00A0027B">
        <w:rPr>
          <w:rFonts w:eastAsia="Times New Roman"/>
          <w:b/>
          <w:bCs/>
          <w:color w:val="000000"/>
        </w:rPr>
        <w:t> </w:t>
      </w:r>
    </w:p>
    <w:p w14:paraId="23BFDF46" w14:textId="77777777" w:rsidR="00087B11" w:rsidRPr="00A0027B" w:rsidRDefault="00087B11" w:rsidP="00A0027B">
      <w:pPr>
        <w:widowControl/>
        <w:textAlignment w:val="baseline"/>
        <w:rPr>
          <w:rFonts w:eastAsia="Times New Roman"/>
          <w:color w:val="000000"/>
        </w:rPr>
      </w:pPr>
    </w:p>
    <w:p w14:paraId="479DE0F1" w14:textId="1DB4E502" w:rsidR="002E4C19" w:rsidRPr="005F3928" w:rsidRDefault="007122F2"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Homogenize </w:t>
      </w:r>
      <w:r w:rsidR="002E4C19" w:rsidRPr="00A0027B">
        <w:rPr>
          <w:rFonts w:eastAsia="Times New Roman"/>
          <w:color w:val="000000"/>
        </w:rPr>
        <w:t xml:space="preserve">the mixture by turning the tube over </w:t>
      </w:r>
      <w:r w:rsidR="00CB1DDF">
        <w:rPr>
          <w:rFonts w:eastAsia="Times New Roman"/>
          <w:color w:val="000000"/>
        </w:rPr>
        <w:t>3x</w:t>
      </w:r>
      <w:r w:rsidR="002E4C19" w:rsidRPr="00A0027B">
        <w:rPr>
          <w:rFonts w:eastAsia="Times New Roman"/>
          <w:color w:val="000000"/>
        </w:rPr>
        <w:t>.</w:t>
      </w:r>
      <w:r w:rsidR="005F3928">
        <w:rPr>
          <w:rFonts w:eastAsia="Times New Roman"/>
          <w:color w:val="000000"/>
        </w:rPr>
        <w:t xml:space="preserve"> Do not m</w:t>
      </w:r>
      <w:r w:rsidR="002E4C19" w:rsidRPr="005F3928">
        <w:rPr>
          <w:rFonts w:eastAsia="Times New Roman"/>
          <w:color w:val="000000"/>
        </w:rPr>
        <w:t>ix</w:t>
      </w:r>
      <w:r w:rsidR="005F3928">
        <w:rPr>
          <w:rFonts w:eastAsia="Times New Roman"/>
          <w:color w:val="000000"/>
        </w:rPr>
        <w:t xml:space="preserve"> </w:t>
      </w:r>
      <w:r w:rsidR="008D1A71" w:rsidRPr="005F3928">
        <w:rPr>
          <w:rFonts w:eastAsia="Times New Roman"/>
          <w:color w:val="000000"/>
        </w:rPr>
        <w:t xml:space="preserve">by </w:t>
      </w:r>
      <w:r w:rsidR="002E4C19" w:rsidRPr="005F3928">
        <w:rPr>
          <w:rFonts w:eastAsia="Times New Roman"/>
          <w:color w:val="000000"/>
        </w:rPr>
        <w:t xml:space="preserve">pipetting up and down or </w:t>
      </w:r>
      <w:proofErr w:type="spellStart"/>
      <w:r w:rsidR="002E4C19" w:rsidRPr="005F3928">
        <w:rPr>
          <w:rFonts w:eastAsia="Times New Roman"/>
          <w:color w:val="000000"/>
        </w:rPr>
        <w:t>vortexing</w:t>
      </w:r>
      <w:proofErr w:type="spellEnd"/>
      <w:r w:rsidR="002E4C19" w:rsidRPr="005F3928">
        <w:rPr>
          <w:rFonts w:eastAsia="Times New Roman"/>
          <w:color w:val="000000"/>
        </w:rPr>
        <w:t xml:space="preserve"> </w:t>
      </w:r>
      <w:r w:rsidR="005F3928">
        <w:rPr>
          <w:rFonts w:eastAsia="Times New Roman"/>
          <w:color w:val="000000"/>
        </w:rPr>
        <w:t xml:space="preserve">as this </w:t>
      </w:r>
      <w:r w:rsidR="002E4C19" w:rsidRPr="005F3928">
        <w:rPr>
          <w:rFonts w:eastAsia="Times New Roman"/>
          <w:color w:val="000000"/>
        </w:rPr>
        <w:t>will damage the enzyme.</w:t>
      </w:r>
    </w:p>
    <w:p w14:paraId="5D11869E" w14:textId="77777777" w:rsidR="00087B11" w:rsidRPr="00A0027B" w:rsidRDefault="00087B11" w:rsidP="00A0027B">
      <w:pPr>
        <w:widowControl/>
        <w:rPr>
          <w:rFonts w:eastAsia="Times New Roman"/>
        </w:rPr>
      </w:pPr>
    </w:p>
    <w:p w14:paraId="2B0C7BAE" w14:textId="0A5C0D32" w:rsidR="002E4C19" w:rsidRPr="00A0027B" w:rsidRDefault="002E4C19" w:rsidP="00A0027B">
      <w:pPr>
        <w:widowControl/>
        <w:numPr>
          <w:ilvl w:val="1"/>
          <w:numId w:val="13"/>
        </w:numPr>
        <w:ind w:left="0" w:firstLine="0"/>
        <w:textAlignment w:val="baseline"/>
        <w:rPr>
          <w:rFonts w:eastAsia="Times New Roman"/>
        </w:rPr>
      </w:pPr>
      <w:r w:rsidRPr="00A0027B">
        <w:rPr>
          <w:rFonts w:eastAsia="Times New Roman"/>
          <w:color w:val="000000"/>
        </w:rPr>
        <w:t xml:space="preserve">Fill </w:t>
      </w:r>
      <w:r w:rsidR="008D1A71" w:rsidRPr="00A0027B">
        <w:rPr>
          <w:rFonts w:eastAsia="Times New Roman"/>
          <w:color w:val="000000"/>
        </w:rPr>
        <w:t>c</w:t>
      </w:r>
      <w:r w:rsidRPr="00A0027B">
        <w:rPr>
          <w:rFonts w:eastAsia="Times New Roman"/>
          <w:color w:val="000000"/>
        </w:rPr>
        <w:t>olumns 1</w:t>
      </w:r>
      <w:r w:rsidR="005F3928">
        <w:rPr>
          <w:rFonts w:eastAsia="Times New Roman"/>
          <w:color w:val="000000"/>
        </w:rPr>
        <w:t>–</w:t>
      </w:r>
      <w:r w:rsidRPr="00A0027B">
        <w:rPr>
          <w:rFonts w:eastAsia="Times New Roman"/>
          <w:color w:val="000000"/>
        </w:rPr>
        <w:t xml:space="preserve">4 of a sterile 96-well deep well reservoir by transferring 1.48 mL of </w:t>
      </w:r>
      <w:r w:rsidR="006A28A6" w:rsidRPr="00A0027B">
        <w:rPr>
          <w:rFonts w:eastAsia="Times New Roman"/>
          <w:color w:val="000000"/>
        </w:rPr>
        <w:t>m</w:t>
      </w:r>
      <w:r w:rsidRPr="00A0027B">
        <w:rPr>
          <w:rFonts w:eastAsia="Times New Roman"/>
          <w:color w:val="000000"/>
        </w:rPr>
        <w:t>aster</w:t>
      </w:r>
      <w:r w:rsidR="005F6846" w:rsidRPr="00A0027B">
        <w:rPr>
          <w:rFonts w:eastAsia="Times New Roman"/>
          <w:color w:val="000000"/>
        </w:rPr>
        <w:t xml:space="preserve"> </w:t>
      </w:r>
      <w:r w:rsidRPr="00A0027B">
        <w:rPr>
          <w:rFonts w:eastAsia="Times New Roman"/>
          <w:color w:val="000000"/>
        </w:rPr>
        <w:t>mix into each well. One 50 mL conical fill</w:t>
      </w:r>
      <w:r w:rsidR="005F6846" w:rsidRPr="00A0027B">
        <w:rPr>
          <w:rFonts w:eastAsia="Times New Roman"/>
          <w:color w:val="000000"/>
        </w:rPr>
        <w:t>s</w:t>
      </w:r>
      <w:r w:rsidRPr="00A0027B">
        <w:rPr>
          <w:rFonts w:eastAsia="Times New Roman"/>
          <w:color w:val="000000"/>
        </w:rPr>
        <w:t xml:space="preserve"> four columns, enough for 12 plates.</w:t>
      </w:r>
    </w:p>
    <w:p w14:paraId="0B79DCA5" w14:textId="77777777" w:rsidR="00087B11" w:rsidRPr="00A0027B" w:rsidRDefault="00087B11" w:rsidP="00A0027B">
      <w:pPr>
        <w:widowControl/>
        <w:textAlignment w:val="baseline"/>
        <w:rPr>
          <w:rFonts w:eastAsia="Times New Roman"/>
        </w:rPr>
      </w:pPr>
    </w:p>
    <w:p w14:paraId="2DB68A59" w14:textId="5011C258" w:rsidR="002E4C19" w:rsidRPr="00A0027B" w:rsidRDefault="002E4C19" w:rsidP="00A0027B">
      <w:pPr>
        <w:widowControl/>
        <w:numPr>
          <w:ilvl w:val="1"/>
          <w:numId w:val="13"/>
        </w:numPr>
        <w:ind w:left="0" w:firstLine="0"/>
        <w:textAlignment w:val="baseline"/>
        <w:rPr>
          <w:rFonts w:eastAsia="Times New Roman"/>
        </w:rPr>
      </w:pPr>
      <w:r w:rsidRPr="00A0027B">
        <w:rPr>
          <w:rFonts w:eastAsia="Times New Roman"/>
          <w:color w:val="000000"/>
        </w:rPr>
        <w:t xml:space="preserve">Cover the deep well reservoir with a foil </w:t>
      </w:r>
      <w:r w:rsidR="00FB0F36" w:rsidRPr="00A0027B">
        <w:rPr>
          <w:rFonts w:eastAsia="Times New Roman"/>
          <w:color w:val="000000"/>
        </w:rPr>
        <w:t>seal</w:t>
      </w:r>
      <w:r w:rsidRPr="00A0027B">
        <w:rPr>
          <w:rFonts w:eastAsia="Times New Roman"/>
          <w:color w:val="000000"/>
        </w:rPr>
        <w:t xml:space="preserve"> and place it in the dedicated </w:t>
      </w:r>
      <w:r w:rsidR="006A28A6" w:rsidRPr="00A0027B">
        <w:rPr>
          <w:rFonts w:eastAsia="Times New Roman"/>
          <w:color w:val="000000"/>
        </w:rPr>
        <w:t>m</w:t>
      </w:r>
      <w:r w:rsidRPr="00A0027B">
        <w:rPr>
          <w:rFonts w:eastAsia="Times New Roman"/>
          <w:color w:val="000000"/>
        </w:rPr>
        <w:t>aster</w:t>
      </w:r>
      <w:r w:rsidR="005F6846" w:rsidRPr="00A0027B">
        <w:rPr>
          <w:rFonts w:eastAsia="Times New Roman"/>
          <w:color w:val="000000"/>
        </w:rPr>
        <w:t xml:space="preserve"> </w:t>
      </w:r>
      <w:r w:rsidRPr="00A0027B">
        <w:rPr>
          <w:rFonts w:eastAsia="Times New Roman"/>
          <w:color w:val="000000"/>
        </w:rPr>
        <w:t xml:space="preserve">mix liquid handling robot. Place the filled deep well reservoir on </w:t>
      </w:r>
      <w:r w:rsidR="0079769D" w:rsidRPr="00A0027B">
        <w:rPr>
          <w:rFonts w:eastAsia="Times New Roman"/>
          <w:color w:val="000000"/>
        </w:rPr>
        <w:t>d</w:t>
      </w:r>
      <w:r w:rsidRPr="00A0027B">
        <w:rPr>
          <w:rFonts w:eastAsia="Times New Roman"/>
          <w:color w:val="000000"/>
        </w:rPr>
        <w:t xml:space="preserve">eck 10, </w:t>
      </w:r>
      <w:r w:rsidR="00C86783">
        <w:rPr>
          <w:rFonts w:eastAsia="Times New Roman"/>
          <w:color w:val="000000"/>
        </w:rPr>
        <w:t xml:space="preserve">place </w:t>
      </w:r>
      <w:r w:rsidRPr="00A0027B">
        <w:rPr>
          <w:rFonts w:eastAsia="Times New Roman"/>
          <w:color w:val="000000"/>
        </w:rPr>
        <w:t>six empty 384</w:t>
      </w:r>
      <w:r w:rsidR="00CD3E8A" w:rsidRPr="00A0027B">
        <w:rPr>
          <w:rFonts w:eastAsia="Times New Roman"/>
          <w:color w:val="000000"/>
        </w:rPr>
        <w:t>-</w:t>
      </w:r>
      <w:r w:rsidRPr="00A0027B">
        <w:rPr>
          <w:rFonts w:eastAsia="Times New Roman"/>
          <w:color w:val="000000"/>
        </w:rPr>
        <w:t xml:space="preserve">well plates </w:t>
      </w:r>
      <w:r w:rsidRPr="00A0027B">
        <w:rPr>
          <w:rFonts w:eastAsia="Times New Roman"/>
          <w:color w:val="000000"/>
        </w:rPr>
        <w:lastRenderedPageBreak/>
        <w:t xml:space="preserve">on </w:t>
      </w:r>
      <w:r w:rsidR="0079769D" w:rsidRPr="00A0027B">
        <w:rPr>
          <w:rFonts w:eastAsia="Times New Roman"/>
          <w:color w:val="000000"/>
        </w:rPr>
        <w:t>d</w:t>
      </w:r>
      <w:r w:rsidRPr="00A0027B">
        <w:rPr>
          <w:rFonts w:eastAsia="Times New Roman"/>
          <w:color w:val="000000"/>
        </w:rPr>
        <w:t>ecks 1</w:t>
      </w:r>
      <w:r w:rsidR="00CD3E8A" w:rsidRPr="00A0027B">
        <w:rPr>
          <w:rFonts w:eastAsia="Times New Roman"/>
          <w:color w:val="000000"/>
        </w:rPr>
        <w:t>–</w:t>
      </w:r>
      <w:r w:rsidRPr="00A0027B">
        <w:rPr>
          <w:rFonts w:eastAsia="Times New Roman"/>
          <w:color w:val="000000"/>
        </w:rPr>
        <w:t xml:space="preserve">6, and the P20 tip box on </w:t>
      </w:r>
      <w:r w:rsidR="0079769D" w:rsidRPr="00A0027B">
        <w:rPr>
          <w:rFonts w:eastAsia="Times New Roman"/>
          <w:color w:val="000000"/>
        </w:rPr>
        <w:t>d</w:t>
      </w:r>
      <w:r w:rsidRPr="00A0027B">
        <w:rPr>
          <w:rFonts w:eastAsia="Times New Roman"/>
          <w:color w:val="000000"/>
        </w:rPr>
        <w:t xml:space="preserve">eck 11. Uncover the </w:t>
      </w:r>
      <w:r w:rsidR="00FB0F36" w:rsidRPr="00A0027B">
        <w:rPr>
          <w:rFonts w:eastAsia="Times New Roman"/>
          <w:color w:val="000000"/>
        </w:rPr>
        <w:t xml:space="preserve">deep well plate and </w:t>
      </w:r>
      <w:r w:rsidRPr="00A0027B">
        <w:rPr>
          <w:rFonts w:eastAsia="Times New Roman"/>
          <w:color w:val="000000"/>
        </w:rPr>
        <w:t>tip boxes and close the robot.</w:t>
      </w:r>
    </w:p>
    <w:p w14:paraId="6691BE4F" w14:textId="77777777" w:rsidR="00087B11" w:rsidRPr="00A0027B" w:rsidRDefault="00087B11" w:rsidP="00A0027B">
      <w:pPr>
        <w:widowControl/>
        <w:textAlignment w:val="baseline"/>
        <w:rPr>
          <w:rFonts w:eastAsia="Times New Roman"/>
        </w:rPr>
      </w:pPr>
    </w:p>
    <w:p w14:paraId="4EE637F2" w14:textId="1D075466"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Initialize the custom Python operating protocol by clicking </w:t>
      </w:r>
      <w:r w:rsidRPr="00A0027B">
        <w:rPr>
          <w:rFonts w:eastAsia="Times New Roman"/>
          <w:b/>
          <w:bCs/>
          <w:color w:val="000000"/>
        </w:rPr>
        <w:t>Start Run</w:t>
      </w:r>
      <w:r w:rsidRPr="00A0027B">
        <w:rPr>
          <w:rFonts w:eastAsia="Times New Roman"/>
          <w:color w:val="000000"/>
        </w:rPr>
        <w:t xml:space="preserve"> </w:t>
      </w:r>
      <w:r w:rsidR="00851C3D" w:rsidRPr="00A0027B">
        <w:rPr>
          <w:rFonts w:eastAsia="Times New Roman"/>
          <w:color w:val="000000"/>
        </w:rPr>
        <w:t xml:space="preserve">in </w:t>
      </w:r>
      <w:r w:rsidRPr="00A0027B">
        <w:rPr>
          <w:rFonts w:eastAsia="Times New Roman"/>
          <w:color w:val="000000"/>
        </w:rPr>
        <w:t>the robot desktop application.</w:t>
      </w:r>
    </w:p>
    <w:p w14:paraId="39CC9268" w14:textId="77777777" w:rsidR="00087B11" w:rsidRPr="00A0027B" w:rsidRDefault="00087B11" w:rsidP="00A0027B">
      <w:pPr>
        <w:widowControl/>
        <w:textAlignment w:val="baseline"/>
        <w:rPr>
          <w:rFonts w:eastAsia="Times New Roman"/>
          <w:color w:val="000000"/>
        </w:rPr>
      </w:pPr>
    </w:p>
    <w:p w14:paraId="70FD20EB" w14:textId="5D7268B9"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After 40 min, the run will pause. Cover the </w:t>
      </w:r>
      <w:r w:rsidR="002268E8" w:rsidRPr="00A0027B">
        <w:rPr>
          <w:rFonts w:eastAsia="Times New Roman"/>
          <w:color w:val="000000"/>
        </w:rPr>
        <w:t xml:space="preserve">filled 384 well </w:t>
      </w:r>
      <w:r w:rsidRPr="00A0027B">
        <w:rPr>
          <w:rFonts w:eastAsia="Times New Roman"/>
          <w:color w:val="000000"/>
        </w:rPr>
        <w:t xml:space="preserve">plates with foil seals </w:t>
      </w:r>
      <w:r w:rsidR="002268E8" w:rsidRPr="00A0027B">
        <w:rPr>
          <w:rFonts w:eastAsia="Times New Roman"/>
          <w:color w:val="000000"/>
        </w:rPr>
        <w:t xml:space="preserve">while they remain in the robot </w:t>
      </w:r>
      <w:r w:rsidRPr="00A0027B">
        <w:rPr>
          <w:rFonts w:eastAsia="Times New Roman"/>
          <w:color w:val="000000"/>
        </w:rPr>
        <w:t>and press down with the roller to ensure adherence. Label the edge of each plate with a batch identifier.</w:t>
      </w:r>
    </w:p>
    <w:p w14:paraId="4DDAD6E4" w14:textId="77777777" w:rsidR="00087B11" w:rsidRPr="00A0027B" w:rsidRDefault="00087B11" w:rsidP="00A0027B">
      <w:pPr>
        <w:widowControl/>
        <w:textAlignment w:val="baseline"/>
        <w:rPr>
          <w:rFonts w:eastAsia="Times New Roman"/>
          <w:color w:val="000000"/>
        </w:rPr>
      </w:pPr>
    </w:p>
    <w:p w14:paraId="18CD8F92" w14:textId="0A2D6244" w:rsidR="002E4C19" w:rsidRPr="00745631" w:rsidRDefault="002E4C19" w:rsidP="00745631">
      <w:pPr>
        <w:widowControl/>
        <w:numPr>
          <w:ilvl w:val="1"/>
          <w:numId w:val="13"/>
        </w:numPr>
        <w:ind w:left="0" w:firstLine="0"/>
        <w:textAlignment w:val="baseline"/>
        <w:rPr>
          <w:rFonts w:eastAsia="Times New Roman"/>
          <w:color w:val="000000"/>
        </w:rPr>
      </w:pPr>
      <w:r w:rsidRPr="00A0027B">
        <w:rPr>
          <w:rFonts w:eastAsia="Times New Roman"/>
          <w:color w:val="000000"/>
        </w:rPr>
        <w:t>Place six new empty 384</w:t>
      </w:r>
      <w:r w:rsidR="0079769D" w:rsidRPr="00A0027B">
        <w:rPr>
          <w:rFonts w:eastAsia="Times New Roman"/>
          <w:color w:val="000000"/>
        </w:rPr>
        <w:t>-</w:t>
      </w:r>
      <w:r w:rsidRPr="00A0027B">
        <w:rPr>
          <w:rFonts w:eastAsia="Times New Roman"/>
          <w:color w:val="000000"/>
        </w:rPr>
        <w:t xml:space="preserve">well plates on </w:t>
      </w:r>
      <w:r w:rsidR="0079769D" w:rsidRPr="00A0027B">
        <w:rPr>
          <w:rFonts w:eastAsia="Times New Roman"/>
          <w:color w:val="000000"/>
        </w:rPr>
        <w:t>d</w:t>
      </w:r>
      <w:r w:rsidRPr="00A0027B">
        <w:rPr>
          <w:rFonts w:eastAsia="Times New Roman"/>
          <w:color w:val="000000"/>
        </w:rPr>
        <w:t>ecks 1</w:t>
      </w:r>
      <w:r w:rsidR="0079769D" w:rsidRPr="00A0027B">
        <w:rPr>
          <w:rFonts w:eastAsia="Times New Roman"/>
          <w:color w:val="000000"/>
        </w:rPr>
        <w:t>–</w:t>
      </w:r>
      <w:r w:rsidRPr="00A0027B">
        <w:rPr>
          <w:rFonts w:eastAsia="Times New Roman"/>
          <w:color w:val="000000"/>
        </w:rPr>
        <w:t xml:space="preserve">6 and resume operating protocol by clicking </w:t>
      </w:r>
      <w:r w:rsidRPr="00A0027B">
        <w:rPr>
          <w:rFonts w:eastAsia="Times New Roman"/>
          <w:b/>
          <w:bCs/>
          <w:color w:val="000000"/>
        </w:rPr>
        <w:t>Resume Run</w:t>
      </w:r>
      <w:r w:rsidRPr="00A0027B">
        <w:rPr>
          <w:rFonts w:eastAsia="Times New Roman"/>
          <w:color w:val="000000"/>
        </w:rPr>
        <w:t>.</w:t>
      </w:r>
      <w:r w:rsidR="00745631">
        <w:rPr>
          <w:rFonts w:eastAsia="Times New Roman"/>
          <w:color w:val="000000"/>
        </w:rPr>
        <w:t xml:space="preserve"> </w:t>
      </w:r>
      <w:r w:rsidRPr="00745631">
        <w:rPr>
          <w:rFonts w:eastAsia="Times New Roman"/>
          <w:color w:val="000000"/>
        </w:rPr>
        <w:t xml:space="preserve">After the run is complete, cover the final set of </w:t>
      </w:r>
      <w:r w:rsidR="002268E8" w:rsidRPr="00745631">
        <w:rPr>
          <w:rFonts w:eastAsia="Times New Roman"/>
          <w:color w:val="000000"/>
        </w:rPr>
        <w:t xml:space="preserve">384 well </w:t>
      </w:r>
      <w:r w:rsidRPr="00745631">
        <w:rPr>
          <w:rFonts w:eastAsia="Times New Roman"/>
          <w:color w:val="000000"/>
        </w:rPr>
        <w:t>plates with foil seals</w:t>
      </w:r>
      <w:r w:rsidR="002268E8" w:rsidRPr="00745631">
        <w:rPr>
          <w:rFonts w:eastAsia="Times New Roman"/>
          <w:color w:val="000000"/>
        </w:rPr>
        <w:t>.</w:t>
      </w:r>
    </w:p>
    <w:p w14:paraId="4C8A6B6A" w14:textId="77777777" w:rsidR="00087B11" w:rsidRPr="00A0027B" w:rsidRDefault="00087B11" w:rsidP="00A0027B">
      <w:pPr>
        <w:widowControl/>
        <w:textAlignment w:val="baseline"/>
        <w:rPr>
          <w:rFonts w:eastAsia="Times New Roman"/>
          <w:color w:val="000000"/>
        </w:rPr>
      </w:pPr>
    </w:p>
    <w:p w14:paraId="21098558" w14:textId="10712A40"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Pipette 2 </w:t>
      </w:r>
      <w:r w:rsidR="00BC0861" w:rsidRPr="00A0027B">
        <w:rPr>
          <w:rFonts w:eastAsia="Times New Roman"/>
          <w:color w:val="000000"/>
        </w:rPr>
        <w:t>µL</w:t>
      </w:r>
      <w:r w:rsidRPr="00A0027B">
        <w:rPr>
          <w:rFonts w:eastAsia="Times New Roman"/>
          <w:color w:val="000000"/>
        </w:rPr>
        <w:t xml:space="preserve"> of </w:t>
      </w:r>
      <w:r w:rsidR="00745631">
        <w:rPr>
          <w:rFonts w:eastAsia="Times New Roman"/>
          <w:color w:val="000000"/>
        </w:rPr>
        <w:t xml:space="preserve">the </w:t>
      </w:r>
      <w:r w:rsidRPr="00A0027B">
        <w:rPr>
          <w:rFonts w:eastAsia="Times New Roman"/>
          <w:color w:val="000000"/>
        </w:rPr>
        <w:t>remaining master</w:t>
      </w:r>
      <w:r w:rsidR="0079769D" w:rsidRPr="00A0027B">
        <w:rPr>
          <w:rFonts w:eastAsia="Times New Roman"/>
          <w:color w:val="000000"/>
        </w:rPr>
        <w:t xml:space="preserve"> </w:t>
      </w:r>
      <w:r w:rsidRPr="00A0027B">
        <w:rPr>
          <w:rFonts w:eastAsia="Times New Roman"/>
          <w:color w:val="000000"/>
        </w:rPr>
        <w:t xml:space="preserve">mix into </w:t>
      </w:r>
      <w:r w:rsidR="0079769D" w:rsidRPr="00A0027B">
        <w:rPr>
          <w:rFonts w:eastAsia="Times New Roman"/>
          <w:color w:val="000000"/>
        </w:rPr>
        <w:t>c</w:t>
      </w:r>
      <w:r w:rsidRPr="00A0027B">
        <w:rPr>
          <w:rFonts w:eastAsia="Times New Roman"/>
          <w:color w:val="000000"/>
        </w:rPr>
        <w:t>olumns 1</w:t>
      </w:r>
      <w:r w:rsidR="0079769D" w:rsidRPr="00A0027B">
        <w:rPr>
          <w:rFonts w:eastAsia="Times New Roman"/>
          <w:color w:val="000000"/>
        </w:rPr>
        <w:t>–</w:t>
      </w:r>
      <w:r w:rsidRPr="00A0027B">
        <w:rPr>
          <w:rFonts w:eastAsia="Times New Roman"/>
          <w:color w:val="000000"/>
        </w:rPr>
        <w:t>3 and 22</w:t>
      </w:r>
      <w:r w:rsidR="0079769D" w:rsidRPr="00A0027B">
        <w:rPr>
          <w:rFonts w:eastAsia="Times New Roman"/>
          <w:color w:val="000000"/>
        </w:rPr>
        <w:t>–</w:t>
      </w:r>
      <w:r w:rsidRPr="00A0027B">
        <w:rPr>
          <w:rFonts w:eastAsia="Times New Roman"/>
          <w:color w:val="000000"/>
        </w:rPr>
        <w:t>24 of an empty 384</w:t>
      </w:r>
      <w:r w:rsidR="0079769D" w:rsidRPr="00A0027B">
        <w:rPr>
          <w:rFonts w:eastAsia="Times New Roman"/>
          <w:color w:val="000000"/>
        </w:rPr>
        <w:t>-</w:t>
      </w:r>
      <w:r w:rsidRPr="00A0027B">
        <w:rPr>
          <w:rFonts w:eastAsia="Times New Roman"/>
          <w:color w:val="000000"/>
        </w:rPr>
        <w:t>well plate for batch quality control. Seal with an optically clear seal and run on the thermocycler (</w:t>
      </w:r>
      <w:r w:rsidR="0079769D" w:rsidRPr="00A0027B">
        <w:rPr>
          <w:rFonts w:eastAsia="Times New Roman"/>
          <w:color w:val="000000"/>
        </w:rPr>
        <w:t>s</w:t>
      </w:r>
      <w:r w:rsidRPr="00A0027B">
        <w:rPr>
          <w:rFonts w:eastAsia="Times New Roman"/>
          <w:color w:val="000000"/>
        </w:rPr>
        <w:t>ection 10.1</w:t>
      </w:r>
      <w:r w:rsidR="0079769D" w:rsidRPr="00A0027B">
        <w:rPr>
          <w:rFonts w:eastAsia="Times New Roman"/>
          <w:color w:val="000000"/>
        </w:rPr>
        <w:t>–</w:t>
      </w:r>
      <w:r w:rsidRPr="00A0027B">
        <w:rPr>
          <w:rFonts w:eastAsia="Times New Roman"/>
          <w:color w:val="000000"/>
        </w:rPr>
        <w:t xml:space="preserve">10.2). </w:t>
      </w:r>
      <w:r w:rsidR="00454C68" w:rsidRPr="00A0027B">
        <w:rPr>
          <w:rFonts w:eastAsia="Times New Roman"/>
          <w:color w:val="000000"/>
        </w:rPr>
        <w:t>I</w:t>
      </w:r>
      <w:r w:rsidRPr="00A0027B">
        <w:rPr>
          <w:rFonts w:eastAsia="Times New Roman"/>
          <w:color w:val="000000"/>
        </w:rPr>
        <w:t xml:space="preserve">f any wells have N1 </w:t>
      </w:r>
      <w:r w:rsidR="00DF6B34" w:rsidRPr="00A0027B">
        <w:rPr>
          <w:rFonts w:eastAsia="Times New Roman"/>
          <w:color w:val="000000"/>
        </w:rPr>
        <w:t>threshold cycle (</w:t>
      </w:r>
      <w:r w:rsidRPr="00A0027B">
        <w:rPr>
          <w:rFonts w:eastAsia="Times New Roman"/>
          <w:color w:val="000000"/>
        </w:rPr>
        <w:t>C</w:t>
      </w:r>
      <w:r w:rsidR="004A31E9" w:rsidRPr="00A0027B">
        <w:rPr>
          <w:rFonts w:eastAsia="Times New Roman"/>
          <w:color w:val="000000"/>
        </w:rPr>
        <w:t>t</w:t>
      </w:r>
      <w:r w:rsidR="00DF6B34" w:rsidRPr="00A0027B">
        <w:rPr>
          <w:rFonts w:eastAsia="Times New Roman"/>
          <w:color w:val="000000"/>
        </w:rPr>
        <w:t>)</w:t>
      </w:r>
      <w:r w:rsidRPr="00A0027B">
        <w:rPr>
          <w:rFonts w:eastAsia="Times New Roman"/>
          <w:color w:val="000000"/>
        </w:rPr>
        <w:t xml:space="preserve"> values or if </w:t>
      </w:r>
      <w:r w:rsidR="00454C68" w:rsidRPr="00A0027B">
        <w:rPr>
          <w:rFonts w:eastAsia="Times New Roman"/>
          <w:color w:val="000000"/>
        </w:rPr>
        <w:t>more</w:t>
      </w:r>
      <w:r w:rsidRPr="00A0027B">
        <w:rPr>
          <w:rFonts w:eastAsia="Times New Roman"/>
          <w:color w:val="000000"/>
        </w:rPr>
        <w:t xml:space="preserve"> than 10 wells have P1 C</w:t>
      </w:r>
      <w:r w:rsidR="004A31E9" w:rsidRPr="00A0027B">
        <w:rPr>
          <w:rFonts w:eastAsia="Times New Roman"/>
          <w:color w:val="000000"/>
        </w:rPr>
        <w:t>t</w:t>
      </w:r>
      <w:r w:rsidRPr="00A0027B">
        <w:rPr>
          <w:rFonts w:eastAsia="Times New Roman"/>
          <w:color w:val="000000"/>
        </w:rPr>
        <w:t xml:space="preserve"> values</w:t>
      </w:r>
      <w:r w:rsidR="00454C68" w:rsidRPr="00A0027B">
        <w:rPr>
          <w:rFonts w:eastAsia="Times New Roman"/>
          <w:color w:val="000000"/>
        </w:rPr>
        <w:t>, the batch is contaminated and cannot be used</w:t>
      </w:r>
      <w:r w:rsidR="007A7DC9" w:rsidRPr="00A0027B">
        <w:rPr>
          <w:rFonts w:eastAsia="Times New Roman"/>
          <w:color w:val="000000"/>
        </w:rPr>
        <w:t>.</w:t>
      </w:r>
    </w:p>
    <w:p w14:paraId="0B5CF692" w14:textId="77777777" w:rsidR="00087B11" w:rsidRPr="00A0027B" w:rsidRDefault="00087B11" w:rsidP="00A0027B">
      <w:pPr>
        <w:widowControl/>
        <w:textAlignment w:val="baseline"/>
        <w:rPr>
          <w:rFonts w:eastAsia="Times New Roman"/>
          <w:color w:val="000000"/>
        </w:rPr>
      </w:pPr>
    </w:p>
    <w:p w14:paraId="00DE68B0" w14:textId="07B05F7E" w:rsidR="002E4C19" w:rsidRPr="00A0027B" w:rsidRDefault="002E4C19" w:rsidP="00A0027B">
      <w:pPr>
        <w:widowControl/>
        <w:numPr>
          <w:ilvl w:val="1"/>
          <w:numId w:val="13"/>
        </w:numPr>
        <w:ind w:left="0" w:firstLine="0"/>
        <w:textAlignment w:val="baseline"/>
        <w:rPr>
          <w:rFonts w:eastAsia="Times New Roman"/>
          <w:color w:val="000000"/>
        </w:rPr>
      </w:pPr>
      <w:r w:rsidRPr="00A0027B">
        <w:rPr>
          <w:rFonts w:eastAsia="Times New Roman"/>
          <w:color w:val="000000"/>
        </w:rPr>
        <w:t xml:space="preserve">Store </w:t>
      </w:r>
      <w:r w:rsidR="00EE2E76" w:rsidRPr="00A0027B">
        <w:rPr>
          <w:rFonts w:eastAsia="Times New Roman"/>
          <w:color w:val="000000"/>
        </w:rPr>
        <w:t xml:space="preserve">the </w:t>
      </w:r>
      <w:r w:rsidRPr="00A0027B">
        <w:rPr>
          <w:rFonts w:eastAsia="Times New Roman"/>
          <w:color w:val="000000"/>
        </w:rPr>
        <w:t xml:space="preserve">prepared </w:t>
      </w:r>
      <w:r w:rsidR="006A28A6" w:rsidRPr="00A0027B">
        <w:rPr>
          <w:rFonts w:eastAsia="Times New Roman"/>
          <w:color w:val="000000"/>
        </w:rPr>
        <w:t>m</w:t>
      </w:r>
      <w:r w:rsidRPr="00A0027B">
        <w:rPr>
          <w:rFonts w:eastAsia="Times New Roman"/>
          <w:color w:val="000000"/>
        </w:rPr>
        <w:t>aster</w:t>
      </w:r>
      <w:r w:rsidR="00EE2E76" w:rsidRPr="00A0027B">
        <w:rPr>
          <w:rFonts w:eastAsia="Times New Roman"/>
          <w:color w:val="000000"/>
        </w:rPr>
        <w:t xml:space="preserve"> </w:t>
      </w:r>
      <w:r w:rsidRPr="00A0027B">
        <w:rPr>
          <w:rFonts w:eastAsia="Times New Roman"/>
          <w:color w:val="000000"/>
        </w:rPr>
        <w:t xml:space="preserve">mix plates at </w:t>
      </w:r>
      <w:r w:rsidR="00BC0861" w:rsidRPr="00A0027B">
        <w:rPr>
          <w:rFonts w:eastAsia="Times New Roman"/>
          <w:color w:val="000000"/>
        </w:rPr>
        <w:t>4</w:t>
      </w:r>
      <w:r w:rsidR="00EE2E76" w:rsidRPr="00A0027B">
        <w:rPr>
          <w:rFonts w:eastAsia="Times New Roman"/>
          <w:color w:val="000000"/>
        </w:rPr>
        <w:t xml:space="preserve"> </w:t>
      </w:r>
      <w:r w:rsidR="00BC0861" w:rsidRPr="00A0027B">
        <w:rPr>
          <w:rFonts w:eastAsia="Times New Roman"/>
          <w:color w:val="000000"/>
        </w:rPr>
        <w:t>°</w:t>
      </w:r>
      <w:r w:rsidR="00EE2E76" w:rsidRPr="00A0027B">
        <w:rPr>
          <w:rFonts w:eastAsia="Times New Roman"/>
          <w:color w:val="000000"/>
        </w:rPr>
        <w:t>C and u</w:t>
      </w:r>
      <w:r w:rsidRPr="00A0027B">
        <w:rPr>
          <w:rFonts w:eastAsia="Times New Roman"/>
          <w:color w:val="000000"/>
        </w:rPr>
        <w:t xml:space="preserve">se </w:t>
      </w:r>
      <w:r w:rsidR="00EE2E76" w:rsidRPr="00A0027B">
        <w:rPr>
          <w:rFonts w:eastAsia="Times New Roman"/>
          <w:color w:val="000000"/>
        </w:rPr>
        <w:t xml:space="preserve">them </w:t>
      </w:r>
      <w:r w:rsidRPr="00A0027B">
        <w:rPr>
          <w:rFonts w:eastAsia="Times New Roman"/>
          <w:color w:val="000000"/>
        </w:rPr>
        <w:t xml:space="preserve">within </w:t>
      </w:r>
      <w:r w:rsidR="00EE2E76" w:rsidRPr="00A0027B">
        <w:rPr>
          <w:rFonts w:eastAsia="Times New Roman"/>
          <w:color w:val="000000"/>
        </w:rPr>
        <w:t xml:space="preserve">7 </w:t>
      </w:r>
      <w:r w:rsidRPr="00A0027B">
        <w:rPr>
          <w:rFonts w:eastAsia="Times New Roman"/>
          <w:color w:val="000000"/>
        </w:rPr>
        <w:t>days</w:t>
      </w:r>
      <w:r w:rsidR="00EE2E76" w:rsidRPr="00A0027B">
        <w:rPr>
          <w:rFonts w:eastAsia="Times New Roman"/>
          <w:color w:val="000000"/>
        </w:rPr>
        <w:t xml:space="preserve"> of preparation</w:t>
      </w:r>
      <w:r w:rsidRPr="00A0027B">
        <w:rPr>
          <w:rFonts w:eastAsia="Times New Roman"/>
          <w:color w:val="000000"/>
        </w:rPr>
        <w:t>.</w:t>
      </w:r>
      <w:r w:rsidRPr="00A0027B">
        <w:rPr>
          <w:rFonts w:eastAsia="Times New Roman"/>
        </w:rPr>
        <w:br/>
      </w:r>
    </w:p>
    <w:p w14:paraId="6F62EB4C" w14:textId="5AF3C02B" w:rsidR="002E4C19" w:rsidRPr="00A0027B" w:rsidRDefault="002E4C19" w:rsidP="00A0027B">
      <w:pPr>
        <w:widowControl/>
        <w:numPr>
          <w:ilvl w:val="0"/>
          <w:numId w:val="13"/>
        </w:numPr>
        <w:ind w:left="0" w:firstLine="0"/>
        <w:textAlignment w:val="baseline"/>
        <w:rPr>
          <w:rFonts w:eastAsia="Times New Roman"/>
          <w:b/>
          <w:bCs/>
          <w:color w:val="000000"/>
          <w:highlight w:val="yellow"/>
        </w:rPr>
      </w:pPr>
      <w:r w:rsidRPr="00A0027B">
        <w:rPr>
          <w:rFonts w:eastAsia="Times New Roman"/>
          <w:b/>
          <w:bCs/>
          <w:color w:val="000000"/>
          <w:highlight w:val="yellow"/>
        </w:rPr>
        <w:t xml:space="preserve">Sample </w:t>
      </w:r>
      <w:r w:rsidR="00EE2E76" w:rsidRPr="00A0027B">
        <w:rPr>
          <w:rFonts w:eastAsia="Times New Roman"/>
          <w:b/>
          <w:bCs/>
          <w:color w:val="000000"/>
          <w:highlight w:val="yellow"/>
        </w:rPr>
        <w:t>c</w:t>
      </w:r>
      <w:r w:rsidRPr="00A0027B">
        <w:rPr>
          <w:rFonts w:eastAsia="Times New Roman"/>
          <w:b/>
          <w:bCs/>
          <w:color w:val="000000"/>
          <w:highlight w:val="yellow"/>
        </w:rPr>
        <w:t xml:space="preserve">ollection, </w:t>
      </w:r>
      <w:r w:rsidR="00EE2E76" w:rsidRPr="00A0027B">
        <w:rPr>
          <w:rFonts w:eastAsia="Times New Roman"/>
          <w:b/>
          <w:bCs/>
          <w:color w:val="000000"/>
          <w:highlight w:val="yellow"/>
        </w:rPr>
        <w:t>i</w:t>
      </w:r>
      <w:r w:rsidRPr="00A0027B">
        <w:rPr>
          <w:rFonts w:eastAsia="Times New Roman"/>
          <w:b/>
          <w:bCs/>
          <w:color w:val="000000"/>
          <w:highlight w:val="yellow"/>
        </w:rPr>
        <w:t>ntake</w:t>
      </w:r>
      <w:r w:rsidR="00AA4710" w:rsidRPr="00A0027B">
        <w:rPr>
          <w:rFonts w:eastAsia="Times New Roman"/>
          <w:b/>
          <w:bCs/>
          <w:color w:val="000000"/>
          <w:highlight w:val="yellow"/>
        </w:rPr>
        <w:t>,</w:t>
      </w:r>
      <w:r w:rsidRPr="00A0027B">
        <w:rPr>
          <w:rFonts w:eastAsia="Times New Roman"/>
          <w:b/>
          <w:bCs/>
          <w:color w:val="000000"/>
          <w:highlight w:val="yellow"/>
        </w:rPr>
        <w:t xml:space="preserve"> and </w:t>
      </w:r>
      <w:r w:rsidR="00EE2E76" w:rsidRPr="00A0027B">
        <w:rPr>
          <w:rFonts w:eastAsia="Times New Roman"/>
          <w:b/>
          <w:bCs/>
          <w:color w:val="000000"/>
          <w:highlight w:val="yellow"/>
        </w:rPr>
        <w:t>h</w:t>
      </w:r>
      <w:r w:rsidRPr="00A0027B">
        <w:rPr>
          <w:rFonts w:eastAsia="Times New Roman"/>
          <w:b/>
          <w:bCs/>
          <w:color w:val="000000"/>
          <w:highlight w:val="yellow"/>
        </w:rPr>
        <w:t xml:space="preserve">eat </w:t>
      </w:r>
      <w:r w:rsidR="00EE2E76" w:rsidRPr="00A0027B">
        <w:rPr>
          <w:rFonts w:eastAsia="Times New Roman"/>
          <w:b/>
          <w:bCs/>
          <w:color w:val="000000"/>
          <w:highlight w:val="yellow"/>
        </w:rPr>
        <w:t>t</w:t>
      </w:r>
      <w:r w:rsidRPr="00A0027B">
        <w:rPr>
          <w:rFonts w:eastAsia="Times New Roman"/>
          <w:b/>
          <w:bCs/>
          <w:color w:val="000000"/>
          <w:highlight w:val="yellow"/>
        </w:rPr>
        <w:t>reatment</w:t>
      </w:r>
    </w:p>
    <w:p w14:paraId="5045903D" w14:textId="77777777" w:rsidR="006221A0" w:rsidRPr="00A0027B" w:rsidRDefault="006221A0" w:rsidP="00A0027B">
      <w:pPr>
        <w:widowControl/>
        <w:textAlignment w:val="baseline"/>
        <w:rPr>
          <w:rFonts w:eastAsia="Times New Roman"/>
          <w:b/>
          <w:bCs/>
          <w:color w:val="000000"/>
          <w:highlight w:val="yellow"/>
        </w:rPr>
      </w:pPr>
    </w:p>
    <w:p w14:paraId="5ED5D175" w14:textId="507FE6F1" w:rsidR="002E4C19" w:rsidRPr="00A0027B" w:rsidRDefault="008C13A2"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Instruct participants to avoid eating, drinking, smoking, or conducting dental hygiene 30 min prior to the saliva collection. </w:t>
      </w:r>
      <w:r w:rsidR="002E4C19" w:rsidRPr="00A0027B">
        <w:rPr>
          <w:rFonts w:eastAsia="Times New Roman"/>
          <w:color w:val="000000"/>
          <w:highlight w:val="yellow"/>
        </w:rPr>
        <w:t xml:space="preserve">Instruct participants to collect at least 1 mL of saliva that naturally pools in the mouth and deposit </w:t>
      </w:r>
      <w:r w:rsidR="00544E75" w:rsidRPr="00A0027B">
        <w:rPr>
          <w:rFonts w:eastAsia="Times New Roman"/>
          <w:color w:val="000000"/>
          <w:highlight w:val="yellow"/>
        </w:rPr>
        <w:t xml:space="preserve">it </w:t>
      </w:r>
      <w:r w:rsidR="002E4C19" w:rsidRPr="00A0027B">
        <w:rPr>
          <w:rFonts w:eastAsia="Times New Roman"/>
          <w:color w:val="000000"/>
          <w:highlight w:val="yellow"/>
        </w:rPr>
        <w:t xml:space="preserve">into </w:t>
      </w:r>
      <w:r w:rsidR="00544E75" w:rsidRPr="00A0027B">
        <w:rPr>
          <w:rFonts w:eastAsia="Times New Roman"/>
          <w:color w:val="000000"/>
          <w:highlight w:val="yellow"/>
        </w:rPr>
        <w:t xml:space="preserve">a </w:t>
      </w:r>
      <w:r w:rsidR="002E4C19" w:rsidRPr="00A0027B">
        <w:rPr>
          <w:rFonts w:eastAsia="Times New Roman"/>
          <w:color w:val="000000"/>
          <w:highlight w:val="yellow"/>
        </w:rPr>
        <w:t>sterile 50 mL conical tube without preservatives</w:t>
      </w:r>
      <w:r w:rsidRPr="00A0027B">
        <w:rPr>
          <w:rFonts w:eastAsia="Times New Roman"/>
          <w:color w:val="000000"/>
          <w:highlight w:val="yellow"/>
        </w:rPr>
        <w:t>, then cap the tube</w:t>
      </w:r>
      <w:r w:rsidR="00C31EC6" w:rsidRPr="00A0027B">
        <w:rPr>
          <w:rFonts w:eastAsia="Times New Roman"/>
          <w:color w:val="000000"/>
          <w:highlight w:val="yellow"/>
        </w:rPr>
        <w:t xml:space="preserve"> </w:t>
      </w:r>
      <w:r w:rsidR="00B47E72" w:rsidRPr="00A0027B">
        <w:rPr>
          <w:rFonts w:eastAsia="Times New Roman"/>
          <w:color w:val="000000"/>
          <w:highlight w:val="yellow"/>
        </w:rPr>
        <w:t>(</w:t>
      </w:r>
      <w:r w:rsidR="00B47E72" w:rsidRPr="00A0027B">
        <w:rPr>
          <w:rFonts w:eastAsia="Times New Roman"/>
          <w:b/>
          <w:bCs/>
          <w:color w:val="000000"/>
          <w:highlight w:val="yellow"/>
        </w:rPr>
        <w:t xml:space="preserve">Supplemental </w:t>
      </w:r>
      <w:r w:rsidR="00626BE5" w:rsidRPr="00A0027B">
        <w:rPr>
          <w:rFonts w:eastAsia="Times New Roman"/>
          <w:b/>
          <w:bCs/>
          <w:color w:val="000000"/>
          <w:highlight w:val="yellow"/>
        </w:rPr>
        <w:t>F</w:t>
      </w:r>
      <w:r w:rsidR="00B47E72" w:rsidRPr="00A0027B">
        <w:rPr>
          <w:rFonts w:eastAsia="Times New Roman"/>
          <w:b/>
          <w:bCs/>
          <w:color w:val="000000"/>
          <w:highlight w:val="yellow"/>
        </w:rPr>
        <w:t xml:space="preserve">ile </w:t>
      </w:r>
      <w:r w:rsidR="00626BE5" w:rsidRPr="00A0027B">
        <w:rPr>
          <w:rFonts w:eastAsia="Times New Roman"/>
          <w:b/>
          <w:bCs/>
          <w:color w:val="000000"/>
          <w:highlight w:val="yellow"/>
        </w:rPr>
        <w:t>3</w:t>
      </w:r>
      <w:r w:rsidR="00B47E72" w:rsidRPr="00A0027B">
        <w:rPr>
          <w:rFonts w:eastAsia="Times New Roman"/>
          <w:color w:val="000000"/>
          <w:highlight w:val="yellow"/>
        </w:rPr>
        <w:t>)</w:t>
      </w:r>
      <w:r w:rsidR="00C31EC6" w:rsidRPr="00A0027B">
        <w:rPr>
          <w:rFonts w:eastAsia="Times New Roman"/>
          <w:color w:val="000000"/>
          <w:highlight w:val="yellow"/>
        </w:rPr>
        <w:t>.</w:t>
      </w:r>
    </w:p>
    <w:p w14:paraId="16E55C8E" w14:textId="77777777" w:rsidR="006221A0" w:rsidRPr="00A0027B" w:rsidRDefault="006221A0" w:rsidP="00A0027B">
      <w:pPr>
        <w:widowControl/>
        <w:textAlignment w:val="baseline"/>
        <w:rPr>
          <w:rFonts w:eastAsia="Times New Roman"/>
          <w:color w:val="000000"/>
          <w:highlight w:val="yellow"/>
        </w:rPr>
      </w:pPr>
    </w:p>
    <w:p w14:paraId="4BD16BBE" w14:textId="60A5406E"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Decontaminate </w:t>
      </w:r>
      <w:r w:rsidR="00544E75" w:rsidRPr="00A0027B">
        <w:rPr>
          <w:rFonts w:eastAsia="Times New Roman"/>
          <w:color w:val="000000"/>
          <w:highlight w:val="yellow"/>
        </w:rPr>
        <w:t xml:space="preserve">the </w:t>
      </w:r>
      <w:r w:rsidR="008C13A2" w:rsidRPr="00A0027B">
        <w:rPr>
          <w:rFonts w:eastAsia="Times New Roman"/>
          <w:color w:val="000000"/>
          <w:highlight w:val="yellow"/>
        </w:rPr>
        <w:t xml:space="preserve">outside of </w:t>
      </w:r>
      <w:r w:rsidRPr="00A0027B">
        <w:rPr>
          <w:rFonts w:eastAsia="Times New Roman"/>
          <w:color w:val="000000"/>
          <w:highlight w:val="yellow"/>
        </w:rPr>
        <w:t xml:space="preserve">saliva collection tubes with 70% ethanol or disinfecting wipes and transfer </w:t>
      </w:r>
      <w:r w:rsidR="00544E75" w:rsidRPr="00A0027B">
        <w:rPr>
          <w:rFonts w:eastAsia="Times New Roman"/>
          <w:color w:val="000000"/>
          <w:highlight w:val="yellow"/>
        </w:rPr>
        <w:t xml:space="preserve">them </w:t>
      </w:r>
      <w:r w:rsidRPr="00A0027B">
        <w:rPr>
          <w:rFonts w:eastAsia="Times New Roman"/>
          <w:color w:val="000000"/>
          <w:highlight w:val="yellow"/>
        </w:rPr>
        <w:t>to the laboratory for testing.</w:t>
      </w:r>
    </w:p>
    <w:p w14:paraId="017C5B16" w14:textId="77777777" w:rsidR="006221A0" w:rsidRPr="00A0027B" w:rsidRDefault="006221A0" w:rsidP="00A0027B">
      <w:pPr>
        <w:widowControl/>
        <w:textAlignment w:val="baseline"/>
        <w:rPr>
          <w:rFonts w:eastAsia="Times New Roman"/>
          <w:color w:val="000000"/>
          <w:highlight w:val="yellow"/>
        </w:rPr>
      </w:pPr>
    </w:p>
    <w:p w14:paraId="09F0BECF" w14:textId="06F14318" w:rsidR="006221A0"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Record sample arrival by scanning each sample barcode into the daily intake spreadsheet (</w:t>
      </w:r>
      <w:r w:rsidRPr="00A0027B">
        <w:rPr>
          <w:rFonts w:eastAsia="Times New Roman"/>
          <w:b/>
          <w:bCs/>
          <w:color w:val="000000"/>
          <w:highlight w:val="yellow"/>
          <w:shd w:val="clear" w:color="auto" w:fill="FFFF00"/>
        </w:rPr>
        <w:t xml:space="preserve">Supplemental </w:t>
      </w:r>
      <w:r w:rsidR="00626BE5" w:rsidRPr="00A0027B">
        <w:rPr>
          <w:rFonts w:eastAsia="Times New Roman"/>
          <w:b/>
          <w:bCs/>
          <w:color w:val="000000"/>
          <w:highlight w:val="yellow"/>
          <w:shd w:val="clear" w:color="auto" w:fill="FFFF00"/>
        </w:rPr>
        <w:t>F</w:t>
      </w:r>
      <w:r w:rsidR="00216CBB" w:rsidRPr="00A0027B">
        <w:rPr>
          <w:rFonts w:eastAsia="Times New Roman"/>
          <w:b/>
          <w:bCs/>
          <w:color w:val="000000"/>
          <w:highlight w:val="yellow"/>
          <w:shd w:val="clear" w:color="auto" w:fill="FFFF00"/>
        </w:rPr>
        <w:t xml:space="preserve">ile </w:t>
      </w:r>
      <w:r w:rsidR="00626BE5" w:rsidRPr="00A0027B">
        <w:rPr>
          <w:rFonts w:eastAsia="Times New Roman"/>
          <w:b/>
          <w:bCs/>
          <w:color w:val="000000"/>
          <w:highlight w:val="yellow"/>
          <w:shd w:val="clear" w:color="auto" w:fill="FFFF00"/>
        </w:rPr>
        <w:t>4</w:t>
      </w:r>
      <w:r w:rsidRPr="00A0027B">
        <w:rPr>
          <w:rFonts w:eastAsia="Times New Roman"/>
          <w:color w:val="000000"/>
          <w:highlight w:val="yellow"/>
        </w:rPr>
        <w:t>). </w:t>
      </w:r>
    </w:p>
    <w:p w14:paraId="1712189E" w14:textId="77777777" w:rsidR="006221A0" w:rsidRPr="00A0027B" w:rsidRDefault="006221A0" w:rsidP="00A0027B">
      <w:pPr>
        <w:pStyle w:val="ListParagraph"/>
        <w:widowControl/>
        <w:ind w:left="0"/>
        <w:contextualSpacing w:val="0"/>
        <w:rPr>
          <w:rFonts w:eastAsia="Times New Roman"/>
          <w:highlight w:val="yellow"/>
        </w:rPr>
      </w:pPr>
    </w:p>
    <w:p w14:paraId="64415664" w14:textId="2088EB20" w:rsidR="002E4C19"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Heat-treat the scanned samples for 30 min in a 95</w:t>
      </w:r>
      <w:r w:rsidR="00385BDF" w:rsidRPr="00A0027B">
        <w:rPr>
          <w:rFonts w:eastAsia="Times New Roman"/>
          <w:color w:val="000000"/>
          <w:highlight w:val="yellow"/>
        </w:rPr>
        <w:t xml:space="preserve"> </w:t>
      </w:r>
      <w:r w:rsidRPr="00A0027B">
        <w:rPr>
          <w:rFonts w:eastAsia="Times New Roman"/>
          <w:color w:val="000000"/>
          <w:highlight w:val="yellow"/>
        </w:rPr>
        <w:t>°C oven. Remove samples while wearing heat-resistant gloves.</w:t>
      </w:r>
    </w:p>
    <w:p w14:paraId="05B1AD35" w14:textId="77777777" w:rsidR="00120656" w:rsidRDefault="00120656" w:rsidP="00120656">
      <w:pPr>
        <w:pStyle w:val="ListParagraph"/>
        <w:rPr>
          <w:rFonts w:eastAsia="Times New Roman"/>
          <w:color w:val="000000"/>
          <w:highlight w:val="yellow"/>
        </w:rPr>
      </w:pPr>
    </w:p>
    <w:p w14:paraId="1EC180DF" w14:textId="45F483CB" w:rsidR="00120656" w:rsidRPr="00A0027B" w:rsidRDefault="00120656" w:rsidP="00120656">
      <w:pPr>
        <w:pStyle w:val="ListParagraph"/>
        <w:widowControl/>
        <w:ind w:left="0"/>
        <w:contextualSpacing w:val="0"/>
        <w:rPr>
          <w:rFonts w:eastAsia="Times New Roman"/>
          <w:color w:val="000000"/>
          <w:highlight w:val="yellow"/>
        </w:rPr>
      </w:pPr>
      <w:r w:rsidRPr="00A0027B">
        <w:rPr>
          <w:rFonts w:eastAsia="Times New Roman"/>
          <w:color w:val="000000"/>
          <w:highlight w:val="yellow"/>
        </w:rPr>
        <w:t>NOTE: Untreated samples are stable at room temperature (23 °C) for up to 72 h. Once heat-treated, samples must be stored at 4 °C, if not being processed immediately.</w:t>
      </w:r>
    </w:p>
    <w:p w14:paraId="49A8D346" w14:textId="77777777" w:rsidR="006221A0" w:rsidRPr="00A0027B" w:rsidRDefault="006221A0" w:rsidP="00A0027B">
      <w:pPr>
        <w:widowControl/>
        <w:textAlignment w:val="baseline"/>
        <w:rPr>
          <w:rFonts w:eastAsia="Times New Roman"/>
          <w:color w:val="000000"/>
          <w:highlight w:val="yellow"/>
        </w:rPr>
      </w:pPr>
    </w:p>
    <w:p w14:paraId="399C1704" w14:textId="244592D8" w:rsidR="002E4C19" w:rsidRPr="00A0027B" w:rsidRDefault="002E4C19" w:rsidP="00A0027B">
      <w:pPr>
        <w:widowControl/>
        <w:numPr>
          <w:ilvl w:val="0"/>
          <w:numId w:val="13"/>
        </w:numPr>
        <w:ind w:left="0" w:firstLine="0"/>
        <w:textAlignment w:val="baseline"/>
        <w:rPr>
          <w:rFonts w:eastAsia="Times New Roman"/>
          <w:b/>
          <w:bCs/>
          <w:color w:val="000000"/>
          <w:highlight w:val="yellow"/>
        </w:rPr>
      </w:pPr>
      <w:r w:rsidRPr="00A0027B">
        <w:rPr>
          <w:rFonts w:eastAsia="Times New Roman"/>
          <w:b/>
          <w:bCs/>
          <w:color w:val="000000"/>
          <w:highlight w:val="yellow"/>
        </w:rPr>
        <w:t>Sample Assignment</w:t>
      </w:r>
    </w:p>
    <w:p w14:paraId="1C1F1DAC" w14:textId="77777777" w:rsidR="006221A0" w:rsidRPr="00A0027B" w:rsidRDefault="006221A0" w:rsidP="00A0027B">
      <w:pPr>
        <w:widowControl/>
        <w:textAlignment w:val="baseline"/>
        <w:rPr>
          <w:rFonts w:eastAsia="Times New Roman"/>
          <w:b/>
          <w:bCs/>
          <w:color w:val="000000"/>
          <w:highlight w:val="yellow"/>
        </w:rPr>
      </w:pPr>
    </w:p>
    <w:p w14:paraId="342BC261" w14:textId="2D96B3A9"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Open the daily sample loading spreadsheets for each </w:t>
      </w:r>
      <w:r w:rsidR="00AA4710" w:rsidRPr="00A0027B">
        <w:rPr>
          <w:rFonts w:eastAsia="Times New Roman"/>
          <w:color w:val="000000"/>
          <w:highlight w:val="yellow"/>
        </w:rPr>
        <w:t>s</w:t>
      </w:r>
      <w:r w:rsidRPr="00A0027B">
        <w:rPr>
          <w:rFonts w:eastAsia="Times New Roman"/>
          <w:color w:val="000000"/>
          <w:highlight w:val="yellow"/>
        </w:rPr>
        <w:t xml:space="preserve">ample </w:t>
      </w:r>
      <w:r w:rsidR="00AA4710" w:rsidRPr="00A0027B">
        <w:rPr>
          <w:rFonts w:eastAsia="Times New Roman"/>
          <w:color w:val="000000"/>
          <w:highlight w:val="yellow"/>
        </w:rPr>
        <w:t>l</w:t>
      </w:r>
      <w:r w:rsidRPr="00A0027B">
        <w:rPr>
          <w:rFonts w:eastAsia="Times New Roman"/>
          <w:color w:val="000000"/>
          <w:highlight w:val="yellow"/>
        </w:rPr>
        <w:t xml:space="preserve">oading </w:t>
      </w:r>
      <w:r w:rsidR="00AA4710" w:rsidRPr="00A0027B">
        <w:rPr>
          <w:rFonts w:eastAsia="Times New Roman"/>
          <w:color w:val="000000"/>
          <w:highlight w:val="yellow"/>
        </w:rPr>
        <w:t>r</w:t>
      </w:r>
      <w:r w:rsidRPr="00A0027B">
        <w:rPr>
          <w:rFonts w:eastAsia="Times New Roman"/>
          <w:color w:val="000000"/>
          <w:highlight w:val="yellow"/>
        </w:rPr>
        <w:t>obot (</w:t>
      </w:r>
      <w:r w:rsidRPr="00A0027B">
        <w:rPr>
          <w:rFonts w:eastAsia="Times New Roman"/>
          <w:b/>
          <w:bCs/>
          <w:color w:val="000000"/>
          <w:highlight w:val="yellow"/>
        </w:rPr>
        <w:t xml:space="preserve">Supplemental </w:t>
      </w:r>
      <w:r w:rsidR="009D3E82" w:rsidRPr="00A0027B">
        <w:rPr>
          <w:rFonts w:eastAsia="Times New Roman"/>
          <w:b/>
          <w:bCs/>
          <w:color w:val="000000"/>
          <w:highlight w:val="yellow"/>
        </w:rPr>
        <w:t>F</w:t>
      </w:r>
      <w:r w:rsidR="00216CBB" w:rsidRPr="00A0027B">
        <w:rPr>
          <w:rFonts w:eastAsia="Times New Roman"/>
          <w:b/>
          <w:bCs/>
          <w:color w:val="000000"/>
          <w:highlight w:val="yellow"/>
        </w:rPr>
        <w:t xml:space="preserve">ile </w:t>
      </w:r>
      <w:r w:rsidR="009D3E82" w:rsidRPr="00A0027B">
        <w:rPr>
          <w:rFonts w:eastAsia="Times New Roman"/>
          <w:b/>
          <w:bCs/>
          <w:color w:val="000000"/>
          <w:highlight w:val="yellow"/>
        </w:rPr>
        <w:t>5</w:t>
      </w:r>
      <w:r w:rsidRPr="00A0027B">
        <w:rPr>
          <w:rFonts w:eastAsia="Times New Roman"/>
          <w:color w:val="000000"/>
          <w:highlight w:val="yellow"/>
        </w:rPr>
        <w:t>) on the computer at the sample assignment station.</w:t>
      </w:r>
    </w:p>
    <w:p w14:paraId="365A32A1" w14:textId="77777777" w:rsidR="00BE313D" w:rsidRPr="00A0027B" w:rsidRDefault="00BE313D" w:rsidP="00A0027B">
      <w:pPr>
        <w:widowControl/>
        <w:textAlignment w:val="baseline"/>
        <w:rPr>
          <w:rFonts w:eastAsia="Times New Roman"/>
          <w:color w:val="000000"/>
          <w:highlight w:val="yellow"/>
        </w:rPr>
      </w:pPr>
    </w:p>
    <w:p w14:paraId="6A3FED21" w14:textId="4CB9CF50" w:rsidR="00547E1F"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lastRenderedPageBreak/>
        <w:t>Assign 188 samples to each 384</w:t>
      </w:r>
      <w:r w:rsidR="00916AA5" w:rsidRPr="00A0027B">
        <w:rPr>
          <w:rFonts w:eastAsia="Times New Roman"/>
          <w:color w:val="000000"/>
          <w:highlight w:val="yellow"/>
        </w:rPr>
        <w:t>-</w:t>
      </w:r>
      <w:r w:rsidRPr="00A0027B">
        <w:rPr>
          <w:rFonts w:eastAsia="Times New Roman"/>
          <w:color w:val="000000"/>
          <w:highlight w:val="yellow"/>
        </w:rPr>
        <w:t>well plate as follows: Samples 1</w:t>
      </w:r>
      <w:r w:rsidR="00916AA5" w:rsidRPr="00A0027B">
        <w:rPr>
          <w:rFonts w:eastAsia="Times New Roman"/>
          <w:color w:val="000000"/>
          <w:highlight w:val="yellow"/>
        </w:rPr>
        <w:t>–</w:t>
      </w:r>
      <w:r w:rsidRPr="00A0027B">
        <w:rPr>
          <w:rFonts w:eastAsia="Times New Roman"/>
          <w:color w:val="000000"/>
          <w:highlight w:val="yellow"/>
        </w:rPr>
        <w:t xml:space="preserve">48 </w:t>
      </w:r>
      <w:proofErr w:type="gramStart"/>
      <w:r w:rsidRPr="00A0027B">
        <w:rPr>
          <w:rFonts w:eastAsia="Times New Roman"/>
          <w:color w:val="000000"/>
          <w:highlight w:val="yellow"/>
        </w:rPr>
        <w:t>are</w:t>
      </w:r>
      <w:proofErr w:type="gramEnd"/>
      <w:r w:rsidRPr="00A0027B">
        <w:rPr>
          <w:rFonts w:eastAsia="Times New Roman"/>
          <w:color w:val="000000"/>
          <w:highlight w:val="yellow"/>
        </w:rPr>
        <w:t xml:space="preserve"> considered </w:t>
      </w:r>
      <w:r w:rsidR="00916AA5" w:rsidRPr="00A0027B">
        <w:rPr>
          <w:rFonts w:eastAsia="Times New Roman"/>
          <w:color w:val="000000"/>
          <w:highlight w:val="yellow"/>
        </w:rPr>
        <w:t>q</w:t>
      </w:r>
      <w:r w:rsidRPr="00A0027B">
        <w:rPr>
          <w:rFonts w:eastAsia="Times New Roman"/>
          <w:color w:val="000000"/>
          <w:highlight w:val="yellow"/>
        </w:rPr>
        <w:t xml:space="preserve">uarter 1, </w:t>
      </w:r>
      <w:r w:rsidR="00916AA5" w:rsidRPr="00A0027B">
        <w:rPr>
          <w:rFonts w:eastAsia="Times New Roman"/>
          <w:color w:val="000000"/>
          <w:highlight w:val="yellow"/>
        </w:rPr>
        <w:t>s</w:t>
      </w:r>
      <w:r w:rsidRPr="00A0027B">
        <w:rPr>
          <w:rFonts w:eastAsia="Times New Roman"/>
          <w:color w:val="000000"/>
          <w:highlight w:val="yellow"/>
        </w:rPr>
        <w:t>amples 49</w:t>
      </w:r>
      <w:r w:rsidR="00916AA5" w:rsidRPr="00A0027B">
        <w:rPr>
          <w:rFonts w:eastAsia="Times New Roman"/>
          <w:color w:val="000000"/>
          <w:highlight w:val="yellow"/>
        </w:rPr>
        <w:t>–</w:t>
      </w:r>
      <w:r w:rsidRPr="00A0027B">
        <w:rPr>
          <w:rFonts w:eastAsia="Times New Roman"/>
          <w:color w:val="000000"/>
          <w:highlight w:val="yellow"/>
        </w:rPr>
        <w:t xml:space="preserve">96 are considered </w:t>
      </w:r>
      <w:r w:rsidR="00916AA5" w:rsidRPr="00A0027B">
        <w:rPr>
          <w:rFonts w:eastAsia="Times New Roman"/>
          <w:color w:val="000000"/>
          <w:highlight w:val="yellow"/>
        </w:rPr>
        <w:t>q</w:t>
      </w:r>
      <w:r w:rsidRPr="00A0027B">
        <w:rPr>
          <w:rFonts w:eastAsia="Times New Roman"/>
          <w:color w:val="000000"/>
          <w:highlight w:val="yellow"/>
        </w:rPr>
        <w:t xml:space="preserve">uarter 2, </w:t>
      </w:r>
      <w:r w:rsidR="00916AA5" w:rsidRPr="00A0027B">
        <w:rPr>
          <w:rFonts w:eastAsia="Times New Roman"/>
          <w:color w:val="000000"/>
          <w:highlight w:val="yellow"/>
        </w:rPr>
        <w:t>s</w:t>
      </w:r>
      <w:r w:rsidRPr="00A0027B">
        <w:rPr>
          <w:rFonts w:eastAsia="Times New Roman"/>
          <w:color w:val="000000"/>
          <w:highlight w:val="yellow"/>
        </w:rPr>
        <w:t>amples 97</w:t>
      </w:r>
      <w:r w:rsidR="00916AA5" w:rsidRPr="00A0027B">
        <w:rPr>
          <w:rFonts w:eastAsia="Times New Roman"/>
          <w:color w:val="000000"/>
          <w:highlight w:val="yellow"/>
        </w:rPr>
        <w:t>–</w:t>
      </w:r>
      <w:r w:rsidRPr="00A0027B">
        <w:rPr>
          <w:rFonts w:eastAsia="Times New Roman"/>
          <w:color w:val="000000"/>
          <w:highlight w:val="yellow"/>
        </w:rPr>
        <w:t xml:space="preserve">144 are considered </w:t>
      </w:r>
      <w:r w:rsidR="00916AA5" w:rsidRPr="00A0027B">
        <w:rPr>
          <w:rFonts w:eastAsia="Times New Roman"/>
          <w:color w:val="000000"/>
          <w:highlight w:val="yellow"/>
        </w:rPr>
        <w:t>q</w:t>
      </w:r>
      <w:r w:rsidRPr="00A0027B">
        <w:rPr>
          <w:rFonts w:eastAsia="Times New Roman"/>
          <w:color w:val="000000"/>
          <w:highlight w:val="yellow"/>
        </w:rPr>
        <w:t xml:space="preserve">uarter 3, and </w:t>
      </w:r>
      <w:r w:rsidR="00916AA5" w:rsidRPr="00A0027B">
        <w:rPr>
          <w:rFonts w:eastAsia="Times New Roman"/>
          <w:color w:val="000000"/>
          <w:highlight w:val="yellow"/>
        </w:rPr>
        <w:t>s</w:t>
      </w:r>
      <w:r w:rsidRPr="00A0027B">
        <w:rPr>
          <w:rFonts w:eastAsia="Times New Roman"/>
          <w:color w:val="000000"/>
          <w:highlight w:val="yellow"/>
        </w:rPr>
        <w:t>amples 145</w:t>
      </w:r>
      <w:r w:rsidR="00916AA5" w:rsidRPr="00A0027B">
        <w:rPr>
          <w:rFonts w:eastAsia="Times New Roman"/>
          <w:color w:val="000000"/>
          <w:highlight w:val="yellow"/>
        </w:rPr>
        <w:t>–</w:t>
      </w:r>
      <w:r w:rsidRPr="00A0027B">
        <w:rPr>
          <w:rFonts w:eastAsia="Times New Roman"/>
          <w:color w:val="000000"/>
          <w:highlight w:val="yellow"/>
        </w:rPr>
        <w:t xml:space="preserve">188 are considered </w:t>
      </w:r>
      <w:r w:rsidR="00916AA5" w:rsidRPr="00A0027B">
        <w:rPr>
          <w:rFonts w:eastAsia="Times New Roman"/>
          <w:color w:val="000000"/>
          <w:highlight w:val="yellow"/>
        </w:rPr>
        <w:t>q</w:t>
      </w:r>
      <w:r w:rsidRPr="00A0027B">
        <w:rPr>
          <w:rFonts w:eastAsia="Times New Roman"/>
          <w:color w:val="000000"/>
          <w:highlight w:val="yellow"/>
        </w:rPr>
        <w:t xml:space="preserve">uarter 4. </w:t>
      </w:r>
      <w:r w:rsidR="00431B17" w:rsidRPr="00A0027B">
        <w:rPr>
          <w:rFonts w:eastAsia="Times New Roman"/>
          <w:color w:val="000000"/>
          <w:highlight w:val="yellow"/>
        </w:rPr>
        <w:t>Sample are analyzed in duplicates.</w:t>
      </w:r>
    </w:p>
    <w:p w14:paraId="5F75FFC6" w14:textId="77777777" w:rsidR="00547E1F" w:rsidRPr="00A0027B" w:rsidRDefault="00547E1F" w:rsidP="00A0027B">
      <w:pPr>
        <w:widowControl/>
        <w:textAlignment w:val="baseline"/>
        <w:rPr>
          <w:rFonts w:eastAsia="Times New Roman"/>
          <w:color w:val="000000"/>
          <w:highlight w:val="yellow"/>
        </w:rPr>
      </w:pPr>
    </w:p>
    <w:p w14:paraId="06C02026" w14:textId="009C130A" w:rsidR="002E4C19" w:rsidRPr="00A0027B" w:rsidRDefault="002E4C19" w:rsidP="00A0027B">
      <w:pPr>
        <w:pStyle w:val="ListParagraph"/>
        <w:numPr>
          <w:ilvl w:val="1"/>
          <w:numId w:val="13"/>
        </w:numPr>
        <w:ind w:left="0" w:firstLine="0"/>
        <w:contextualSpacing w:val="0"/>
        <w:rPr>
          <w:highlight w:val="yellow"/>
        </w:rPr>
      </w:pPr>
      <w:r w:rsidRPr="00A0027B">
        <w:rPr>
          <w:rFonts w:eastAsia="Times New Roman"/>
          <w:color w:val="000000"/>
          <w:highlight w:val="yellow"/>
        </w:rPr>
        <w:t xml:space="preserve">Label trays with </w:t>
      </w:r>
      <w:r w:rsidR="00F93ACE" w:rsidRPr="00A0027B">
        <w:rPr>
          <w:rFonts w:eastAsia="Times New Roman"/>
          <w:color w:val="000000"/>
          <w:highlight w:val="yellow"/>
        </w:rPr>
        <w:t xml:space="preserve">plate name, </w:t>
      </w:r>
      <w:r w:rsidRPr="00A0027B">
        <w:rPr>
          <w:rFonts w:eastAsia="Times New Roman"/>
          <w:color w:val="000000"/>
          <w:highlight w:val="yellow"/>
        </w:rPr>
        <w:t>date, and quarter number.</w:t>
      </w:r>
      <w:r w:rsidR="00547E1F" w:rsidRPr="00A0027B">
        <w:rPr>
          <w:rFonts w:eastAsia="Times New Roman"/>
          <w:color w:val="000000"/>
          <w:highlight w:val="yellow"/>
        </w:rPr>
        <w:t xml:space="preserve"> </w:t>
      </w:r>
      <w:r w:rsidRPr="00A0027B">
        <w:rPr>
          <w:highlight w:val="yellow"/>
        </w:rPr>
        <w:t>Scan the samples in order into the sample loading spreadsheet.</w:t>
      </w:r>
    </w:p>
    <w:p w14:paraId="63FE4259" w14:textId="77777777" w:rsidR="00547E1F" w:rsidRPr="00A0027B" w:rsidRDefault="00547E1F" w:rsidP="00A0027B">
      <w:pPr>
        <w:widowControl/>
        <w:textAlignment w:val="baseline"/>
        <w:rPr>
          <w:rFonts w:eastAsia="Times New Roman"/>
          <w:color w:val="000000"/>
          <w:highlight w:val="yellow"/>
        </w:rPr>
      </w:pPr>
    </w:p>
    <w:p w14:paraId="139E0AD4" w14:textId="6BDC1BAA" w:rsidR="002E4C19" w:rsidRPr="00A0027B" w:rsidRDefault="002E4C19" w:rsidP="00A0027B">
      <w:pPr>
        <w:pStyle w:val="ListParagraph"/>
        <w:widowControl/>
        <w:ind w:left="0"/>
        <w:contextualSpacing w:val="0"/>
        <w:rPr>
          <w:rFonts w:eastAsia="Times New Roman"/>
          <w:color w:val="000000"/>
          <w:highlight w:val="yellow"/>
        </w:rPr>
      </w:pPr>
      <w:r w:rsidRPr="00A0027B">
        <w:rPr>
          <w:rFonts w:eastAsia="Times New Roman"/>
          <w:color w:val="000000"/>
          <w:highlight w:val="yellow"/>
        </w:rPr>
        <w:t>NOTE:</w:t>
      </w:r>
      <w:r w:rsidRPr="00A0027B">
        <w:rPr>
          <w:rFonts w:eastAsia="Times New Roman"/>
          <w:b/>
          <w:bCs/>
          <w:color w:val="000000"/>
          <w:highlight w:val="yellow"/>
        </w:rPr>
        <w:t xml:space="preserve"> </w:t>
      </w:r>
      <w:r w:rsidRPr="00A0027B">
        <w:rPr>
          <w:rFonts w:eastAsia="Times New Roman"/>
          <w:color w:val="000000"/>
          <w:highlight w:val="yellow"/>
        </w:rPr>
        <w:t xml:space="preserve">Samples from earlier plates may need to be manually run, as defined in </w:t>
      </w:r>
      <w:r w:rsidR="00F93ACE" w:rsidRPr="00A0027B">
        <w:rPr>
          <w:rFonts w:eastAsia="Times New Roman"/>
          <w:b/>
          <w:bCs/>
          <w:color w:val="000000"/>
          <w:highlight w:val="yellow"/>
        </w:rPr>
        <w:t>Figure 3</w:t>
      </w:r>
      <w:r w:rsidRPr="00A0027B">
        <w:rPr>
          <w:rFonts w:eastAsia="Times New Roman"/>
          <w:color w:val="000000"/>
          <w:highlight w:val="yellow"/>
        </w:rPr>
        <w:t xml:space="preserve">. Refer to </w:t>
      </w:r>
      <w:r w:rsidR="00547E1F" w:rsidRPr="00A0027B">
        <w:rPr>
          <w:rFonts w:eastAsia="Times New Roman"/>
          <w:color w:val="000000"/>
          <w:highlight w:val="yellow"/>
        </w:rPr>
        <w:t xml:space="preserve">sections </w:t>
      </w:r>
      <w:r w:rsidRPr="00A0027B">
        <w:rPr>
          <w:rFonts w:eastAsia="Times New Roman"/>
          <w:color w:val="000000"/>
          <w:highlight w:val="yellow"/>
        </w:rPr>
        <w:t>8.1</w:t>
      </w:r>
      <w:r w:rsidR="00547E1F" w:rsidRPr="00A0027B">
        <w:rPr>
          <w:rFonts w:eastAsia="Times New Roman"/>
          <w:color w:val="000000"/>
          <w:highlight w:val="yellow"/>
        </w:rPr>
        <w:t>–</w:t>
      </w:r>
      <w:r w:rsidRPr="00A0027B">
        <w:rPr>
          <w:rFonts w:eastAsia="Times New Roman"/>
          <w:color w:val="000000"/>
          <w:highlight w:val="yellow"/>
        </w:rPr>
        <w:t>8.</w:t>
      </w:r>
      <w:r w:rsidR="006C38BA" w:rsidRPr="00A0027B">
        <w:rPr>
          <w:rFonts w:eastAsia="Times New Roman"/>
          <w:color w:val="000000"/>
          <w:highlight w:val="yellow"/>
        </w:rPr>
        <w:t>3</w:t>
      </w:r>
      <w:r w:rsidRPr="00A0027B">
        <w:rPr>
          <w:rFonts w:eastAsia="Times New Roman"/>
          <w:color w:val="000000"/>
          <w:highlight w:val="yellow"/>
        </w:rPr>
        <w:t xml:space="preserve"> for </w:t>
      </w:r>
      <w:r w:rsidR="00F93ACE" w:rsidRPr="00A0027B">
        <w:rPr>
          <w:rFonts w:eastAsia="Times New Roman"/>
          <w:color w:val="000000"/>
          <w:highlight w:val="yellow"/>
        </w:rPr>
        <w:t xml:space="preserve">manual sample </w:t>
      </w:r>
      <w:r w:rsidRPr="00A0027B">
        <w:rPr>
          <w:rFonts w:eastAsia="Times New Roman"/>
          <w:color w:val="000000"/>
          <w:highlight w:val="yellow"/>
        </w:rPr>
        <w:t>assignment and loading instructions. </w:t>
      </w:r>
    </w:p>
    <w:p w14:paraId="0D2EAA33" w14:textId="77777777" w:rsidR="006221A0" w:rsidRPr="00A0027B" w:rsidRDefault="006221A0" w:rsidP="00A0027B">
      <w:pPr>
        <w:pStyle w:val="ListParagraph"/>
        <w:widowControl/>
        <w:ind w:left="0"/>
        <w:contextualSpacing w:val="0"/>
        <w:rPr>
          <w:rFonts w:eastAsia="Times New Roman"/>
          <w:highlight w:val="yellow"/>
        </w:rPr>
      </w:pPr>
    </w:p>
    <w:p w14:paraId="31122342" w14:textId="31CD04F4" w:rsidR="002E4C19" w:rsidRPr="00A0027B" w:rsidRDefault="002E4C19" w:rsidP="00A0027B">
      <w:pPr>
        <w:widowControl/>
        <w:numPr>
          <w:ilvl w:val="0"/>
          <w:numId w:val="13"/>
        </w:numPr>
        <w:ind w:left="0" w:firstLine="0"/>
        <w:textAlignment w:val="baseline"/>
        <w:rPr>
          <w:rFonts w:eastAsia="Times New Roman"/>
          <w:b/>
          <w:bCs/>
          <w:color w:val="000000"/>
          <w:highlight w:val="yellow"/>
        </w:rPr>
      </w:pPr>
      <w:r w:rsidRPr="00A0027B">
        <w:rPr>
          <w:rFonts w:eastAsia="Times New Roman"/>
          <w:b/>
          <w:bCs/>
          <w:color w:val="000000"/>
          <w:highlight w:val="yellow"/>
        </w:rPr>
        <w:t xml:space="preserve">Operating </w:t>
      </w:r>
      <w:r w:rsidR="00547E1F" w:rsidRPr="00A0027B">
        <w:rPr>
          <w:rFonts w:eastAsia="Times New Roman"/>
          <w:b/>
          <w:bCs/>
          <w:color w:val="000000"/>
          <w:highlight w:val="yellow"/>
        </w:rPr>
        <w:t>s</w:t>
      </w:r>
      <w:r w:rsidRPr="00A0027B">
        <w:rPr>
          <w:rFonts w:eastAsia="Times New Roman"/>
          <w:b/>
          <w:bCs/>
          <w:color w:val="000000"/>
          <w:highlight w:val="yellow"/>
        </w:rPr>
        <w:t xml:space="preserve">ample </w:t>
      </w:r>
      <w:r w:rsidR="00547E1F" w:rsidRPr="00A0027B">
        <w:rPr>
          <w:rFonts w:eastAsia="Times New Roman"/>
          <w:b/>
          <w:bCs/>
          <w:color w:val="000000"/>
          <w:highlight w:val="yellow"/>
        </w:rPr>
        <w:t>l</w:t>
      </w:r>
      <w:r w:rsidRPr="00A0027B">
        <w:rPr>
          <w:rFonts w:eastAsia="Times New Roman"/>
          <w:b/>
          <w:bCs/>
          <w:color w:val="000000"/>
          <w:highlight w:val="yellow"/>
        </w:rPr>
        <w:t xml:space="preserve">oading </w:t>
      </w:r>
      <w:r w:rsidR="00547E1F" w:rsidRPr="00A0027B">
        <w:rPr>
          <w:rFonts w:eastAsia="Times New Roman"/>
          <w:b/>
          <w:bCs/>
          <w:color w:val="000000"/>
          <w:highlight w:val="yellow"/>
        </w:rPr>
        <w:t>r</w:t>
      </w:r>
      <w:r w:rsidRPr="00A0027B">
        <w:rPr>
          <w:rFonts w:eastAsia="Times New Roman"/>
          <w:b/>
          <w:bCs/>
          <w:color w:val="000000"/>
          <w:highlight w:val="yellow"/>
        </w:rPr>
        <w:t>obots</w:t>
      </w:r>
    </w:p>
    <w:p w14:paraId="31BFE8BE" w14:textId="77777777" w:rsidR="006221A0" w:rsidRPr="00A0027B" w:rsidRDefault="006221A0" w:rsidP="00A0027B">
      <w:pPr>
        <w:widowControl/>
        <w:textAlignment w:val="baseline"/>
        <w:rPr>
          <w:rFonts w:eastAsia="Times New Roman"/>
          <w:b/>
          <w:bCs/>
          <w:color w:val="000000"/>
          <w:highlight w:val="yellow"/>
        </w:rPr>
      </w:pPr>
    </w:p>
    <w:p w14:paraId="1FDF7651" w14:textId="625FBFFD" w:rsidR="002E4C19" w:rsidRPr="00A0027B" w:rsidRDefault="002E4C19" w:rsidP="00A0027B">
      <w:pPr>
        <w:widowControl/>
        <w:numPr>
          <w:ilvl w:val="1"/>
          <w:numId w:val="13"/>
        </w:numPr>
        <w:ind w:left="0" w:firstLine="0"/>
        <w:textAlignment w:val="baseline"/>
        <w:rPr>
          <w:rFonts w:eastAsia="Times New Roman"/>
          <w:b/>
          <w:bCs/>
          <w:color w:val="000000"/>
          <w:highlight w:val="yellow"/>
        </w:rPr>
      </w:pPr>
      <w:r w:rsidRPr="00A0027B">
        <w:rPr>
          <w:rFonts w:eastAsia="Times New Roman"/>
          <w:color w:val="000000"/>
          <w:highlight w:val="yellow"/>
        </w:rPr>
        <w:t>At the sample loading station, line up two full sets of eight 3D printed racks corresponding to the deck placement in the robot.</w:t>
      </w:r>
    </w:p>
    <w:p w14:paraId="0F5E2FCC" w14:textId="77777777" w:rsidR="006221A0" w:rsidRPr="00A0027B" w:rsidRDefault="006221A0" w:rsidP="00A0027B">
      <w:pPr>
        <w:widowControl/>
        <w:textAlignment w:val="baseline"/>
        <w:rPr>
          <w:rFonts w:eastAsia="Times New Roman"/>
          <w:b/>
          <w:bCs/>
          <w:color w:val="000000"/>
          <w:highlight w:val="yellow"/>
        </w:rPr>
      </w:pPr>
    </w:p>
    <w:p w14:paraId="314F7D8C" w14:textId="77777777" w:rsidR="002503EC" w:rsidRPr="00A0027B" w:rsidRDefault="002E4C19" w:rsidP="00A0027B">
      <w:pPr>
        <w:widowControl/>
        <w:numPr>
          <w:ilvl w:val="1"/>
          <w:numId w:val="13"/>
        </w:numPr>
        <w:ind w:left="0" w:firstLine="0"/>
        <w:textAlignment w:val="baseline"/>
        <w:rPr>
          <w:rFonts w:eastAsia="Times New Roman"/>
          <w:b/>
          <w:bCs/>
          <w:color w:val="000000"/>
          <w:highlight w:val="yellow"/>
        </w:rPr>
      </w:pPr>
      <w:r w:rsidRPr="00A0027B">
        <w:rPr>
          <w:rFonts w:eastAsia="Times New Roman"/>
          <w:color w:val="000000"/>
          <w:highlight w:val="yellow"/>
        </w:rPr>
        <w:t xml:space="preserve">Uncap </w:t>
      </w:r>
      <w:r w:rsidR="00010786" w:rsidRPr="00A0027B">
        <w:rPr>
          <w:rFonts w:eastAsia="Times New Roman"/>
          <w:color w:val="000000"/>
          <w:highlight w:val="yellow"/>
        </w:rPr>
        <w:t>q</w:t>
      </w:r>
      <w:r w:rsidRPr="00A0027B">
        <w:rPr>
          <w:rFonts w:eastAsia="Times New Roman"/>
          <w:color w:val="000000"/>
          <w:highlight w:val="yellow"/>
        </w:rPr>
        <w:t xml:space="preserve">uarter 1 tubes and place in 3D printed racks, starting with position A1 in </w:t>
      </w:r>
      <w:r w:rsidR="00513609" w:rsidRPr="00A0027B">
        <w:rPr>
          <w:rFonts w:eastAsia="Times New Roman"/>
          <w:color w:val="000000"/>
          <w:highlight w:val="yellow"/>
        </w:rPr>
        <w:t>r</w:t>
      </w:r>
      <w:r w:rsidRPr="00A0027B">
        <w:rPr>
          <w:rFonts w:eastAsia="Times New Roman"/>
          <w:color w:val="000000"/>
          <w:highlight w:val="yellow"/>
        </w:rPr>
        <w:t xml:space="preserve">ack 1. Fill each rack from left to right and top to bottom. Continue this loading pattern in </w:t>
      </w:r>
      <w:r w:rsidR="00513609" w:rsidRPr="00A0027B">
        <w:rPr>
          <w:rFonts w:eastAsia="Times New Roman"/>
          <w:color w:val="000000"/>
          <w:highlight w:val="yellow"/>
        </w:rPr>
        <w:t>r</w:t>
      </w:r>
      <w:r w:rsidRPr="00A0027B">
        <w:rPr>
          <w:rFonts w:eastAsia="Times New Roman"/>
          <w:color w:val="000000"/>
          <w:highlight w:val="yellow"/>
        </w:rPr>
        <w:t xml:space="preserve">ack 2, then proceed to </w:t>
      </w:r>
      <w:r w:rsidR="00513609" w:rsidRPr="00A0027B">
        <w:rPr>
          <w:rFonts w:eastAsia="Times New Roman"/>
          <w:color w:val="000000"/>
          <w:highlight w:val="yellow"/>
        </w:rPr>
        <w:t>r</w:t>
      </w:r>
      <w:r w:rsidRPr="00A0027B">
        <w:rPr>
          <w:rFonts w:eastAsia="Times New Roman"/>
          <w:color w:val="000000"/>
          <w:highlight w:val="yellow"/>
        </w:rPr>
        <w:t>acks 4 and 5 (</w:t>
      </w:r>
      <w:r w:rsidR="00513609" w:rsidRPr="00A0027B">
        <w:rPr>
          <w:rFonts w:eastAsia="Times New Roman"/>
          <w:color w:val="000000"/>
          <w:highlight w:val="yellow"/>
        </w:rPr>
        <w:t>r</w:t>
      </w:r>
      <w:r w:rsidRPr="00A0027B">
        <w:rPr>
          <w:rFonts w:eastAsia="Times New Roman"/>
          <w:color w:val="000000"/>
          <w:highlight w:val="yellow"/>
        </w:rPr>
        <w:t xml:space="preserve">efer to </w:t>
      </w:r>
      <w:r w:rsidRPr="00A0027B">
        <w:rPr>
          <w:rFonts w:eastAsia="Times New Roman"/>
          <w:b/>
          <w:bCs/>
          <w:color w:val="000000"/>
          <w:highlight w:val="yellow"/>
        </w:rPr>
        <w:t>Figure 2C</w:t>
      </w:r>
      <w:r w:rsidRPr="00A0027B">
        <w:rPr>
          <w:rFonts w:eastAsia="Times New Roman"/>
          <w:color w:val="000000"/>
          <w:highlight w:val="yellow"/>
        </w:rPr>
        <w:t>).</w:t>
      </w:r>
      <w:r w:rsidR="00431B17" w:rsidRPr="00A0027B">
        <w:rPr>
          <w:rFonts w:eastAsia="Times New Roman"/>
          <w:color w:val="000000"/>
          <w:highlight w:val="yellow"/>
        </w:rPr>
        <w:t xml:space="preserve"> </w:t>
      </w:r>
    </w:p>
    <w:p w14:paraId="0D303858" w14:textId="77777777" w:rsidR="002503EC" w:rsidRPr="00A0027B" w:rsidRDefault="002503EC" w:rsidP="00A0027B">
      <w:pPr>
        <w:pStyle w:val="ListParagraph"/>
        <w:ind w:left="0"/>
        <w:contextualSpacing w:val="0"/>
        <w:rPr>
          <w:rFonts w:eastAsia="Times New Roman"/>
          <w:color w:val="000000"/>
          <w:highlight w:val="yellow"/>
        </w:rPr>
      </w:pPr>
    </w:p>
    <w:p w14:paraId="5ACAC503" w14:textId="26E81A8E" w:rsidR="002E4C19" w:rsidRPr="00A0027B" w:rsidRDefault="00431B17" w:rsidP="00A0027B">
      <w:pPr>
        <w:widowControl/>
        <w:textAlignment w:val="baseline"/>
        <w:rPr>
          <w:rFonts w:eastAsia="Times New Roman"/>
          <w:b/>
          <w:bCs/>
          <w:color w:val="000000"/>
          <w:highlight w:val="yellow"/>
        </w:rPr>
      </w:pPr>
      <w:r w:rsidRPr="00A0027B">
        <w:rPr>
          <w:rFonts w:eastAsia="Times New Roman"/>
          <w:color w:val="000000"/>
          <w:highlight w:val="yellow"/>
        </w:rPr>
        <w:t xml:space="preserve">NOTE: Racks are not numbered consecutively due to the robot program parameters. </w:t>
      </w:r>
    </w:p>
    <w:p w14:paraId="4397011B" w14:textId="77777777" w:rsidR="006221A0" w:rsidRPr="00A0027B" w:rsidRDefault="006221A0" w:rsidP="00A0027B">
      <w:pPr>
        <w:widowControl/>
        <w:textAlignment w:val="baseline"/>
        <w:rPr>
          <w:rFonts w:eastAsia="Times New Roman"/>
          <w:b/>
          <w:bCs/>
          <w:color w:val="000000"/>
          <w:highlight w:val="yellow"/>
        </w:rPr>
      </w:pPr>
    </w:p>
    <w:p w14:paraId="5F070FBC" w14:textId="33C3DC90" w:rsidR="002E4C19" w:rsidRPr="000E4559"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Place loaded </w:t>
      </w:r>
      <w:r w:rsidR="00040B9D" w:rsidRPr="00A0027B">
        <w:rPr>
          <w:rFonts w:eastAsia="Times New Roman"/>
          <w:color w:val="000000"/>
          <w:highlight w:val="yellow"/>
        </w:rPr>
        <w:t>q</w:t>
      </w:r>
      <w:r w:rsidRPr="00A0027B">
        <w:rPr>
          <w:rFonts w:eastAsia="Times New Roman"/>
          <w:color w:val="000000"/>
          <w:highlight w:val="yellow"/>
        </w:rPr>
        <w:t xml:space="preserve">uarter 1 sample racks on </w:t>
      </w:r>
      <w:r w:rsidR="00040B9D" w:rsidRPr="00A0027B">
        <w:rPr>
          <w:rFonts w:eastAsia="Times New Roman"/>
          <w:color w:val="000000"/>
          <w:highlight w:val="yellow"/>
        </w:rPr>
        <w:t>d</w:t>
      </w:r>
      <w:r w:rsidRPr="00A0027B">
        <w:rPr>
          <w:rFonts w:eastAsia="Times New Roman"/>
          <w:color w:val="000000"/>
          <w:highlight w:val="yellow"/>
        </w:rPr>
        <w:t xml:space="preserve">ecks 1, 2, 4, 5, 7, 8, 10, 11. Place P20 tips on </w:t>
      </w:r>
      <w:r w:rsidR="007561EC" w:rsidRPr="00A0027B">
        <w:rPr>
          <w:rFonts w:eastAsia="Times New Roman"/>
          <w:color w:val="000000"/>
          <w:highlight w:val="yellow"/>
        </w:rPr>
        <w:t>d</w:t>
      </w:r>
      <w:r w:rsidRPr="00A0027B">
        <w:rPr>
          <w:rFonts w:eastAsia="Times New Roman"/>
          <w:color w:val="000000"/>
          <w:highlight w:val="yellow"/>
        </w:rPr>
        <w:t>ecks 3 and 9. </w:t>
      </w:r>
      <w:r w:rsidRPr="000E4559">
        <w:rPr>
          <w:rFonts w:eastAsia="Times New Roman"/>
          <w:color w:val="000000"/>
          <w:highlight w:val="yellow"/>
        </w:rPr>
        <w:t>To simplify the set-up process, load materials from back to front into the robot.</w:t>
      </w:r>
    </w:p>
    <w:p w14:paraId="2D369358" w14:textId="77777777" w:rsidR="006221A0" w:rsidRPr="00A0027B" w:rsidRDefault="006221A0" w:rsidP="00A0027B">
      <w:pPr>
        <w:pStyle w:val="ListParagraph"/>
        <w:widowControl/>
        <w:ind w:left="0"/>
        <w:contextualSpacing w:val="0"/>
        <w:rPr>
          <w:rFonts w:eastAsia="Times New Roman"/>
          <w:highlight w:val="yellow"/>
        </w:rPr>
      </w:pPr>
    </w:p>
    <w:p w14:paraId="2CF397B5" w14:textId="6271FC4E" w:rsidR="002E4C19" w:rsidRPr="00A0027B" w:rsidRDefault="00764EE3"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Take </w:t>
      </w:r>
      <w:r w:rsidR="00F93ACE" w:rsidRPr="00A0027B">
        <w:rPr>
          <w:rFonts w:eastAsia="Times New Roman"/>
          <w:color w:val="000000"/>
          <w:highlight w:val="yellow"/>
        </w:rPr>
        <w:t xml:space="preserve">a premade </w:t>
      </w:r>
      <w:r w:rsidR="002E4C19" w:rsidRPr="00A0027B">
        <w:rPr>
          <w:rFonts w:eastAsia="Times New Roman"/>
          <w:color w:val="000000"/>
          <w:highlight w:val="yellow"/>
        </w:rPr>
        <w:t>master</w:t>
      </w:r>
      <w:r w:rsidRPr="00A0027B">
        <w:rPr>
          <w:rFonts w:eastAsia="Times New Roman"/>
          <w:color w:val="000000"/>
          <w:highlight w:val="yellow"/>
        </w:rPr>
        <w:t xml:space="preserve"> </w:t>
      </w:r>
      <w:r w:rsidR="002E4C19" w:rsidRPr="00A0027B">
        <w:rPr>
          <w:rFonts w:eastAsia="Times New Roman"/>
          <w:color w:val="000000"/>
          <w:highlight w:val="yellow"/>
        </w:rPr>
        <w:t xml:space="preserve">mix plate from the </w:t>
      </w:r>
      <w:r w:rsidR="00933249" w:rsidRPr="00A0027B">
        <w:rPr>
          <w:rFonts w:eastAsia="Times New Roman"/>
          <w:color w:val="000000"/>
          <w:highlight w:val="yellow"/>
        </w:rPr>
        <w:t>4</w:t>
      </w:r>
      <w:r w:rsidRPr="00A0027B">
        <w:rPr>
          <w:rFonts w:eastAsia="Times New Roman"/>
          <w:color w:val="000000"/>
          <w:highlight w:val="yellow"/>
        </w:rPr>
        <w:t xml:space="preserve"> </w:t>
      </w:r>
      <w:r w:rsidR="00933249" w:rsidRPr="00A0027B">
        <w:rPr>
          <w:rFonts w:eastAsia="Times New Roman"/>
          <w:color w:val="000000"/>
          <w:highlight w:val="yellow"/>
        </w:rPr>
        <w:t>°</w:t>
      </w:r>
      <w:r w:rsidR="002E4C19" w:rsidRPr="00A0027B">
        <w:rPr>
          <w:rFonts w:eastAsia="Times New Roman"/>
          <w:color w:val="000000"/>
          <w:highlight w:val="yellow"/>
        </w:rPr>
        <w:t xml:space="preserve">C, label </w:t>
      </w:r>
      <w:r w:rsidRPr="00A0027B">
        <w:rPr>
          <w:rFonts w:eastAsia="Times New Roman"/>
          <w:color w:val="000000"/>
          <w:highlight w:val="yellow"/>
        </w:rPr>
        <w:t xml:space="preserve">it </w:t>
      </w:r>
      <w:r w:rsidR="002E4C19" w:rsidRPr="00A0027B">
        <w:rPr>
          <w:rFonts w:eastAsia="Times New Roman"/>
          <w:color w:val="000000"/>
          <w:highlight w:val="yellow"/>
        </w:rPr>
        <w:t xml:space="preserve">with </w:t>
      </w:r>
      <w:r w:rsidR="00F93ACE" w:rsidRPr="00A0027B">
        <w:rPr>
          <w:rFonts w:eastAsia="Times New Roman"/>
          <w:color w:val="000000"/>
          <w:highlight w:val="yellow"/>
        </w:rPr>
        <w:t xml:space="preserve">plate name </w:t>
      </w:r>
      <w:r w:rsidR="002E4C19" w:rsidRPr="00A0027B">
        <w:rPr>
          <w:rFonts w:eastAsia="Times New Roman"/>
          <w:color w:val="000000"/>
          <w:highlight w:val="yellow"/>
        </w:rPr>
        <w:t>and use a sharp blade to cut a line in the foil around the control wells (N23/24, O23/</w:t>
      </w:r>
      <w:r w:rsidR="006A28A6" w:rsidRPr="00A0027B">
        <w:rPr>
          <w:rFonts w:eastAsia="Times New Roman"/>
          <w:color w:val="000000"/>
          <w:highlight w:val="yellow"/>
        </w:rPr>
        <w:t>24,</w:t>
      </w:r>
      <w:r w:rsidR="002E4C19" w:rsidRPr="00A0027B">
        <w:rPr>
          <w:rFonts w:eastAsia="Times New Roman"/>
          <w:color w:val="000000"/>
          <w:highlight w:val="yellow"/>
        </w:rPr>
        <w:t xml:space="preserve"> and P23/24).</w:t>
      </w:r>
    </w:p>
    <w:p w14:paraId="56C16974" w14:textId="77777777" w:rsidR="006221A0" w:rsidRPr="00A0027B" w:rsidRDefault="006221A0" w:rsidP="00A0027B">
      <w:pPr>
        <w:widowControl/>
        <w:textAlignment w:val="baseline"/>
        <w:rPr>
          <w:rFonts w:eastAsia="Times New Roman"/>
          <w:color w:val="000000"/>
          <w:highlight w:val="yellow"/>
        </w:rPr>
      </w:pPr>
    </w:p>
    <w:p w14:paraId="180FD0A0" w14:textId="49E93665"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Place the master</w:t>
      </w:r>
      <w:r w:rsidR="00764EE3" w:rsidRPr="00A0027B">
        <w:rPr>
          <w:rFonts w:eastAsia="Times New Roman"/>
          <w:color w:val="000000"/>
          <w:highlight w:val="yellow"/>
        </w:rPr>
        <w:t xml:space="preserve"> </w:t>
      </w:r>
      <w:r w:rsidRPr="00A0027B">
        <w:rPr>
          <w:rFonts w:eastAsia="Times New Roman"/>
          <w:color w:val="000000"/>
          <w:highlight w:val="yellow"/>
        </w:rPr>
        <w:t xml:space="preserve">mix plate on </w:t>
      </w:r>
      <w:r w:rsidR="00764EE3" w:rsidRPr="00A0027B">
        <w:rPr>
          <w:rFonts w:eastAsia="Times New Roman"/>
          <w:color w:val="000000"/>
          <w:highlight w:val="yellow"/>
        </w:rPr>
        <w:t>d</w:t>
      </w:r>
      <w:r w:rsidRPr="00A0027B">
        <w:rPr>
          <w:rFonts w:eastAsia="Times New Roman"/>
          <w:color w:val="000000"/>
          <w:highlight w:val="yellow"/>
        </w:rPr>
        <w:t>eck 6 and peel away the foil cover, leaving behind the small rectangle covering the control wells. Uncover the tip boxes and close the robot.</w:t>
      </w:r>
    </w:p>
    <w:p w14:paraId="5368DFFA" w14:textId="77777777" w:rsidR="006221A0" w:rsidRPr="00A0027B" w:rsidRDefault="006221A0" w:rsidP="00A0027B">
      <w:pPr>
        <w:widowControl/>
        <w:textAlignment w:val="baseline"/>
        <w:rPr>
          <w:rFonts w:eastAsia="Times New Roman"/>
          <w:color w:val="000000"/>
          <w:highlight w:val="yellow"/>
        </w:rPr>
      </w:pPr>
    </w:p>
    <w:p w14:paraId="31C343BF" w14:textId="4E5389AB"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Initialize the custom Python operating protocol by clicking </w:t>
      </w:r>
      <w:r w:rsidRPr="00A0027B">
        <w:rPr>
          <w:rFonts w:eastAsia="Times New Roman"/>
          <w:b/>
          <w:bCs/>
          <w:color w:val="000000"/>
          <w:highlight w:val="yellow"/>
        </w:rPr>
        <w:t>Start Run</w:t>
      </w:r>
      <w:r w:rsidRPr="00A0027B">
        <w:rPr>
          <w:rFonts w:eastAsia="Times New Roman"/>
          <w:color w:val="000000"/>
          <w:highlight w:val="yellow"/>
        </w:rPr>
        <w:t xml:space="preserve"> through the robot desktop application. Each quarter takes 24.5 min to load onto the plate; set a timer as a reminder.</w:t>
      </w:r>
    </w:p>
    <w:p w14:paraId="3FA91230" w14:textId="77777777" w:rsidR="006221A0" w:rsidRPr="00A0027B" w:rsidRDefault="006221A0" w:rsidP="00A0027B">
      <w:pPr>
        <w:widowControl/>
        <w:textAlignment w:val="baseline"/>
        <w:rPr>
          <w:rFonts w:eastAsia="Times New Roman"/>
          <w:color w:val="000000"/>
          <w:highlight w:val="yellow"/>
        </w:rPr>
      </w:pPr>
    </w:p>
    <w:p w14:paraId="2B0AC404" w14:textId="75D5451A"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While the robot is running, uncap and load </w:t>
      </w:r>
      <w:r w:rsidR="00B112AC" w:rsidRPr="00A0027B">
        <w:rPr>
          <w:rFonts w:eastAsia="Times New Roman"/>
          <w:color w:val="000000"/>
          <w:highlight w:val="yellow"/>
        </w:rPr>
        <w:t>q</w:t>
      </w:r>
      <w:r w:rsidRPr="00A0027B">
        <w:rPr>
          <w:rFonts w:eastAsia="Times New Roman"/>
          <w:color w:val="000000"/>
          <w:highlight w:val="yellow"/>
        </w:rPr>
        <w:t>uarter 2 sample tubes into the second set of 3D printed racks as described in</w:t>
      </w:r>
      <w:r w:rsidR="00B112AC" w:rsidRPr="00A0027B">
        <w:rPr>
          <w:rFonts w:eastAsia="Times New Roman"/>
          <w:color w:val="000000"/>
          <w:highlight w:val="yellow"/>
        </w:rPr>
        <w:t xml:space="preserve"> section</w:t>
      </w:r>
      <w:r w:rsidRPr="00A0027B">
        <w:rPr>
          <w:rFonts w:eastAsia="Times New Roman"/>
          <w:color w:val="000000"/>
          <w:highlight w:val="yellow"/>
        </w:rPr>
        <w:t xml:space="preserve"> 7.2.</w:t>
      </w:r>
    </w:p>
    <w:p w14:paraId="66459059" w14:textId="77777777" w:rsidR="006221A0" w:rsidRPr="00A0027B" w:rsidRDefault="006221A0" w:rsidP="00A0027B">
      <w:pPr>
        <w:widowControl/>
        <w:textAlignment w:val="baseline"/>
        <w:rPr>
          <w:rFonts w:eastAsia="Times New Roman"/>
          <w:color w:val="000000"/>
          <w:highlight w:val="yellow"/>
        </w:rPr>
      </w:pPr>
    </w:p>
    <w:p w14:paraId="570E87D2" w14:textId="2906ABCB"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When the robot pauses, remove </w:t>
      </w:r>
      <w:r w:rsidR="00B112AC" w:rsidRPr="00A0027B">
        <w:rPr>
          <w:rFonts w:eastAsia="Times New Roman"/>
          <w:color w:val="000000"/>
          <w:highlight w:val="yellow"/>
        </w:rPr>
        <w:t>q</w:t>
      </w:r>
      <w:r w:rsidRPr="00A0027B">
        <w:rPr>
          <w:rFonts w:eastAsia="Times New Roman"/>
          <w:color w:val="000000"/>
          <w:highlight w:val="yellow"/>
        </w:rPr>
        <w:t xml:space="preserve">uarter 1 </w:t>
      </w:r>
      <w:r w:rsidR="006A28A6" w:rsidRPr="00A0027B">
        <w:rPr>
          <w:rFonts w:eastAsia="Times New Roman"/>
          <w:color w:val="000000"/>
          <w:highlight w:val="yellow"/>
        </w:rPr>
        <w:t>racks,</w:t>
      </w:r>
      <w:r w:rsidRPr="00A0027B">
        <w:rPr>
          <w:rFonts w:eastAsia="Times New Roman"/>
          <w:color w:val="000000"/>
          <w:highlight w:val="yellow"/>
        </w:rPr>
        <w:t xml:space="preserve"> and replace </w:t>
      </w:r>
      <w:r w:rsidR="00B829D8" w:rsidRPr="00A0027B">
        <w:rPr>
          <w:rFonts w:eastAsia="Times New Roman"/>
          <w:color w:val="000000"/>
          <w:highlight w:val="yellow"/>
        </w:rPr>
        <w:t xml:space="preserve">them </w:t>
      </w:r>
      <w:r w:rsidRPr="00A0027B">
        <w:rPr>
          <w:rFonts w:eastAsia="Times New Roman"/>
          <w:color w:val="000000"/>
          <w:highlight w:val="yellow"/>
        </w:rPr>
        <w:t xml:space="preserve">with </w:t>
      </w:r>
      <w:r w:rsidR="00B829D8" w:rsidRPr="00A0027B">
        <w:rPr>
          <w:rFonts w:eastAsia="Times New Roman"/>
          <w:color w:val="000000"/>
          <w:highlight w:val="yellow"/>
        </w:rPr>
        <w:t>q</w:t>
      </w:r>
      <w:r w:rsidRPr="00A0027B">
        <w:rPr>
          <w:rFonts w:eastAsia="Times New Roman"/>
          <w:color w:val="000000"/>
          <w:highlight w:val="yellow"/>
        </w:rPr>
        <w:t xml:space="preserve">uarter 2 racks. Click </w:t>
      </w:r>
      <w:r w:rsidRPr="00A0027B">
        <w:rPr>
          <w:rFonts w:eastAsia="Times New Roman"/>
          <w:b/>
          <w:bCs/>
          <w:color w:val="000000"/>
          <w:highlight w:val="yellow"/>
        </w:rPr>
        <w:t>Resume Run</w:t>
      </w:r>
      <w:r w:rsidRPr="00A0027B">
        <w:rPr>
          <w:rFonts w:eastAsia="Times New Roman"/>
          <w:color w:val="000000"/>
          <w:highlight w:val="yellow"/>
        </w:rPr>
        <w:t xml:space="preserve"> in the desktop application.</w:t>
      </w:r>
    </w:p>
    <w:p w14:paraId="4860C3B5" w14:textId="77777777" w:rsidR="006221A0" w:rsidRPr="00A0027B" w:rsidRDefault="006221A0" w:rsidP="00A0027B">
      <w:pPr>
        <w:widowControl/>
        <w:textAlignment w:val="baseline"/>
        <w:rPr>
          <w:rFonts w:eastAsia="Times New Roman"/>
          <w:color w:val="000000"/>
          <w:highlight w:val="yellow"/>
        </w:rPr>
      </w:pPr>
    </w:p>
    <w:p w14:paraId="6CDED515" w14:textId="6F2E6DE4" w:rsidR="006221A0"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Recap </w:t>
      </w:r>
      <w:r w:rsidR="00B829D8" w:rsidRPr="00A0027B">
        <w:rPr>
          <w:rFonts w:eastAsia="Times New Roman"/>
          <w:color w:val="000000"/>
          <w:highlight w:val="yellow"/>
        </w:rPr>
        <w:t>q</w:t>
      </w:r>
      <w:r w:rsidRPr="00A0027B">
        <w:rPr>
          <w:rFonts w:eastAsia="Times New Roman"/>
          <w:color w:val="000000"/>
          <w:highlight w:val="yellow"/>
        </w:rPr>
        <w:t xml:space="preserve">uarter 1 sample tubes and store </w:t>
      </w:r>
      <w:r w:rsidR="00B829D8" w:rsidRPr="00A0027B">
        <w:rPr>
          <w:rFonts w:eastAsia="Times New Roman"/>
          <w:color w:val="000000"/>
          <w:highlight w:val="yellow"/>
        </w:rPr>
        <w:t>them in a</w:t>
      </w:r>
      <w:r w:rsidRPr="00A0027B">
        <w:rPr>
          <w:rFonts w:eastAsia="Times New Roman"/>
          <w:color w:val="000000"/>
          <w:highlight w:val="yellow"/>
        </w:rPr>
        <w:t xml:space="preserve"> 4</w:t>
      </w:r>
      <w:r w:rsidR="00B829D8" w:rsidRPr="00A0027B">
        <w:rPr>
          <w:rFonts w:eastAsia="Times New Roman"/>
          <w:color w:val="000000"/>
          <w:highlight w:val="yellow"/>
          <w:vertAlign w:val="superscript"/>
        </w:rPr>
        <w:t xml:space="preserve"> </w:t>
      </w:r>
      <w:r w:rsidR="00B829D8" w:rsidRPr="00A0027B">
        <w:rPr>
          <w:rFonts w:eastAsia="Times New Roman"/>
          <w:color w:val="000000"/>
          <w:highlight w:val="yellow"/>
        </w:rPr>
        <w:t>°</w:t>
      </w:r>
      <w:r w:rsidRPr="00A0027B">
        <w:rPr>
          <w:rFonts w:eastAsia="Times New Roman"/>
          <w:color w:val="000000"/>
          <w:highlight w:val="yellow"/>
        </w:rPr>
        <w:t xml:space="preserve">C refrigerator while awaiting results. </w:t>
      </w:r>
    </w:p>
    <w:p w14:paraId="5E478BAE" w14:textId="633AAC5A" w:rsidR="002E4C19" w:rsidRPr="00A0027B" w:rsidRDefault="002E4C19" w:rsidP="00A0027B">
      <w:pPr>
        <w:widowControl/>
        <w:textAlignment w:val="baseline"/>
        <w:rPr>
          <w:rFonts w:eastAsia="Times New Roman"/>
          <w:color w:val="000000"/>
          <w:highlight w:val="yellow"/>
        </w:rPr>
      </w:pPr>
      <w:r w:rsidRPr="00A0027B">
        <w:rPr>
          <w:rFonts w:eastAsia="Times New Roman"/>
          <w:color w:val="000000"/>
          <w:highlight w:val="yellow"/>
        </w:rPr>
        <w:t xml:space="preserve">Repeat this loading process for </w:t>
      </w:r>
      <w:r w:rsidR="00A87B8C" w:rsidRPr="00A0027B">
        <w:rPr>
          <w:rFonts w:eastAsia="Times New Roman"/>
          <w:color w:val="000000"/>
          <w:highlight w:val="yellow"/>
        </w:rPr>
        <w:t>q</w:t>
      </w:r>
      <w:r w:rsidRPr="00A0027B">
        <w:rPr>
          <w:rFonts w:eastAsia="Times New Roman"/>
          <w:color w:val="000000"/>
          <w:highlight w:val="yellow"/>
        </w:rPr>
        <w:t>uarters 3 and 4.</w:t>
      </w:r>
    </w:p>
    <w:p w14:paraId="521E8DB5" w14:textId="77777777" w:rsidR="006221A0" w:rsidRPr="00A0027B" w:rsidRDefault="006221A0" w:rsidP="00A0027B">
      <w:pPr>
        <w:widowControl/>
        <w:textAlignment w:val="baseline"/>
        <w:rPr>
          <w:rFonts w:eastAsia="Times New Roman"/>
          <w:color w:val="000000"/>
          <w:highlight w:val="yellow"/>
        </w:rPr>
      </w:pPr>
    </w:p>
    <w:p w14:paraId="1A170EC0" w14:textId="090393F2" w:rsidR="006221A0" w:rsidRPr="004C3F0A" w:rsidRDefault="00EE1E4B"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T</w:t>
      </w:r>
      <w:r w:rsidR="002E4C19" w:rsidRPr="00A0027B">
        <w:rPr>
          <w:rFonts w:eastAsia="Times New Roman"/>
          <w:color w:val="000000"/>
          <w:highlight w:val="yellow"/>
        </w:rPr>
        <w:t xml:space="preserve">ransfer </w:t>
      </w:r>
      <w:r w:rsidRPr="00A0027B">
        <w:rPr>
          <w:rFonts w:eastAsia="Times New Roman"/>
          <w:color w:val="000000"/>
          <w:highlight w:val="yellow"/>
        </w:rPr>
        <w:t xml:space="preserve">the loaded plate </w:t>
      </w:r>
      <w:r w:rsidR="002E4C19" w:rsidRPr="00A0027B">
        <w:rPr>
          <w:rFonts w:eastAsia="Times New Roman"/>
          <w:color w:val="000000"/>
          <w:highlight w:val="yellow"/>
        </w:rPr>
        <w:t>to a biosafety cabinet. </w:t>
      </w:r>
      <w:r w:rsidRPr="00A0027B">
        <w:rPr>
          <w:rFonts w:eastAsia="Times New Roman"/>
          <w:color w:val="000000"/>
          <w:highlight w:val="yellow"/>
        </w:rPr>
        <w:t>To minimize contamination, keep plate covered during transfer.</w:t>
      </w:r>
    </w:p>
    <w:p w14:paraId="08D3F110" w14:textId="6CC28993" w:rsidR="006221A0" w:rsidRPr="00A0027B" w:rsidRDefault="002E4C19" w:rsidP="00A0027B">
      <w:pPr>
        <w:widowControl/>
        <w:numPr>
          <w:ilvl w:val="0"/>
          <w:numId w:val="13"/>
        </w:numPr>
        <w:ind w:left="0" w:firstLine="0"/>
        <w:textAlignment w:val="baseline"/>
        <w:rPr>
          <w:rFonts w:eastAsia="Times New Roman"/>
          <w:b/>
          <w:bCs/>
          <w:color w:val="000000"/>
          <w:highlight w:val="yellow"/>
        </w:rPr>
      </w:pPr>
      <w:r w:rsidRPr="00A0027B">
        <w:rPr>
          <w:rFonts w:eastAsia="Times New Roman"/>
          <w:b/>
          <w:bCs/>
          <w:color w:val="000000"/>
          <w:highlight w:val="yellow"/>
        </w:rPr>
        <w:lastRenderedPageBreak/>
        <w:t xml:space="preserve">Manual </w:t>
      </w:r>
      <w:r w:rsidR="00FB51DE" w:rsidRPr="00A0027B">
        <w:rPr>
          <w:rFonts w:eastAsia="Times New Roman"/>
          <w:b/>
          <w:bCs/>
          <w:color w:val="000000"/>
          <w:highlight w:val="yellow"/>
        </w:rPr>
        <w:t>s</w:t>
      </w:r>
      <w:r w:rsidRPr="00A0027B">
        <w:rPr>
          <w:rFonts w:eastAsia="Times New Roman"/>
          <w:b/>
          <w:bCs/>
          <w:color w:val="000000"/>
          <w:highlight w:val="yellow"/>
        </w:rPr>
        <w:t xml:space="preserve">ample </w:t>
      </w:r>
      <w:r w:rsidR="00FB51DE" w:rsidRPr="00A0027B">
        <w:rPr>
          <w:rFonts w:eastAsia="Times New Roman"/>
          <w:b/>
          <w:bCs/>
          <w:color w:val="000000"/>
          <w:highlight w:val="yellow"/>
        </w:rPr>
        <w:t>l</w:t>
      </w:r>
      <w:r w:rsidRPr="00A0027B">
        <w:rPr>
          <w:rFonts w:eastAsia="Times New Roman"/>
          <w:b/>
          <w:bCs/>
          <w:color w:val="000000"/>
          <w:highlight w:val="yellow"/>
        </w:rPr>
        <w:t>oading</w:t>
      </w:r>
    </w:p>
    <w:p w14:paraId="53B254DD" w14:textId="77777777" w:rsidR="00FB51DE" w:rsidRPr="00A0027B" w:rsidRDefault="00FB51DE" w:rsidP="00A0027B">
      <w:pPr>
        <w:widowControl/>
        <w:textAlignment w:val="baseline"/>
        <w:rPr>
          <w:rFonts w:eastAsia="Times New Roman"/>
          <w:b/>
          <w:bCs/>
          <w:color w:val="000000"/>
          <w:highlight w:val="yellow"/>
        </w:rPr>
      </w:pPr>
    </w:p>
    <w:p w14:paraId="30FC24CF" w14:textId="72921703" w:rsidR="002E4C19" w:rsidRPr="00A0027B" w:rsidRDefault="002E4C19" w:rsidP="00A0027B">
      <w:pPr>
        <w:pStyle w:val="ListParagraph"/>
        <w:widowControl/>
        <w:ind w:left="0"/>
        <w:contextualSpacing w:val="0"/>
        <w:rPr>
          <w:rFonts w:eastAsia="Times New Roman"/>
          <w:color w:val="000000"/>
          <w:highlight w:val="yellow"/>
        </w:rPr>
      </w:pPr>
      <w:r w:rsidRPr="00A0027B">
        <w:rPr>
          <w:rFonts w:eastAsia="Times New Roman"/>
          <w:color w:val="000000"/>
          <w:highlight w:val="yellow"/>
        </w:rPr>
        <w:t xml:space="preserve">NOTE: Perform a single manual run on repeat samples (N1 Rerun or Rerun, see </w:t>
      </w:r>
      <w:r w:rsidRPr="00A0027B">
        <w:rPr>
          <w:rFonts w:eastAsia="Times New Roman"/>
          <w:b/>
          <w:bCs/>
          <w:color w:val="000000"/>
          <w:highlight w:val="yellow"/>
        </w:rPr>
        <w:t>Figure 3</w:t>
      </w:r>
      <w:r w:rsidRPr="00A0027B">
        <w:rPr>
          <w:rFonts w:eastAsia="Times New Roman"/>
          <w:color w:val="000000"/>
          <w:highlight w:val="yellow"/>
        </w:rPr>
        <w:t xml:space="preserve">) in case of </w:t>
      </w:r>
      <w:r w:rsidR="00F54574" w:rsidRPr="00A0027B">
        <w:rPr>
          <w:rFonts w:eastAsia="Times New Roman"/>
          <w:color w:val="000000"/>
          <w:highlight w:val="yellow"/>
        </w:rPr>
        <w:t xml:space="preserve">inadequate </w:t>
      </w:r>
      <w:r w:rsidRPr="00A0027B">
        <w:rPr>
          <w:rFonts w:eastAsia="Times New Roman"/>
          <w:color w:val="000000"/>
          <w:highlight w:val="yellow"/>
        </w:rPr>
        <w:t>robotic loading. </w:t>
      </w:r>
    </w:p>
    <w:p w14:paraId="6989C560" w14:textId="77777777" w:rsidR="006221A0" w:rsidRPr="00A0027B" w:rsidRDefault="006221A0" w:rsidP="00A0027B">
      <w:pPr>
        <w:pStyle w:val="ListParagraph"/>
        <w:widowControl/>
        <w:ind w:left="0"/>
        <w:contextualSpacing w:val="0"/>
        <w:rPr>
          <w:rFonts w:eastAsia="Times New Roman"/>
          <w:highlight w:val="yellow"/>
        </w:rPr>
      </w:pPr>
    </w:p>
    <w:p w14:paraId="541CED91" w14:textId="7E24B992" w:rsidR="002E4C19" w:rsidRPr="00A0027B" w:rsidRDefault="00EE1E4B"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Gather any repeat samples and assign </w:t>
      </w:r>
      <w:r w:rsidR="006D7DD0" w:rsidRPr="00A0027B">
        <w:rPr>
          <w:rFonts w:eastAsia="Times New Roman"/>
          <w:color w:val="000000"/>
          <w:highlight w:val="yellow"/>
        </w:rPr>
        <w:t xml:space="preserve">them </w:t>
      </w:r>
      <w:r w:rsidRPr="00A0027B">
        <w:rPr>
          <w:rFonts w:eastAsia="Times New Roman"/>
          <w:color w:val="000000"/>
          <w:highlight w:val="yellow"/>
        </w:rPr>
        <w:t xml:space="preserve">as the last samples in </w:t>
      </w:r>
      <w:r w:rsidR="006D7DD0" w:rsidRPr="00A0027B">
        <w:rPr>
          <w:rFonts w:eastAsia="Times New Roman"/>
          <w:color w:val="000000"/>
          <w:highlight w:val="yellow"/>
        </w:rPr>
        <w:t>q</w:t>
      </w:r>
      <w:r w:rsidRPr="00A0027B">
        <w:rPr>
          <w:rFonts w:eastAsia="Times New Roman"/>
          <w:color w:val="000000"/>
          <w:highlight w:val="yellow"/>
        </w:rPr>
        <w:t xml:space="preserve">uarter 4 (see </w:t>
      </w:r>
      <w:r w:rsidR="006D7DD0" w:rsidRPr="00A0027B">
        <w:rPr>
          <w:rFonts w:eastAsia="Times New Roman"/>
          <w:color w:val="000000"/>
          <w:highlight w:val="yellow"/>
        </w:rPr>
        <w:t xml:space="preserve">section </w:t>
      </w:r>
      <w:r w:rsidRPr="00A0027B">
        <w:rPr>
          <w:rFonts w:eastAsia="Times New Roman"/>
          <w:color w:val="000000"/>
          <w:highlight w:val="yellow"/>
        </w:rPr>
        <w:t>6.2). Number samples, scan the barcodes, and enter the original sample location and result into the sample loading spreadsheet.</w:t>
      </w:r>
    </w:p>
    <w:p w14:paraId="6E35A614" w14:textId="77777777" w:rsidR="006221A0" w:rsidRPr="00A0027B" w:rsidRDefault="006221A0" w:rsidP="00A0027B">
      <w:pPr>
        <w:widowControl/>
        <w:textAlignment w:val="baseline"/>
        <w:rPr>
          <w:rFonts w:eastAsia="Times New Roman"/>
          <w:color w:val="000000"/>
          <w:highlight w:val="yellow"/>
        </w:rPr>
      </w:pPr>
    </w:p>
    <w:p w14:paraId="74D2C1BE" w14:textId="205E464E"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Transfer repeat samples to the biosafety cabinet. Do not load repeat sample tubes into the robot loading racks. </w:t>
      </w:r>
    </w:p>
    <w:p w14:paraId="5BBBEB83" w14:textId="77777777" w:rsidR="006221A0" w:rsidRPr="00A0027B" w:rsidRDefault="006221A0" w:rsidP="00A0027B">
      <w:pPr>
        <w:widowControl/>
        <w:textAlignment w:val="baseline"/>
        <w:rPr>
          <w:rFonts w:eastAsia="Times New Roman"/>
          <w:color w:val="000000"/>
          <w:highlight w:val="yellow"/>
        </w:rPr>
      </w:pPr>
    </w:p>
    <w:p w14:paraId="7118EBFE" w14:textId="11F698D8"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Pipette 2 </w:t>
      </w:r>
      <w:r w:rsidR="00BC0861" w:rsidRPr="00A0027B">
        <w:rPr>
          <w:rFonts w:eastAsia="Times New Roman"/>
          <w:color w:val="000000"/>
          <w:highlight w:val="yellow"/>
        </w:rPr>
        <w:t>µL</w:t>
      </w:r>
      <w:r w:rsidRPr="00A0027B">
        <w:rPr>
          <w:rFonts w:eastAsia="Times New Roman"/>
          <w:color w:val="000000"/>
          <w:highlight w:val="yellow"/>
        </w:rPr>
        <w:t xml:space="preserve"> of each </w:t>
      </w:r>
      <w:r w:rsidR="00EE1E4B" w:rsidRPr="00A0027B">
        <w:rPr>
          <w:rFonts w:eastAsia="Times New Roman"/>
          <w:color w:val="000000"/>
          <w:highlight w:val="yellow"/>
        </w:rPr>
        <w:t>repeat</w:t>
      </w:r>
      <w:r w:rsidRPr="00A0027B">
        <w:rPr>
          <w:rFonts w:eastAsia="Times New Roman"/>
          <w:color w:val="000000"/>
          <w:highlight w:val="yellow"/>
        </w:rPr>
        <w:t xml:space="preserve"> sample to the correct wells following the plate layout diagram</w:t>
      </w:r>
      <w:r w:rsidR="00EE1E4B" w:rsidRPr="00A0027B">
        <w:rPr>
          <w:rFonts w:eastAsia="Times New Roman"/>
          <w:color w:val="000000"/>
          <w:highlight w:val="yellow"/>
        </w:rPr>
        <w:t xml:space="preserve"> (</w:t>
      </w:r>
      <w:r w:rsidR="00EE1E4B" w:rsidRPr="00A0027B">
        <w:rPr>
          <w:rFonts w:eastAsia="Times New Roman"/>
          <w:b/>
          <w:bCs/>
          <w:color w:val="000000"/>
          <w:highlight w:val="yellow"/>
        </w:rPr>
        <w:t xml:space="preserve">Supplemental </w:t>
      </w:r>
      <w:r w:rsidR="009D3E82" w:rsidRPr="00A0027B">
        <w:rPr>
          <w:rFonts w:eastAsia="Times New Roman"/>
          <w:b/>
          <w:bCs/>
          <w:color w:val="000000"/>
          <w:highlight w:val="yellow"/>
        </w:rPr>
        <w:t>F</w:t>
      </w:r>
      <w:r w:rsidR="00216CBB" w:rsidRPr="00A0027B">
        <w:rPr>
          <w:rFonts w:eastAsia="Times New Roman"/>
          <w:b/>
          <w:bCs/>
          <w:color w:val="000000"/>
          <w:highlight w:val="yellow"/>
        </w:rPr>
        <w:t xml:space="preserve">ile </w:t>
      </w:r>
      <w:r w:rsidR="009D3E82" w:rsidRPr="00A0027B">
        <w:rPr>
          <w:rFonts w:eastAsia="Times New Roman"/>
          <w:b/>
          <w:bCs/>
          <w:color w:val="000000"/>
          <w:highlight w:val="yellow"/>
        </w:rPr>
        <w:t>6</w:t>
      </w:r>
      <w:r w:rsidR="00EE1E4B" w:rsidRPr="00A0027B">
        <w:rPr>
          <w:rFonts w:eastAsia="Times New Roman"/>
          <w:color w:val="000000"/>
          <w:highlight w:val="yellow"/>
        </w:rPr>
        <w:t>)</w:t>
      </w:r>
      <w:r w:rsidRPr="00A0027B">
        <w:rPr>
          <w:rFonts w:eastAsia="Times New Roman"/>
          <w:color w:val="000000"/>
          <w:highlight w:val="yellow"/>
        </w:rPr>
        <w:t>.</w:t>
      </w:r>
      <w:r w:rsidR="009808E9" w:rsidRPr="00A0027B">
        <w:rPr>
          <w:rFonts w:eastAsia="Times New Roman"/>
          <w:color w:val="000000"/>
          <w:highlight w:val="yellow"/>
        </w:rPr>
        <w:t xml:space="preserve"> </w:t>
      </w:r>
      <w:r w:rsidRPr="00A0027B">
        <w:rPr>
          <w:rFonts w:eastAsia="Times New Roman"/>
          <w:color w:val="000000"/>
          <w:highlight w:val="yellow"/>
        </w:rPr>
        <w:t>Use a designated pipette for adding patient samples. Keep control wells covered with foil while adding samples</w:t>
      </w:r>
      <w:r w:rsidR="00EE1E4B" w:rsidRPr="00A0027B">
        <w:rPr>
          <w:rFonts w:eastAsia="Times New Roman"/>
          <w:color w:val="000000"/>
          <w:highlight w:val="yellow"/>
        </w:rPr>
        <w:t xml:space="preserve"> to minimize contamination</w:t>
      </w:r>
      <w:r w:rsidRPr="00A0027B">
        <w:rPr>
          <w:rFonts w:eastAsia="Times New Roman"/>
          <w:color w:val="000000"/>
          <w:highlight w:val="yellow"/>
        </w:rPr>
        <w:t>.</w:t>
      </w:r>
    </w:p>
    <w:p w14:paraId="64B3B371" w14:textId="77777777" w:rsidR="006221A0" w:rsidRPr="00A0027B" w:rsidRDefault="006221A0" w:rsidP="00A0027B">
      <w:pPr>
        <w:pStyle w:val="ListParagraph"/>
        <w:widowControl/>
        <w:ind w:left="0"/>
        <w:contextualSpacing w:val="0"/>
        <w:rPr>
          <w:rFonts w:eastAsia="Times New Roman"/>
          <w:highlight w:val="yellow"/>
        </w:rPr>
      </w:pPr>
    </w:p>
    <w:p w14:paraId="2422816A" w14:textId="284399FF" w:rsidR="006221A0" w:rsidRPr="00A0027B" w:rsidRDefault="002E4C19" w:rsidP="00A0027B">
      <w:pPr>
        <w:widowControl/>
        <w:numPr>
          <w:ilvl w:val="0"/>
          <w:numId w:val="13"/>
        </w:numPr>
        <w:ind w:left="0" w:firstLine="0"/>
        <w:textAlignment w:val="baseline"/>
        <w:rPr>
          <w:rFonts w:eastAsia="Times New Roman"/>
          <w:b/>
          <w:bCs/>
          <w:color w:val="000000"/>
          <w:highlight w:val="yellow"/>
        </w:rPr>
      </w:pPr>
      <w:r w:rsidRPr="00A0027B">
        <w:rPr>
          <w:rFonts w:eastAsia="Times New Roman"/>
          <w:b/>
          <w:bCs/>
          <w:color w:val="000000"/>
          <w:highlight w:val="yellow"/>
        </w:rPr>
        <w:t>Add</w:t>
      </w:r>
      <w:r w:rsidR="009808E9" w:rsidRPr="00A0027B">
        <w:rPr>
          <w:rFonts w:eastAsia="Times New Roman"/>
          <w:b/>
          <w:bCs/>
          <w:color w:val="000000"/>
          <w:highlight w:val="yellow"/>
        </w:rPr>
        <w:t>ition of c</w:t>
      </w:r>
      <w:r w:rsidRPr="00A0027B">
        <w:rPr>
          <w:rFonts w:eastAsia="Times New Roman"/>
          <w:b/>
          <w:bCs/>
          <w:color w:val="000000"/>
          <w:highlight w:val="yellow"/>
        </w:rPr>
        <w:t xml:space="preserve">ontrols to </w:t>
      </w:r>
      <w:r w:rsidR="009808E9" w:rsidRPr="00A0027B">
        <w:rPr>
          <w:rFonts w:eastAsia="Times New Roman"/>
          <w:b/>
          <w:bCs/>
          <w:color w:val="000000"/>
          <w:highlight w:val="yellow"/>
        </w:rPr>
        <w:t>t</w:t>
      </w:r>
      <w:r w:rsidRPr="00A0027B">
        <w:rPr>
          <w:rFonts w:eastAsia="Times New Roman"/>
          <w:b/>
          <w:bCs/>
          <w:color w:val="000000"/>
          <w:highlight w:val="yellow"/>
        </w:rPr>
        <w:t xml:space="preserve">esting </w:t>
      </w:r>
      <w:r w:rsidR="009808E9" w:rsidRPr="00A0027B">
        <w:rPr>
          <w:rFonts w:eastAsia="Times New Roman"/>
          <w:b/>
          <w:bCs/>
          <w:color w:val="000000"/>
          <w:highlight w:val="yellow"/>
        </w:rPr>
        <w:t>p</w:t>
      </w:r>
      <w:r w:rsidRPr="00A0027B">
        <w:rPr>
          <w:rFonts w:eastAsia="Times New Roman"/>
          <w:b/>
          <w:bCs/>
          <w:color w:val="000000"/>
          <w:highlight w:val="yellow"/>
        </w:rPr>
        <w:t>lates</w:t>
      </w:r>
    </w:p>
    <w:p w14:paraId="5FCB711A" w14:textId="77777777" w:rsidR="00962701" w:rsidRPr="00A0027B" w:rsidRDefault="00962701" w:rsidP="00A0027B">
      <w:pPr>
        <w:widowControl/>
        <w:textAlignment w:val="baseline"/>
        <w:rPr>
          <w:rFonts w:eastAsia="Times New Roman"/>
          <w:b/>
          <w:bCs/>
          <w:color w:val="000000"/>
          <w:highlight w:val="yellow"/>
        </w:rPr>
      </w:pPr>
    </w:p>
    <w:p w14:paraId="1447393F" w14:textId="56187336"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Peel away foil cover over control wells using forceps.</w:t>
      </w:r>
    </w:p>
    <w:p w14:paraId="0308BD7B" w14:textId="77777777" w:rsidR="006221A0" w:rsidRPr="00A0027B" w:rsidRDefault="006221A0" w:rsidP="00A0027B">
      <w:pPr>
        <w:widowControl/>
        <w:textAlignment w:val="baseline"/>
        <w:rPr>
          <w:rFonts w:eastAsia="Times New Roman"/>
          <w:color w:val="000000"/>
          <w:highlight w:val="yellow"/>
        </w:rPr>
      </w:pPr>
    </w:p>
    <w:p w14:paraId="09E526E2" w14:textId="638ACD4A" w:rsidR="002E4C19" w:rsidRPr="00A0027B" w:rsidRDefault="002E4C19" w:rsidP="00A0027B">
      <w:pPr>
        <w:pStyle w:val="ListParagraph"/>
        <w:numPr>
          <w:ilvl w:val="1"/>
          <w:numId w:val="13"/>
        </w:numPr>
        <w:ind w:left="0" w:firstLine="0"/>
        <w:contextualSpacing w:val="0"/>
        <w:rPr>
          <w:highlight w:val="yellow"/>
        </w:rPr>
      </w:pPr>
      <w:r w:rsidRPr="00A0027B">
        <w:rPr>
          <w:rFonts w:eastAsia="Times New Roman"/>
          <w:color w:val="000000"/>
          <w:highlight w:val="yellow"/>
        </w:rPr>
        <w:t xml:space="preserve">Pipette 2 </w:t>
      </w:r>
      <w:r w:rsidR="00BC0861" w:rsidRPr="00A0027B">
        <w:rPr>
          <w:rFonts w:eastAsia="Times New Roman"/>
          <w:color w:val="000000"/>
          <w:highlight w:val="yellow"/>
        </w:rPr>
        <w:t>µL</w:t>
      </w:r>
      <w:r w:rsidRPr="00A0027B">
        <w:rPr>
          <w:rFonts w:eastAsia="Times New Roman"/>
          <w:color w:val="000000"/>
          <w:highlight w:val="yellow"/>
        </w:rPr>
        <w:t xml:space="preserve"> of </w:t>
      </w:r>
      <w:r w:rsidR="0059007D" w:rsidRPr="00A0027B">
        <w:rPr>
          <w:rFonts w:eastAsia="Times New Roman"/>
          <w:color w:val="000000"/>
          <w:highlight w:val="yellow"/>
        </w:rPr>
        <w:t>nuclease-</w:t>
      </w:r>
      <w:r w:rsidRPr="00A0027B">
        <w:rPr>
          <w:rFonts w:eastAsia="Times New Roman"/>
          <w:color w:val="000000"/>
          <w:highlight w:val="yellow"/>
        </w:rPr>
        <w:t>free water</w:t>
      </w:r>
      <w:r w:rsidR="0059007D" w:rsidRPr="00A0027B">
        <w:rPr>
          <w:rFonts w:eastAsia="Times New Roman"/>
          <w:color w:val="000000"/>
          <w:highlight w:val="yellow"/>
        </w:rPr>
        <w:t xml:space="preserve"> (no template control</w:t>
      </w:r>
      <w:r w:rsidRPr="00A0027B">
        <w:rPr>
          <w:rFonts w:eastAsia="Times New Roman"/>
          <w:color w:val="000000"/>
          <w:highlight w:val="yellow"/>
        </w:rPr>
        <w:t>) to wells N23</w:t>
      </w:r>
      <w:r w:rsidR="0059007D" w:rsidRPr="00A0027B">
        <w:rPr>
          <w:rFonts w:eastAsia="Times New Roman"/>
          <w:color w:val="000000"/>
          <w:highlight w:val="yellow"/>
        </w:rPr>
        <w:t>–</w:t>
      </w:r>
      <w:r w:rsidRPr="00A0027B">
        <w:rPr>
          <w:rFonts w:eastAsia="Times New Roman"/>
          <w:color w:val="000000"/>
          <w:highlight w:val="yellow"/>
        </w:rPr>
        <w:t xml:space="preserve">N24 and 2 </w:t>
      </w:r>
      <w:r w:rsidR="00BC0861" w:rsidRPr="00A0027B">
        <w:rPr>
          <w:rFonts w:eastAsia="Times New Roman"/>
          <w:color w:val="000000"/>
          <w:highlight w:val="yellow"/>
        </w:rPr>
        <w:t>µL</w:t>
      </w:r>
      <w:r w:rsidRPr="00A0027B">
        <w:rPr>
          <w:rFonts w:eastAsia="Times New Roman"/>
          <w:color w:val="000000"/>
          <w:highlight w:val="yellow"/>
        </w:rPr>
        <w:t xml:space="preserve"> of 200 </w:t>
      </w:r>
      <w:r w:rsidR="0081558B" w:rsidRPr="00A0027B">
        <w:rPr>
          <w:rFonts w:eastAsia="Times New Roman"/>
          <w:color w:val="000000"/>
          <w:highlight w:val="yellow"/>
        </w:rPr>
        <w:t xml:space="preserve">cpµ </w:t>
      </w:r>
      <w:r w:rsidR="00B815AA" w:rsidRPr="00A0027B">
        <w:rPr>
          <w:rFonts w:eastAsia="Times New Roman"/>
          <w:color w:val="000000"/>
          <w:highlight w:val="yellow"/>
        </w:rPr>
        <w:t>m</w:t>
      </w:r>
      <w:r w:rsidRPr="00A0027B">
        <w:rPr>
          <w:rFonts w:eastAsia="Times New Roman"/>
          <w:color w:val="000000"/>
          <w:highlight w:val="yellow"/>
        </w:rPr>
        <w:t xml:space="preserve">ixed </w:t>
      </w:r>
      <w:r w:rsidR="00B815AA" w:rsidRPr="00A0027B">
        <w:rPr>
          <w:rFonts w:eastAsia="Times New Roman"/>
          <w:color w:val="000000"/>
          <w:highlight w:val="yellow"/>
        </w:rPr>
        <w:t>p</w:t>
      </w:r>
      <w:r w:rsidRPr="00A0027B">
        <w:rPr>
          <w:rFonts w:eastAsia="Times New Roman"/>
          <w:color w:val="000000"/>
          <w:highlight w:val="yellow"/>
        </w:rPr>
        <w:t xml:space="preserve">ositive </w:t>
      </w:r>
      <w:r w:rsidR="00B815AA" w:rsidRPr="00A0027B">
        <w:rPr>
          <w:rFonts w:eastAsia="Times New Roman"/>
          <w:color w:val="000000"/>
          <w:highlight w:val="yellow"/>
        </w:rPr>
        <w:t>c</w:t>
      </w:r>
      <w:r w:rsidRPr="00A0027B">
        <w:rPr>
          <w:rFonts w:eastAsia="Times New Roman"/>
          <w:color w:val="000000"/>
          <w:highlight w:val="yellow"/>
        </w:rPr>
        <w:t>ontrol (</w:t>
      </w:r>
      <w:r w:rsidR="00B815AA" w:rsidRPr="00A0027B">
        <w:rPr>
          <w:rFonts w:eastAsia="Times New Roman"/>
          <w:color w:val="000000"/>
          <w:highlight w:val="yellow"/>
        </w:rPr>
        <w:t>r</w:t>
      </w:r>
      <w:r w:rsidRPr="00A0027B">
        <w:rPr>
          <w:rFonts w:eastAsia="Times New Roman"/>
          <w:color w:val="000000"/>
          <w:highlight w:val="yellow"/>
        </w:rPr>
        <w:t xml:space="preserve">efer to </w:t>
      </w:r>
      <w:r w:rsidR="00B815AA" w:rsidRPr="00A0027B">
        <w:rPr>
          <w:rFonts w:eastAsia="Times New Roman"/>
          <w:color w:val="000000"/>
          <w:highlight w:val="yellow"/>
        </w:rPr>
        <w:t>s</w:t>
      </w:r>
      <w:r w:rsidRPr="00A0027B">
        <w:rPr>
          <w:rFonts w:eastAsia="Times New Roman"/>
          <w:color w:val="000000"/>
          <w:highlight w:val="yellow"/>
        </w:rPr>
        <w:t>ection 3) to wells O23</w:t>
      </w:r>
      <w:r w:rsidR="00B815AA" w:rsidRPr="00A0027B">
        <w:rPr>
          <w:rFonts w:eastAsia="Times New Roman"/>
          <w:color w:val="000000"/>
          <w:highlight w:val="yellow"/>
        </w:rPr>
        <w:t>–</w:t>
      </w:r>
      <w:r w:rsidRPr="00A0027B">
        <w:rPr>
          <w:rFonts w:eastAsia="Times New Roman"/>
          <w:color w:val="000000"/>
          <w:highlight w:val="yellow"/>
        </w:rPr>
        <w:t>O24.</w:t>
      </w:r>
      <w:r w:rsidR="00451661" w:rsidRPr="00A0027B">
        <w:rPr>
          <w:rFonts w:eastAsia="Times New Roman"/>
          <w:color w:val="000000"/>
          <w:highlight w:val="yellow"/>
        </w:rPr>
        <w:t xml:space="preserve"> Pipette </w:t>
      </w:r>
      <w:r w:rsidRPr="00A0027B">
        <w:rPr>
          <w:highlight w:val="yellow"/>
        </w:rPr>
        <w:t xml:space="preserve">2 </w:t>
      </w:r>
      <w:r w:rsidR="00BC0861" w:rsidRPr="00A0027B">
        <w:rPr>
          <w:highlight w:val="yellow"/>
        </w:rPr>
        <w:t>µL</w:t>
      </w:r>
      <w:r w:rsidRPr="00A0027B">
        <w:rPr>
          <w:highlight w:val="yellow"/>
        </w:rPr>
        <w:t xml:space="preserve"> of a </w:t>
      </w:r>
      <w:r w:rsidR="00451661" w:rsidRPr="00A0027B">
        <w:rPr>
          <w:highlight w:val="yellow"/>
        </w:rPr>
        <w:t>c</w:t>
      </w:r>
      <w:r w:rsidRPr="00A0027B">
        <w:rPr>
          <w:highlight w:val="yellow"/>
        </w:rPr>
        <w:t xml:space="preserve">onfirmed </w:t>
      </w:r>
      <w:r w:rsidR="00451661" w:rsidRPr="00A0027B">
        <w:rPr>
          <w:highlight w:val="yellow"/>
        </w:rPr>
        <w:t>p</w:t>
      </w:r>
      <w:r w:rsidRPr="00A0027B">
        <w:rPr>
          <w:highlight w:val="yellow"/>
        </w:rPr>
        <w:t>ositive patient sample control into wells M23</w:t>
      </w:r>
      <w:r w:rsidR="00451661" w:rsidRPr="00A0027B">
        <w:rPr>
          <w:highlight w:val="yellow"/>
        </w:rPr>
        <w:t>–M</w:t>
      </w:r>
      <w:r w:rsidRPr="00A0027B">
        <w:rPr>
          <w:highlight w:val="yellow"/>
        </w:rPr>
        <w:t>24</w:t>
      </w:r>
      <w:r w:rsidR="00F54574" w:rsidRPr="00A0027B">
        <w:rPr>
          <w:highlight w:val="yellow"/>
        </w:rPr>
        <w:t xml:space="preserve"> as an additional control</w:t>
      </w:r>
      <w:r w:rsidRPr="00A0027B">
        <w:rPr>
          <w:highlight w:val="yellow"/>
        </w:rPr>
        <w:t>.</w:t>
      </w:r>
      <w:r w:rsidR="00451661" w:rsidRPr="00A0027B">
        <w:rPr>
          <w:highlight w:val="yellow"/>
        </w:rPr>
        <w:t xml:space="preserve"> </w:t>
      </w:r>
      <w:r w:rsidRPr="00A0027B">
        <w:rPr>
          <w:highlight w:val="yellow"/>
        </w:rPr>
        <w:t>Leave wells P23</w:t>
      </w:r>
      <w:r w:rsidR="00451661" w:rsidRPr="00A0027B">
        <w:rPr>
          <w:highlight w:val="yellow"/>
        </w:rPr>
        <w:t>–</w:t>
      </w:r>
      <w:r w:rsidRPr="00A0027B">
        <w:rPr>
          <w:highlight w:val="yellow"/>
        </w:rPr>
        <w:t>P24 empty to monitor master</w:t>
      </w:r>
      <w:r w:rsidR="00451661" w:rsidRPr="00A0027B">
        <w:rPr>
          <w:highlight w:val="yellow"/>
        </w:rPr>
        <w:t xml:space="preserve"> </w:t>
      </w:r>
      <w:r w:rsidRPr="00A0027B">
        <w:rPr>
          <w:highlight w:val="yellow"/>
        </w:rPr>
        <w:t>mix batch quality.</w:t>
      </w:r>
    </w:p>
    <w:p w14:paraId="6CB21171" w14:textId="77777777" w:rsidR="006221A0" w:rsidRPr="00A0027B" w:rsidRDefault="006221A0" w:rsidP="00A0027B">
      <w:pPr>
        <w:widowControl/>
        <w:textAlignment w:val="baseline"/>
        <w:rPr>
          <w:rFonts w:eastAsia="Times New Roman"/>
          <w:color w:val="000000"/>
          <w:highlight w:val="yellow"/>
        </w:rPr>
      </w:pPr>
    </w:p>
    <w:p w14:paraId="707BD021" w14:textId="1099F4ED" w:rsidR="006221A0" w:rsidRPr="00A0027B" w:rsidRDefault="002E4C19" w:rsidP="00A0027B">
      <w:pPr>
        <w:pStyle w:val="ListParagraph"/>
        <w:numPr>
          <w:ilvl w:val="1"/>
          <w:numId w:val="13"/>
        </w:numPr>
        <w:ind w:left="0" w:firstLine="0"/>
        <w:contextualSpacing w:val="0"/>
        <w:rPr>
          <w:highlight w:val="yellow"/>
        </w:rPr>
      </w:pPr>
      <w:r w:rsidRPr="00A0027B">
        <w:rPr>
          <w:rFonts w:eastAsia="Times New Roman"/>
          <w:color w:val="000000"/>
          <w:highlight w:val="yellow"/>
        </w:rPr>
        <w:t xml:space="preserve">Cover </w:t>
      </w:r>
      <w:r w:rsidR="00451661" w:rsidRPr="00A0027B">
        <w:rPr>
          <w:rFonts w:eastAsia="Times New Roman"/>
          <w:color w:val="000000"/>
          <w:highlight w:val="yellow"/>
        </w:rPr>
        <w:t xml:space="preserve">the </w:t>
      </w:r>
      <w:r w:rsidRPr="00A0027B">
        <w:rPr>
          <w:rFonts w:eastAsia="Times New Roman"/>
          <w:color w:val="000000"/>
          <w:highlight w:val="yellow"/>
        </w:rPr>
        <w:t>plate with an optically clear seal and use the applicator roller to adhere seal to all wells.</w:t>
      </w:r>
      <w:r w:rsidR="00EF2A63" w:rsidRPr="00A0027B">
        <w:rPr>
          <w:rFonts w:eastAsia="Times New Roman"/>
          <w:color w:val="000000"/>
          <w:highlight w:val="yellow"/>
        </w:rPr>
        <w:t xml:space="preserve"> </w:t>
      </w:r>
      <w:r w:rsidRPr="00A0027B">
        <w:rPr>
          <w:highlight w:val="yellow"/>
        </w:rPr>
        <w:t xml:space="preserve">Vortex the plate at 2500 rpm for 30 sec to mix </w:t>
      </w:r>
      <w:r w:rsidR="00F54574" w:rsidRPr="00A0027B">
        <w:rPr>
          <w:highlight w:val="yellow"/>
        </w:rPr>
        <w:t>thoroughly</w:t>
      </w:r>
      <w:r w:rsidRPr="00A0027B">
        <w:rPr>
          <w:highlight w:val="yellow"/>
        </w:rPr>
        <w:t>.</w:t>
      </w:r>
      <w:r w:rsidR="00EF2A63" w:rsidRPr="00A0027B">
        <w:rPr>
          <w:highlight w:val="yellow"/>
        </w:rPr>
        <w:t xml:space="preserve"> </w:t>
      </w:r>
      <w:r w:rsidRPr="00A0027B">
        <w:rPr>
          <w:highlight w:val="yellow"/>
        </w:rPr>
        <w:t>Centrifuge the plate at 500</w:t>
      </w:r>
      <w:r w:rsidR="00EF2A63" w:rsidRPr="00A0027B">
        <w:rPr>
          <w:highlight w:val="yellow"/>
        </w:rPr>
        <w:t xml:space="preserve"> x </w:t>
      </w:r>
      <w:r w:rsidRPr="00A0027B">
        <w:rPr>
          <w:i/>
          <w:iCs/>
          <w:highlight w:val="yellow"/>
        </w:rPr>
        <w:t>g</w:t>
      </w:r>
      <w:r w:rsidRPr="00A0027B">
        <w:rPr>
          <w:highlight w:val="yellow"/>
        </w:rPr>
        <w:t xml:space="preserve"> for 1 min.</w:t>
      </w:r>
    </w:p>
    <w:p w14:paraId="727221F1" w14:textId="2D6668D7" w:rsidR="002E4C19" w:rsidRPr="00A0027B" w:rsidRDefault="002E4C19" w:rsidP="00A0027B">
      <w:pPr>
        <w:widowControl/>
        <w:textAlignment w:val="baseline"/>
        <w:rPr>
          <w:rFonts w:eastAsia="Times New Roman"/>
          <w:color w:val="000000"/>
          <w:highlight w:val="yellow"/>
        </w:rPr>
      </w:pPr>
    </w:p>
    <w:p w14:paraId="1F8D10F1" w14:textId="7D55E1F0" w:rsidR="002E4C19" w:rsidRPr="00A0027B" w:rsidRDefault="00EF2A63" w:rsidP="00A0027B">
      <w:pPr>
        <w:widowControl/>
        <w:numPr>
          <w:ilvl w:val="0"/>
          <w:numId w:val="13"/>
        </w:numPr>
        <w:ind w:left="0" w:firstLine="0"/>
        <w:textAlignment w:val="baseline"/>
        <w:rPr>
          <w:rFonts w:eastAsia="Times New Roman"/>
          <w:b/>
          <w:bCs/>
          <w:color w:val="000000"/>
          <w:highlight w:val="yellow"/>
        </w:rPr>
      </w:pPr>
      <w:r w:rsidRPr="00A0027B">
        <w:rPr>
          <w:rFonts w:eastAsia="Times New Roman"/>
          <w:b/>
          <w:bCs/>
          <w:color w:val="000000"/>
          <w:highlight w:val="yellow"/>
        </w:rPr>
        <w:t>Performing</w:t>
      </w:r>
      <w:r w:rsidR="002E4C19" w:rsidRPr="00A0027B">
        <w:rPr>
          <w:rFonts w:eastAsia="Times New Roman"/>
          <w:b/>
          <w:bCs/>
          <w:color w:val="000000"/>
          <w:highlight w:val="yellow"/>
        </w:rPr>
        <w:t xml:space="preserve"> </w:t>
      </w:r>
      <w:r w:rsidRPr="00A0027B">
        <w:rPr>
          <w:rFonts w:eastAsia="Times New Roman"/>
          <w:b/>
          <w:bCs/>
          <w:color w:val="000000"/>
          <w:highlight w:val="yellow"/>
        </w:rPr>
        <w:t>RT-</w:t>
      </w:r>
      <w:r w:rsidR="002E4C19" w:rsidRPr="00A0027B">
        <w:rPr>
          <w:rFonts w:eastAsia="Times New Roman"/>
          <w:b/>
          <w:bCs/>
          <w:color w:val="000000"/>
          <w:highlight w:val="yellow"/>
        </w:rPr>
        <w:t>qPCR</w:t>
      </w:r>
    </w:p>
    <w:p w14:paraId="2842BEAC" w14:textId="77777777" w:rsidR="006221A0" w:rsidRPr="00A0027B" w:rsidRDefault="006221A0" w:rsidP="00A0027B">
      <w:pPr>
        <w:widowControl/>
        <w:textAlignment w:val="baseline"/>
        <w:rPr>
          <w:rFonts w:eastAsia="Times New Roman"/>
          <w:b/>
          <w:bCs/>
          <w:color w:val="000000"/>
          <w:highlight w:val="yellow"/>
        </w:rPr>
      </w:pPr>
    </w:p>
    <w:p w14:paraId="1555DBBC" w14:textId="240D61E2" w:rsidR="002E4C19" w:rsidRPr="00A0027B" w:rsidRDefault="002E4C19" w:rsidP="00A0027B">
      <w:pPr>
        <w:pStyle w:val="ListParagraph"/>
        <w:numPr>
          <w:ilvl w:val="1"/>
          <w:numId w:val="13"/>
        </w:numPr>
        <w:ind w:left="0" w:firstLine="0"/>
        <w:contextualSpacing w:val="0"/>
        <w:rPr>
          <w:highlight w:val="yellow"/>
        </w:rPr>
      </w:pPr>
      <w:r w:rsidRPr="00A0027B">
        <w:rPr>
          <w:rFonts w:eastAsia="Times New Roman"/>
          <w:color w:val="000000"/>
          <w:highlight w:val="yellow"/>
        </w:rPr>
        <w:t>Create a protocol program in the thermocycler software according to the conditions described (</w:t>
      </w:r>
      <w:r w:rsidRPr="00A0027B">
        <w:rPr>
          <w:rFonts w:eastAsia="Times New Roman"/>
          <w:b/>
          <w:bCs/>
          <w:color w:val="000000"/>
          <w:highlight w:val="yellow"/>
        </w:rPr>
        <w:t>Table 3</w:t>
      </w:r>
      <w:r w:rsidRPr="00A0027B">
        <w:rPr>
          <w:rFonts w:eastAsia="Times New Roman"/>
          <w:color w:val="000000"/>
          <w:highlight w:val="yellow"/>
        </w:rPr>
        <w:t>). Save the protocol for future plates.</w:t>
      </w:r>
      <w:r w:rsidR="00EF2A63" w:rsidRPr="00A0027B">
        <w:rPr>
          <w:rFonts w:eastAsia="Times New Roman"/>
          <w:color w:val="000000"/>
          <w:highlight w:val="yellow"/>
        </w:rPr>
        <w:t xml:space="preserve"> </w:t>
      </w:r>
      <w:r w:rsidRPr="00A0027B">
        <w:rPr>
          <w:highlight w:val="yellow"/>
        </w:rPr>
        <w:t>Place the sealed plate in the thermocycler and run the protocol</w:t>
      </w:r>
      <w:r w:rsidR="00F54574" w:rsidRPr="00A0027B">
        <w:rPr>
          <w:highlight w:val="yellow"/>
        </w:rPr>
        <w:t>.</w:t>
      </w:r>
    </w:p>
    <w:p w14:paraId="48711864" w14:textId="77777777" w:rsidR="004475DE" w:rsidRPr="00A0027B" w:rsidRDefault="004475DE" w:rsidP="00A0027B">
      <w:pPr>
        <w:widowControl/>
        <w:textAlignment w:val="baseline"/>
        <w:rPr>
          <w:rFonts w:eastAsia="Times New Roman"/>
          <w:color w:val="000000"/>
          <w:highlight w:val="yellow"/>
        </w:rPr>
      </w:pPr>
    </w:p>
    <w:p w14:paraId="45BBC8AF" w14:textId="77D1EA99" w:rsidR="00962701"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Export Ct values as a .</w:t>
      </w:r>
      <w:proofErr w:type="spellStart"/>
      <w:r w:rsidRPr="00A0027B">
        <w:rPr>
          <w:rFonts w:eastAsia="Times New Roman"/>
          <w:color w:val="000000"/>
          <w:highlight w:val="yellow"/>
        </w:rPr>
        <w:t>xslx</w:t>
      </w:r>
      <w:proofErr w:type="spellEnd"/>
      <w:r w:rsidRPr="00A0027B">
        <w:rPr>
          <w:rFonts w:eastAsia="Times New Roman"/>
          <w:color w:val="000000"/>
          <w:highlight w:val="yellow"/>
        </w:rPr>
        <w:t xml:space="preserve"> file and copy the values into the sample loading spreadsheet (</w:t>
      </w:r>
      <w:r w:rsidRPr="00A0027B">
        <w:rPr>
          <w:rFonts w:eastAsia="Times New Roman"/>
          <w:b/>
          <w:bCs/>
          <w:color w:val="000000"/>
          <w:highlight w:val="yellow"/>
          <w:shd w:val="clear" w:color="auto" w:fill="00B0F0"/>
        </w:rPr>
        <w:t>Supplement</w:t>
      </w:r>
      <w:r w:rsidR="00D907DE" w:rsidRPr="00A0027B">
        <w:rPr>
          <w:rFonts w:eastAsia="Times New Roman"/>
          <w:b/>
          <w:bCs/>
          <w:color w:val="000000"/>
          <w:highlight w:val="yellow"/>
          <w:shd w:val="clear" w:color="auto" w:fill="00B0F0"/>
        </w:rPr>
        <w:t>al File 5</w:t>
      </w:r>
      <w:r w:rsidRPr="00A0027B">
        <w:rPr>
          <w:rFonts w:eastAsia="Times New Roman"/>
          <w:color w:val="000000"/>
          <w:highlight w:val="yellow"/>
        </w:rPr>
        <w:t>).</w:t>
      </w:r>
    </w:p>
    <w:p w14:paraId="18085082" w14:textId="77777777" w:rsidR="00EF2A63" w:rsidRPr="00A0027B" w:rsidRDefault="00EF2A63" w:rsidP="00A0027B">
      <w:pPr>
        <w:widowControl/>
        <w:textAlignment w:val="baseline"/>
        <w:rPr>
          <w:rFonts w:eastAsia="Times New Roman"/>
          <w:color w:val="000000"/>
          <w:highlight w:val="yellow"/>
        </w:rPr>
      </w:pPr>
    </w:p>
    <w:p w14:paraId="149CAEEF" w14:textId="3016047C" w:rsidR="002E4C19" w:rsidRPr="00A0027B" w:rsidRDefault="002E4C19" w:rsidP="00A0027B">
      <w:pPr>
        <w:pStyle w:val="ListParagraph"/>
        <w:widowControl/>
        <w:ind w:left="0"/>
        <w:contextualSpacing w:val="0"/>
        <w:rPr>
          <w:rFonts w:eastAsia="Times New Roman"/>
          <w:color w:val="000000"/>
          <w:highlight w:val="yellow"/>
        </w:rPr>
      </w:pPr>
      <w:proofErr w:type="spellStart"/>
      <w:proofErr w:type="gramStart"/>
      <w:r w:rsidRPr="00A0027B">
        <w:rPr>
          <w:rFonts w:eastAsia="Times New Roman"/>
          <w:color w:val="000000"/>
          <w:highlight w:val="yellow"/>
        </w:rPr>
        <w:t>NOTE:These</w:t>
      </w:r>
      <w:proofErr w:type="spellEnd"/>
      <w:proofErr w:type="gramEnd"/>
      <w:r w:rsidRPr="00A0027B">
        <w:rPr>
          <w:rFonts w:eastAsia="Times New Roman"/>
          <w:color w:val="000000"/>
          <w:highlight w:val="yellow"/>
        </w:rPr>
        <w:t xml:space="preserve"> sheets were </w:t>
      </w:r>
      <w:r w:rsidR="00EF2A63" w:rsidRPr="00A0027B">
        <w:rPr>
          <w:rFonts w:eastAsia="Times New Roman"/>
          <w:color w:val="000000"/>
          <w:highlight w:val="yellow"/>
        </w:rPr>
        <w:t>custom-</w:t>
      </w:r>
      <w:r w:rsidRPr="00A0027B">
        <w:rPr>
          <w:rFonts w:eastAsia="Times New Roman"/>
          <w:color w:val="000000"/>
          <w:highlight w:val="yellow"/>
        </w:rPr>
        <w:t>designed for C</w:t>
      </w:r>
      <w:r w:rsidR="004A31E9" w:rsidRPr="00A0027B">
        <w:rPr>
          <w:rFonts w:eastAsia="Times New Roman"/>
          <w:color w:val="000000"/>
          <w:highlight w:val="yellow"/>
        </w:rPr>
        <w:t>t</w:t>
      </w:r>
      <w:r w:rsidRPr="00A0027B">
        <w:rPr>
          <w:rFonts w:eastAsia="Times New Roman"/>
          <w:color w:val="000000"/>
          <w:highlight w:val="yellow"/>
        </w:rPr>
        <w:t xml:space="preserve"> output files from manufacturer software and may need modification to accept other formats.</w:t>
      </w:r>
    </w:p>
    <w:p w14:paraId="1569B598" w14:textId="77777777" w:rsidR="00962701" w:rsidRPr="00A0027B" w:rsidRDefault="00962701" w:rsidP="00A0027B">
      <w:pPr>
        <w:pStyle w:val="ListParagraph"/>
        <w:widowControl/>
        <w:ind w:left="0"/>
        <w:contextualSpacing w:val="0"/>
        <w:rPr>
          <w:rFonts w:eastAsia="Times New Roman"/>
          <w:highlight w:val="yellow"/>
        </w:rPr>
      </w:pPr>
    </w:p>
    <w:p w14:paraId="5B6F1D4B" w14:textId="5181E2F5" w:rsidR="002E4C19" w:rsidRPr="00A0027B" w:rsidRDefault="002E4C19" w:rsidP="00A0027B">
      <w:pPr>
        <w:widowControl/>
        <w:numPr>
          <w:ilvl w:val="0"/>
          <w:numId w:val="13"/>
        </w:numPr>
        <w:ind w:left="0" w:firstLine="0"/>
        <w:textAlignment w:val="baseline"/>
        <w:rPr>
          <w:rFonts w:eastAsia="Times New Roman"/>
          <w:color w:val="000000"/>
          <w:highlight w:val="yellow"/>
        </w:rPr>
      </w:pPr>
      <w:r w:rsidRPr="00A0027B">
        <w:rPr>
          <w:rFonts w:eastAsia="Times New Roman"/>
          <w:b/>
          <w:bCs/>
          <w:color w:val="000000"/>
          <w:highlight w:val="yellow"/>
        </w:rPr>
        <w:t xml:space="preserve">Determining </w:t>
      </w:r>
      <w:r w:rsidR="00EF2A63" w:rsidRPr="00A0027B">
        <w:rPr>
          <w:rFonts w:eastAsia="Times New Roman"/>
          <w:b/>
          <w:bCs/>
          <w:color w:val="000000"/>
          <w:highlight w:val="yellow"/>
        </w:rPr>
        <w:t>p</w:t>
      </w:r>
      <w:r w:rsidRPr="00A0027B">
        <w:rPr>
          <w:rFonts w:eastAsia="Times New Roman"/>
          <w:b/>
          <w:bCs/>
          <w:color w:val="000000"/>
          <w:highlight w:val="yellow"/>
        </w:rPr>
        <w:t xml:space="preserve">late </w:t>
      </w:r>
      <w:r w:rsidR="00EF2A63" w:rsidRPr="00A0027B">
        <w:rPr>
          <w:rFonts w:eastAsia="Times New Roman"/>
          <w:b/>
          <w:bCs/>
          <w:color w:val="000000"/>
          <w:highlight w:val="yellow"/>
        </w:rPr>
        <w:t>v</w:t>
      </w:r>
      <w:r w:rsidRPr="00A0027B">
        <w:rPr>
          <w:rFonts w:eastAsia="Times New Roman"/>
          <w:b/>
          <w:bCs/>
          <w:color w:val="000000"/>
          <w:highlight w:val="yellow"/>
        </w:rPr>
        <w:t>alidity</w:t>
      </w:r>
    </w:p>
    <w:p w14:paraId="4AECB39F" w14:textId="77777777" w:rsidR="00962701" w:rsidRPr="00A0027B" w:rsidRDefault="00962701" w:rsidP="00A0027B">
      <w:pPr>
        <w:pStyle w:val="ListParagraph"/>
        <w:widowControl/>
        <w:ind w:left="0"/>
        <w:contextualSpacing w:val="0"/>
        <w:textAlignment w:val="baseline"/>
        <w:rPr>
          <w:rFonts w:eastAsia="Times New Roman"/>
          <w:b/>
          <w:bCs/>
          <w:color w:val="000000"/>
          <w:highlight w:val="yellow"/>
        </w:rPr>
      </w:pPr>
    </w:p>
    <w:p w14:paraId="50C39F8F" w14:textId="7EECBCF9" w:rsidR="002E4C19" w:rsidRPr="00A0027B" w:rsidRDefault="007F0D1E"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lastRenderedPageBreak/>
        <w:t>Validate both</w:t>
      </w:r>
      <w:r w:rsidRPr="00A0027B">
        <w:rPr>
          <w:rFonts w:eastAsia="Times New Roman"/>
          <w:b/>
          <w:bCs/>
          <w:color w:val="000000"/>
          <w:highlight w:val="yellow"/>
        </w:rPr>
        <w:t xml:space="preserve"> </w:t>
      </w:r>
      <w:r w:rsidRPr="00A0027B">
        <w:rPr>
          <w:rFonts w:eastAsia="Times New Roman"/>
          <w:color w:val="000000"/>
          <w:highlight w:val="yellow"/>
        </w:rPr>
        <w:t>the positive control and/or known positive samples and</w:t>
      </w:r>
      <w:r w:rsidRPr="00A0027B">
        <w:rPr>
          <w:rFonts w:eastAsia="Times New Roman"/>
          <w:b/>
          <w:bCs/>
          <w:color w:val="000000"/>
          <w:highlight w:val="yellow"/>
        </w:rPr>
        <w:t xml:space="preserve"> </w:t>
      </w:r>
      <w:r w:rsidRPr="00A0027B">
        <w:rPr>
          <w:rFonts w:eastAsia="Times New Roman"/>
          <w:color w:val="000000"/>
          <w:highlight w:val="yellow"/>
        </w:rPr>
        <w:t xml:space="preserve">the negative control to consider the plate results as valid. </w:t>
      </w:r>
      <w:r w:rsidR="002E4C19" w:rsidRPr="00A0027B">
        <w:rPr>
          <w:rFonts w:eastAsia="Times New Roman"/>
          <w:color w:val="000000"/>
          <w:highlight w:val="yellow"/>
        </w:rPr>
        <w:t>Assess the control wells with the following criteria</w:t>
      </w:r>
      <w:r w:rsidRPr="00A0027B">
        <w:rPr>
          <w:rFonts w:eastAsia="Times New Roman"/>
          <w:color w:val="000000"/>
          <w:highlight w:val="yellow"/>
        </w:rPr>
        <w:t>.</w:t>
      </w:r>
    </w:p>
    <w:p w14:paraId="2A41A2C5" w14:textId="77777777" w:rsidR="00962701" w:rsidRPr="00A0027B" w:rsidRDefault="00962701" w:rsidP="00A0027B">
      <w:pPr>
        <w:widowControl/>
        <w:textAlignment w:val="baseline"/>
        <w:rPr>
          <w:rFonts w:eastAsia="Times New Roman"/>
          <w:color w:val="000000"/>
          <w:highlight w:val="yellow"/>
        </w:rPr>
      </w:pPr>
    </w:p>
    <w:p w14:paraId="7BCD1E91" w14:textId="7290D100" w:rsidR="002E4C19" w:rsidRPr="00A0027B" w:rsidRDefault="00E42B2D" w:rsidP="00A0027B">
      <w:pPr>
        <w:widowControl/>
        <w:numPr>
          <w:ilvl w:val="2"/>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For positive control, check if </w:t>
      </w:r>
      <w:r w:rsidR="002E4C19" w:rsidRPr="00A0027B">
        <w:rPr>
          <w:rFonts w:eastAsia="Times New Roman"/>
          <w:color w:val="000000"/>
          <w:highlight w:val="yellow"/>
        </w:rPr>
        <w:t>at least one positive control well (O23/O24) produces C</w:t>
      </w:r>
      <w:r w:rsidR="004A31E9" w:rsidRPr="00A0027B">
        <w:rPr>
          <w:rFonts w:eastAsia="Times New Roman"/>
          <w:color w:val="000000"/>
          <w:highlight w:val="yellow"/>
        </w:rPr>
        <w:t>t</w:t>
      </w:r>
      <w:r w:rsidR="002E4C19" w:rsidRPr="00A0027B">
        <w:rPr>
          <w:rFonts w:eastAsia="Times New Roman"/>
          <w:color w:val="000000"/>
          <w:highlight w:val="yellow"/>
        </w:rPr>
        <w:t xml:space="preserve"> values of </w:t>
      </w:r>
      <w:r w:rsidRPr="00A0027B">
        <w:rPr>
          <w:rFonts w:eastAsia="Times New Roman"/>
          <w:color w:val="000000"/>
          <w:highlight w:val="yellow"/>
        </w:rPr>
        <w:t xml:space="preserve">between </w:t>
      </w:r>
      <w:r w:rsidR="002E4C19" w:rsidRPr="00A0027B">
        <w:rPr>
          <w:rFonts w:eastAsia="Times New Roman"/>
          <w:color w:val="000000"/>
          <w:highlight w:val="yellow"/>
        </w:rPr>
        <w:t>22</w:t>
      </w:r>
      <w:r w:rsidRPr="00A0027B">
        <w:rPr>
          <w:rFonts w:eastAsia="Times New Roman"/>
          <w:color w:val="000000"/>
          <w:highlight w:val="yellow"/>
        </w:rPr>
        <w:t>–</w:t>
      </w:r>
      <w:r w:rsidR="002E4C19" w:rsidRPr="00A0027B">
        <w:rPr>
          <w:rFonts w:eastAsia="Times New Roman"/>
          <w:color w:val="000000"/>
          <w:highlight w:val="yellow"/>
        </w:rPr>
        <w:t xml:space="preserve">28 for both P1 and N1 probes. Alternatively, the </w:t>
      </w:r>
      <w:r w:rsidRPr="00A0027B">
        <w:rPr>
          <w:rFonts w:eastAsia="Times New Roman"/>
          <w:color w:val="000000"/>
          <w:highlight w:val="yellow"/>
        </w:rPr>
        <w:t>k</w:t>
      </w:r>
      <w:r w:rsidR="002E4C19" w:rsidRPr="00A0027B">
        <w:rPr>
          <w:rFonts w:eastAsia="Times New Roman"/>
          <w:color w:val="000000"/>
          <w:highlight w:val="yellow"/>
        </w:rPr>
        <w:t xml:space="preserve">nown </w:t>
      </w:r>
      <w:r w:rsidRPr="00A0027B">
        <w:rPr>
          <w:rFonts w:eastAsia="Times New Roman"/>
          <w:color w:val="000000"/>
          <w:highlight w:val="yellow"/>
        </w:rPr>
        <w:t>p</w:t>
      </w:r>
      <w:r w:rsidR="002E4C19" w:rsidRPr="00A0027B">
        <w:rPr>
          <w:rFonts w:eastAsia="Times New Roman"/>
          <w:color w:val="000000"/>
          <w:highlight w:val="yellow"/>
        </w:rPr>
        <w:t>ositive sample wells (M23/M24) produce P1 and N1 C</w:t>
      </w:r>
      <w:r w:rsidR="004A31E9" w:rsidRPr="00A0027B">
        <w:rPr>
          <w:rFonts w:eastAsia="Times New Roman"/>
          <w:color w:val="000000"/>
          <w:highlight w:val="yellow"/>
        </w:rPr>
        <w:t>t</w:t>
      </w:r>
      <w:r w:rsidR="002E4C19" w:rsidRPr="00A0027B">
        <w:rPr>
          <w:rFonts w:eastAsia="Times New Roman"/>
          <w:color w:val="000000"/>
          <w:highlight w:val="yellow"/>
        </w:rPr>
        <w:t xml:space="preserve"> values &lt;33 on the P1 and N1 probes.</w:t>
      </w:r>
    </w:p>
    <w:p w14:paraId="332F5127" w14:textId="77777777" w:rsidR="00962701" w:rsidRPr="00A0027B" w:rsidRDefault="00962701" w:rsidP="00A0027B">
      <w:pPr>
        <w:widowControl/>
        <w:textAlignment w:val="baseline"/>
        <w:rPr>
          <w:rFonts w:eastAsia="Times New Roman"/>
          <w:color w:val="000000"/>
          <w:highlight w:val="yellow"/>
        </w:rPr>
      </w:pPr>
    </w:p>
    <w:p w14:paraId="221C5AC3" w14:textId="62D6E052" w:rsidR="002E4C19" w:rsidRPr="00B76A45" w:rsidRDefault="00E42B2D" w:rsidP="00A0027B">
      <w:pPr>
        <w:widowControl/>
        <w:numPr>
          <w:ilvl w:val="2"/>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For negative control, check </w:t>
      </w:r>
      <w:r w:rsidR="004D208D" w:rsidRPr="00A0027B">
        <w:rPr>
          <w:rFonts w:eastAsia="Times New Roman"/>
          <w:color w:val="000000"/>
          <w:highlight w:val="yellow"/>
        </w:rPr>
        <w:t xml:space="preserve">that </w:t>
      </w:r>
      <w:r w:rsidR="002E4C19" w:rsidRPr="00A0027B">
        <w:rPr>
          <w:rFonts w:eastAsia="Times New Roman"/>
          <w:color w:val="000000"/>
          <w:highlight w:val="yellow"/>
        </w:rPr>
        <w:t>there are no N1 or P1 C</w:t>
      </w:r>
      <w:r w:rsidR="004A31E9" w:rsidRPr="00A0027B">
        <w:rPr>
          <w:rFonts w:eastAsia="Times New Roman"/>
          <w:color w:val="000000"/>
          <w:highlight w:val="yellow"/>
        </w:rPr>
        <w:t>t</w:t>
      </w:r>
      <w:r w:rsidR="002E4C19" w:rsidRPr="00A0027B">
        <w:rPr>
          <w:rFonts w:eastAsia="Times New Roman"/>
          <w:color w:val="000000"/>
          <w:highlight w:val="yellow"/>
        </w:rPr>
        <w:t xml:space="preserve"> values in either </w:t>
      </w:r>
      <w:r w:rsidR="004D208D" w:rsidRPr="00A0027B">
        <w:rPr>
          <w:rFonts w:eastAsia="Times New Roman"/>
          <w:color w:val="000000"/>
          <w:highlight w:val="yellow"/>
        </w:rPr>
        <w:t xml:space="preserve">of the two </w:t>
      </w:r>
      <w:r w:rsidR="002E4C19" w:rsidRPr="00A0027B">
        <w:rPr>
          <w:rFonts w:eastAsia="Times New Roman"/>
          <w:color w:val="000000"/>
          <w:highlight w:val="yellow"/>
        </w:rPr>
        <w:t>negative control well (N23/N24).</w:t>
      </w:r>
      <w:r w:rsidR="00B76A45">
        <w:rPr>
          <w:rFonts w:eastAsia="Times New Roman"/>
          <w:color w:val="000000"/>
          <w:highlight w:val="yellow"/>
        </w:rPr>
        <w:t xml:space="preserve"> </w:t>
      </w:r>
      <w:r w:rsidR="002E4C19" w:rsidRPr="00B76A45">
        <w:rPr>
          <w:rFonts w:eastAsia="Times New Roman"/>
          <w:color w:val="000000"/>
          <w:highlight w:val="yellow"/>
        </w:rPr>
        <w:t xml:space="preserve">Confirm </w:t>
      </w:r>
      <w:r w:rsidR="005407CD" w:rsidRPr="00B76A45">
        <w:rPr>
          <w:rFonts w:eastAsia="Times New Roman"/>
          <w:color w:val="000000"/>
          <w:highlight w:val="yellow"/>
        </w:rPr>
        <w:t xml:space="preserve">that </w:t>
      </w:r>
      <w:r w:rsidR="002E4C19" w:rsidRPr="00B76A45">
        <w:rPr>
          <w:rFonts w:eastAsia="Times New Roman"/>
          <w:color w:val="000000"/>
          <w:highlight w:val="yellow"/>
        </w:rPr>
        <w:t>C</w:t>
      </w:r>
      <w:r w:rsidR="004A31E9" w:rsidRPr="00B76A45">
        <w:rPr>
          <w:rFonts w:eastAsia="Times New Roman"/>
          <w:color w:val="000000"/>
          <w:highlight w:val="yellow"/>
        </w:rPr>
        <w:t>t</w:t>
      </w:r>
      <w:r w:rsidR="002E4C19" w:rsidRPr="00B76A45">
        <w:rPr>
          <w:rFonts w:eastAsia="Times New Roman"/>
          <w:color w:val="000000"/>
          <w:highlight w:val="yellow"/>
        </w:rPr>
        <w:t xml:space="preserve"> values have valid amplification curves before invalidating the plate.</w:t>
      </w:r>
    </w:p>
    <w:p w14:paraId="486FC73C" w14:textId="77777777" w:rsidR="00962701" w:rsidRPr="00A0027B" w:rsidRDefault="00962701" w:rsidP="00A0027B">
      <w:pPr>
        <w:pStyle w:val="ListParagraph"/>
        <w:widowControl/>
        <w:ind w:left="0"/>
        <w:contextualSpacing w:val="0"/>
        <w:rPr>
          <w:rFonts w:eastAsia="Times New Roman"/>
          <w:highlight w:val="yellow"/>
        </w:rPr>
      </w:pPr>
    </w:p>
    <w:p w14:paraId="34D2B6D1" w14:textId="384A165D" w:rsidR="002E4C19" w:rsidRPr="00A0027B" w:rsidRDefault="002E4C19" w:rsidP="00A0027B">
      <w:pPr>
        <w:widowControl/>
        <w:numPr>
          <w:ilvl w:val="0"/>
          <w:numId w:val="13"/>
        </w:numPr>
        <w:ind w:left="0" w:firstLine="0"/>
        <w:textAlignment w:val="baseline"/>
        <w:rPr>
          <w:rFonts w:eastAsia="Times New Roman"/>
          <w:b/>
          <w:bCs/>
          <w:color w:val="000000"/>
          <w:highlight w:val="yellow"/>
        </w:rPr>
      </w:pPr>
      <w:r w:rsidRPr="00A0027B">
        <w:rPr>
          <w:rFonts w:eastAsia="Times New Roman"/>
          <w:b/>
          <w:bCs/>
          <w:color w:val="000000"/>
          <w:highlight w:val="yellow"/>
        </w:rPr>
        <w:t xml:space="preserve">Interpreting </w:t>
      </w:r>
      <w:r w:rsidR="005407CD" w:rsidRPr="00A0027B">
        <w:rPr>
          <w:rFonts w:eastAsia="Times New Roman"/>
          <w:b/>
          <w:bCs/>
          <w:color w:val="000000"/>
          <w:highlight w:val="yellow"/>
        </w:rPr>
        <w:t>s</w:t>
      </w:r>
      <w:r w:rsidRPr="00A0027B">
        <w:rPr>
          <w:rFonts w:eastAsia="Times New Roman"/>
          <w:b/>
          <w:bCs/>
          <w:color w:val="000000"/>
          <w:highlight w:val="yellow"/>
        </w:rPr>
        <w:t xml:space="preserve">ample </w:t>
      </w:r>
      <w:r w:rsidR="005407CD" w:rsidRPr="00A0027B">
        <w:rPr>
          <w:rFonts w:eastAsia="Times New Roman"/>
          <w:b/>
          <w:bCs/>
          <w:color w:val="000000"/>
          <w:highlight w:val="yellow"/>
        </w:rPr>
        <w:t>r</w:t>
      </w:r>
      <w:r w:rsidRPr="00A0027B">
        <w:rPr>
          <w:rFonts w:eastAsia="Times New Roman"/>
          <w:b/>
          <w:bCs/>
          <w:color w:val="000000"/>
          <w:highlight w:val="yellow"/>
        </w:rPr>
        <w:t>esults</w:t>
      </w:r>
    </w:p>
    <w:p w14:paraId="1A68E123" w14:textId="77777777" w:rsidR="00962701" w:rsidRPr="00A0027B" w:rsidRDefault="00962701" w:rsidP="00A0027B">
      <w:pPr>
        <w:widowControl/>
        <w:textAlignment w:val="baseline"/>
        <w:rPr>
          <w:rFonts w:eastAsia="Times New Roman"/>
          <w:b/>
          <w:bCs/>
          <w:color w:val="000000"/>
          <w:highlight w:val="yellow"/>
        </w:rPr>
      </w:pPr>
    </w:p>
    <w:p w14:paraId="12BC50D0" w14:textId="7CC4921C" w:rsidR="002E4C19"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Determine the patient result following the diagram (</w:t>
      </w:r>
      <w:r w:rsidRPr="00A0027B">
        <w:rPr>
          <w:rFonts w:eastAsia="Times New Roman"/>
          <w:b/>
          <w:bCs/>
          <w:color w:val="000000"/>
          <w:highlight w:val="yellow"/>
        </w:rPr>
        <w:t>Figure 3</w:t>
      </w:r>
      <w:r w:rsidRPr="00A0027B">
        <w:rPr>
          <w:rFonts w:eastAsia="Times New Roman"/>
          <w:color w:val="000000"/>
          <w:highlight w:val="yellow"/>
        </w:rPr>
        <w:t>) and report resolved samples.</w:t>
      </w:r>
    </w:p>
    <w:p w14:paraId="1C263A21" w14:textId="77777777" w:rsidR="00962701" w:rsidRPr="00A0027B" w:rsidRDefault="00962701" w:rsidP="00A0027B">
      <w:pPr>
        <w:widowControl/>
        <w:textAlignment w:val="baseline"/>
        <w:rPr>
          <w:rFonts w:eastAsia="Times New Roman"/>
          <w:color w:val="000000"/>
          <w:highlight w:val="yellow"/>
        </w:rPr>
      </w:pPr>
    </w:p>
    <w:p w14:paraId="69370D7C" w14:textId="6FE3C151" w:rsidR="002E4C19" w:rsidRPr="00A0027B" w:rsidRDefault="002E4C19" w:rsidP="00A0027B">
      <w:pPr>
        <w:widowControl/>
        <w:numPr>
          <w:ilvl w:val="2"/>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Assess the P1 </w:t>
      </w:r>
      <w:r w:rsidR="005407CD" w:rsidRPr="00A0027B">
        <w:rPr>
          <w:rFonts w:eastAsia="Times New Roman"/>
          <w:color w:val="000000"/>
          <w:highlight w:val="yellow"/>
        </w:rPr>
        <w:t>r</w:t>
      </w:r>
      <w:r w:rsidRPr="00A0027B">
        <w:rPr>
          <w:rFonts w:eastAsia="Times New Roman"/>
          <w:color w:val="000000"/>
          <w:highlight w:val="yellow"/>
        </w:rPr>
        <w:t>esult as VALID or INVALID. If P1 produces a result of C</w:t>
      </w:r>
      <w:r w:rsidR="004A31E9" w:rsidRPr="00A0027B">
        <w:rPr>
          <w:rFonts w:eastAsia="Times New Roman"/>
          <w:color w:val="000000"/>
          <w:highlight w:val="yellow"/>
        </w:rPr>
        <w:t>t</w:t>
      </w:r>
      <w:r w:rsidRPr="00A0027B">
        <w:rPr>
          <w:rFonts w:eastAsia="Times New Roman"/>
          <w:color w:val="000000"/>
          <w:highlight w:val="yellow"/>
        </w:rPr>
        <w:t xml:space="preserve"> &lt;33, consider the well VALID and proceed to result</w:t>
      </w:r>
      <w:r w:rsidR="00F85D0D" w:rsidRPr="00A0027B">
        <w:rPr>
          <w:rFonts w:eastAsia="Times New Roman"/>
          <w:color w:val="000000"/>
          <w:highlight w:val="yellow"/>
        </w:rPr>
        <w:t xml:space="preserve"> from</w:t>
      </w:r>
      <w:r w:rsidRPr="00A0027B">
        <w:rPr>
          <w:rFonts w:eastAsia="Times New Roman"/>
          <w:color w:val="000000"/>
          <w:highlight w:val="yellow"/>
        </w:rPr>
        <w:t xml:space="preserve"> N1. If P1 produces a result of C</w:t>
      </w:r>
      <w:r w:rsidR="004A31E9" w:rsidRPr="00A0027B">
        <w:rPr>
          <w:rFonts w:eastAsia="Times New Roman"/>
          <w:color w:val="000000"/>
          <w:highlight w:val="yellow"/>
        </w:rPr>
        <w:t>t</w:t>
      </w:r>
      <w:r w:rsidRPr="00A0027B">
        <w:rPr>
          <w:rFonts w:eastAsia="Times New Roman"/>
          <w:color w:val="000000"/>
          <w:highlight w:val="yellow"/>
        </w:rPr>
        <w:t xml:space="preserve"> &gt;=33 or no C</w:t>
      </w:r>
      <w:r w:rsidR="004A31E9" w:rsidRPr="00A0027B">
        <w:rPr>
          <w:rFonts w:eastAsia="Times New Roman"/>
          <w:color w:val="000000"/>
          <w:highlight w:val="yellow"/>
        </w:rPr>
        <w:t>t</w:t>
      </w:r>
      <w:r w:rsidRPr="00A0027B">
        <w:rPr>
          <w:rFonts w:eastAsia="Times New Roman"/>
          <w:color w:val="000000"/>
          <w:highlight w:val="yellow"/>
        </w:rPr>
        <w:t xml:space="preserve"> value, consider the well INVALID.</w:t>
      </w:r>
    </w:p>
    <w:p w14:paraId="026DA5AC" w14:textId="77777777" w:rsidR="00962701" w:rsidRPr="00A0027B" w:rsidRDefault="00962701" w:rsidP="00A0027B">
      <w:pPr>
        <w:widowControl/>
        <w:textAlignment w:val="baseline"/>
        <w:rPr>
          <w:rFonts w:eastAsia="Times New Roman"/>
          <w:color w:val="000000"/>
          <w:highlight w:val="yellow"/>
        </w:rPr>
      </w:pPr>
    </w:p>
    <w:p w14:paraId="0B1A476F" w14:textId="5576C796" w:rsidR="00F54574" w:rsidRPr="00A0027B" w:rsidRDefault="002E4C19" w:rsidP="00A0027B">
      <w:pPr>
        <w:widowControl/>
        <w:numPr>
          <w:ilvl w:val="2"/>
          <w:numId w:val="13"/>
        </w:numPr>
        <w:ind w:left="0" w:firstLine="0"/>
        <w:textAlignment w:val="baseline"/>
        <w:rPr>
          <w:rFonts w:eastAsia="Times New Roman"/>
          <w:color w:val="000000"/>
          <w:highlight w:val="yellow"/>
        </w:rPr>
      </w:pPr>
      <w:r w:rsidRPr="00A0027B">
        <w:rPr>
          <w:rFonts w:eastAsia="Times New Roman"/>
          <w:color w:val="000000"/>
          <w:highlight w:val="yellow"/>
        </w:rPr>
        <w:t>Assess the N1 Result as YES, NO, or NO*. If N1 produces a result of C</w:t>
      </w:r>
      <w:r w:rsidR="004A31E9" w:rsidRPr="00A0027B">
        <w:rPr>
          <w:rFonts w:eastAsia="Times New Roman"/>
          <w:color w:val="000000"/>
          <w:highlight w:val="yellow"/>
        </w:rPr>
        <w:t>t</w:t>
      </w:r>
      <w:r w:rsidRPr="00A0027B">
        <w:rPr>
          <w:rFonts w:eastAsia="Times New Roman"/>
          <w:color w:val="000000"/>
          <w:highlight w:val="yellow"/>
        </w:rPr>
        <w:t xml:space="preserve"> &lt;33, the well is YES. If N1 does not produce a C</w:t>
      </w:r>
      <w:r w:rsidR="004A31E9" w:rsidRPr="00A0027B">
        <w:rPr>
          <w:rFonts w:eastAsia="Times New Roman"/>
          <w:color w:val="000000"/>
          <w:highlight w:val="yellow"/>
        </w:rPr>
        <w:t>t</w:t>
      </w:r>
      <w:r w:rsidRPr="00A0027B">
        <w:rPr>
          <w:rFonts w:eastAsia="Times New Roman"/>
          <w:color w:val="000000"/>
          <w:highlight w:val="yellow"/>
        </w:rPr>
        <w:t xml:space="preserve"> value, the well is NO. If N1 produces a C</w:t>
      </w:r>
      <w:r w:rsidR="004A31E9" w:rsidRPr="00A0027B">
        <w:rPr>
          <w:rFonts w:eastAsia="Times New Roman"/>
          <w:color w:val="000000"/>
          <w:highlight w:val="yellow"/>
        </w:rPr>
        <w:t>t</w:t>
      </w:r>
      <w:r w:rsidRPr="00A0027B">
        <w:rPr>
          <w:rFonts w:eastAsia="Times New Roman"/>
          <w:color w:val="000000"/>
          <w:highlight w:val="yellow"/>
        </w:rPr>
        <w:t xml:space="preserve"> &gt;=33, the well is NO*.</w:t>
      </w:r>
      <w:r w:rsidR="00F85D0D" w:rsidRPr="00A0027B">
        <w:rPr>
          <w:rFonts w:eastAsia="Times New Roman"/>
          <w:color w:val="000000"/>
          <w:highlight w:val="yellow"/>
        </w:rPr>
        <w:t xml:space="preserve"> </w:t>
      </w:r>
      <w:r w:rsidR="00F54574" w:rsidRPr="00A0027B">
        <w:rPr>
          <w:rFonts w:eastAsia="Times New Roman"/>
          <w:color w:val="000000"/>
          <w:highlight w:val="yellow"/>
        </w:rPr>
        <w:t>Confirm that all N1 C</w:t>
      </w:r>
      <w:r w:rsidR="004A31E9" w:rsidRPr="00A0027B">
        <w:rPr>
          <w:rFonts w:eastAsia="Times New Roman"/>
          <w:color w:val="000000"/>
          <w:highlight w:val="yellow"/>
        </w:rPr>
        <w:t>t</w:t>
      </w:r>
      <w:r w:rsidR="00F54574" w:rsidRPr="00A0027B">
        <w:rPr>
          <w:rFonts w:eastAsia="Times New Roman"/>
          <w:color w:val="000000"/>
          <w:highlight w:val="yellow"/>
        </w:rPr>
        <w:t xml:space="preserve"> values are associated with a real amplification curve. If a C</w:t>
      </w:r>
      <w:r w:rsidR="004A31E9" w:rsidRPr="00A0027B">
        <w:rPr>
          <w:rFonts w:eastAsia="Times New Roman"/>
          <w:color w:val="000000"/>
          <w:highlight w:val="yellow"/>
        </w:rPr>
        <w:t>t</w:t>
      </w:r>
      <w:r w:rsidR="00F54574" w:rsidRPr="00A0027B">
        <w:rPr>
          <w:rFonts w:eastAsia="Times New Roman"/>
          <w:color w:val="000000"/>
          <w:highlight w:val="yellow"/>
        </w:rPr>
        <w:t xml:space="preserve"> value for N1 has no amplification curve, the well is NO.</w:t>
      </w:r>
    </w:p>
    <w:p w14:paraId="78EF8E4E" w14:textId="77777777" w:rsidR="00962701" w:rsidRPr="00A0027B" w:rsidRDefault="00962701" w:rsidP="00A0027B">
      <w:pPr>
        <w:widowControl/>
        <w:textAlignment w:val="baseline"/>
        <w:rPr>
          <w:rFonts w:eastAsia="Times New Roman"/>
          <w:color w:val="000000"/>
          <w:highlight w:val="yellow"/>
        </w:rPr>
      </w:pPr>
    </w:p>
    <w:p w14:paraId="4015356B" w14:textId="2F1B6E07" w:rsidR="006E4797" w:rsidRPr="00A0027B" w:rsidRDefault="002E4C19" w:rsidP="00A0027B">
      <w:pPr>
        <w:widowControl/>
        <w:numPr>
          <w:ilvl w:val="1"/>
          <w:numId w:val="13"/>
        </w:numPr>
        <w:ind w:left="0" w:firstLine="0"/>
        <w:textAlignment w:val="baseline"/>
        <w:rPr>
          <w:rFonts w:eastAsia="Times New Roman"/>
          <w:color w:val="000000"/>
          <w:highlight w:val="yellow"/>
        </w:rPr>
      </w:pPr>
      <w:r w:rsidRPr="00A0027B">
        <w:rPr>
          <w:rFonts w:eastAsia="Times New Roman"/>
          <w:color w:val="000000"/>
          <w:highlight w:val="yellow"/>
        </w:rPr>
        <w:t xml:space="preserve">Identify repeat samples (N1 Rerun or Rerun), label </w:t>
      </w:r>
      <w:r w:rsidR="00F85D0D" w:rsidRPr="00A0027B">
        <w:rPr>
          <w:rFonts w:eastAsia="Times New Roman"/>
          <w:color w:val="000000"/>
          <w:highlight w:val="yellow"/>
        </w:rPr>
        <w:t xml:space="preserve">them </w:t>
      </w:r>
      <w:r w:rsidRPr="00A0027B">
        <w:rPr>
          <w:rFonts w:eastAsia="Times New Roman"/>
          <w:color w:val="000000"/>
          <w:highlight w:val="yellow"/>
        </w:rPr>
        <w:t xml:space="preserve">with an internal sample number and sample </w:t>
      </w:r>
      <w:r w:rsidR="00D61684" w:rsidRPr="00A0027B">
        <w:rPr>
          <w:rFonts w:eastAsia="Times New Roman"/>
          <w:color w:val="000000"/>
          <w:highlight w:val="yellow"/>
        </w:rPr>
        <w:t>type and</w:t>
      </w:r>
      <w:r w:rsidRPr="00A0027B">
        <w:rPr>
          <w:rFonts w:eastAsia="Times New Roman"/>
          <w:color w:val="000000"/>
          <w:highlight w:val="yellow"/>
        </w:rPr>
        <w:t xml:space="preserve"> return them to the loading workflow (</w:t>
      </w:r>
      <w:r w:rsidR="00F85D0D" w:rsidRPr="00A0027B">
        <w:rPr>
          <w:rFonts w:eastAsia="Times New Roman"/>
          <w:color w:val="000000"/>
          <w:highlight w:val="yellow"/>
        </w:rPr>
        <w:t xml:space="preserve">section </w:t>
      </w:r>
      <w:r w:rsidRPr="00A0027B">
        <w:rPr>
          <w:rFonts w:eastAsia="Times New Roman"/>
          <w:color w:val="000000"/>
          <w:highlight w:val="yellow"/>
        </w:rPr>
        <w:t>8.1</w:t>
      </w:r>
      <w:r w:rsidR="00F85D0D" w:rsidRPr="00A0027B">
        <w:rPr>
          <w:rFonts w:eastAsia="Times New Roman"/>
          <w:color w:val="000000"/>
          <w:highlight w:val="yellow"/>
        </w:rPr>
        <w:t>–</w:t>
      </w:r>
      <w:r w:rsidRPr="00A0027B">
        <w:rPr>
          <w:rFonts w:eastAsia="Times New Roman"/>
          <w:color w:val="000000"/>
          <w:highlight w:val="yellow"/>
        </w:rPr>
        <w:t>8.</w:t>
      </w:r>
      <w:r w:rsidR="006C38BA" w:rsidRPr="00A0027B">
        <w:rPr>
          <w:rFonts w:eastAsia="Times New Roman"/>
          <w:color w:val="000000"/>
          <w:highlight w:val="yellow"/>
        </w:rPr>
        <w:t>3</w:t>
      </w:r>
      <w:r w:rsidRPr="00A0027B">
        <w:rPr>
          <w:rFonts w:eastAsia="Times New Roman"/>
          <w:color w:val="000000"/>
          <w:highlight w:val="yellow"/>
        </w:rPr>
        <w:t>).</w:t>
      </w:r>
    </w:p>
    <w:p w14:paraId="649C82B3" w14:textId="77777777" w:rsidR="00EA5C3F" w:rsidRPr="00A0027B" w:rsidRDefault="00EA5C3F" w:rsidP="00A0027B">
      <w:pPr>
        <w:widowControl/>
        <w:shd w:val="clear" w:color="auto" w:fill="FFFFFF" w:themeFill="background1"/>
        <w:textAlignment w:val="baseline"/>
        <w:rPr>
          <w:rFonts w:eastAsia="Times New Roman"/>
          <w:color w:val="000000"/>
        </w:rPr>
      </w:pPr>
    </w:p>
    <w:p w14:paraId="2194B572" w14:textId="02CA744C" w:rsidR="00EA5C3F" w:rsidRPr="00A0027B" w:rsidRDefault="00EA5C3F" w:rsidP="00A0027B">
      <w:pPr>
        <w:widowControl/>
        <w:numPr>
          <w:ilvl w:val="0"/>
          <w:numId w:val="13"/>
        </w:numPr>
        <w:shd w:val="clear" w:color="auto" w:fill="FFFFFF" w:themeFill="background1"/>
        <w:ind w:left="0" w:firstLine="0"/>
        <w:textAlignment w:val="baseline"/>
        <w:rPr>
          <w:rFonts w:eastAsia="Times New Roman"/>
          <w:b/>
          <w:bCs/>
          <w:color w:val="000000"/>
        </w:rPr>
      </w:pPr>
      <w:r w:rsidRPr="00A0027B">
        <w:rPr>
          <w:rFonts w:eastAsia="Times New Roman"/>
          <w:b/>
          <w:bCs/>
          <w:color w:val="000000"/>
        </w:rPr>
        <w:t xml:space="preserve">Laboratory </w:t>
      </w:r>
      <w:r w:rsidR="00F85D0D" w:rsidRPr="00A0027B">
        <w:rPr>
          <w:rFonts w:eastAsia="Times New Roman"/>
          <w:b/>
          <w:bCs/>
          <w:color w:val="000000"/>
        </w:rPr>
        <w:t>c</w:t>
      </w:r>
      <w:r w:rsidRPr="00A0027B">
        <w:rPr>
          <w:rFonts w:eastAsia="Times New Roman"/>
          <w:b/>
          <w:bCs/>
          <w:color w:val="000000"/>
        </w:rPr>
        <w:t>leanup</w:t>
      </w:r>
    </w:p>
    <w:p w14:paraId="04D16F83" w14:textId="77777777" w:rsidR="00EA5C3F" w:rsidRPr="00A0027B" w:rsidRDefault="00EA5C3F" w:rsidP="00A0027B">
      <w:pPr>
        <w:widowControl/>
        <w:shd w:val="clear" w:color="auto" w:fill="FFFFFF" w:themeFill="background1"/>
        <w:textAlignment w:val="baseline"/>
        <w:rPr>
          <w:rFonts w:eastAsia="Times New Roman"/>
          <w:b/>
          <w:bCs/>
          <w:color w:val="000000"/>
        </w:rPr>
      </w:pPr>
    </w:p>
    <w:p w14:paraId="37A8FC12" w14:textId="3C0FBE71" w:rsidR="00EA5C3F" w:rsidRPr="00A0027B" w:rsidRDefault="00964FC9" w:rsidP="00A0027B">
      <w:pPr>
        <w:widowControl/>
        <w:numPr>
          <w:ilvl w:val="1"/>
          <w:numId w:val="13"/>
        </w:numPr>
        <w:shd w:val="clear" w:color="auto" w:fill="FFFFFF" w:themeFill="background1"/>
        <w:ind w:left="0" w:firstLine="0"/>
        <w:textAlignment w:val="baseline"/>
        <w:rPr>
          <w:rFonts w:eastAsia="Times New Roman"/>
          <w:color w:val="000000"/>
        </w:rPr>
      </w:pPr>
      <w:r w:rsidRPr="00A0027B">
        <w:rPr>
          <w:rFonts w:eastAsia="Times New Roman"/>
          <w:color w:val="000000"/>
        </w:rPr>
        <w:t xml:space="preserve">Liquid </w:t>
      </w:r>
      <w:r w:rsidR="00F85D0D" w:rsidRPr="00A0027B">
        <w:rPr>
          <w:rFonts w:eastAsia="Times New Roman"/>
          <w:color w:val="000000"/>
        </w:rPr>
        <w:t>h</w:t>
      </w:r>
      <w:r w:rsidRPr="00A0027B">
        <w:rPr>
          <w:rFonts w:eastAsia="Times New Roman"/>
          <w:color w:val="000000"/>
        </w:rPr>
        <w:t xml:space="preserve">andling </w:t>
      </w:r>
      <w:r w:rsidR="00F85D0D" w:rsidRPr="00A0027B">
        <w:rPr>
          <w:rFonts w:eastAsia="Times New Roman"/>
          <w:color w:val="000000"/>
        </w:rPr>
        <w:t>r</w:t>
      </w:r>
      <w:r w:rsidRPr="00A0027B">
        <w:rPr>
          <w:rFonts w:eastAsia="Times New Roman"/>
          <w:color w:val="000000"/>
        </w:rPr>
        <w:t>obots</w:t>
      </w:r>
    </w:p>
    <w:p w14:paraId="6C446020" w14:textId="77777777" w:rsidR="00964FC9" w:rsidRPr="00A0027B" w:rsidRDefault="00964FC9" w:rsidP="00A0027B">
      <w:pPr>
        <w:widowControl/>
        <w:shd w:val="clear" w:color="auto" w:fill="FFFFFF" w:themeFill="background1"/>
        <w:textAlignment w:val="baseline"/>
        <w:rPr>
          <w:rFonts w:eastAsia="Times New Roman"/>
          <w:b/>
          <w:bCs/>
          <w:color w:val="000000"/>
        </w:rPr>
      </w:pPr>
    </w:p>
    <w:p w14:paraId="2875F557" w14:textId="5DF7F149" w:rsidR="00964FC9" w:rsidRPr="00A0027B" w:rsidRDefault="00964FC9" w:rsidP="00A0027B">
      <w:pPr>
        <w:widowControl/>
        <w:numPr>
          <w:ilvl w:val="2"/>
          <w:numId w:val="13"/>
        </w:numPr>
        <w:shd w:val="clear" w:color="auto" w:fill="FFFFFF" w:themeFill="background1"/>
        <w:ind w:left="0" w:firstLine="0"/>
        <w:textAlignment w:val="baseline"/>
        <w:rPr>
          <w:rFonts w:eastAsia="Times New Roman"/>
          <w:color w:val="000000"/>
        </w:rPr>
      </w:pPr>
      <w:r w:rsidRPr="00A0027B">
        <w:rPr>
          <w:rFonts w:eastAsia="Times New Roman"/>
          <w:color w:val="000000"/>
        </w:rPr>
        <w:t>Clean all sides with intermediate-level disinfectant.</w:t>
      </w:r>
      <w:r w:rsidR="0082273C" w:rsidRPr="00A0027B">
        <w:rPr>
          <w:rFonts w:eastAsia="Times New Roman"/>
          <w:color w:val="000000"/>
        </w:rPr>
        <w:t xml:space="preserve"> </w:t>
      </w:r>
      <w:r w:rsidRPr="00A0027B">
        <w:rPr>
          <w:rFonts w:eastAsia="Times New Roman"/>
          <w:color w:val="000000"/>
        </w:rPr>
        <w:t xml:space="preserve">Do not use ethanol </w:t>
      </w:r>
      <w:r w:rsidR="00D61684">
        <w:rPr>
          <w:rFonts w:eastAsia="Times New Roman"/>
          <w:color w:val="000000"/>
        </w:rPr>
        <w:t xml:space="preserve">as it will </w:t>
      </w:r>
      <w:r w:rsidRPr="00A0027B">
        <w:rPr>
          <w:rFonts w:eastAsia="Times New Roman"/>
          <w:color w:val="000000"/>
        </w:rPr>
        <w:t xml:space="preserve">degrade </w:t>
      </w:r>
      <w:r w:rsidR="00D61684">
        <w:rPr>
          <w:rFonts w:eastAsia="Times New Roman"/>
          <w:color w:val="000000"/>
        </w:rPr>
        <w:t xml:space="preserve">the </w:t>
      </w:r>
      <w:r w:rsidRPr="00A0027B">
        <w:rPr>
          <w:rFonts w:eastAsia="Times New Roman"/>
          <w:color w:val="000000"/>
        </w:rPr>
        <w:t>plastic.</w:t>
      </w:r>
    </w:p>
    <w:p w14:paraId="0AB67C18" w14:textId="77777777" w:rsidR="00D76731" w:rsidRPr="00A0027B" w:rsidRDefault="00D76731" w:rsidP="00A0027B">
      <w:pPr>
        <w:widowControl/>
        <w:shd w:val="clear" w:color="auto" w:fill="FFFFFF" w:themeFill="background1"/>
        <w:textAlignment w:val="baseline"/>
        <w:rPr>
          <w:rFonts w:eastAsia="Times New Roman"/>
          <w:color w:val="000000"/>
        </w:rPr>
      </w:pPr>
    </w:p>
    <w:p w14:paraId="58B7C1F9" w14:textId="075F6E22" w:rsidR="00964FC9" w:rsidRPr="00A0027B" w:rsidRDefault="00964FC9" w:rsidP="00A0027B">
      <w:pPr>
        <w:pStyle w:val="ListParagraph"/>
        <w:widowControl/>
        <w:numPr>
          <w:ilvl w:val="2"/>
          <w:numId w:val="13"/>
        </w:numPr>
        <w:shd w:val="clear" w:color="auto" w:fill="FFFFFF" w:themeFill="background1"/>
        <w:ind w:left="0" w:firstLine="0"/>
        <w:contextualSpacing w:val="0"/>
        <w:textAlignment w:val="baseline"/>
        <w:rPr>
          <w:rFonts w:eastAsia="Times New Roman"/>
          <w:color w:val="000000"/>
        </w:rPr>
      </w:pPr>
      <w:r w:rsidRPr="00A0027B">
        <w:rPr>
          <w:rFonts w:eastAsia="Times New Roman"/>
          <w:color w:val="000000"/>
        </w:rPr>
        <w:t>Gently wipe pipette tip end</w:t>
      </w:r>
      <w:r w:rsidR="00D76731" w:rsidRPr="00A0027B">
        <w:rPr>
          <w:rFonts w:eastAsia="Times New Roman"/>
          <w:color w:val="000000"/>
        </w:rPr>
        <w:t xml:space="preserve"> and waste bin</w:t>
      </w:r>
      <w:r w:rsidRPr="00A0027B">
        <w:rPr>
          <w:rFonts w:eastAsia="Times New Roman"/>
          <w:color w:val="000000"/>
        </w:rPr>
        <w:t xml:space="preserve"> with </w:t>
      </w:r>
      <w:r w:rsidR="0082273C" w:rsidRPr="00A0027B">
        <w:rPr>
          <w:rFonts w:eastAsia="Times New Roman"/>
          <w:color w:val="000000"/>
        </w:rPr>
        <w:t xml:space="preserve">an </w:t>
      </w:r>
      <w:r w:rsidRPr="00A0027B">
        <w:rPr>
          <w:rFonts w:eastAsia="Times New Roman"/>
          <w:color w:val="000000"/>
        </w:rPr>
        <w:t xml:space="preserve">alcohol </w:t>
      </w:r>
      <w:r w:rsidR="00A770DC" w:rsidRPr="00A0027B">
        <w:rPr>
          <w:rFonts w:eastAsia="Times New Roman"/>
          <w:color w:val="000000"/>
        </w:rPr>
        <w:t xml:space="preserve">(70% ethanol or 100% isopropanol) </w:t>
      </w:r>
      <w:r w:rsidRPr="00A0027B">
        <w:rPr>
          <w:rFonts w:eastAsia="Times New Roman"/>
          <w:color w:val="000000"/>
        </w:rPr>
        <w:t>wipe.</w:t>
      </w:r>
      <w:r w:rsidR="0082273C" w:rsidRPr="00A0027B">
        <w:rPr>
          <w:rFonts w:eastAsia="Times New Roman"/>
          <w:color w:val="000000"/>
        </w:rPr>
        <w:t xml:space="preserve"> </w:t>
      </w:r>
      <w:r w:rsidR="00D76731" w:rsidRPr="00A0027B">
        <w:rPr>
          <w:rFonts w:eastAsia="Times New Roman"/>
          <w:color w:val="000000"/>
        </w:rPr>
        <w:t xml:space="preserve">Wipe down </w:t>
      </w:r>
      <w:r w:rsidR="0082273C" w:rsidRPr="00A0027B">
        <w:rPr>
          <w:rFonts w:eastAsia="Times New Roman"/>
          <w:color w:val="000000"/>
        </w:rPr>
        <w:t xml:space="preserve">the </w:t>
      </w:r>
      <w:r w:rsidR="00D76731" w:rsidRPr="00A0027B">
        <w:rPr>
          <w:rFonts w:eastAsia="Times New Roman"/>
          <w:color w:val="000000"/>
        </w:rPr>
        <w:t>keyboard and mouse.</w:t>
      </w:r>
    </w:p>
    <w:p w14:paraId="03F17CAC" w14:textId="77777777" w:rsidR="005D05CD" w:rsidRPr="00A0027B" w:rsidRDefault="005D05CD" w:rsidP="00A0027B">
      <w:pPr>
        <w:widowControl/>
        <w:shd w:val="clear" w:color="auto" w:fill="FFFFFF" w:themeFill="background1"/>
        <w:textAlignment w:val="baseline"/>
        <w:rPr>
          <w:rFonts w:eastAsia="Times New Roman"/>
          <w:color w:val="000000"/>
        </w:rPr>
      </w:pPr>
    </w:p>
    <w:p w14:paraId="1EC97491" w14:textId="030637E8" w:rsidR="00D76731" w:rsidRPr="00A0027B" w:rsidRDefault="00D76731" w:rsidP="00A0027B">
      <w:pPr>
        <w:widowControl/>
        <w:numPr>
          <w:ilvl w:val="1"/>
          <w:numId w:val="13"/>
        </w:numPr>
        <w:shd w:val="clear" w:color="auto" w:fill="FFFFFF" w:themeFill="background1"/>
        <w:ind w:left="0" w:firstLine="0"/>
        <w:textAlignment w:val="baseline"/>
        <w:rPr>
          <w:rFonts w:eastAsia="Times New Roman"/>
          <w:color w:val="000000"/>
        </w:rPr>
      </w:pPr>
      <w:r w:rsidRPr="00A0027B">
        <w:rPr>
          <w:rFonts w:eastAsia="Times New Roman"/>
          <w:color w:val="000000"/>
        </w:rPr>
        <w:t xml:space="preserve">Biosafety </w:t>
      </w:r>
      <w:r w:rsidR="0082273C" w:rsidRPr="00A0027B">
        <w:rPr>
          <w:rFonts w:eastAsia="Times New Roman"/>
          <w:color w:val="000000"/>
        </w:rPr>
        <w:t>c</w:t>
      </w:r>
      <w:r w:rsidRPr="00A0027B">
        <w:rPr>
          <w:rFonts w:eastAsia="Times New Roman"/>
          <w:color w:val="000000"/>
        </w:rPr>
        <w:t>abinet</w:t>
      </w:r>
    </w:p>
    <w:p w14:paraId="7065F5D6" w14:textId="77777777" w:rsidR="005D05CD" w:rsidRPr="00A0027B" w:rsidRDefault="005D05CD" w:rsidP="00A0027B">
      <w:pPr>
        <w:widowControl/>
        <w:shd w:val="clear" w:color="auto" w:fill="FFFFFF" w:themeFill="background1"/>
        <w:textAlignment w:val="baseline"/>
        <w:rPr>
          <w:rFonts w:eastAsia="Times New Roman"/>
          <w:color w:val="000000"/>
        </w:rPr>
      </w:pPr>
    </w:p>
    <w:p w14:paraId="4F283E2D" w14:textId="07F685AF" w:rsidR="00D76731" w:rsidRPr="00A0027B" w:rsidRDefault="00D76731" w:rsidP="00A0027B">
      <w:pPr>
        <w:widowControl/>
        <w:numPr>
          <w:ilvl w:val="2"/>
          <w:numId w:val="13"/>
        </w:numPr>
        <w:shd w:val="clear" w:color="auto" w:fill="FFFFFF" w:themeFill="background1"/>
        <w:ind w:left="0" w:firstLine="0"/>
        <w:textAlignment w:val="baseline"/>
        <w:rPr>
          <w:rFonts w:eastAsia="Times New Roman"/>
          <w:color w:val="000000"/>
        </w:rPr>
      </w:pPr>
      <w:r w:rsidRPr="00A0027B">
        <w:rPr>
          <w:rFonts w:eastAsia="Times New Roman"/>
          <w:color w:val="000000"/>
        </w:rPr>
        <w:t>Clean all surfaces with intermediate-level disinfectant.</w:t>
      </w:r>
      <w:r w:rsidR="0082273C" w:rsidRPr="00A0027B">
        <w:rPr>
          <w:rFonts w:eastAsia="Times New Roman"/>
          <w:color w:val="000000"/>
        </w:rPr>
        <w:t xml:space="preserve"> Tu</w:t>
      </w:r>
      <w:r w:rsidR="002503EC" w:rsidRPr="00A0027B">
        <w:rPr>
          <w:rFonts w:eastAsia="Times New Roman"/>
          <w:color w:val="000000"/>
        </w:rPr>
        <w:t>r</w:t>
      </w:r>
      <w:r w:rsidR="0082273C" w:rsidRPr="00A0027B">
        <w:rPr>
          <w:rFonts w:eastAsia="Times New Roman"/>
          <w:color w:val="000000"/>
        </w:rPr>
        <w:t>n on the</w:t>
      </w:r>
      <w:r w:rsidR="005D05CD" w:rsidRPr="00A0027B">
        <w:rPr>
          <w:rFonts w:eastAsia="Times New Roman"/>
          <w:color w:val="000000"/>
        </w:rPr>
        <w:t xml:space="preserve"> UV light for 15 min.</w:t>
      </w:r>
    </w:p>
    <w:p w14:paraId="339011CD" w14:textId="77777777" w:rsidR="0081558B" w:rsidRPr="00A0027B" w:rsidRDefault="0081558B" w:rsidP="00A0027B">
      <w:pPr>
        <w:pBdr>
          <w:top w:val="nil"/>
          <w:left w:val="nil"/>
          <w:bottom w:val="nil"/>
          <w:right w:val="nil"/>
          <w:between w:val="nil"/>
        </w:pBdr>
        <w:rPr>
          <w:b/>
          <w:color w:val="000000"/>
        </w:rPr>
      </w:pPr>
    </w:p>
    <w:p w14:paraId="08AF3300" w14:textId="7171BDED" w:rsidR="006E4797" w:rsidRPr="00A0027B" w:rsidRDefault="00551D82" w:rsidP="00A0027B">
      <w:pPr>
        <w:pBdr>
          <w:top w:val="nil"/>
          <w:left w:val="nil"/>
          <w:bottom w:val="nil"/>
          <w:right w:val="nil"/>
          <w:between w:val="nil"/>
        </w:pBdr>
        <w:rPr>
          <w:color w:val="808080"/>
        </w:rPr>
      </w:pPr>
      <w:r w:rsidRPr="00A0027B">
        <w:rPr>
          <w:b/>
          <w:color w:val="000000"/>
        </w:rPr>
        <w:t>REPRESENTATIVE RESULTS:</w:t>
      </w:r>
    </w:p>
    <w:p w14:paraId="44A4A875" w14:textId="77777777" w:rsidR="007E1779" w:rsidRDefault="00933249" w:rsidP="00A0027B">
      <w:r w:rsidRPr="00A0027B">
        <w:t xml:space="preserve">We determined the range of detection for RT-qPCR probes and primers for synthetic nucleic acid content for both SARS-CoV-2 </w:t>
      </w:r>
      <w:r w:rsidR="00004037" w:rsidRPr="00A0027B">
        <w:t>(</w:t>
      </w:r>
      <w:r w:rsidRPr="00A0027B">
        <w:t>N1</w:t>
      </w:r>
      <w:r w:rsidR="00004037" w:rsidRPr="00A0027B">
        <w:t>)</w:t>
      </w:r>
      <w:r w:rsidRPr="00A0027B">
        <w:t xml:space="preserve"> and Hs_RPP30 (P1). </w:t>
      </w:r>
      <w:r w:rsidR="0005574A" w:rsidRPr="00A0027B">
        <w:t xml:space="preserve">A </w:t>
      </w:r>
      <w:r w:rsidR="00C01473" w:rsidRPr="00A0027B">
        <w:t>10</w:t>
      </w:r>
      <w:r w:rsidRPr="00A0027B">
        <w:t xml:space="preserve">-fold serial dilution of known </w:t>
      </w:r>
      <w:r w:rsidRPr="00A0027B">
        <w:lastRenderedPageBreak/>
        <w:t>concentrations of combined synthetic SARS-CoV-2 RNA and synthetic Hs_RPP30 DNA in water</w:t>
      </w:r>
      <w:r w:rsidR="0005574A" w:rsidRPr="00A0027B">
        <w:t xml:space="preserve"> was done</w:t>
      </w:r>
      <w:r w:rsidRPr="00A0027B">
        <w:t xml:space="preserve">. </w:t>
      </w:r>
      <w:r w:rsidR="00057846" w:rsidRPr="00A0027B">
        <w:t>The following formula was used to convert molecul</w:t>
      </w:r>
      <w:r w:rsidR="00A770DC" w:rsidRPr="00A0027B">
        <w:t>a</w:t>
      </w:r>
      <w:r w:rsidR="00057846" w:rsidRPr="00A0027B">
        <w:t>r weight to gene copy number</w:t>
      </w:r>
    </w:p>
    <w:p w14:paraId="4A2ABC07" w14:textId="0B43D73B" w:rsidR="00057846" w:rsidRPr="00A0027B" w:rsidRDefault="00057846" w:rsidP="00A0027B">
      <w:r w:rsidRPr="00A0027B">
        <w:t xml:space="preserve"> </w:t>
      </w:r>
    </w:p>
    <w:p w14:paraId="66AF6EF3" w14:textId="399A9FA9" w:rsidR="00057846" w:rsidRDefault="00057846" w:rsidP="007E1779">
      <w:pPr>
        <w:jc w:val="center"/>
      </w:pPr>
      <w:r w:rsidRPr="00A0027B">
        <w:t>Gene copy number = (ng * 6.0221 x 10</w:t>
      </w:r>
      <w:r w:rsidRPr="00A0027B">
        <w:rPr>
          <w:vertAlign w:val="superscript"/>
        </w:rPr>
        <w:t>23</w:t>
      </w:r>
      <w:r w:rsidRPr="00A0027B">
        <w:t>)</w:t>
      </w:r>
      <w:proofErr w:type="gramStart"/>
      <w:r w:rsidRPr="00A0027B">
        <w:t>/(</w:t>
      </w:r>
      <w:proofErr w:type="gramEnd"/>
      <w:r w:rsidRPr="00A0027B">
        <w:t>(length in base pairs*660 g/mole) *1 x 10</w:t>
      </w:r>
      <w:r w:rsidRPr="00A0027B">
        <w:rPr>
          <w:vertAlign w:val="superscript"/>
        </w:rPr>
        <w:t>9</w:t>
      </w:r>
      <w:r w:rsidRPr="00A0027B">
        <w:t xml:space="preserve"> ng/g)</w:t>
      </w:r>
    </w:p>
    <w:p w14:paraId="79329E8F" w14:textId="77777777" w:rsidR="007E1779" w:rsidRPr="00A0027B" w:rsidRDefault="007E1779" w:rsidP="007E1779">
      <w:pPr>
        <w:jc w:val="center"/>
      </w:pPr>
    </w:p>
    <w:p w14:paraId="7F2A3ABF" w14:textId="2E3418E8" w:rsidR="00D94EB2" w:rsidRPr="00A0027B" w:rsidRDefault="00057846" w:rsidP="00A0027B">
      <w:r w:rsidRPr="00A0027B">
        <w:t xml:space="preserve">and RT-qPCR was performed. </w:t>
      </w:r>
      <w:r w:rsidR="00933249" w:rsidRPr="00A0027B">
        <w:t>After carrying out RT-qPCR, linear curves for N1 detection (</w:t>
      </w:r>
      <w:r w:rsidR="00933249" w:rsidRPr="00A0027B">
        <w:rPr>
          <w:b/>
          <w:bCs/>
        </w:rPr>
        <w:t>Figure 4A</w:t>
      </w:r>
      <w:r w:rsidR="00933249" w:rsidRPr="00A0027B">
        <w:t>) and P1 detection (</w:t>
      </w:r>
      <w:r w:rsidR="00933249" w:rsidRPr="00A0027B">
        <w:rPr>
          <w:b/>
          <w:bCs/>
        </w:rPr>
        <w:t>Figure 4B</w:t>
      </w:r>
      <w:r w:rsidR="00933249" w:rsidRPr="00A0027B">
        <w:t xml:space="preserve">) </w:t>
      </w:r>
      <w:r w:rsidR="00C24AA1" w:rsidRPr="00A0027B">
        <w:t>showed</w:t>
      </w:r>
      <w:r w:rsidR="00933249" w:rsidRPr="00A0027B">
        <w:t xml:space="preserve"> good correlation coefficients across a wide range of gene copy concentrations (R</w:t>
      </w:r>
      <w:r w:rsidR="00933249" w:rsidRPr="00A0027B">
        <w:rPr>
          <w:vertAlign w:val="superscript"/>
        </w:rPr>
        <w:t>2</w:t>
      </w:r>
      <w:r w:rsidR="00933249" w:rsidRPr="00A0027B">
        <w:t xml:space="preserve"> = 0.9975 and R</w:t>
      </w:r>
      <w:r w:rsidR="00933249" w:rsidRPr="00A0027B">
        <w:rPr>
          <w:vertAlign w:val="superscript"/>
        </w:rPr>
        <w:t>2</w:t>
      </w:r>
      <w:r w:rsidR="00933249" w:rsidRPr="00A0027B">
        <w:t xml:space="preserve"> = 0.9884, respectively). This result indicates that the combination of primer and probe sets is not inhibitory and can accurately detect SARS-CoV-2 RNA at </w:t>
      </w:r>
      <w:r w:rsidR="00E550E4">
        <w:t>one</w:t>
      </w:r>
      <w:r w:rsidR="00933249" w:rsidRPr="00A0027B">
        <w:t xml:space="preserve"> gene copy/</w:t>
      </w:r>
      <w:r w:rsidR="00BC0861" w:rsidRPr="00A0027B">
        <w:t>µL</w:t>
      </w:r>
      <w:r w:rsidR="00BE49A7" w:rsidRPr="00A0027B">
        <w:t xml:space="preserve"> (</w:t>
      </w:r>
      <w:proofErr w:type="spellStart"/>
      <w:r w:rsidR="00BE49A7" w:rsidRPr="00A0027B">
        <w:t>Cq</w:t>
      </w:r>
      <w:proofErr w:type="spellEnd"/>
      <w:r w:rsidR="00BE49A7" w:rsidRPr="00A0027B">
        <w:t>=33)</w:t>
      </w:r>
      <w:r w:rsidR="00933249" w:rsidRPr="00A0027B">
        <w:t xml:space="preserve">. </w:t>
      </w:r>
      <w:r w:rsidR="00396783" w:rsidRPr="00A0027B">
        <w:t xml:space="preserve">One gene copy is roughly equivalent to one viral copy; however, we did not determine quantitative viral copy numbers in saliva due to the semi-quantitative nature of RT-qPCR. </w:t>
      </w:r>
      <w:r w:rsidR="00933249" w:rsidRPr="00A0027B">
        <w:t xml:space="preserve">We attempted to simulate positive saliva samples by spiking synthetic SARS-CoV-2 RNA of known concentrations into virus-free saliva </w:t>
      </w:r>
      <w:r w:rsidR="00D94EB2" w:rsidRPr="00A0027B">
        <w:t xml:space="preserve">(both heat-treated and non-heat treated) </w:t>
      </w:r>
      <w:r w:rsidR="00933249" w:rsidRPr="00A0027B">
        <w:t>but were unable to produce N1 amplification at low concentrations of RNA (Data not shown).</w:t>
      </w:r>
      <w:r w:rsidR="00D94EB2" w:rsidRPr="00A0027B">
        <w:t xml:space="preserve"> </w:t>
      </w:r>
      <w:r w:rsidR="0083010F">
        <w:t>T</w:t>
      </w:r>
      <w:r w:rsidR="00D94EB2" w:rsidRPr="00A0027B">
        <w:t xml:space="preserve">his </w:t>
      </w:r>
      <w:r w:rsidR="0083010F">
        <w:t>might be</w:t>
      </w:r>
      <w:r w:rsidR="00D94EB2" w:rsidRPr="00A0027B">
        <w:t xml:space="preserve"> due to RNase degradation or other confounding factors. </w:t>
      </w:r>
    </w:p>
    <w:p w14:paraId="246B4821" w14:textId="77777777" w:rsidR="00933249" w:rsidRPr="00A0027B" w:rsidRDefault="00933249" w:rsidP="00A0027B"/>
    <w:p w14:paraId="42BAED29" w14:textId="02BDB96C" w:rsidR="00933249" w:rsidRPr="00A0027B" w:rsidRDefault="00B3761D" w:rsidP="00A0027B">
      <w:r w:rsidRPr="00A0027B">
        <w:t>T</w:t>
      </w:r>
      <w:r w:rsidR="00933249" w:rsidRPr="00A0027B">
        <w:t>he inter-and intra-assay variability between automated and manual sample loading methods</w:t>
      </w:r>
      <w:r w:rsidRPr="00A0027B">
        <w:t xml:space="preserve"> was also assessed</w:t>
      </w:r>
      <w:r w:rsidR="00933249" w:rsidRPr="00A0027B">
        <w:t xml:space="preserve">. To evaluate inter-assay variability, 20 unique positive samples </w:t>
      </w:r>
      <w:r w:rsidRPr="00A0027B">
        <w:t xml:space="preserve">were loaded using the </w:t>
      </w:r>
      <w:r w:rsidR="00933249" w:rsidRPr="00A0027B">
        <w:t xml:space="preserve">manual (described in </w:t>
      </w:r>
      <w:r w:rsidRPr="00A0027B">
        <w:t xml:space="preserve">section </w:t>
      </w:r>
      <w:r w:rsidR="00933249" w:rsidRPr="00A0027B">
        <w:t>8.1</w:t>
      </w:r>
      <w:r w:rsidRPr="00A0027B">
        <w:t>–</w:t>
      </w:r>
      <w:r w:rsidR="00933249" w:rsidRPr="00A0027B">
        <w:t xml:space="preserve">8.3) and automated (described in </w:t>
      </w:r>
      <w:r w:rsidR="00A50D47" w:rsidRPr="00A0027B">
        <w:t xml:space="preserve">section </w:t>
      </w:r>
      <w:r w:rsidR="00933249" w:rsidRPr="00A0027B">
        <w:t>7.1</w:t>
      </w:r>
      <w:r w:rsidR="00A50D47" w:rsidRPr="00A0027B">
        <w:t>–</w:t>
      </w:r>
      <w:r w:rsidR="00933249" w:rsidRPr="00A0027B">
        <w:t>7.11) methods. N1 Ct values were compared to determine if liquid handling robots and manual sample loading produced equivalent results (</w:t>
      </w:r>
      <w:r w:rsidR="00933249" w:rsidRPr="00A0027B">
        <w:rPr>
          <w:b/>
          <w:bCs/>
        </w:rPr>
        <w:t>Figure 5A</w:t>
      </w:r>
      <w:r w:rsidR="00933249" w:rsidRPr="00A0027B">
        <w:t>). The linear relationship between manual and automated methods produced a high correlation coefficient (R</w:t>
      </w:r>
      <w:r w:rsidR="00933249" w:rsidRPr="00A0027B">
        <w:rPr>
          <w:vertAlign w:val="superscript"/>
        </w:rPr>
        <w:t>2</w:t>
      </w:r>
      <w:r w:rsidR="00933249" w:rsidRPr="00A0027B">
        <w:t xml:space="preserve"> = 0.9088), indicating that both methods are functionally equivalent. As N1 Ct values increased, variability of Ct values also increased. This trend is likely due to </w:t>
      </w:r>
      <w:r w:rsidR="00A50D47" w:rsidRPr="00A0027B">
        <w:t xml:space="preserve">the </w:t>
      </w:r>
      <w:r w:rsidR="00933249" w:rsidRPr="00A0027B">
        <w:t xml:space="preserve">heterogeneous distribution of viral particles within the saliva, which is more pronounced when fewer particles are present. To evaluate intra-assay variability, </w:t>
      </w:r>
      <w:r w:rsidR="00ED47DC" w:rsidRPr="00A0027B">
        <w:t xml:space="preserve">a comparison between </w:t>
      </w:r>
      <w:r w:rsidR="00933249" w:rsidRPr="00A0027B">
        <w:t>the N1 Ct values from replicate wells of unique saliva samples using both methods of sample loading</w:t>
      </w:r>
      <w:r w:rsidR="00ED47DC" w:rsidRPr="00A0027B">
        <w:t xml:space="preserve"> was done</w:t>
      </w:r>
      <w:r w:rsidR="00933249" w:rsidRPr="00A0027B">
        <w:t xml:space="preserve"> (</w:t>
      </w:r>
      <w:r w:rsidR="00933249" w:rsidRPr="00A0027B">
        <w:rPr>
          <w:b/>
          <w:bCs/>
        </w:rPr>
        <w:t>Figure 5B</w:t>
      </w:r>
      <w:r w:rsidR="00933249" w:rsidRPr="00A0027B">
        <w:t>). The linear relationship between replicates of automated sample loading (R</w:t>
      </w:r>
      <w:r w:rsidR="00933249" w:rsidRPr="00A0027B">
        <w:rPr>
          <w:vertAlign w:val="superscript"/>
        </w:rPr>
        <w:t>2</w:t>
      </w:r>
      <w:r w:rsidR="00933249" w:rsidRPr="00A0027B">
        <w:t xml:space="preserve"> = 0.9622) produced a slightly higher correlation coefficient than that of manual loading (R</w:t>
      </w:r>
      <w:r w:rsidR="00933249" w:rsidRPr="00A0027B">
        <w:rPr>
          <w:vertAlign w:val="superscript"/>
        </w:rPr>
        <w:t>2</w:t>
      </w:r>
      <w:r w:rsidR="00933249" w:rsidRPr="00A0027B">
        <w:t xml:space="preserve"> = 0.9589), indicating high reproducibility of SARS-CoV-2 detection for both loading methods.</w:t>
      </w:r>
    </w:p>
    <w:p w14:paraId="18290933" w14:textId="77777777" w:rsidR="00933249" w:rsidRPr="00A0027B" w:rsidRDefault="00933249" w:rsidP="00A0027B"/>
    <w:p w14:paraId="44443468" w14:textId="31794C0C" w:rsidR="006E4797" w:rsidRPr="00A0027B" w:rsidRDefault="00933249" w:rsidP="00A0027B">
      <w:r w:rsidRPr="00A0027B">
        <w:t xml:space="preserve">Finally, </w:t>
      </w:r>
      <w:r w:rsidR="00ED47DC" w:rsidRPr="00A0027B">
        <w:t xml:space="preserve">an </w:t>
      </w:r>
      <w:r w:rsidRPr="00A0027B">
        <w:t>evaluat</w:t>
      </w:r>
      <w:r w:rsidR="00ED47DC" w:rsidRPr="00A0027B">
        <w:t>ion of</w:t>
      </w:r>
      <w:r w:rsidRPr="00A0027B">
        <w:t xml:space="preserve"> saliva viscosity reduction with respect to </w:t>
      </w:r>
      <w:r w:rsidR="00E74616" w:rsidRPr="00A0027B">
        <w:t xml:space="preserve">the </w:t>
      </w:r>
      <w:r w:rsidRPr="00A0027B">
        <w:t>heat treatment method</w:t>
      </w:r>
      <w:r w:rsidR="00E74616" w:rsidRPr="00A0027B">
        <w:t>s was done</w:t>
      </w:r>
      <w:r w:rsidRPr="00A0027B">
        <w:t xml:space="preserve"> (</w:t>
      </w:r>
      <w:r w:rsidRPr="00A0027B">
        <w:rPr>
          <w:b/>
          <w:bCs/>
        </w:rPr>
        <w:t>Figure 6</w:t>
      </w:r>
      <w:r w:rsidRPr="00A0027B">
        <w:t>)</w:t>
      </w:r>
      <w:r w:rsidRPr="00A0027B">
        <w:rPr>
          <w:b/>
          <w:bCs/>
        </w:rPr>
        <w:t>.</w:t>
      </w:r>
      <w:r w:rsidRPr="00A0027B">
        <w:t xml:space="preserve"> Saliva was obtained from a single source to eliminate sample variability. Greater variability in P1 Ct values within one heat treatment method may be indicative of higher sample viscosity as viscous saliva cannot be aspirated and dispensed precisely. Both </w:t>
      </w:r>
      <w:r w:rsidR="00085B6A" w:rsidRPr="00A0027B">
        <w:t>30 min and 60 min</w:t>
      </w:r>
      <w:r w:rsidRPr="00A0027B">
        <w:t xml:space="preserve"> heat treatment methods produced significantly decreased sample variability when compared to no treatment control (p = 0.0006 and p = 0.0429, respectively). There was no significant difference between 30</w:t>
      </w:r>
      <w:r w:rsidR="00ED36ED" w:rsidRPr="00A0027B">
        <w:t xml:space="preserve"> </w:t>
      </w:r>
      <w:r w:rsidRPr="00A0027B">
        <w:t>min and 60</w:t>
      </w:r>
      <w:r w:rsidR="00ED36ED" w:rsidRPr="00A0027B">
        <w:t xml:space="preserve"> </w:t>
      </w:r>
      <w:r w:rsidRPr="00A0027B">
        <w:t>mi</w:t>
      </w:r>
      <w:r w:rsidR="00ED36ED" w:rsidRPr="00A0027B">
        <w:t>n</w:t>
      </w:r>
      <w:r w:rsidRPr="00A0027B">
        <w:t xml:space="preserve"> treatments (p = 0.2245); therefore, the 30-min heat treatment method </w:t>
      </w:r>
      <w:r w:rsidR="00ED36ED" w:rsidRPr="00A0027B">
        <w:t xml:space="preserve">was implemented </w:t>
      </w:r>
      <w:r w:rsidRPr="00A0027B">
        <w:t>to reduce processing time.</w:t>
      </w:r>
    </w:p>
    <w:p w14:paraId="079B5679" w14:textId="77777777" w:rsidR="006E4797" w:rsidRPr="00A0027B" w:rsidRDefault="006E4797" w:rsidP="00A0027B">
      <w:pPr>
        <w:rPr>
          <w:color w:val="808080"/>
        </w:rPr>
      </w:pPr>
    </w:p>
    <w:p w14:paraId="6D510784" w14:textId="1AA2AA3E" w:rsidR="006E4797" w:rsidRPr="00A0027B" w:rsidRDefault="00551D82" w:rsidP="00A0027B">
      <w:pPr>
        <w:rPr>
          <w:color w:val="808080"/>
        </w:rPr>
      </w:pPr>
      <w:r w:rsidRPr="00A0027B">
        <w:rPr>
          <w:b/>
        </w:rPr>
        <w:t>FIGURE AND TABLE LEGENDS:</w:t>
      </w:r>
      <w:r w:rsidRPr="00A0027B">
        <w:rPr>
          <w:color w:val="808080"/>
        </w:rPr>
        <w:t xml:space="preserve"> </w:t>
      </w:r>
    </w:p>
    <w:p w14:paraId="2D8B9113" w14:textId="0BFD6408" w:rsidR="00CF0313" w:rsidRPr="00A0027B" w:rsidRDefault="00CF0313" w:rsidP="00A0027B">
      <w:r w:rsidRPr="00A0027B">
        <w:rPr>
          <w:b/>
          <w:bCs/>
        </w:rPr>
        <w:t>Figure 1</w:t>
      </w:r>
      <w:r w:rsidR="003F2715" w:rsidRPr="00A0027B">
        <w:rPr>
          <w:b/>
          <w:bCs/>
        </w:rPr>
        <w:t>:</w:t>
      </w:r>
      <w:r w:rsidRPr="00A0027B">
        <w:rPr>
          <w:b/>
          <w:bCs/>
        </w:rPr>
        <w:t xml:space="preserve"> Laboratory workflow utilizing the saliva-based RT-qPCR diagnostic system.</w:t>
      </w:r>
      <w:r w:rsidRPr="00A0027B">
        <w:t xml:space="preserve"> </w:t>
      </w:r>
      <w:r w:rsidR="006D334A" w:rsidRPr="00A0027B">
        <w:t>(</w:t>
      </w:r>
      <w:r w:rsidRPr="00A0027B">
        <w:rPr>
          <w:b/>
          <w:bCs/>
        </w:rPr>
        <w:t>A</w:t>
      </w:r>
      <w:r w:rsidR="006D334A" w:rsidRPr="00A0027B">
        <w:t>)</w:t>
      </w:r>
      <w:r w:rsidRPr="00A0027B">
        <w:t xml:space="preserve"> Samples are collected and </w:t>
      </w:r>
      <w:r w:rsidR="00E34EC0" w:rsidRPr="00A0027B">
        <w:t>heat-</w:t>
      </w:r>
      <w:r w:rsidRPr="00A0027B">
        <w:t>treated at 95</w:t>
      </w:r>
      <w:r w:rsidR="00E34EC0" w:rsidRPr="00A0027B">
        <w:t xml:space="preserve"> </w:t>
      </w:r>
      <w:r w:rsidRPr="00A0027B">
        <w:t xml:space="preserve">°C for 30 min. Treated samples are sorted and tracked with patient information through an in-house spreadsheet system. A liquid handling </w:t>
      </w:r>
      <w:r w:rsidRPr="00A0027B">
        <w:lastRenderedPageBreak/>
        <w:t>robot loads samples into duplicate wells of prepared master</w:t>
      </w:r>
      <w:r w:rsidR="00E34EC0" w:rsidRPr="00A0027B">
        <w:t xml:space="preserve"> </w:t>
      </w:r>
      <w:r w:rsidRPr="00A0027B">
        <w:t xml:space="preserve">mix plates. A technician manually loads the controls, seals the plate, and places the plate in a thermocycler for processing. Results are analyzed through an automated computer system and verified by a technician. </w:t>
      </w:r>
      <w:r w:rsidR="00E34EC0" w:rsidRPr="00A0027B">
        <w:t>(</w:t>
      </w:r>
      <w:r w:rsidRPr="00A0027B">
        <w:rPr>
          <w:b/>
          <w:bCs/>
        </w:rPr>
        <w:t>B</w:t>
      </w:r>
      <w:r w:rsidR="00E34EC0" w:rsidRPr="00A0027B">
        <w:t>)</w:t>
      </w:r>
      <w:r w:rsidRPr="00A0027B">
        <w:t xml:space="preserve"> A technician prepares reagents for </w:t>
      </w:r>
      <w:r w:rsidR="00E34EC0" w:rsidRPr="00A0027B">
        <w:t xml:space="preserve">the </w:t>
      </w:r>
      <w:r w:rsidRPr="00A0027B">
        <w:t>master</w:t>
      </w:r>
      <w:r w:rsidR="00E34EC0" w:rsidRPr="00A0027B">
        <w:t xml:space="preserve"> </w:t>
      </w:r>
      <w:r w:rsidRPr="00A0027B">
        <w:t>mix which are added to a deep well reservoir in a sterile biosafety cabinet. Filled deep well reservoirs are loaded into a dedicated liquid handling robot. Completed plates are sealed with foil, labeled, and stored at 4</w:t>
      </w:r>
      <w:r w:rsidR="00E34EC0" w:rsidRPr="00A0027B">
        <w:t xml:space="preserve"> </w:t>
      </w:r>
      <w:r w:rsidRPr="00A0027B">
        <w:t>°C.</w:t>
      </w:r>
    </w:p>
    <w:p w14:paraId="5E495BD8" w14:textId="77777777" w:rsidR="00CF0313" w:rsidRPr="00A0027B" w:rsidRDefault="00CF0313" w:rsidP="00A0027B"/>
    <w:p w14:paraId="3F55546C" w14:textId="14784818" w:rsidR="00CF0313" w:rsidRPr="00A0027B" w:rsidRDefault="00CF0313" w:rsidP="00A0027B">
      <w:r w:rsidRPr="00A0027B">
        <w:rPr>
          <w:b/>
          <w:bCs/>
        </w:rPr>
        <w:t>Figure 2</w:t>
      </w:r>
      <w:r w:rsidR="00E34EC0" w:rsidRPr="00A0027B">
        <w:rPr>
          <w:b/>
          <w:bCs/>
        </w:rPr>
        <w:t>:</w:t>
      </w:r>
      <w:r w:rsidRPr="00A0027B">
        <w:rPr>
          <w:b/>
          <w:bCs/>
        </w:rPr>
        <w:t xml:space="preserve"> </w:t>
      </w:r>
      <w:r w:rsidR="00FB21A0" w:rsidRPr="00A0027B">
        <w:rPr>
          <w:b/>
          <w:bCs/>
        </w:rPr>
        <w:t>Layouts used for the l</w:t>
      </w:r>
      <w:r w:rsidRPr="00A0027B">
        <w:rPr>
          <w:b/>
          <w:bCs/>
        </w:rPr>
        <w:t xml:space="preserve">iquid </w:t>
      </w:r>
      <w:r w:rsidR="00E34EC0" w:rsidRPr="00A0027B">
        <w:rPr>
          <w:b/>
          <w:bCs/>
        </w:rPr>
        <w:t>h</w:t>
      </w:r>
      <w:r w:rsidRPr="00A0027B">
        <w:rPr>
          <w:b/>
          <w:bCs/>
        </w:rPr>
        <w:t xml:space="preserve">andling </w:t>
      </w:r>
      <w:r w:rsidR="00E34EC0" w:rsidRPr="00A0027B">
        <w:rPr>
          <w:b/>
          <w:bCs/>
        </w:rPr>
        <w:t>r</w:t>
      </w:r>
      <w:r w:rsidRPr="00A0027B">
        <w:rPr>
          <w:b/>
          <w:bCs/>
        </w:rPr>
        <w:t>obot.</w:t>
      </w:r>
      <w:r w:rsidRPr="00A0027B">
        <w:t xml:space="preserve"> </w:t>
      </w:r>
      <w:r w:rsidR="00FB21A0" w:rsidRPr="00A0027B">
        <w:t>(</w:t>
      </w:r>
      <w:r w:rsidRPr="00A0027B">
        <w:rPr>
          <w:b/>
          <w:bCs/>
        </w:rPr>
        <w:t>A</w:t>
      </w:r>
      <w:r w:rsidR="00FB21A0" w:rsidRPr="00A0027B">
        <w:t>)</w:t>
      </w:r>
      <w:r w:rsidRPr="00A0027B">
        <w:t xml:space="preserve"> Deck layout for </w:t>
      </w:r>
      <w:r w:rsidR="006A28A6" w:rsidRPr="00A0027B">
        <w:t>m</w:t>
      </w:r>
      <w:r w:rsidRPr="00A0027B">
        <w:t>aster</w:t>
      </w:r>
      <w:r w:rsidR="00FB21A0" w:rsidRPr="00A0027B">
        <w:t xml:space="preserve"> </w:t>
      </w:r>
      <w:r w:rsidRPr="00A0027B">
        <w:t xml:space="preserve">mix </w:t>
      </w:r>
      <w:r w:rsidR="00FB21A0" w:rsidRPr="00A0027B">
        <w:t>p</w:t>
      </w:r>
      <w:r w:rsidRPr="00A0027B">
        <w:t xml:space="preserve">late </w:t>
      </w:r>
      <w:r w:rsidR="00FB21A0" w:rsidRPr="00A0027B">
        <w:t>p</w:t>
      </w:r>
      <w:r w:rsidRPr="00A0027B">
        <w:t xml:space="preserve">reparation </w:t>
      </w:r>
      <w:r w:rsidR="00FB21A0" w:rsidRPr="00A0027B">
        <w:t>r</w:t>
      </w:r>
      <w:r w:rsidRPr="00A0027B">
        <w:t xml:space="preserve">obot(s). With an eight-channel pipette, the robot is programmed to pick up pipette tips, aspirate </w:t>
      </w:r>
      <w:r w:rsidR="006A28A6" w:rsidRPr="00A0027B">
        <w:t>m</w:t>
      </w:r>
      <w:r w:rsidRPr="00A0027B">
        <w:t>aster</w:t>
      </w:r>
      <w:r w:rsidR="009E3071" w:rsidRPr="00A0027B">
        <w:t xml:space="preserve"> </w:t>
      </w:r>
      <w:r w:rsidRPr="00A0027B">
        <w:t xml:space="preserve">mix from a 96-well deep well reservoir, dispense </w:t>
      </w:r>
      <w:r w:rsidR="006A28A6" w:rsidRPr="00A0027B">
        <w:t>m</w:t>
      </w:r>
      <w:r w:rsidRPr="00A0027B">
        <w:t>aster</w:t>
      </w:r>
      <w:r w:rsidR="009E3071" w:rsidRPr="00A0027B">
        <w:t xml:space="preserve"> </w:t>
      </w:r>
      <w:r w:rsidRPr="00A0027B">
        <w:t xml:space="preserve">mix into empty 384-well plates, and eject the pipette tips into a waste bin. This is repeated for </w:t>
      </w:r>
      <w:r w:rsidR="009E3071" w:rsidRPr="00A0027B">
        <w:t>six</w:t>
      </w:r>
      <w:r w:rsidRPr="00A0027B">
        <w:t xml:space="preserve"> plates per run. </w:t>
      </w:r>
      <w:r w:rsidR="009E3071" w:rsidRPr="00A0027B">
        <w:t>(</w:t>
      </w:r>
      <w:r w:rsidRPr="00A0027B">
        <w:rPr>
          <w:b/>
          <w:bCs/>
        </w:rPr>
        <w:t>B</w:t>
      </w:r>
      <w:r w:rsidR="009E3071" w:rsidRPr="00A0027B">
        <w:t>)</w:t>
      </w:r>
      <w:r w:rsidRPr="00A0027B">
        <w:t xml:space="preserve"> Deck setup for </w:t>
      </w:r>
      <w:r w:rsidR="009E3071" w:rsidRPr="00A0027B">
        <w:t>s</w:t>
      </w:r>
      <w:r w:rsidRPr="00A0027B">
        <w:t xml:space="preserve">ample </w:t>
      </w:r>
      <w:r w:rsidR="009E3071" w:rsidRPr="00A0027B">
        <w:t>l</w:t>
      </w:r>
      <w:r w:rsidRPr="00A0027B">
        <w:t xml:space="preserve">oading </w:t>
      </w:r>
      <w:r w:rsidR="009E3071" w:rsidRPr="00A0027B">
        <w:t>r</w:t>
      </w:r>
      <w:r w:rsidRPr="00A0027B">
        <w:t xml:space="preserve">obot(s). With a single-channel pipette, the robot is programmed to pick up a pipette tip, aspirate a saliva sample, dispense a saliva sample into duplicate wells of a 384-well </w:t>
      </w:r>
      <w:r w:rsidR="006A28A6" w:rsidRPr="00A0027B">
        <w:t>m</w:t>
      </w:r>
      <w:r w:rsidRPr="00A0027B">
        <w:t>aster</w:t>
      </w:r>
      <w:r w:rsidR="009E3071" w:rsidRPr="00A0027B">
        <w:t xml:space="preserve"> </w:t>
      </w:r>
      <w:r w:rsidRPr="00A0027B">
        <w:t xml:space="preserve">mix plate, and eject the pipette tip into a waste bin. This is repeated for 48 samples per run. </w:t>
      </w:r>
      <w:r w:rsidR="009E3071" w:rsidRPr="00A0027B">
        <w:t>(</w:t>
      </w:r>
      <w:r w:rsidRPr="00A0027B">
        <w:rPr>
          <w:b/>
          <w:bCs/>
        </w:rPr>
        <w:t>C</w:t>
      </w:r>
      <w:r w:rsidR="009E3071" w:rsidRPr="00A0027B">
        <w:t>)</w:t>
      </w:r>
      <w:r w:rsidRPr="00A0027B">
        <w:t xml:space="preserve"> Sample tube loading order for 3D printed racks. Red arrows indicate loading order within a rack, and the white boxed numbers indicate </w:t>
      </w:r>
      <w:r w:rsidR="009E3071" w:rsidRPr="00A0027B">
        <w:t xml:space="preserve">the </w:t>
      </w:r>
      <w:r w:rsidRPr="00A0027B">
        <w:t>loading order of the entire set of racks. The entire setup will load 188 samples in duplicate into a 384</w:t>
      </w:r>
      <w:r w:rsidR="004479CC" w:rsidRPr="00A0027B">
        <w:t>-</w:t>
      </w:r>
      <w:r w:rsidRPr="00A0027B">
        <w:t>well plate.</w:t>
      </w:r>
    </w:p>
    <w:p w14:paraId="47947CBD" w14:textId="77777777" w:rsidR="00CF0313" w:rsidRPr="00A0027B" w:rsidRDefault="00CF0313" w:rsidP="00A0027B"/>
    <w:p w14:paraId="26823FC5" w14:textId="4E6FDD01" w:rsidR="00CF0313" w:rsidRPr="00A0027B" w:rsidRDefault="00CF0313" w:rsidP="00A0027B">
      <w:r w:rsidRPr="00A0027B">
        <w:rPr>
          <w:b/>
          <w:bCs/>
        </w:rPr>
        <w:t>Figure 3</w:t>
      </w:r>
      <w:r w:rsidR="004479CC" w:rsidRPr="00A0027B">
        <w:rPr>
          <w:b/>
          <w:bCs/>
        </w:rPr>
        <w:t>:</w:t>
      </w:r>
      <w:r w:rsidRPr="00A0027B">
        <w:rPr>
          <w:b/>
          <w:bCs/>
        </w:rPr>
        <w:t xml:space="preserve"> Sample </w:t>
      </w:r>
      <w:r w:rsidR="00CE32D5" w:rsidRPr="00A0027B">
        <w:rPr>
          <w:b/>
          <w:bCs/>
        </w:rPr>
        <w:t>r</w:t>
      </w:r>
      <w:r w:rsidRPr="00A0027B">
        <w:rPr>
          <w:b/>
          <w:bCs/>
        </w:rPr>
        <w:t xml:space="preserve">esulting </w:t>
      </w:r>
      <w:r w:rsidR="00CE32D5" w:rsidRPr="00A0027B">
        <w:rPr>
          <w:b/>
          <w:bCs/>
        </w:rPr>
        <w:t>f</w:t>
      </w:r>
      <w:r w:rsidRPr="00A0027B">
        <w:rPr>
          <w:b/>
          <w:bCs/>
        </w:rPr>
        <w:t>lowchart.</w:t>
      </w:r>
      <w:r w:rsidRPr="00A0027B">
        <w:t xml:space="preserve"> Samples with valid P1 and positive N1 were determined to be human saliva samples positive for SARS-CoV-2. Valid and positive/negative sample results were considered conclusive. Samples that did not produce conclusive results </w:t>
      </w:r>
      <w:r w:rsidR="00CE32D5" w:rsidRPr="00A0027B">
        <w:t>in the</w:t>
      </w:r>
      <w:r w:rsidRPr="00A0027B">
        <w:t xml:space="preserve"> first run were categorized as </w:t>
      </w:r>
      <w:r w:rsidR="00A770DC" w:rsidRPr="00A0027B">
        <w:t>R</w:t>
      </w:r>
      <w:r w:rsidRPr="00A0027B">
        <w:t xml:space="preserve">erun </w:t>
      </w:r>
      <w:r w:rsidR="00792525" w:rsidRPr="00A0027B">
        <w:t xml:space="preserve">(denoted RR) </w:t>
      </w:r>
      <w:r w:rsidRPr="00A0027B">
        <w:t xml:space="preserve">or N1 </w:t>
      </w:r>
      <w:r w:rsidR="00A770DC" w:rsidRPr="00A0027B">
        <w:t>R</w:t>
      </w:r>
      <w:r w:rsidRPr="00A0027B">
        <w:t>erun</w:t>
      </w:r>
      <w:r w:rsidR="00792525" w:rsidRPr="00A0027B">
        <w:t xml:space="preserve"> (denoted N1 RR)</w:t>
      </w:r>
      <w:r w:rsidRPr="00A0027B">
        <w:t xml:space="preserve">. Rerun samples had no valid P1 amplification, and N1 </w:t>
      </w:r>
      <w:r w:rsidR="00A770DC" w:rsidRPr="00A0027B">
        <w:t>R</w:t>
      </w:r>
      <w:r w:rsidRPr="00A0027B">
        <w:t>erun samples had positive N1 amplification in a single replicate. If no valid P1 amplification could be produced by a subsequent manual run, or both replicates had N1 C</w:t>
      </w:r>
      <w:r w:rsidR="004A31E9" w:rsidRPr="00A0027B">
        <w:t>t</w:t>
      </w:r>
      <w:r w:rsidRPr="00A0027B">
        <w:t xml:space="preserve"> values above the positive threshold (C</w:t>
      </w:r>
      <w:r w:rsidR="004A31E9" w:rsidRPr="00A0027B">
        <w:t>t</w:t>
      </w:r>
      <w:r w:rsidRPr="00A0027B">
        <w:t xml:space="preserve"> &gt;33), the sample results were considered inconclusive. For clinical purposes, patient samples that did not arrive at the lab</w:t>
      </w:r>
      <w:r w:rsidR="0070129F" w:rsidRPr="00A0027B">
        <w:t xml:space="preserve">, </w:t>
      </w:r>
      <w:r w:rsidRPr="00A0027B">
        <w:t xml:space="preserve">had </w:t>
      </w:r>
      <w:r w:rsidR="0070129F" w:rsidRPr="00A0027B">
        <w:t xml:space="preserve">an insufficient quantity of </w:t>
      </w:r>
      <w:r w:rsidRPr="00A0027B">
        <w:t xml:space="preserve">saliva to </w:t>
      </w:r>
      <w:r w:rsidR="00314622" w:rsidRPr="00A0027B">
        <w:t>pipette or</w:t>
      </w:r>
      <w:r w:rsidR="0070129F" w:rsidRPr="00A0027B">
        <w:t xml:space="preserve"> were damaged </w:t>
      </w:r>
      <w:r w:rsidRPr="00A0027B">
        <w:t>were considered invalid.</w:t>
      </w:r>
    </w:p>
    <w:p w14:paraId="6DD52BA0" w14:textId="77777777" w:rsidR="00CF0313" w:rsidRPr="00A0027B" w:rsidRDefault="00CF0313" w:rsidP="00A0027B"/>
    <w:p w14:paraId="25F788C5" w14:textId="24743AC1" w:rsidR="00CF0313" w:rsidRPr="00A0027B" w:rsidRDefault="00CF0313" w:rsidP="00A0027B">
      <w:r w:rsidRPr="00A0027B">
        <w:rPr>
          <w:b/>
          <w:bCs/>
        </w:rPr>
        <w:t>Figure 4</w:t>
      </w:r>
      <w:r w:rsidR="00FD25BA" w:rsidRPr="00A0027B">
        <w:rPr>
          <w:b/>
          <w:bCs/>
        </w:rPr>
        <w:t>:</w:t>
      </w:r>
      <w:r w:rsidRPr="00A0027B">
        <w:rPr>
          <w:b/>
          <w:bCs/>
        </w:rPr>
        <w:t xml:space="preserve"> RT-qPCR detection of N1 </w:t>
      </w:r>
      <w:r w:rsidR="00FD25BA" w:rsidRPr="00A0027B">
        <w:rPr>
          <w:b/>
          <w:bCs/>
        </w:rPr>
        <w:t>(</w:t>
      </w:r>
      <w:r w:rsidRPr="00A0027B">
        <w:rPr>
          <w:b/>
          <w:bCs/>
        </w:rPr>
        <w:t>SARS-CoV-2</w:t>
      </w:r>
      <w:r w:rsidR="00FD25BA" w:rsidRPr="00A0027B">
        <w:rPr>
          <w:b/>
          <w:bCs/>
        </w:rPr>
        <w:t>)</w:t>
      </w:r>
      <w:r w:rsidRPr="00A0027B">
        <w:rPr>
          <w:b/>
          <w:bCs/>
        </w:rPr>
        <w:t xml:space="preserve"> synthetic RNA and P1 (Hs_RPP30) synthetic DNA.</w:t>
      </w:r>
      <w:r w:rsidRPr="00A0027B">
        <w:t xml:space="preserve"> Standard curves were plotted with standard deviations to determine the range of accurate detection using this probe/primer combination. </w:t>
      </w:r>
      <w:r w:rsidR="006031BB" w:rsidRPr="00A0027B">
        <w:t>(</w:t>
      </w:r>
      <w:r w:rsidRPr="00A0027B">
        <w:rPr>
          <w:b/>
          <w:bCs/>
        </w:rPr>
        <w:t>A</w:t>
      </w:r>
      <w:r w:rsidR="006031BB" w:rsidRPr="00A0027B">
        <w:t>)</w:t>
      </w:r>
      <w:r w:rsidRPr="00A0027B">
        <w:t xml:space="preserve"> The mean Ct values (n =4) obtained in respective dilutions were plotted against the estimated quantity of synthetic RNA (1x10</w:t>
      </w:r>
      <w:r w:rsidRPr="00A0027B">
        <w:rPr>
          <w:vertAlign w:val="superscript"/>
        </w:rPr>
        <w:t>0</w:t>
      </w:r>
      <w:r w:rsidRPr="00A0027B">
        <w:t xml:space="preserve"> to 1x10</w:t>
      </w:r>
      <w:r w:rsidRPr="00A0027B">
        <w:rPr>
          <w:vertAlign w:val="superscript"/>
        </w:rPr>
        <w:t>4</w:t>
      </w:r>
      <w:r w:rsidRPr="00A0027B">
        <w:t xml:space="preserve"> RNA copies in 10 </w:t>
      </w:r>
      <w:proofErr w:type="spellStart"/>
      <w:r w:rsidRPr="00A0027B">
        <w:t>μL</w:t>
      </w:r>
      <w:proofErr w:type="spellEnd"/>
      <w:r w:rsidRPr="00A0027B">
        <w:t xml:space="preserve"> </w:t>
      </w:r>
      <w:r w:rsidR="00A639F5" w:rsidRPr="00A0027B">
        <w:t xml:space="preserve">of </w:t>
      </w:r>
      <w:r w:rsidRPr="00A0027B">
        <w:t>RT-qPCR reaction).</w:t>
      </w:r>
      <w:r w:rsidR="007C1D52" w:rsidRPr="00A0027B">
        <w:t xml:space="preserve"> </w:t>
      </w:r>
      <w:r w:rsidR="00A639F5" w:rsidRPr="00A0027B">
        <w:t>(</w:t>
      </w:r>
      <w:r w:rsidRPr="00A0027B">
        <w:rPr>
          <w:b/>
          <w:bCs/>
        </w:rPr>
        <w:t>B</w:t>
      </w:r>
      <w:r w:rsidR="00A639F5" w:rsidRPr="00A0027B">
        <w:t>)</w:t>
      </w:r>
      <w:r w:rsidRPr="00A0027B">
        <w:t xml:space="preserve"> The mean Ct values (n =3) obtained in respective dilutions were plotted against the estimated quantity of synthetic DNA (1</w:t>
      </w:r>
      <w:r w:rsidR="00317989">
        <w:t xml:space="preserve"> </w:t>
      </w:r>
      <w:r w:rsidRPr="00A0027B">
        <w:t>x</w:t>
      </w:r>
      <w:r w:rsidR="00317989">
        <w:t xml:space="preserve"> </w:t>
      </w:r>
      <w:r w:rsidRPr="00A0027B">
        <w:t>10</w:t>
      </w:r>
      <w:r w:rsidRPr="00A0027B">
        <w:rPr>
          <w:vertAlign w:val="superscript"/>
        </w:rPr>
        <w:t>0</w:t>
      </w:r>
      <w:r w:rsidRPr="00A0027B">
        <w:t xml:space="preserve"> to 1</w:t>
      </w:r>
      <w:r w:rsidR="00317989">
        <w:t xml:space="preserve"> </w:t>
      </w:r>
      <w:r w:rsidRPr="00A0027B">
        <w:t>x</w:t>
      </w:r>
      <w:r w:rsidR="00317989">
        <w:t xml:space="preserve"> </w:t>
      </w:r>
      <w:r w:rsidRPr="00A0027B">
        <w:t>10</w:t>
      </w:r>
      <w:r w:rsidRPr="00A0027B">
        <w:rPr>
          <w:vertAlign w:val="superscript"/>
        </w:rPr>
        <w:t>4</w:t>
      </w:r>
      <w:r w:rsidRPr="00A0027B">
        <w:t xml:space="preserve"> gene copies </w:t>
      </w:r>
      <w:r w:rsidR="00A0096E" w:rsidRPr="00A0027B">
        <w:t>in 10</w:t>
      </w:r>
      <w:r w:rsidRPr="00A0027B">
        <w:t xml:space="preserve"> </w:t>
      </w:r>
      <w:proofErr w:type="spellStart"/>
      <w:r w:rsidRPr="00A0027B">
        <w:t>μL</w:t>
      </w:r>
      <w:proofErr w:type="spellEnd"/>
      <w:r w:rsidR="00A639F5" w:rsidRPr="00A0027B">
        <w:t xml:space="preserve"> of</w:t>
      </w:r>
      <w:r w:rsidRPr="00A0027B">
        <w:t xml:space="preserve"> RT-qPCR reaction). </w:t>
      </w:r>
    </w:p>
    <w:p w14:paraId="2446B9EC" w14:textId="77777777" w:rsidR="00CF0313" w:rsidRPr="00A0027B" w:rsidRDefault="00CF0313" w:rsidP="00A0027B"/>
    <w:p w14:paraId="485749BB" w14:textId="564B6761" w:rsidR="00CF0313" w:rsidRPr="00A0027B" w:rsidRDefault="00CF0313" w:rsidP="00A0027B">
      <w:r w:rsidRPr="00A0027B">
        <w:rPr>
          <w:b/>
          <w:bCs/>
        </w:rPr>
        <w:t>Figure 5</w:t>
      </w:r>
      <w:r w:rsidR="00A639F5" w:rsidRPr="00A0027B">
        <w:rPr>
          <w:b/>
          <w:bCs/>
        </w:rPr>
        <w:t>:</w:t>
      </w:r>
      <w:r w:rsidRPr="00A0027B">
        <w:rPr>
          <w:b/>
          <w:bCs/>
        </w:rPr>
        <w:t xml:space="preserve"> Comparison between manual and automated saliva transfer SARS-CoV-2 </w:t>
      </w:r>
      <w:r w:rsidR="00CC00F7" w:rsidRPr="00A0027B">
        <w:rPr>
          <w:b/>
          <w:bCs/>
        </w:rPr>
        <w:t>(</w:t>
      </w:r>
      <w:r w:rsidRPr="00A0027B">
        <w:rPr>
          <w:b/>
          <w:bCs/>
        </w:rPr>
        <w:t>N1</w:t>
      </w:r>
      <w:r w:rsidR="00CC00F7" w:rsidRPr="00A0027B">
        <w:rPr>
          <w:b/>
          <w:bCs/>
        </w:rPr>
        <w:t>)</w:t>
      </w:r>
      <w:r w:rsidRPr="00A0027B">
        <w:rPr>
          <w:b/>
          <w:bCs/>
        </w:rPr>
        <w:t xml:space="preserve"> Ct values.</w:t>
      </w:r>
      <w:r w:rsidRPr="00A0027B">
        <w:t xml:space="preserve"> </w:t>
      </w:r>
      <w:r w:rsidR="00CC00F7" w:rsidRPr="00A0027B">
        <w:t>The k</w:t>
      </w:r>
      <w:r w:rsidRPr="00A0027B">
        <w:t>nown SARS-CoV-2 positive saliva samples (n =20) were loaded in duplicate into an RT-qPCR master</w:t>
      </w:r>
      <w:r w:rsidR="00CC00F7" w:rsidRPr="00A0027B">
        <w:t xml:space="preserve"> </w:t>
      </w:r>
      <w:r w:rsidRPr="00A0027B">
        <w:t xml:space="preserve">mix plate by a liquid handling robot. </w:t>
      </w:r>
      <w:r w:rsidR="000E1F1F" w:rsidRPr="00A0027B">
        <w:t xml:space="preserve">The samples </w:t>
      </w:r>
      <w:r w:rsidR="00CC00F7" w:rsidRPr="00A0027B">
        <w:t xml:space="preserve">have a </w:t>
      </w:r>
      <w:r w:rsidR="00127234" w:rsidRPr="00A0027B">
        <w:t xml:space="preserve">Ct value ranging </w:t>
      </w:r>
      <w:r w:rsidR="000E1F1F" w:rsidRPr="00A0027B">
        <w:t>from 18</w:t>
      </w:r>
      <w:r w:rsidR="00127234" w:rsidRPr="00A0027B">
        <w:t>–</w:t>
      </w:r>
      <w:r w:rsidR="000E1F1F" w:rsidRPr="00A0027B">
        <w:t xml:space="preserve">32 </w:t>
      </w:r>
      <w:r w:rsidR="00127234" w:rsidRPr="00A0027B">
        <w:t xml:space="preserve">for </w:t>
      </w:r>
      <w:r w:rsidR="000E1F1F" w:rsidRPr="00A0027B">
        <w:t xml:space="preserve">N1. </w:t>
      </w:r>
      <w:r w:rsidRPr="00A0027B">
        <w:t xml:space="preserve">The same samples were then manually loaded into duplicate wells in a different plate location. </w:t>
      </w:r>
      <w:r w:rsidR="001121E3" w:rsidRPr="00A0027B">
        <w:t>(</w:t>
      </w:r>
      <w:r w:rsidRPr="00A0027B">
        <w:rPr>
          <w:b/>
          <w:bCs/>
        </w:rPr>
        <w:t>A</w:t>
      </w:r>
      <w:r w:rsidR="001121E3" w:rsidRPr="00A0027B">
        <w:t>)</w:t>
      </w:r>
      <w:r w:rsidRPr="00A0027B">
        <w:t xml:space="preserve"> N1 Ct values obtained from unique samples </w:t>
      </w:r>
      <w:r w:rsidR="001121E3" w:rsidRPr="00A0027B">
        <w:t xml:space="preserve">using </w:t>
      </w:r>
      <w:r w:rsidRPr="00A0027B">
        <w:t xml:space="preserve">both </w:t>
      </w:r>
      <w:r w:rsidR="001121E3" w:rsidRPr="00A0027B">
        <w:t xml:space="preserve">the </w:t>
      </w:r>
      <w:r w:rsidRPr="00A0027B">
        <w:t xml:space="preserve">robot and manual sample loading were transposed to determine inter-assay variability between manual and robot loading. </w:t>
      </w:r>
      <w:r w:rsidR="00DB26E5" w:rsidRPr="00A0027B">
        <w:t>(</w:t>
      </w:r>
      <w:r w:rsidRPr="00A0027B">
        <w:rPr>
          <w:b/>
          <w:bCs/>
        </w:rPr>
        <w:t>B</w:t>
      </w:r>
      <w:r w:rsidR="00DB26E5" w:rsidRPr="00A0027B">
        <w:t>)</w:t>
      </w:r>
      <w:r w:rsidRPr="00A0027B">
        <w:t xml:space="preserve"> Intra-assay variability was also determined </w:t>
      </w:r>
      <w:r w:rsidR="00DB26E5" w:rsidRPr="00A0027B">
        <w:t xml:space="preserve">by using </w:t>
      </w:r>
      <w:r w:rsidRPr="00A0027B">
        <w:t>transposed replicate</w:t>
      </w:r>
      <w:r w:rsidR="00DB26E5" w:rsidRPr="00A0027B">
        <w:t xml:space="preserve"> of</w:t>
      </w:r>
      <w:r w:rsidRPr="00A0027B">
        <w:t xml:space="preserve"> N1 Ct values obtained from both robot and manual sample loading</w:t>
      </w:r>
      <w:r w:rsidR="000E1F1F" w:rsidRPr="00A0027B">
        <w:t>.</w:t>
      </w:r>
    </w:p>
    <w:p w14:paraId="57B47136" w14:textId="77777777" w:rsidR="00CF0313" w:rsidRPr="00A0027B" w:rsidRDefault="00CF0313" w:rsidP="00A0027B"/>
    <w:p w14:paraId="32EAFD7D" w14:textId="53C303D5" w:rsidR="006E4797" w:rsidRPr="00A0027B" w:rsidRDefault="00CF0313" w:rsidP="00A0027B">
      <w:r w:rsidRPr="00A0027B">
        <w:rPr>
          <w:b/>
          <w:bCs/>
        </w:rPr>
        <w:t>Figure 6</w:t>
      </w:r>
      <w:r w:rsidR="005C1BB7" w:rsidRPr="00A0027B">
        <w:rPr>
          <w:b/>
          <w:bCs/>
        </w:rPr>
        <w:t>:</w:t>
      </w:r>
      <w:r w:rsidRPr="00A0027B">
        <w:rPr>
          <w:b/>
          <w:bCs/>
        </w:rPr>
        <w:t xml:space="preserve"> Evaluation of heat treatment methods for viscosity reduction in saliva.</w:t>
      </w:r>
      <w:r w:rsidRPr="00A0027B">
        <w:t xml:space="preserve"> SARS-CoV-2 negative saliva was collected from a single source and aliquots were </w:t>
      </w:r>
      <w:r w:rsidR="005C1BB7" w:rsidRPr="00A0027B">
        <w:t>heat-</w:t>
      </w:r>
      <w:r w:rsidRPr="00A0027B">
        <w:t>treated for either 0 min, 30 min</w:t>
      </w:r>
      <w:r w:rsidR="005C1BB7" w:rsidRPr="00A0027B">
        <w:t>,</w:t>
      </w:r>
      <w:r w:rsidRPr="00A0027B">
        <w:t xml:space="preserve"> or 60 min at 95</w:t>
      </w:r>
      <w:r w:rsidR="00BC0861" w:rsidRPr="00A0027B">
        <w:t xml:space="preserve"> </w:t>
      </w:r>
      <w:r w:rsidRPr="00A0027B">
        <w:t xml:space="preserve">°C. P1 Ct values from technical replicates (n =12) of each condition were plotted to determine variability between treatment methods. Pairwise comparisons between groups were evaluated with an unpaired t-test (*** indicates p &lt;0.001, * indicates p &lt;0.05). </w:t>
      </w:r>
    </w:p>
    <w:p w14:paraId="4047CA98" w14:textId="1D340CE0" w:rsidR="00CF0313" w:rsidRPr="00A0027B" w:rsidRDefault="00CF0313" w:rsidP="00A0027B"/>
    <w:p w14:paraId="003D9BB8" w14:textId="5E857F66" w:rsidR="007A3B83" w:rsidRPr="00A0027B" w:rsidRDefault="007A3B83" w:rsidP="00A0027B">
      <w:r w:rsidRPr="00A0027B">
        <w:rPr>
          <w:b/>
          <w:bCs/>
        </w:rPr>
        <w:t>Supplemental Figure 1</w:t>
      </w:r>
      <w:r w:rsidR="006631D8" w:rsidRPr="00A0027B">
        <w:rPr>
          <w:b/>
          <w:bCs/>
        </w:rPr>
        <w:t>:</w:t>
      </w:r>
      <w:r w:rsidRPr="00A0027B">
        <w:rPr>
          <w:b/>
          <w:bCs/>
        </w:rPr>
        <w:t xml:space="preserve"> Comparison of N1 Ct in low P1 Ct saliva samples. </w:t>
      </w:r>
      <w:r w:rsidR="006631D8" w:rsidRPr="00A0027B">
        <w:t>The</w:t>
      </w:r>
      <w:r w:rsidRPr="00A0027B">
        <w:t xml:space="preserve"> positive samples with low P1 Ct </w:t>
      </w:r>
      <w:r w:rsidR="006631D8" w:rsidRPr="00A0027B">
        <w:t xml:space="preserve">were selected </w:t>
      </w:r>
      <w:r w:rsidRPr="00A0027B">
        <w:t>and compared with the N1 Ct (n</w:t>
      </w:r>
      <w:r w:rsidR="00860819" w:rsidRPr="00A0027B">
        <w:t xml:space="preserve"> </w:t>
      </w:r>
      <w:r w:rsidRPr="00A0027B">
        <w:t>=106). The N1 Ct values ranged from 14</w:t>
      </w:r>
      <w:r w:rsidR="00860819" w:rsidRPr="00A0027B">
        <w:t>–</w:t>
      </w:r>
      <w:r w:rsidRPr="00A0027B">
        <w:t>33, indicating the assay has a dynamic range in saliva samples that is comparable to the standard curve.</w:t>
      </w:r>
    </w:p>
    <w:p w14:paraId="5B20B55E" w14:textId="77777777" w:rsidR="007A3B83" w:rsidRPr="00A0027B" w:rsidRDefault="007A3B83" w:rsidP="00A0027B">
      <w:pPr>
        <w:rPr>
          <w:b/>
          <w:bCs/>
        </w:rPr>
      </w:pPr>
    </w:p>
    <w:p w14:paraId="5A7B4613" w14:textId="2C44F0F7" w:rsidR="00CF0313" w:rsidRPr="00A0027B" w:rsidRDefault="00CF0313" w:rsidP="00A0027B">
      <w:pPr>
        <w:rPr>
          <w:b/>
          <w:bCs/>
        </w:rPr>
      </w:pPr>
      <w:r w:rsidRPr="00A0027B">
        <w:rPr>
          <w:b/>
          <w:bCs/>
        </w:rPr>
        <w:t>Table 1</w:t>
      </w:r>
      <w:r w:rsidR="00860819" w:rsidRPr="00A0027B">
        <w:rPr>
          <w:b/>
          <w:bCs/>
        </w:rPr>
        <w:t>:</w:t>
      </w:r>
      <w:r w:rsidRPr="00A0027B">
        <w:rPr>
          <w:b/>
          <w:bCs/>
        </w:rPr>
        <w:t xml:space="preserve"> Components of N1+P1 </w:t>
      </w:r>
      <w:r w:rsidR="00860819" w:rsidRPr="00A0027B">
        <w:rPr>
          <w:b/>
          <w:bCs/>
        </w:rPr>
        <w:t>p</w:t>
      </w:r>
      <w:r w:rsidRPr="00A0027B">
        <w:rPr>
          <w:b/>
          <w:bCs/>
        </w:rPr>
        <w:t>robe/</w:t>
      </w:r>
      <w:r w:rsidR="00860819" w:rsidRPr="00A0027B">
        <w:rPr>
          <w:b/>
          <w:bCs/>
        </w:rPr>
        <w:t>p</w:t>
      </w:r>
      <w:r w:rsidRPr="00A0027B">
        <w:rPr>
          <w:b/>
          <w:bCs/>
        </w:rPr>
        <w:t xml:space="preserve">rimer </w:t>
      </w:r>
      <w:r w:rsidR="00860819" w:rsidRPr="00A0027B">
        <w:rPr>
          <w:b/>
          <w:bCs/>
        </w:rPr>
        <w:t>m</w:t>
      </w:r>
      <w:r w:rsidRPr="00A0027B">
        <w:rPr>
          <w:b/>
          <w:bCs/>
        </w:rPr>
        <w:t>ix.</w:t>
      </w:r>
    </w:p>
    <w:p w14:paraId="463C35A5" w14:textId="77777777" w:rsidR="00CF0313" w:rsidRPr="00A0027B" w:rsidRDefault="00CF0313" w:rsidP="00A0027B"/>
    <w:p w14:paraId="0EE2E69E" w14:textId="08867C66" w:rsidR="00CF0313" w:rsidRPr="00A0027B" w:rsidRDefault="00CF0313" w:rsidP="00A0027B">
      <w:pPr>
        <w:rPr>
          <w:b/>
          <w:bCs/>
        </w:rPr>
      </w:pPr>
      <w:r w:rsidRPr="00A0027B">
        <w:rPr>
          <w:b/>
          <w:bCs/>
        </w:rPr>
        <w:t>Table 2</w:t>
      </w:r>
      <w:r w:rsidR="00860819" w:rsidRPr="00A0027B">
        <w:rPr>
          <w:b/>
          <w:bCs/>
        </w:rPr>
        <w:t>:</w:t>
      </w:r>
      <w:r w:rsidRPr="00A0027B">
        <w:rPr>
          <w:b/>
          <w:bCs/>
        </w:rPr>
        <w:t xml:space="preserve"> Components of </w:t>
      </w:r>
      <w:r w:rsidR="00860819" w:rsidRPr="00A0027B">
        <w:rPr>
          <w:b/>
          <w:bCs/>
        </w:rPr>
        <w:t>m</w:t>
      </w:r>
      <w:r w:rsidRPr="00A0027B">
        <w:rPr>
          <w:b/>
          <w:bCs/>
        </w:rPr>
        <w:t xml:space="preserve">ultiplex SARS-CoV-2 </w:t>
      </w:r>
      <w:r w:rsidR="00860819" w:rsidRPr="00A0027B">
        <w:rPr>
          <w:b/>
          <w:bCs/>
        </w:rPr>
        <w:t>m</w:t>
      </w:r>
      <w:r w:rsidRPr="00A0027B">
        <w:rPr>
          <w:b/>
          <w:bCs/>
        </w:rPr>
        <w:t>aster</w:t>
      </w:r>
      <w:r w:rsidR="00860819" w:rsidRPr="00A0027B">
        <w:rPr>
          <w:b/>
          <w:bCs/>
        </w:rPr>
        <w:t xml:space="preserve"> </w:t>
      </w:r>
      <w:r w:rsidRPr="00A0027B">
        <w:rPr>
          <w:b/>
          <w:bCs/>
        </w:rPr>
        <w:t>mix.</w:t>
      </w:r>
    </w:p>
    <w:p w14:paraId="31B5EF8D" w14:textId="77777777" w:rsidR="00CF0313" w:rsidRPr="00A0027B" w:rsidRDefault="00CF0313" w:rsidP="00A0027B"/>
    <w:p w14:paraId="70DEB72D" w14:textId="6567232F" w:rsidR="00CF0313" w:rsidRPr="00A0027B" w:rsidRDefault="00CF0313" w:rsidP="00A0027B">
      <w:r w:rsidRPr="00A0027B">
        <w:rPr>
          <w:b/>
          <w:bCs/>
        </w:rPr>
        <w:t>Table 3</w:t>
      </w:r>
      <w:r w:rsidR="00860819" w:rsidRPr="00A0027B">
        <w:rPr>
          <w:b/>
          <w:bCs/>
        </w:rPr>
        <w:t>:</w:t>
      </w:r>
      <w:r w:rsidRPr="00A0027B">
        <w:rPr>
          <w:b/>
          <w:bCs/>
        </w:rPr>
        <w:t xml:space="preserve"> Touchdown RT-qPCR</w:t>
      </w:r>
      <w:r w:rsidR="00860819" w:rsidRPr="00A0027B">
        <w:rPr>
          <w:b/>
          <w:bCs/>
        </w:rPr>
        <w:t xml:space="preserve"> p</w:t>
      </w:r>
      <w:r w:rsidRPr="00A0027B">
        <w:rPr>
          <w:b/>
          <w:bCs/>
        </w:rPr>
        <w:t>rotocol</w:t>
      </w:r>
      <w:r w:rsidRPr="00A0027B">
        <w:t xml:space="preserve">. Thermocycling conditions for </w:t>
      </w:r>
      <w:r w:rsidR="00860819" w:rsidRPr="00A0027B">
        <w:t>o</w:t>
      </w:r>
      <w:r w:rsidRPr="00A0027B">
        <w:t>ne</w:t>
      </w:r>
      <w:r w:rsidR="00860819" w:rsidRPr="00A0027B">
        <w:t>-s</w:t>
      </w:r>
      <w:r w:rsidRPr="00A0027B">
        <w:t>tep RT-qPCR SARS-CoV-2 diagnostic assay.</w:t>
      </w:r>
    </w:p>
    <w:p w14:paraId="59AE6FD4" w14:textId="25055708" w:rsidR="007A3B83" w:rsidRPr="00A0027B" w:rsidRDefault="007A3B83" w:rsidP="00A0027B"/>
    <w:p w14:paraId="58E89516" w14:textId="6F54D9AD" w:rsidR="007A3B83" w:rsidRPr="00A0027B" w:rsidRDefault="007A3B83" w:rsidP="00A0027B">
      <w:r w:rsidRPr="00A0027B">
        <w:rPr>
          <w:b/>
          <w:bCs/>
        </w:rPr>
        <w:t>Table 4</w:t>
      </w:r>
      <w:r w:rsidR="00860819" w:rsidRPr="00A0027B">
        <w:rPr>
          <w:b/>
          <w:bCs/>
        </w:rPr>
        <w:t>:</w:t>
      </w:r>
      <w:r w:rsidRPr="00A0027B">
        <w:rPr>
          <w:b/>
          <w:bCs/>
        </w:rPr>
        <w:t xml:space="preserve"> Comparison of </w:t>
      </w:r>
      <w:r w:rsidR="00860819" w:rsidRPr="00A0027B">
        <w:rPr>
          <w:b/>
          <w:bCs/>
        </w:rPr>
        <w:t>t</w:t>
      </w:r>
      <w:r w:rsidRPr="00A0027B">
        <w:rPr>
          <w:b/>
          <w:bCs/>
        </w:rPr>
        <w:t xml:space="preserve">ouchdown Ct values for five positive samples against </w:t>
      </w:r>
      <w:r w:rsidR="00860819" w:rsidRPr="00A0027B">
        <w:rPr>
          <w:b/>
          <w:bCs/>
        </w:rPr>
        <w:t>n</w:t>
      </w:r>
      <w:r w:rsidRPr="00A0027B">
        <w:rPr>
          <w:b/>
          <w:bCs/>
        </w:rPr>
        <w:t xml:space="preserve">o </w:t>
      </w:r>
      <w:r w:rsidR="00860819" w:rsidRPr="00A0027B">
        <w:rPr>
          <w:b/>
          <w:bCs/>
        </w:rPr>
        <w:t>t</w:t>
      </w:r>
      <w:r w:rsidRPr="00A0027B">
        <w:rPr>
          <w:b/>
          <w:bCs/>
        </w:rPr>
        <w:t>ouchdown Ct values.</w:t>
      </w:r>
    </w:p>
    <w:p w14:paraId="082E39DF" w14:textId="4D1F9DA1" w:rsidR="007A3B83" w:rsidRPr="00A0027B" w:rsidRDefault="007A3B83" w:rsidP="00A0027B"/>
    <w:p w14:paraId="50EF06B3" w14:textId="60A01597" w:rsidR="007A3B83" w:rsidRPr="00A0027B" w:rsidRDefault="007A3B83" w:rsidP="00A0027B">
      <w:r w:rsidRPr="00A0027B">
        <w:rPr>
          <w:b/>
          <w:bCs/>
        </w:rPr>
        <w:t>Table 5</w:t>
      </w:r>
      <w:r w:rsidR="00860819" w:rsidRPr="00A0027B">
        <w:rPr>
          <w:b/>
          <w:bCs/>
        </w:rPr>
        <w:t>:</w:t>
      </w:r>
      <w:r w:rsidRPr="00A0027B">
        <w:t xml:space="preserve"> </w:t>
      </w:r>
      <w:r w:rsidRPr="00A0027B">
        <w:rPr>
          <w:b/>
          <w:bCs/>
        </w:rPr>
        <w:t xml:space="preserve">Comparison of </w:t>
      </w:r>
      <w:proofErr w:type="spellStart"/>
      <w:r w:rsidRPr="00A0027B">
        <w:rPr>
          <w:b/>
          <w:bCs/>
        </w:rPr>
        <w:t>TigerSaliva</w:t>
      </w:r>
      <w:proofErr w:type="spellEnd"/>
      <w:r w:rsidRPr="00A0027B">
        <w:rPr>
          <w:b/>
          <w:bCs/>
        </w:rPr>
        <w:t xml:space="preserve"> Ct </w:t>
      </w:r>
      <w:r w:rsidR="00860819" w:rsidRPr="00A0027B">
        <w:rPr>
          <w:b/>
          <w:bCs/>
        </w:rPr>
        <w:t>r</w:t>
      </w:r>
      <w:r w:rsidRPr="00A0027B">
        <w:rPr>
          <w:b/>
          <w:bCs/>
        </w:rPr>
        <w:t xml:space="preserve">esults and </w:t>
      </w:r>
      <w:r w:rsidR="00D97940" w:rsidRPr="00D97940">
        <w:rPr>
          <w:b/>
          <w:bCs/>
        </w:rPr>
        <w:t>commercially available saliva-based SARS-CoV-2 assay</w:t>
      </w:r>
      <w:r w:rsidRPr="00A0027B">
        <w:rPr>
          <w:b/>
          <w:bCs/>
        </w:rPr>
        <w:t xml:space="preserve"> </w:t>
      </w:r>
      <w:r w:rsidR="00860819" w:rsidRPr="00A0027B">
        <w:rPr>
          <w:b/>
          <w:bCs/>
        </w:rPr>
        <w:t>r</w:t>
      </w:r>
      <w:r w:rsidRPr="00A0027B">
        <w:rPr>
          <w:b/>
          <w:bCs/>
        </w:rPr>
        <w:t>esults.</w:t>
      </w:r>
      <w:r w:rsidRPr="00A0027B">
        <w:t xml:space="preserve"> Both assays were performed on the same saliva samples (n</w:t>
      </w:r>
      <w:r w:rsidR="00860819" w:rsidRPr="00A0027B">
        <w:t xml:space="preserve"> </w:t>
      </w:r>
      <w:r w:rsidRPr="00A0027B">
        <w:t>=8).</w:t>
      </w:r>
    </w:p>
    <w:p w14:paraId="19D25AAA" w14:textId="4DBF477C" w:rsidR="009D56D0" w:rsidRPr="00A0027B" w:rsidRDefault="009D56D0" w:rsidP="00A0027B"/>
    <w:p w14:paraId="6EEA781D" w14:textId="2CA1024C" w:rsidR="00626BE5" w:rsidRPr="00A0027B" w:rsidRDefault="00626BE5" w:rsidP="00A0027B">
      <w:pPr>
        <w:rPr>
          <w:b/>
          <w:bCs/>
        </w:rPr>
      </w:pPr>
      <w:r w:rsidRPr="00A0027B">
        <w:rPr>
          <w:b/>
          <w:bCs/>
        </w:rPr>
        <w:t xml:space="preserve">Supplemental File 1: Custom </w:t>
      </w:r>
      <w:r w:rsidR="009D3E82" w:rsidRPr="00A0027B">
        <w:rPr>
          <w:b/>
          <w:bCs/>
        </w:rPr>
        <w:t>s</w:t>
      </w:r>
      <w:r w:rsidRPr="00A0027B">
        <w:rPr>
          <w:b/>
          <w:bCs/>
        </w:rPr>
        <w:t xml:space="preserve">cript for </w:t>
      </w:r>
      <w:r w:rsidR="009D3E82" w:rsidRPr="00A0027B">
        <w:rPr>
          <w:b/>
          <w:bCs/>
        </w:rPr>
        <w:t>r</w:t>
      </w:r>
      <w:r w:rsidRPr="00A0027B">
        <w:rPr>
          <w:b/>
          <w:bCs/>
        </w:rPr>
        <w:t xml:space="preserve">obot </w:t>
      </w:r>
      <w:r w:rsidR="009D3E82" w:rsidRPr="00A0027B">
        <w:rPr>
          <w:b/>
          <w:bCs/>
        </w:rPr>
        <w:t>m</w:t>
      </w:r>
      <w:r w:rsidRPr="00A0027B">
        <w:rPr>
          <w:b/>
          <w:bCs/>
        </w:rPr>
        <w:t xml:space="preserve">aster </w:t>
      </w:r>
      <w:r w:rsidR="009D3E82" w:rsidRPr="00A0027B">
        <w:rPr>
          <w:b/>
          <w:bCs/>
        </w:rPr>
        <w:t>m</w:t>
      </w:r>
      <w:r w:rsidRPr="00A0027B">
        <w:rPr>
          <w:b/>
          <w:bCs/>
        </w:rPr>
        <w:t xml:space="preserve">ix </w:t>
      </w:r>
      <w:r w:rsidR="009D3E82" w:rsidRPr="00A0027B">
        <w:rPr>
          <w:b/>
          <w:bCs/>
        </w:rPr>
        <w:t>p</w:t>
      </w:r>
      <w:r w:rsidRPr="00A0027B">
        <w:rPr>
          <w:b/>
          <w:bCs/>
        </w:rPr>
        <w:t xml:space="preserve">late </w:t>
      </w:r>
      <w:r w:rsidR="009D3E82" w:rsidRPr="00A0027B">
        <w:rPr>
          <w:b/>
          <w:bCs/>
        </w:rPr>
        <w:t>c</w:t>
      </w:r>
      <w:r w:rsidRPr="00A0027B">
        <w:rPr>
          <w:b/>
          <w:bCs/>
        </w:rPr>
        <w:t xml:space="preserve">reation. </w:t>
      </w:r>
    </w:p>
    <w:p w14:paraId="7E2858D5" w14:textId="77777777" w:rsidR="00626BE5" w:rsidRPr="00A0027B" w:rsidRDefault="00626BE5" w:rsidP="00A0027B">
      <w:pPr>
        <w:rPr>
          <w:b/>
          <w:bCs/>
        </w:rPr>
      </w:pPr>
    </w:p>
    <w:p w14:paraId="22EE832C" w14:textId="631D19B6" w:rsidR="00626BE5" w:rsidRPr="00A0027B" w:rsidRDefault="00626BE5" w:rsidP="00A0027B">
      <w:pPr>
        <w:rPr>
          <w:b/>
          <w:bCs/>
        </w:rPr>
      </w:pPr>
      <w:r w:rsidRPr="00A0027B">
        <w:rPr>
          <w:b/>
          <w:bCs/>
        </w:rPr>
        <w:t xml:space="preserve">Supplemental File 2: Custom </w:t>
      </w:r>
      <w:r w:rsidR="009D3E82" w:rsidRPr="00A0027B">
        <w:rPr>
          <w:b/>
          <w:bCs/>
        </w:rPr>
        <w:t>s</w:t>
      </w:r>
      <w:r w:rsidRPr="00A0027B">
        <w:rPr>
          <w:b/>
          <w:bCs/>
        </w:rPr>
        <w:t xml:space="preserve">cript for </w:t>
      </w:r>
      <w:r w:rsidR="009D3E82" w:rsidRPr="00A0027B">
        <w:rPr>
          <w:b/>
          <w:bCs/>
        </w:rPr>
        <w:t>saliva processing on s</w:t>
      </w:r>
      <w:r w:rsidRPr="00A0027B">
        <w:rPr>
          <w:b/>
          <w:bCs/>
        </w:rPr>
        <w:t xml:space="preserve">ample </w:t>
      </w:r>
      <w:r w:rsidR="009D3E82" w:rsidRPr="00A0027B">
        <w:rPr>
          <w:b/>
          <w:bCs/>
        </w:rPr>
        <w:t>l</w:t>
      </w:r>
      <w:r w:rsidRPr="00A0027B">
        <w:rPr>
          <w:b/>
          <w:bCs/>
        </w:rPr>
        <w:t xml:space="preserve">oading </w:t>
      </w:r>
      <w:r w:rsidR="009D3E82" w:rsidRPr="00A0027B">
        <w:rPr>
          <w:b/>
          <w:bCs/>
        </w:rPr>
        <w:t>r</w:t>
      </w:r>
      <w:r w:rsidRPr="00A0027B">
        <w:rPr>
          <w:b/>
          <w:bCs/>
        </w:rPr>
        <w:t xml:space="preserve">obots. </w:t>
      </w:r>
    </w:p>
    <w:p w14:paraId="27F81EF4" w14:textId="77777777" w:rsidR="00626BE5" w:rsidRPr="00A0027B" w:rsidRDefault="00626BE5" w:rsidP="00A0027B">
      <w:pPr>
        <w:rPr>
          <w:b/>
          <w:bCs/>
        </w:rPr>
      </w:pPr>
    </w:p>
    <w:p w14:paraId="4DF5C995" w14:textId="174872D2" w:rsidR="00626BE5" w:rsidRPr="00A0027B" w:rsidRDefault="00626BE5" w:rsidP="00A0027B">
      <w:pPr>
        <w:rPr>
          <w:b/>
          <w:bCs/>
        </w:rPr>
      </w:pPr>
      <w:r w:rsidRPr="00A0027B">
        <w:rPr>
          <w:b/>
          <w:bCs/>
        </w:rPr>
        <w:t xml:space="preserve">Supplemental File 3: Instructions for self-collection of high-quality saliva samples from participants. </w:t>
      </w:r>
      <w:r w:rsidR="00D57DC7">
        <w:t>Further details can be found in the</w:t>
      </w:r>
      <w:r w:rsidRPr="00A0027B">
        <w:t xml:space="preserve"> short video description of the testing process available at https://www.clemson.edu/centers-institutes/reddilab/index.html.</w:t>
      </w:r>
    </w:p>
    <w:p w14:paraId="5136C12C" w14:textId="77777777" w:rsidR="00626BE5" w:rsidRPr="00A0027B" w:rsidRDefault="00626BE5" w:rsidP="00A0027B">
      <w:pPr>
        <w:rPr>
          <w:b/>
          <w:bCs/>
        </w:rPr>
      </w:pPr>
    </w:p>
    <w:p w14:paraId="2966C80D" w14:textId="330D1A64" w:rsidR="00626BE5" w:rsidRPr="00A0027B" w:rsidRDefault="00626BE5" w:rsidP="00A0027B">
      <w:pPr>
        <w:rPr>
          <w:b/>
          <w:bCs/>
        </w:rPr>
      </w:pPr>
      <w:r w:rsidRPr="00A0027B">
        <w:rPr>
          <w:b/>
          <w:bCs/>
        </w:rPr>
        <w:t xml:space="preserve">Supplemental File 4: Sample </w:t>
      </w:r>
      <w:r w:rsidR="009D3E82" w:rsidRPr="00A0027B">
        <w:rPr>
          <w:b/>
          <w:bCs/>
        </w:rPr>
        <w:t>i</w:t>
      </w:r>
      <w:r w:rsidRPr="00A0027B">
        <w:rPr>
          <w:b/>
          <w:bCs/>
        </w:rPr>
        <w:t xml:space="preserve">ntake </w:t>
      </w:r>
      <w:r w:rsidR="009D3E82" w:rsidRPr="00A0027B">
        <w:rPr>
          <w:b/>
          <w:bCs/>
        </w:rPr>
        <w:t>s</w:t>
      </w:r>
      <w:r w:rsidRPr="00A0027B">
        <w:rPr>
          <w:b/>
          <w:bCs/>
        </w:rPr>
        <w:t>preadsheet</w:t>
      </w:r>
      <w:r w:rsidR="009D3E82" w:rsidRPr="00A0027B">
        <w:rPr>
          <w:b/>
          <w:bCs/>
        </w:rPr>
        <w:t>.</w:t>
      </w:r>
    </w:p>
    <w:p w14:paraId="44BEAED9" w14:textId="77777777" w:rsidR="00626BE5" w:rsidRPr="00A0027B" w:rsidRDefault="00626BE5" w:rsidP="00A0027B">
      <w:pPr>
        <w:rPr>
          <w:b/>
          <w:bCs/>
        </w:rPr>
      </w:pPr>
    </w:p>
    <w:p w14:paraId="56E9574B" w14:textId="2F24FE0E" w:rsidR="00626BE5" w:rsidRPr="00A0027B" w:rsidRDefault="00626BE5" w:rsidP="00A0027B">
      <w:pPr>
        <w:rPr>
          <w:b/>
          <w:bCs/>
        </w:rPr>
      </w:pPr>
      <w:r w:rsidRPr="00A0027B">
        <w:rPr>
          <w:b/>
          <w:bCs/>
        </w:rPr>
        <w:t xml:space="preserve">Supplemental File </w:t>
      </w:r>
      <w:r w:rsidR="009D3E82" w:rsidRPr="00A0027B">
        <w:rPr>
          <w:b/>
          <w:bCs/>
        </w:rPr>
        <w:t>5</w:t>
      </w:r>
      <w:r w:rsidRPr="00A0027B">
        <w:rPr>
          <w:b/>
          <w:bCs/>
        </w:rPr>
        <w:t>:</w:t>
      </w:r>
      <w:r w:rsidR="009D3E82" w:rsidRPr="00A0027B">
        <w:rPr>
          <w:b/>
          <w:bCs/>
        </w:rPr>
        <w:t xml:space="preserve"> Sample loading spreadsheet.</w:t>
      </w:r>
    </w:p>
    <w:p w14:paraId="45C1EC33" w14:textId="77777777" w:rsidR="00626BE5" w:rsidRPr="00A0027B" w:rsidRDefault="00626BE5" w:rsidP="00A0027B">
      <w:pPr>
        <w:rPr>
          <w:b/>
          <w:bCs/>
        </w:rPr>
      </w:pPr>
    </w:p>
    <w:p w14:paraId="66382648" w14:textId="7ECA0675" w:rsidR="00626BE5" w:rsidRPr="00A0027B" w:rsidRDefault="00626BE5" w:rsidP="00A0027B">
      <w:pPr>
        <w:rPr>
          <w:b/>
          <w:bCs/>
        </w:rPr>
      </w:pPr>
      <w:r w:rsidRPr="00A0027B">
        <w:rPr>
          <w:b/>
          <w:bCs/>
        </w:rPr>
        <w:t xml:space="preserve">Supplemental File </w:t>
      </w:r>
      <w:r w:rsidR="009D3E82" w:rsidRPr="00A0027B">
        <w:rPr>
          <w:b/>
          <w:bCs/>
        </w:rPr>
        <w:t>6</w:t>
      </w:r>
      <w:r w:rsidRPr="00A0027B">
        <w:rPr>
          <w:b/>
          <w:bCs/>
        </w:rPr>
        <w:t xml:space="preserve">: </w:t>
      </w:r>
      <w:r w:rsidR="009D3E82" w:rsidRPr="00A0027B">
        <w:rPr>
          <w:b/>
          <w:bCs/>
        </w:rPr>
        <w:t>Sample 384-well plate layout diagram.</w:t>
      </w:r>
    </w:p>
    <w:p w14:paraId="2A8FF819" w14:textId="77777777" w:rsidR="00CF0313" w:rsidRPr="00A0027B" w:rsidRDefault="00CF0313" w:rsidP="00A0027B">
      <w:pPr>
        <w:rPr>
          <w:color w:val="808080"/>
        </w:rPr>
      </w:pPr>
    </w:p>
    <w:p w14:paraId="7C0B6465" w14:textId="70E4F547" w:rsidR="006E4797" w:rsidRPr="00A0027B" w:rsidRDefault="00551D82" w:rsidP="00A0027B">
      <w:pPr>
        <w:rPr>
          <w:color w:val="808080"/>
        </w:rPr>
      </w:pPr>
      <w:r w:rsidRPr="00A0027B">
        <w:rPr>
          <w:b/>
        </w:rPr>
        <w:t xml:space="preserve">DISCUSSION: </w:t>
      </w:r>
    </w:p>
    <w:p w14:paraId="1C46FF06" w14:textId="2DCBDEB4" w:rsidR="00CA6D2A" w:rsidRPr="00A0027B" w:rsidRDefault="00785795" w:rsidP="00A0027B">
      <w:r w:rsidRPr="00A0027B">
        <w:t>The</w:t>
      </w:r>
      <w:r w:rsidR="00CA6D2A" w:rsidRPr="00A0027B">
        <w:t xml:space="preserve"> assay </w:t>
      </w:r>
      <w:r w:rsidRPr="00A0027B">
        <w:t xml:space="preserve">described in the protocol </w:t>
      </w:r>
      <w:r w:rsidR="00141BE4">
        <w:t>was assessed by an</w:t>
      </w:r>
      <w:r w:rsidR="00CA6D2A" w:rsidRPr="00A0027B">
        <w:t xml:space="preserve"> independent validation study</w:t>
      </w:r>
      <w:r w:rsidR="00141BE4">
        <w:t>.</w:t>
      </w:r>
      <w:r w:rsidR="00CA6D2A" w:rsidRPr="00A0027B">
        <w:t xml:space="preserve"> </w:t>
      </w:r>
      <w:r w:rsidR="00141BE4">
        <w:t>I</w:t>
      </w:r>
      <w:r w:rsidRPr="00A0027B">
        <w:t>t was</w:t>
      </w:r>
      <w:r w:rsidR="00CA6D2A" w:rsidRPr="00A0027B">
        <w:t xml:space="preserve"> found that the assay had 98.9% specificity (1.1% false positive) and 90.0% sensitivity (10.0% false negative) when evaluated against paired nasopharyngeal swabs taken at the same time (n</w:t>
      </w:r>
      <w:r w:rsidRPr="00A0027B">
        <w:t xml:space="preserve"> </w:t>
      </w:r>
      <w:r w:rsidR="00CA6D2A" w:rsidRPr="00A0027B">
        <w:t>=837</w:t>
      </w:r>
      <w:r w:rsidRPr="00A0027B">
        <w:t>;</w:t>
      </w:r>
      <w:r w:rsidR="00CA6D2A" w:rsidRPr="00A0027B">
        <w:t xml:space="preserve"> </w:t>
      </w:r>
      <w:r w:rsidR="00CA6D2A" w:rsidRPr="00A0027B">
        <w:lastRenderedPageBreak/>
        <w:t>817 negative</w:t>
      </w:r>
      <w:r w:rsidRPr="00A0027B">
        <w:t>s</w:t>
      </w:r>
      <w:r w:rsidR="00CA6D2A" w:rsidRPr="00A0027B">
        <w:t xml:space="preserve">, 20 positive). Importantly, three participants who tested positive with </w:t>
      </w:r>
      <w:proofErr w:type="spellStart"/>
      <w:r w:rsidR="00CA6D2A" w:rsidRPr="00A0027B">
        <w:t>TigerSaliva</w:t>
      </w:r>
      <w:proofErr w:type="spellEnd"/>
      <w:r w:rsidR="00CA6D2A" w:rsidRPr="00A0027B">
        <w:t xml:space="preserve"> and negative with a nasopharyngeal swab </w:t>
      </w:r>
      <w:r w:rsidR="00A50CB5" w:rsidRPr="00A0027B">
        <w:t xml:space="preserve">were </w:t>
      </w:r>
      <w:r w:rsidR="00CA6D2A" w:rsidRPr="00A0027B">
        <w:t xml:space="preserve">retested with swabs 48 h later and returned positive results, indicating that </w:t>
      </w:r>
      <w:proofErr w:type="spellStart"/>
      <w:r w:rsidR="00CA6D2A" w:rsidRPr="00A0027B">
        <w:t>TigerSaliva</w:t>
      </w:r>
      <w:proofErr w:type="spellEnd"/>
      <w:r w:rsidR="00CA6D2A" w:rsidRPr="00A0027B">
        <w:t xml:space="preserve"> may be able to detect SARS-CoV-2 infections earlier in the course of illness. </w:t>
      </w:r>
    </w:p>
    <w:p w14:paraId="6B6286BA" w14:textId="77777777" w:rsidR="00CA6D2A" w:rsidRPr="00A0027B" w:rsidRDefault="00CA6D2A" w:rsidP="00A0027B"/>
    <w:p w14:paraId="5BEEF654" w14:textId="3E75BEC6" w:rsidR="00FB5E32" w:rsidRPr="00A0027B" w:rsidRDefault="008A6113" w:rsidP="00A0027B">
      <w:r>
        <w:t xml:space="preserve">The protocol was used </w:t>
      </w:r>
      <w:r w:rsidR="00FB5E32" w:rsidRPr="00A0027B">
        <w:t xml:space="preserve">to determine the Ct limit in saliva </w:t>
      </w:r>
      <w:r w:rsidR="00F57D3E">
        <w:t>by</w:t>
      </w:r>
      <w:r w:rsidR="00FB5E32" w:rsidRPr="00A0027B">
        <w:t xml:space="preserve"> simulating positive saliva samples</w:t>
      </w:r>
      <w:r w:rsidR="009F1273" w:rsidRPr="00A0027B">
        <w:t xml:space="preserve"> by </w:t>
      </w:r>
      <w:r w:rsidR="00FB5E32" w:rsidRPr="00A0027B">
        <w:t xml:space="preserve">spiking </w:t>
      </w:r>
      <w:r w:rsidR="006F3013">
        <w:t xml:space="preserve">with </w:t>
      </w:r>
      <w:r w:rsidR="00FB5E32" w:rsidRPr="00A0027B">
        <w:t>known concentrations of synthetic SARS-CoV-2 RNA into virus-free saliva (both heat-treated and non-heat treated)</w:t>
      </w:r>
      <w:r w:rsidR="009F1273" w:rsidRPr="00A0027B">
        <w:t xml:space="preserve"> and performing a </w:t>
      </w:r>
      <w:r w:rsidR="006F3013">
        <w:t>10</w:t>
      </w:r>
      <w:r w:rsidR="009F1273" w:rsidRPr="00A0027B">
        <w:t>-fold dilution</w:t>
      </w:r>
      <w:r w:rsidR="00FB5E32" w:rsidRPr="00A0027B">
        <w:t xml:space="preserve">. </w:t>
      </w:r>
      <w:r w:rsidR="009F1273" w:rsidRPr="00A0027B">
        <w:t>T</w:t>
      </w:r>
      <w:r w:rsidR="00FB5E32" w:rsidRPr="00A0027B">
        <w:t>he N1 gene was not detectable below 10,000 gene copies (</w:t>
      </w:r>
      <w:r w:rsidR="009F1273" w:rsidRPr="00A0027B">
        <w:t>approx</w:t>
      </w:r>
      <w:r w:rsidR="008E63EB">
        <w:t xml:space="preserve">imately </w:t>
      </w:r>
      <w:r w:rsidR="009F1273" w:rsidRPr="00A0027B">
        <w:t>Ct = 28) in simulated positive samples</w:t>
      </w:r>
      <w:r w:rsidR="00FB5E32" w:rsidRPr="00A0027B">
        <w:t>.</w:t>
      </w:r>
      <w:r w:rsidR="00A0027B">
        <w:t xml:space="preserve"> </w:t>
      </w:r>
      <w:r w:rsidR="009F1273" w:rsidRPr="00A0027B">
        <w:t xml:space="preserve">We </w:t>
      </w:r>
      <w:r w:rsidR="00FB5E32" w:rsidRPr="00A0027B">
        <w:t>suspect this is due to RNase degradation or other confounding factors.</w:t>
      </w:r>
      <w:r w:rsidR="009F1273" w:rsidRPr="00A0027B">
        <w:t xml:space="preserve"> However, the interaction of saliva RNases with naked synthetic RNA is likely different from the interaction with viral particles, even after they have been denatured by heat. </w:t>
      </w:r>
      <w:r w:rsidR="00F24005">
        <w:t>P</w:t>
      </w:r>
      <w:r w:rsidR="009F1273" w:rsidRPr="00A0027B">
        <w:t xml:space="preserve">ositive saliva samples </w:t>
      </w:r>
      <w:r w:rsidR="00F24005">
        <w:t xml:space="preserve">have been </w:t>
      </w:r>
      <w:r w:rsidR="00F24005" w:rsidRPr="00A0027B">
        <w:t xml:space="preserve">identified </w:t>
      </w:r>
      <w:r w:rsidR="009F1273" w:rsidRPr="00A0027B">
        <w:t>with Ct &gt;30 and external labs obtained SARS-CoV-2 genetic sequence data from these samples. We speculate that the viral proteins provide protection from RNA degradation in patient saliva samples.</w:t>
      </w:r>
      <w:r w:rsidR="005B4B6A" w:rsidRPr="00A0027B">
        <w:t xml:space="preserve"> </w:t>
      </w:r>
    </w:p>
    <w:p w14:paraId="11494AEF" w14:textId="77777777" w:rsidR="00FB5E32" w:rsidRPr="00A0027B" w:rsidRDefault="00FB5E32" w:rsidP="00A0027B"/>
    <w:p w14:paraId="564DF11F" w14:textId="4A5A9D17" w:rsidR="00614CD9" w:rsidRPr="00A0027B" w:rsidRDefault="00843D67" w:rsidP="00A0027B">
      <w:r w:rsidRPr="00A0027B">
        <w:t>The most critical step in the protocol is the implementation of automation for master</w:t>
      </w:r>
      <w:r w:rsidR="00A50CB5" w:rsidRPr="00A0027B">
        <w:t xml:space="preserve"> </w:t>
      </w:r>
      <w:r w:rsidRPr="00A0027B">
        <w:t xml:space="preserve">mix preparation and </w:t>
      </w:r>
      <w:r w:rsidR="0091270F" w:rsidRPr="00A0027B">
        <w:t>saliva</w:t>
      </w:r>
      <w:r w:rsidRPr="00A0027B">
        <w:t xml:space="preserve"> sample processing (</w:t>
      </w:r>
      <w:r w:rsidR="00A50CB5" w:rsidRPr="00A0027B">
        <w:t>s</w:t>
      </w:r>
      <w:r w:rsidRPr="00A0027B">
        <w:t>ections 4 and 7</w:t>
      </w:r>
      <w:r w:rsidR="00A50CB5" w:rsidRPr="00A0027B">
        <w:t xml:space="preserve"> </w:t>
      </w:r>
      <w:r w:rsidRPr="00A0027B">
        <w:t xml:space="preserve">respectively). </w:t>
      </w:r>
      <w:r w:rsidR="00614CD9" w:rsidRPr="00A0027B">
        <w:t>This allows for overlapping task processes, which drastically reduces turnaround time. Another critical step is clinical result interpretation (</w:t>
      </w:r>
      <w:r w:rsidR="007632E9" w:rsidRPr="00A0027B">
        <w:t>s</w:t>
      </w:r>
      <w:r w:rsidR="00614CD9" w:rsidRPr="00A0027B">
        <w:t>ections 11</w:t>
      </w:r>
      <w:r w:rsidR="007632E9" w:rsidRPr="00A0027B">
        <w:t xml:space="preserve"> and </w:t>
      </w:r>
      <w:r w:rsidR="00614CD9" w:rsidRPr="00A0027B">
        <w:t>12).</w:t>
      </w:r>
      <w:r w:rsidR="00D7002C" w:rsidRPr="00A0027B">
        <w:t xml:space="preserve"> Establishing intermediate result categories (</w:t>
      </w:r>
      <w:r w:rsidR="00A770DC" w:rsidRPr="00A0027B">
        <w:t>R</w:t>
      </w:r>
      <w:r w:rsidR="00D7002C" w:rsidRPr="00A0027B">
        <w:t xml:space="preserve">erun and N1 </w:t>
      </w:r>
      <w:r w:rsidR="00A770DC" w:rsidRPr="00A0027B">
        <w:t>R</w:t>
      </w:r>
      <w:r w:rsidR="00D7002C" w:rsidRPr="00A0027B">
        <w:t xml:space="preserve">erun) </w:t>
      </w:r>
      <w:r w:rsidR="00865B0B" w:rsidRPr="00A0027B">
        <w:t xml:space="preserve">also </w:t>
      </w:r>
      <w:r w:rsidR="00D7002C" w:rsidRPr="00A0027B">
        <w:t xml:space="preserve">minimized </w:t>
      </w:r>
      <w:r w:rsidR="0091270F" w:rsidRPr="00A0027B">
        <w:t>the occurrence of</w:t>
      </w:r>
      <w:r w:rsidR="00D7002C" w:rsidRPr="00A0027B">
        <w:t xml:space="preserve"> inconclusive </w:t>
      </w:r>
      <w:r w:rsidR="0091270F" w:rsidRPr="00A0027B">
        <w:t xml:space="preserve">test </w:t>
      </w:r>
      <w:r w:rsidR="00D7002C" w:rsidRPr="00A0027B">
        <w:t>results.</w:t>
      </w:r>
    </w:p>
    <w:p w14:paraId="3B3503E8" w14:textId="77777777" w:rsidR="00614CD9" w:rsidRPr="00A0027B" w:rsidRDefault="00614CD9" w:rsidP="00A0027B"/>
    <w:p w14:paraId="6F134895" w14:textId="4BB25335" w:rsidR="00CF0313" w:rsidRPr="00A0027B" w:rsidRDefault="0091270F" w:rsidP="00A0027B">
      <w:r w:rsidRPr="00A0027B">
        <w:t>We</w:t>
      </w:r>
      <w:r w:rsidR="00CF0313" w:rsidRPr="00A0027B">
        <w:t xml:space="preserve"> demonstrated that variation between manual and automated saliva sample loading </w:t>
      </w:r>
      <w:r w:rsidRPr="00A0027B">
        <w:t xml:space="preserve">methods </w:t>
      </w:r>
      <w:r w:rsidR="00CF0313" w:rsidRPr="00A0027B">
        <w:t>is negligible (</w:t>
      </w:r>
      <w:r w:rsidR="00CF0313" w:rsidRPr="00A0027B">
        <w:rPr>
          <w:b/>
          <w:bCs/>
        </w:rPr>
        <w:t>Figure 5A</w:t>
      </w:r>
      <w:proofErr w:type="gramStart"/>
      <w:r w:rsidR="006A28A6" w:rsidRPr="00A0027B">
        <w:t>)</w:t>
      </w:r>
      <w:proofErr w:type="gramEnd"/>
      <w:r w:rsidR="00CF0313" w:rsidRPr="00A0027B">
        <w:t xml:space="preserve"> and that automation may improve </w:t>
      </w:r>
      <w:r w:rsidR="00865B0B" w:rsidRPr="00A0027B">
        <w:t xml:space="preserve">the </w:t>
      </w:r>
      <w:r w:rsidR="00CF0313" w:rsidRPr="00A0027B">
        <w:t>reproducibility of SARS-CoV-2 detection (</w:t>
      </w:r>
      <w:r w:rsidR="00CF0313" w:rsidRPr="00A0027B">
        <w:rPr>
          <w:b/>
          <w:bCs/>
        </w:rPr>
        <w:t>Figure 5B</w:t>
      </w:r>
      <w:r w:rsidR="00CF0313" w:rsidRPr="00A0027B">
        <w:t>). Automation should be favored to facilitate testing when designing and expanding clinical labs</w:t>
      </w:r>
      <w:r w:rsidR="00CF0313" w:rsidRPr="00A0027B">
        <w:rPr>
          <w:vertAlign w:val="superscript"/>
        </w:rPr>
        <w:t>25</w:t>
      </w:r>
      <w:r w:rsidR="00CE0A5B">
        <w:t>. L</w:t>
      </w:r>
      <w:r w:rsidR="00CF0313" w:rsidRPr="00A0027B">
        <w:t>aboratory workflow is improved with the implementation of robot-automated tasks</w:t>
      </w:r>
      <w:r w:rsidR="00CF0313" w:rsidRPr="00A0027B">
        <w:rPr>
          <w:vertAlign w:val="superscript"/>
        </w:rPr>
        <w:t>26</w:t>
      </w:r>
      <w:r w:rsidR="00CF0313" w:rsidRPr="00A0027B">
        <w:t xml:space="preserve">. Open-source capabilities of the liquid handling robots allow for </w:t>
      </w:r>
      <w:r w:rsidR="00141FF0" w:rsidRPr="00A0027B">
        <w:t xml:space="preserve">the </w:t>
      </w:r>
      <w:r w:rsidR="00CF0313" w:rsidRPr="00A0027B">
        <w:t xml:space="preserve">implementation of custom scripting for protocol design. This makes liquid handling robots inexpensive and </w:t>
      </w:r>
      <w:r w:rsidR="00882DAD">
        <w:t xml:space="preserve">acts a </w:t>
      </w:r>
      <w:r w:rsidR="00CF0313" w:rsidRPr="00A0027B">
        <w:t>highly modifiable system compared to traditional clinical automation methods</w:t>
      </w:r>
      <w:r w:rsidR="00BA07D8">
        <w:t xml:space="preserve">. It is also </w:t>
      </w:r>
      <w:r w:rsidR="00CF0313" w:rsidRPr="00A0027B">
        <w:t xml:space="preserve">an ideal strategy for executing highly repetitive laboratory tasks. </w:t>
      </w:r>
      <w:r w:rsidR="000B556D" w:rsidRPr="00A0027B">
        <w:t xml:space="preserve">The high level of customizability of </w:t>
      </w:r>
      <w:r w:rsidR="00BA07D8">
        <w:t>the</w:t>
      </w:r>
      <w:r w:rsidR="000B556D" w:rsidRPr="00A0027B">
        <w:t xml:space="preserve"> system translates to freedom to alter labware</w:t>
      </w:r>
      <w:r w:rsidR="00BA07D8">
        <w:t xml:space="preserve"> </w:t>
      </w:r>
      <w:r w:rsidR="00BA07D8" w:rsidRPr="00A0027B">
        <w:t>(e.g., collection tubes, pipette tips, or 384-well plates)</w:t>
      </w:r>
      <w:r w:rsidR="000B556D" w:rsidRPr="00A0027B">
        <w:t xml:space="preserve"> in case of shortages. </w:t>
      </w:r>
      <w:r w:rsidR="00CF0313" w:rsidRPr="00A0027B">
        <w:t xml:space="preserve">Therefore, automation </w:t>
      </w:r>
      <w:r w:rsidR="004C2AFD" w:rsidRPr="00A0027B">
        <w:t xml:space="preserve">by using </w:t>
      </w:r>
      <w:r w:rsidR="00CF0313" w:rsidRPr="00A0027B">
        <w:t>liquid handling robots is viable for both large-scale and small-scale surveillance and research.</w:t>
      </w:r>
    </w:p>
    <w:p w14:paraId="51D45FB5" w14:textId="77777777" w:rsidR="00CF0313" w:rsidRPr="00A0027B" w:rsidRDefault="00CF0313" w:rsidP="00A0027B"/>
    <w:p w14:paraId="5B688C07" w14:textId="0CDCED76" w:rsidR="00CF0313" w:rsidRPr="00A0027B" w:rsidRDefault="00CF0313" w:rsidP="00A0027B">
      <w:r w:rsidRPr="00A0027B">
        <w:t xml:space="preserve">A major advantage of this testing strategy is a much shorter turnaround time relative to other clinical labs. </w:t>
      </w:r>
      <w:r w:rsidR="00E31F13" w:rsidRPr="00A0027B">
        <w:t xml:space="preserve">The utilization </w:t>
      </w:r>
      <w:r w:rsidRPr="00A0027B">
        <w:t>of automated liquid handling robots play</w:t>
      </w:r>
      <w:r w:rsidR="00E31F13" w:rsidRPr="00A0027B">
        <w:t>s</w:t>
      </w:r>
      <w:r w:rsidRPr="00A0027B">
        <w:t xml:space="preserve"> a key role in reducing turnaround time, but concurrent use of robots and thermocyclers </w:t>
      </w:r>
      <w:r w:rsidR="00E31F13" w:rsidRPr="00A0027B">
        <w:t>is</w:t>
      </w:r>
      <w:r w:rsidRPr="00A0027B">
        <w:t xml:space="preserve"> also instrumental in maximizing testing efficiency. One robot and thermocycler should be operated as a pair, where both machines are used in tandem for uninterrupted sample loading and sample result analysis. Once a steady flow of assigned samples is established, all machine pairs can be operated simultaneously. Constant concurrent use of robots and thermocyclers drastically increases testing capacity and efficiency, which is crucial to accommodate </w:t>
      </w:r>
      <w:r w:rsidR="00A943F8" w:rsidRPr="00A0027B">
        <w:t xml:space="preserve">the </w:t>
      </w:r>
      <w:r w:rsidRPr="00A0027B">
        <w:t>high testing volume.</w:t>
      </w:r>
    </w:p>
    <w:p w14:paraId="54D0CA40" w14:textId="77777777" w:rsidR="00CF0313" w:rsidRPr="00A0027B" w:rsidRDefault="00CF0313" w:rsidP="00A0027B"/>
    <w:p w14:paraId="68EBCDB1" w14:textId="45FB6045" w:rsidR="00CF0313" w:rsidRPr="00A0027B" w:rsidRDefault="00D94EB2" w:rsidP="00A0027B">
      <w:r w:rsidRPr="00A0027B">
        <w:t>I</w:t>
      </w:r>
      <w:r w:rsidR="00CF0313" w:rsidRPr="00A0027B">
        <w:t xml:space="preserve">n contrast with other established SARS-CoV-2 RT-qPCR protocols, we included a touchdown step in the thermocycler protocol to improve annealing of the probe and primer sets to the target </w:t>
      </w:r>
      <w:r w:rsidR="00CF0313" w:rsidRPr="00A0027B">
        <w:lastRenderedPageBreak/>
        <w:t>genes</w:t>
      </w:r>
      <w:r w:rsidR="00CF0313" w:rsidRPr="00A0027B">
        <w:rPr>
          <w:vertAlign w:val="superscript"/>
        </w:rPr>
        <w:t>27</w:t>
      </w:r>
      <w:r w:rsidR="00CF0313" w:rsidRPr="00A0027B">
        <w:t xml:space="preserve">, reducing the risk of failed amplification. </w:t>
      </w:r>
      <w:r w:rsidR="00375878" w:rsidRPr="00A0027B">
        <w:t xml:space="preserve">The results </w:t>
      </w:r>
      <w:r w:rsidR="00282A87" w:rsidRPr="00A0027B">
        <w:t xml:space="preserve">demonstrated that the touchdown improved </w:t>
      </w:r>
      <w:r w:rsidR="007F6598" w:rsidRPr="00A0027B">
        <w:t xml:space="preserve">the </w:t>
      </w:r>
      <w:r w:rsidR="00282A87" w:rsidRPr="00A0027B">
        <w:t>detection of positive samples without risking the loss of specific primer binding (</w:t>
      </w:r>
      <w:r w:rsidR="00282A87" w:rsidRPr="00A0027B">
        <w:rPr>
          <w:b/>
          <w:bCs/>
        </w:rPr>
        <w:t xml:space="preserve">Table </w:t>
      </w:r>
      <w:r w:rsidR="004C3DE6" w:rsidRPr="00A0027B">
        <w:rPr>
          <w:b/>
          <w:bCs/>
        </w:rPr>
        <w:t>4</w:t>
      </w:r>
      <w:r w:rsidR="00282A87" w:rsidRPr="00A0027B">
        <w:t>)</w:t>
      </w:r>
      <w:r w:rsidR="00387ED8" w:rsidRPr="00A0027B">
        <w:t xml:space="preserve">. </w:t>
      </w:r>
      <w:r w:rsidR="00CF0313" w:rsidRPr="00A0027B">
        <w:t>We determined that a wide range of both SARS-CoV-2 RNA copies (</w:t>
      </w:r>
      <w:r w:rsidR="00CF0313" w:rsidRPr="00A0027B">
        <w:rPr>
          <w:b/>
          <w:bCs/>
        </w:rPr>
        <w:t>Figure 4A</w:t>
      </w:r>
      <w:r w:rsidR="00CF0313" w:rsidRPr="00A0027B">
        <w:t>) and Hs_RPP30 DNA copies (</w:t>
      </w:r>
      <w:r w:rsidR="00CF0313" w:rsidRPr="00A0027B">
        <w:rPr>
          <w:b/>
          <w:bCs/>
        </w:rPr>
        <w:t>Figure 4B</w:t>
      </w:r>
      <w:r w:rsidR="00CF0313" w:rsidRPr="00A0027B">
        <w:t>) can be simultaneously detected by the RT-qPCR assay.</w:t>
      </w:r>
    </w:p>
    <w:p w14:paraId="393EF457" w14:textId="77777777" w:rsidR="00CF0313" w:rsidRPr="00A0027B" w:rsidRDefault="00CF0313" w:rsidP="00A0027B"/>
    <w:p w14:paraId="3F307CCE" w14:textId="02CC81C0" w:rsidR="00CF0313" w:rsidRPr="00A0027B" w:rsidRDefault="00CF0313" w:rsidP="00A0027B">
      <w:r w:rsidRPr="00A0027B">
        <w:t>One limitation of liquid handling robots is the possibility of cross-contamination from positive samples during saliva transfer. Saliva is a viscoelastic fluid</w:t>
      </w:r>
      <w:r w:rsidRPr="00A0027B">
        <w:rPr>
          <w:vertAlign w:val="superscript"/>
        </w:rPr>
        <w:t>28</w:t>
      </w:r>
      <w:r w:rsidRPr="00A0027B">
        <w:t xml:space="preserve"> and may string across adjacent wells after being dispensed from the pipette tip. Furthermore, the heterogeneity of saliva</w:t>
      </w:r>
      <w:r w:rsidRPr="00A0027B">
        <w:rPr>
          <w:vertAlign w:val="superscript"/>
        </w:rPr>
        <w:t>29</w:t>
      </w:r>
      <w:r w:rsidRPr="00A0027B">
        <w:t xml:space="preserve"> may cause uneven distribution of viral particles throughout the sample. This increases the possibility of both false positives and negatives, necessitating the designation of N1 </w:t>
      </w:r>
      <w:r w:rsidR="00A770DC" w:rsidRPr="00A0027B">
        <w:t>R</w:t>
      </w:r>
      <w:r w:rsidRPr="00A0027B">
        <w:t xml:space="preserve">erun </w:t>
      </w:r>
      <w:r w:rsidR="00ED23B6" w:rsidRPr="00A0027B">
        <w:t>and</w:t>
      </w:r>
      <w:r w:rsidRPr="00A0027B">
        <w:t xml:space="preserve"> </w:t>
      </w:r>
      <w:r w:rsidR="00A770DC" w:rsidRPr="00A0027B">
        <w:t>R</w:t>
      </w:r>
      <w:r w:rsidRPr="00A0027B">
        <w:t>erun</w:t>
      </w:r>
      <w:r w:rsidR="00ED23B6" w:rsidRPr="00A0027B">
        <w:t xml:space="preserve"> samples</w:t>
      </w:r>
      <w:r w:rsidRPr="00A0027B">
        <w:t xml:space="preserve">. However, 14.1% of samples initially designated as N1 </w:t>
      </w:r>
      <w:r w:rsidR="00A770DC" w:rsidRPr="00A0027B">
        <w:t>R</w:t>
      </w:r>
      <w:r w:rsidRPr="00A0027B">
        <w:t xml:space="preserve">erun resolved as positive for SARS-CoV-2 and were more than 30 times more likely than </w:t>
      </w:r>
      <w:r w:rsidR="00A770DC" w:rsidRPr="00A0027B">
        <w:t>R</w:t>
      </w:r>
      <w:r w:rsidRPr="00A0027B">
        <w:t xml:space="preserve">erun samples to resolve as positive after retesting. Consequently, differentiating </w:t>
      </w:r>
      <w:r w:rsidR="00A770DC" w:rsidRPr="00A0027B">
        <w:t>R</w:t>
      </w:r>
      <w:r w:rsidRPr="00A0027B">
        <w:t xml:space="preserve">erun from N1 </w:t>
      </w:r>
      <w:r w:rsidR="00A770DC" w:rsidRPr="00A0027B">
        <w:t>R</w:t>
      </w:r>
      <w:r w:rsidRPr="00A0027B">
        <w:t>erun (</w:t>
      </w:r>
      <w:r w:rsidRPr="00A0027B">
        <w:rPr>
          <w:b/>
          <w:bCs/>
        </w:rPr>
        <w:t>Figure 3</w:t>
      </w:r>
      <w:r w:rsidRPr="00A0027B">
        <w:t xml:space="preserve">) allowed for more accurate separation of potentially positive samples, increasing </w:t>
      </w:r>
      <w:r w:rsidR="00EA7FB7" w:rsidRPr="00A0027B">
        <w:t xml:space="preserve">the </w:t>
      </w:r>
      <w:r w:rsidRPr="00A0027B">
        <w:t>sensitivity and specificity of our diagnostic assay. Other resulting parameters for diagnostic saliva testing did not make this distinction</w:t>
      </w:r>
      <w:r w:rsidRPr="00A0027B">
        <w:rPr>
          <w:vertAlign w:val="superscript"/>
        </w:rPr>
        <w:t>12,14,24,30,31</w:t>
      </w:r>
      <w:r w:rsidRPr="00A0027B">
        <w:t>.</w:t>
      </w:r>
    </w:p>
    <w:p w14:paraId="4230C473" w14:textId="77777777" w:rsidR="00CF0313" w:rsidRPr="00A0027B" w:rsidRDefault="00CF0313" w:rsidP="00A0027B"/>
    <w:p w14:paraId="63ED52E8" w14:textId="4EDC1786" w:rsidR="00CF0313" w:rsidRPr="00A0027B" w:rsidRDefault="00CF0313" w:rsidP="00A0027B">
      <w:r w:rsidRPr="00A0027B">
        <w:t>Saliva specimens can be difficult to pipette due to heterogeneity and viscosity</w:t>
      </w:r>
      <w:r w:rsidRPr="00A0027B">
        <w:rPr>
          <w:vertAlign w:val="superscript"/>
        </w:rPr>
        <w:t>32</w:t>
      </w:r>
      <w:r w:rsidRPr="00A0027B">
        <w:t>. Heat treatment adequately denatures proteins in the saliva biomatrix, reducing viscosity and eliminating the need for RNA extraction reagents</w:t>
      </w:r>
      <w:r w:rsidRPr="00A0027B">
        <w:rPr>
          <w:vertAlign w:val="superscript"/>
        </w:rPr>
        <w:t>9</w:t>
      </w:r>
      <w:r w:rsidRPr="00A0027B">
        <w:t>, which were scarce during the early stages of the pandemic</w:t>
      </w:r>
      <w:r w:rsidRPr="00A0027B">
        <w:rPr>
          <w:vertAlign w:val="superscript"/>
        </w:rPr>
        <w:t>10</w:t>
      </w:r>
      <w:r w:rsidRPr="00A0027B">
        <w:t>. Extended heat treatment also inactivates present viruses</w:t>
      </w:r>
      <w:r w:rsidRPr="00A0027B">
        <w:rPr>
          <w:vertAlign w:val="superscript"/>
        </w:rPr>
        <w:t>33</w:t>
      </w:r>
      <w:r w:rsidRPr="00A0027B">
        <w:t xml:space="preserve"> which allows for laboratory processing at lower biosafety levels. Consequently, </w:t>
      </w:r>
      <w:r w:rsidR="004F60EC" w:rsidRPr="00A0027B">
        <w:t xml:space="preserve">a heat-based RNA extraction (described in section 5.4) </w:t>
      </w:r>
      <w:r w:rsidR="004F60EC">
        <w:t>was</w:t>
      </w:r>
      <w:r w:rsidRPr="00A0027B">
        <w:t xml:space="preserve"> implemented to decrease viscosity through protein denaturation (</w:t>
      </w:r>
      <w:r w:rsidRPr="00A0027B">
        <w:rPr>
          <w:b/>
          <w:bCs/>
        </w:rPr>
        <w:t>Figure 6</w:t>
      </w:r>
      <w:r w:rsidRPr="00A0027B">
        <w:t xml:space="preserve">). Based on </w:t>
      </w:r>
      <w:r w:rsidR="004F60EC">
        <w:t>the</w:t>
      </w:r>
      <w:r w:rsidRPr="00A0027B">
        <w:t xml:space="preserve"> results, we pos</w:t>
      </w:r>
      <w:r w:rsidR="005949A0">
        <w:t>tulate</w:t>
      </w:r>
      <w:r w:rsidRPr="00A0027B">
        <w:t xml:space="preserve"> that heat treatment may also homogenize saliva samples in addition to denaturing the protein biomatrix. Other groups combined heat treatment and proteinase K treatment to increase homogeneity</w:t>
      </w:r>
      <w:r w:rsidRPr="00A0027B">
        <w:rPr>
          <w:vertAlign w:val="superscript"/>
        </w:rPr>
        <w:t>9,14,34</w:t>
      </w:r>
      <w:r w:rsidRPr="00A0027B">
        <w:t>. We chose to not implement this step as it may denature virion proteins at a rate that leaves viral RNA exposed to heat degradation</w:t>
      </w:r>
      <w:r w:rsidRPr="00A0027B">
        <w:rPr>
          <w:vertAlign w:val="superscript"/>
        </w:rPr>
        <w:t>35</w:t>
      </w:r>
      <w:r w:rsidRPr="00A0027B">
        <w:t>. Furthermore, sample dilution with proteinase K may mask positive samples containing fewer viral particles</w:t>
      </w:r>
      <w:r w:rsidR="008B5394" w:rsidRPr="00A0027B">
        <w:t xml:space="preserve"> thus, </w:t>
      </w:r>
      <w:r w:rsidRPr="00A0027B">
        <w:t>decreasing sensitivity.</w:t>
      </w:r>
      <w:r w:rsidR="00387ED8" w:rsidRPr="00A0027B">
        <w:t xml:space="preserve"> In addition, </w:t>
      </w:r>
      <w:r w:rsidR="008B5394" w:rsidRPr="00A0027B">
        <w:t>the assay results were</w:t>
      </w:r>
      <w:r w:rsidR="00387ED8" w:rsidRPr="00A0027B">
        <w:t xml:space="preserve"> compared to a commercially available saliva-based SARS-CoV-2 assay (Logix Smart COVID-19) which uses </w:t>
      </w:r>
      <w:r w:rsidR="00A64CCE" w:rsidRPr="00A0027B">
        <w:t xml:space="preserve">magnetic bead </w:t>
      </w:r>
      <w:r w:rsidR="00387ED8" w:rsidRPr="00A0027B">
        <w:t>RNA extraction</w:t>
      </w:r>
      <w:r w:rsidR="00A64CCE" w:rsidRPr="00A0027B">
        <w:t xml:space="preserve"> (</w:t>
      </w:r>
      <w:r w:rsidR="00A64CCE" w:rsidRPr="00A0027B">
        <w:rPr>
          <w:b/>
          <w:bCs/>
        </w:rPr>
        <w:t xml:space="preserve">Table </w:t>
      </w:r>
      <w:r w:rsidR="004C3DE6" w:rsidRPr="00A0027B">
        <w:rPr>
          <w:b/>
          <w:bCs/>
        </w:rPr>
        <w:t>5</w:t>
      </w:r>
      <w:r w:rsidR="00A64CCE" w:rsidRPr="00A0027B">
        <w:t xml:space="preserve">). </w:t>
      </w:r>
      <w:r w:rsidR="009B1EEA" w:rsidRPr="00A0027B">
        <w:t xml:space="preserve">It was </w:t>
      </w:r>
      <w:r w:rsidR="00A64CCE" w:rsidRPr="00A0027B">
        <w:t xml:space="preserve">found that </w:t>
      </w:r>
      <w:r w:rsidR="009B1EEA" w:rsidRPr="00A0027B">
        <w:t xml:space="preserve">the current </w:t>
      </w:r>
      <w:r w:rsidR="00A64CCE" w:rsidRPr="00A0027B">
        <w:t>assay was better suited at detecting weak positive samples</w:t>
      </w:r>
      <w:r w:rsidR="009B1EEA" w:rsidRPr="00A0027B">
        <w:t xml:space="preserve"> as compared to the commercially available assay</w:t>
      </w:r>
      <w:r w:rsidR="00A64CCE" w:rsidRPr="00A0027B">
        <w:t xml:space="preserve">. </w:t>
      </w:r>
    </w:p>
    <w:p w14:paraId="4CC97FFF" w14:textId="1273030F" w:rsidR="00D94EB2" w:rsidRPr="00A0027B" w:rsidRDefault="00D94EB2" w:rsidP="00A0027B"/>
    <w:p w14:paraId="2B2E84F4" w14:textId="3C08EA5B" w:rsidR="00D94EB2" w:rsidRPr="00A0027B" w:rsidRDefault="00D94EB2" w:rsidP="00A0027B">
      <w:r w:rsidRPr="00A0027B">
        <w:t>It is difficult to quantify virus copy number in saliva using only RT-qPCR, because qPCR is semi-quantitative. There is inherent variation between Ct values that originates from technical limitations. Gene copy number can be de</w:t>
      </w:r>
      <w:r w:rsidR="005B4B6A" w:rsidRPr="00A0027B">
        <w:t>termined</w:t>
      </w:r>
      <w:r w:rsidRPr="00A0027B">
        <w:t xml:space="preserve"> from Ct values (</w:t>
      </w:r>
      <w:r w:rsidRPr="005949A0">
        <w:rPr>
          <w:b/>
          <w:bCs/>
        </w:rPr>
        <w:t>Figure 4</w:t>
      </w:r>
      <w:r w:rsidRPr="00A0027B">
        <w:t xml:space="preserve">) and is roughly equivalent to viral copy number. One possible solution to determine the viral copy number in saliva samples is </w:t>
      </w:r>
      <w:proofErr w:type="spellStart"/>
      <w:r w:rsidRPr="00A0027B">
        <w:t>ddPCR</w:t>
      </w:r>
      <w:proofErr w:type="spellEnd"/>
      <w:r w:rsidRPr="00A0027B">
        <w:t xml:space="preserve">, which provides hard quantification of gene copies in the reaction. However, we believe that it is adequate to provide qualitative results to clinicians and relative viral content can be compared across samples processed with our methods. </w:t>
      </w:r>
    </w:p>
    <w:p w14:paraId="37AAF40E" w14:textId="77777777" w:rsidR="003E012F" w:rsidRPr="00A0027B" w:rsidRDefault="003E012F" w:rsidP="00A0027B"/>
    <w:p w14:paraId="71A8B7CC" w14:textId="14087EE2" w:rsidR="00CF0313" w:rsidRPr="00A0027B" w:rsidRDefault="00CF0313" w:rsidP="00A0027B">
      <w:r w:rsidRPr="00A0027B">
        <w:t xml:space="preserve">Despite some limitations that arise when using saliva, </w:t>
      </w:r>
      <w:r w:rsidR="009B1EEA" w:rsidRPr="00A0027B">
        <w:t>the</w:t>
      </w:r>
      <w:r w:rsidRPr="00A0027B">
        <w:t xml:space="preserve"> SARS-CoV-2 assay by saliva-based RT-qPCR proves to be an effective method for quick and reliable viral RNA detection at any scale of testing. This is especially true when coupled with the utilization of open-source liquid handling </w:t>
      </w:r>
      <w:r w:rsidRPr="00A0027B">
        <w:lastRenderedPageBreak/>
        <w:t xml:space="preserve">systems. </w:t>
      </w:r>
      <w:r w:rsidR="00D363BE" w:rsidRPr="00A0027B">
        <w:t>Th</w:t>
      </w:r>
      <w:r w:rsidRPr="00A0027B">
        <w:t xml:space="preserve">is testing approach can be modified to detect other nucleic acid sequences relevant to diagnostics, such as infectious disease agents, disease markers, or other viruses. This makes </w:t>
      </w:r>
      <w:r w:rsidR="00D363BE" w:rsidRPr="00A0027B">
        <w:t>the</w:t>
      </w:r>
      <w:r w:rsidRPr="00A0027B">
        <w:t xml:space="preserve"> assay applicable for both clinical and research diagnostic efforts.</w:t>
      </w:r>
    </w:p>
    <w:p w14:paraId="0BEB38EC" w14:textId="77777777" w:rsidR="006E4797" w:rsidRPr="00A0027B" w:rsidRDefault="006E4797" w:rsidP="00A0027B">
      <w:pPr>
        <w:rPr>
          <w:color w:val="000000"/>
        </w:rPr>
      </w:pPr>
    </w:p>
    <w:p w14:paraId="59F37CC4" w14:textId="6BFD564F" w:rsidR="006E4797" w:rsidRPr="00A0027B" w:rsidRDefault="00551D82" w:rsidP="00A0027B">
      <w:pPr>
        <w:pBdr>
          <w:top w:val="nil"/>
          <w:left w:val="nil"/>
          <w:bottom w:val="nil"/>
          <w:right w:val="nil"/>
          <w:between w:val="nil"/>
        </w:pBdr>
        <w:rPr>
          <w:color w:val="808080"/>
        </w:rPr>
      </w:pPr>
      <w:r w:rsidRPr="00A0027B">
        <w:rPr>
          <w:b/>
          <w:color w:val="000000"/>
        </w:rPr>
        <w:t xml:space="preserve">ACKNOWLEDGMENTS: </w:t>
      </w:r>
    </w:p>
    <w:p w14:paraId="25B2FBBD" w14:textId="5B0CD67B" w:rsidR="006E4797" w:rsidRPr="00A0027B" w:rsidRDefault="00CF0313" w:rsidP="00A0027B">
      <w:r w:rsidRPr="00A0027B">
        <w:t xml:space="preserve">The authors thank Clemson’s administration, medical staff, and clinical lab employees at the REDDI Lab who helped implement and manage SARS-CoV-2 testing. We thank Dr. Phillip </w:t>
      </w:r>
      <w:proofErr w:type="spellStart"/>
      <w:r w:rsidRPr="00A0027B">
        <w:t>Buckhaults</w:t>
      </w:r>
      <w:proofErr w:type="spellEnd"/>
      <w:r w:rsidRPr="00A0027B">
        <w:t xml:space="preserve"> and Dr. Carolyn Bannister from the University of South Carolina for initial project consulting and industry contacts for equipment procurement. We thank many students</w:t>
      </w:r>
      <w:r w:rsidR="0075118C" w:rsidRPr="00A0027B">
        <w:t>,</w:t>
      </w:r>
      <w:r w:rsidRPr="00A0027B">
        <w:t xml:space="preserve"> professors</w:t>
      </w:r>
      <w:r w:rsidR="0075118C" w:rsidRPr="00A0027B">
        <w:t>, and staff</w:t>
      </w:r>
      <w:r w:rsidRPr="00A0027B">
        <w:t xml:space="preserve"> for </w:t>
      </w:r>
      <w:r w:rsidR="00861EB2" w:rsidRPr="00A0027B">
        <w:t xml:space="preserve">their </w:t>
      </w:r>
      <w:r w:rsidRPr="00A0027B">
        <w:t xml:space="preserve">assistance in </w:t>
      </w:r>
      <w:r w:rsidR="0075118C" w:rsidRPr="00A0027B">
        <w:t xml:space="preserve">sample collection. </w:t>
      </w:r>
      <w:r w:rsidRPr="00A0027B">
        <w:t>Thank you to Creative Inquiry students for standard curve data collection.</w:t>
      </w:r>
      <w:r w:rsidR="0075118C" w:rsidRPr="00A0027B">
        <w:t xml:space="preserve"> Funding for this study was received from the National Institutes of Health grant P20GM121342 (awarded to DD and LGP), </w:t>
      </w:r>
      <w:r w:rsidR="007E1FA3" w:rsidRPr="00A0027B">
        <w:t xml:space="preserve">Clemson Athletic Department, </w:t>
      </w:r>
      <w:r w:rsidR="0075118C" w:rsidRPr="00A0027B">
        <w:t>Clemson University’s Vice President for Research, and the South Carolina Governor &amp; Joint Bond Review Committee.</w:t>
      </w:r>
    </w:p>
    <w:p w14:paraId="5B058CAD" w14:textId="77777777" w:rsidR="00CF0313" w:rsidRPr="00A0027B" w:rsidRDefault="00CF0313" w:rsidP="00A0027B">
      <w:pPr>
        <w:rPr>
          <w:b/>
        </w:rPr>
      </w:pPr>
    </w:p>
    <w:p w14:paraId="5E703EBA" w14:textId="34AD009D" w:rsidR="006E4797" w:rsidRPr="00A0027B" w:rsidRDefault="00551D82" w:rsidP="00A0027B">
      <w:pPr>
        <w:pBdr>
          <w:top w:val="nil"/>
          <w:left w:val="nil"/>
          <w:bottom w:val="nil"/>
          <w:right w:val="nil"/>
          <w:between w:val="nil"/>
        </w:pBdr>
        <w:rPr>
          <w:color w:val="808080"/>
        </w:rPr>
      </w:pPr>
      <w:r w:rsidRPr="00A0027B">
        <w:rPr>
          <w:b/>
          <w:color w:val="000000"/>
        </w:rPr>
        <w:t xml:space="preserve">DISCLOSURES: </w:t>
      </w:r>
    </w:p>
    <w:p w14:paraId="4A7B0E5C" w14:textId="3F99BB74" w:rsidR="006E4797" w:rsidRPr="00A0027B" w:rsidRDefault="0075118C" w:rsidP="00A0027B">
      <w:r w:rsidRPr="00A0027B">
        <w:t>The authors have nothing to disclose.</w:t>
      </w:r>
      <w:r w:rsidR="00A21528">
        <w:t xml:space="preserve"> </w:t>
      </w:r>
      <w:r w:rsidR="00A21528" w:rsidRPr="00A0027B">
        <w:t xml:space="preserve">The assay described in the protocol falls under the </w:t>
      </w:r>
      <w:proofErr w:type="spellStart"/>
      <w:r w:rsidR="00A21528" w:rsidRPr="00A0027B">
        <w:t>SalivaDirect</w:t>
      </w:r>
      <w:proofErr w:type="spellEnd"/>
      <w:r w:rsidR="00A21528" w:rsidRPr="00A0027B">
        <w:t xml:space="preserve"> EUA filed by Yale School of Public Health.</w:t>
      </w:r>
    </w:p>
    <w:p w14:paraId="3C1146DF" w14:textId="77777777" w:rsidR="0075118C" w:rsidRPr="00A0027B" w:rsidRDefault="0075118C" w:rsidP="00A0027B">
      <w:pPr>
        <w:rPr>
          <w:color w:val="000000"/>
        </w:rPr>
      </w:pPr>
    </w:p>
    <w:p w14:paraId="6DE2B73C" w14:textId="4E240206" w:rsidR="006E4797" w:rsidRPr="00A0027B" w:rsidRDefault="00551D82" w:rsidP="00A0027B">
      <w:pPr>
        <w:rPr>
          <w:b/>
          <w:color w:val="000000"/>
        </w:rPr>
      </w:pPr>
      <w:r w:rsidRPr="00A0027B">
        <w:rPr>
          <w:b/>
        </w:rPr>
        <w:t>REFERENCES:</w:t>
      </w:r>
      <w:r w:rsidRPr="00A0027B">
        <w:t xml:space="preserve"> </w:t>
      </w:r>
    </w:p>
    <w:p w14:paraId="0B305108" w14:textId="378C9EEF"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Zhu, N., et</w:t>
      </w:r>
      <w:r w:rsidR="00495938">
        <w:rPr>
          <w:rFonts w:ascii="Calibri" w:hAnsi="Calibri" w:cs="Calibri"/>
          <w:color w:val="000000"/>
        </w:rPr>
        <w:t xml:space="preserve"> </w:t>
      </w:r>
      <w:r w:rsidRPr="00A0027B">
        <w:rPr>
          <w:rFonts w:ascii="Calibri" w:hAnsi="Calibri" w:cs="Calibri"/>
          <w:color w:val="000000"/>
        </w:rPr>
        <w:t xml:space="preserve">al. A novel coronavirus from patients with pneumonia in China, 2019. </w:t>
      </w:r>
      <w:r w:rsidRPr="00A0027B">
        <w:rPr>
          <w:rFonts w:ascii="Calibri" w:hAnsi="Calibri" w:cs="Calibri"/>
          <w:i/>
          <w:iCs/>
          <w:color w:val="000000"/>
        </w:rPr>
        <w:t>New England Journal Medicine.</w:t>
      </w:r>
      <w:r w:rsidRPr="00A0027B">
        <w:rPr>
          <w:rFonts w:ascii="Calibri" w:hAnsi="Calibri" w:cs="Calibri"/>
          <w:color w:val="000000"/>
        </w:rPr>
        <w:t xml:space="preserve"> </w:t>
      </w:r>
      <w:r w:rsidRPr="00A0027B">
        <w:rPr>
          <w:rFonts w:ascii="Calibri" w:hAnsi="Calibri" w:cs="Calibri"/>
          <w:b/>
          <w:bCs/>
          <w:color w:val="000000"/>
        </w:rPr>
        <w:t>382</w:t>
      </w:r>
      <w:r w:rsidRPr="00A0027B">
        <w:rPr>
          <w:rFonts w:ascii="Calibri" w:hAnsi="Calibri" w:cs="Calibri"/>
          <w:color w:val="000000"/>
        </w:rPr>
        <w:t xml:space="preserve"> (8), 727</w:t>
      </w:r>
      <w:r w:rsidR="00EF4E54">
        <w:rPr>
          <w:rFonts w:ascii="Calibri" w:hAnsi="Calibri" w:cs="Calibri"/>
          <w:color w:val="000000"/>
        </w:rPr>
        <w:t>–</w:t>
      </w:r>
      <w:r w:rsidRPr="00A0027B">
        <w:rPr>
          <w:rFonts w:ascii="Calibri" w:hAnsi="Calibri" w:cs="Calibri"/>
          <w:color w:val="000000"/>
        </w:rPr>
        <w:t>733 (2020).</w:t>
      </w:r>
    </w:p>
    <w:p w14:paraId="57A15F72" w14:textId="4FA9F865"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Chen, J. Pathogenicity and transmissibility of 2019-nCoV</w:t>
      </w:r>
      <w:r w:rsidR="00A10D21">
        <w:rPr>
          <w:rFonts w:ascii="Calibri" w:hAnsi="Calibri" w:cs="Calibri"/>
          <w:color w:val="000000"/>
        </w:rPr>
        <w:t>-A</w:t>
      </w:r>
      <w:r w:rsidRPr="00A0027B">
        <w:rPr>
          <w:rFonts w:ascii="Calibri" w:hAnsi="Calibri" w:cs="Calibri"/>
          <w:color w:val="000000"/>
        </w:rPr>
        <w:t xml:space="preserve"> quick overview and comparison with other emerging viruses. </w:t>
      </w:r>
      <w:r w:rsidRPr="00A0027B">
        <w:rPr>
          <w:rFonts w:ascii="Calibri" w:hAnsi="Calibri" w:cs="Calibri"/>
          <w:i/>
          <w:iCs/>
          <w:color w:val="000000"/>
        </w:rPr>
        <w:t xml:space="preserve">Microbes and Infection. </w:t>
      </w:r>
      <w:r w:rsidRPr="00A0027B">
        <w:rPr>
          <w:rFonts w:ascii="Calibri" w:hAnsi="Calibri" w:cs="Calibri"/>
          <w:b/>
          <w:bCs/>
          <w:color w:val="000000"/>
        </w:rPr>
        <w:t>22</w:t>
      </w:r>
      <w:r w:rsidRPr="00A0027B">
        <w:rPr>
          <w:rFonts w:ascii="Calibri" w:hAnsi="Calibri" w:cs="Calibri"/>
          <w:color w:val="000000"/>
        </w:rPr>
        <w:t xml:space="preserve"> (2), 69</w:t>
      </w:r>
      <w:r w:rsidR="00A10D21">
        <w:rPr>
          <w:rFonts w:ascii="Calibri" w:hAnsi="Calibri" w:cs="Calibri"/>
          <w:color w:val="000000"/>
        </w:rPr>
        <w:t>–</w:t>
      </w:r>
      <w:r w:rsidRPr="00A0027B">
        <w:rPr>
          <w:rFonts w:ascii="Calibri" w:hAnsi="Calibri" w:cs="Calibri"/>
          <w:color w:val="000000"/>
        </w:rPr>
        <w:t>71 (2020).</w:t>
      </w:r>
    </w:p>
    <w:p w14:paraId="64D77373" w14:textId="1BFF7A90"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Petersen, E.</w:t>
      </w:r>
      <w:r w:rsidR="00495938">
        <w:rPr>
          <w:rFonts w:ascii="Calibri" w:hAnsi="Calibri" w:cs="Calibri"/>
          <w:color w:val="000000"/>
        </w:rPr>
        <w:t xml:space="preserve"> </w:t>
      </w:r>
      <w:r w:rsidRPr="00A0027B">
        <w:rPr>
          <w:rFonts w:ascii="Calibri" w:hAnsi="Calibri" w:cs="Calibri"/>
          <w:color w:val="000000"/>
        </w:rPr>
        <w:t>et al. Comparing SARS-CoV-2 with SARS-</w:t>
      </w:r>
      <w:proofErr w:type="spellStart"/>
      <w:r w:rsidRPr="00A0027B">
        <w:rPr>
          <w:rFonts w:ascii="Calibri" w:hAnsi="Calibri" w:cs="Calibri"/>
          <w:color w:val="000000"/>
        </w:rPr>
        <w:t>CoV</w:t>
      </w:r>
      <w:proofErr w:type="spellEnd"/>
      <w:r w:rsidRPr="00A0027B">
        <w:rPr>
          <w:rFonts w:ascii="Calibri" w:hAnsi="Calibri" w:cs="Calibri"/>
          <w:color w:val="000000"/>
        </w:rPr>
        <w:t xml:space="preserve"> and influenza pandemics.</w:t>
      </w:r>
      <w:r w:rsidR="00B54F0C">
        <w:rPr>
          <w:rFonts w:ascii="Calibri" w:hAnsi="Calibri" w:cs="Calibri"/>
          <w:color w:val="000000"/>
        </w:rPr>
        <w:t xml:space="preserve"> </w:t>
      </w:r>
      <w:r w:rsidR="00B54F0C" w:rsidRPr="00B54F0C">
        <w:rPr>
          <w:rFonts w:ascii="Calibri" w:hAnsi="Calibri" w:cs="Calibri"/>
          <w:i/>
          <w:iCs/>
          <w:color w:val="000000"/>
        </w:rPr>
        <w:t>The</w:t>
      </w:r>
      <w:r w:rsidRPr="00A0027B">
        <w:rPr>
          <w:rFonts w:ascii="Calibri" w:hAnsi="Calibri" w:cs="Calibri"/>
          <w:i/>
          <w:iCs/>
          <w:color w:val="000000"/>
        </w:rPr>
        <w:t xml:space="preserve"> Lancet</w:t>
      </w:r>
      <w:r w:rsidR="00B54F0C">
        <w:rPr>
          <w:rFonts w:ascii="Calibri" w:hAnsi="Calibri" w:cs="Calibri"/>
          <w:i/>
          <w:iCs/>
          <w:color w:val="000000"/>
        </w:rPr>
        <w:t>.</w:t>
      </w:r>
      <w:r w:rsidRPr="00A0027B">
        <w:rPr>
          <w:rFonts w:ascii="Calibri" w:hAnsi="Calibri" w:cs="Calibri"/>
          <w:i/>
          <w:iCs/>
          <w:color w:val="000000"/>
        </w:rPr>
        <w:t xml:space="preserve"> Infectious Diseases</w:t>
      </w:r>
      <w:r w:rsidR="00B54F0C">
        <w:rPr>
          <w:rFonts w:ascii="Calibri" w:hAnsi="Calibri" w:cs="Calibri"/>
          <w:i/>
          <w:iCs/>
          <w:color w:val="000000"/>
        </w:rPr>
        <w:t>.</w:t>
      </w:r>
      <w:r w:rsidRPr="00A0027B">
        <w:rPr>
          <w:rFonts w:ascii="Calibri" w:hAnsi="Calibri" w:cs="Calibri"/>
          <w:color w:val="000000"/>
        </w:rPr>
        <w:t xml:space="preserve"> </w:t>
      </w:r>
      <w:r w:rsidR="00B54F0C" w:rsidRPr="00B54F0C">
        <w:rPr>
          <w:rFonts w:ascii="Calibri" w:hAnsi="Calibri" w:cs="Calibri"/>
          <w:b/>
          <w:bCs/>
          <w:color w:val="000000"/>
        </w:rPr>
        <w:t>20</w:t>
      </w:r>
      <w:r w:rsidR="00B54F0C">
        <w:rPr>
          <w:rFonts w:ascii="Calibri" w:hAnsi="Calibri" w:cs="Calibri"/>
          <w:color w:val="000000"/>
        </w:rPr>
        <w:t xml:space="preserve"> </w:t>
      </w:r>
      <w:r w:rsidR="00B54F0C" w:rsidRPr="00B54F0C">
        <w:rPr>
          <w:rFonts w:ascii="Calibri" w:hAnsi="Calibri" w:cs="Calibri"/>
          <w:color w:val="000000"/>
        </w:rPr>
        <w:t>(</w:t>
      </w:r>
      <w:r w:rsidRPr="00B54F0C">
        <w:rPr>
          <w:rFonts w:ascii="Calibri" w:hAnsi="Calibri" w:cs="Calibri"/>
          <w:color w:val="000000"/>
        </w:rPr>
        <w:t>9</w:t>
      </w:r>
      <w:r w:rsidR="00B54F0C" w:rsidRPr="00B54F0C">
        <w:rPr>
          <w:rFonts w:ascii="Calibri" w:hAnsi="Calibri" w:cs="Calibri"/>
          <w:color w:val="000000"/>
        </w:rPr>
        <w:t>)</w:t>
      </w:r>
      <w:r w:rsidRPr="00A0027B">
        <w:rPr>
          <w:rFonts w:ascii="Calibri" w:hAnsi="Calibri" w:cs="Calibri"/>
          <w:color w:val="000000"/>
        </w:rPr>
        <w:t>, e238</w:t>
      </w:r>
      <w:r w:rsidR="00B54F0C">
        <w:rPr>
          <w:rFonts w:ascii="Calibri" w:hAnsi="Calibri" w:cs="Calibri"/>
          <w:color w:val="000000"/>
        </w:rPr>
        <w:t>–</w:t>
      </w:r>
      <w:r w:rsidRPr="00A0027B">
        <w:rPr>
          <w:rFonts w:ascii="Calibri" w:hAnsi="Calibri" w:cs="Calibri"/>
          <w:color w:val="000000"/>
        </w:rPr>
        <w:t>244 (2020).</w:t>
      </w:r>
    </w:p>
    <w:p w14:paraId="3874F737" w14:textId="1131CDF2"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Honein</w:t>
      </w:r>
      <w:proofErr w:type="spellEnd"/>
      <w:r w:rsidRPr="00A0027B">
        <w:rPr>
          <w:rFonts w:ascii="Calibri" w:hAnsi="Calibri" w:cs="Calibri"/>
          <w:color w:val="000000"/>
        </w:rPr>
        <w:t>, M.A. et</w:t>
      </w:r>
      <w:r w:rsidR="008B031D">
        <w:rPr>
          <w:rFonts w:ascii="Calibri" w:hAnsi="Calibri" w:cs="Calibri"/>
          <w:color w:val="000000"/>
        </w:rPr>
        <w:t xml:space="preserve"> </w:t>
      </w:r>
      <w:r w:rsidRPr="00A0027B">
        <w:rPr>
          <w:rFonts w:ascii="Calibri" w:hAnsi="Calibri" w:cs="Calibri"/>
          <w:color w:val="000000"/>
        </w:rPr>
        <w:t xml:space="preserve">al. Summary of </w:t>
      </w:r>
      <w:r w:rsidR="006D3271">
        <w:rPr>
          <w:rFonts w:ascii="Calibri" w:hAnsi="Calibri" w:cs="Calibri"/>
          <w:color w:val="000000"/>
        </w:rPr>
        <w:t>G</w:t>
      </w:r>
      <w:r w:rsidRPr="00A0027B">
        <w:rPr>
          <w:rFonts w:ascii="Calibri" w:hAnsi="Calibri" w:cs="Calibri"/>
          <w:color w:val="000000"/>
        </w:rPr>
        <w:t xml:space="preserve">uidance for </w:t>
      </w:r>
      <w:r w:rsidR="006D3271">
        <w:rPr>
          <w:rFonts w:ascii="Calibri" w:hAnsi="Calibri" w:cs="Calibri"/>
          <w:color w:val="000000"/>
        </w:rPr>
        <w:t>P</w:t>
      </w:r>
      <w:r w:rsidRPr="00A0027B">
        <w:rPr>
          <w:rFonts w:ascii="Calibri" w:hAnsi="Calibri" w:cs="Calibri"/>
          <w:color w:val="000000"/>
        </w:rPr>
        <w:t xml:space="preserve">ublic </w:t>
      </w:r>
      <w:r w:rsidR="006D3271">
        <w:rPr>
          <w:rFonts w:ascii="Calibri" w:hAnsi="Calibri" w:cs="Calibri"/>
          <w:color w:val="000000"/>
        </w:rPr>
        <w:t>H</w:t>
      </w:r>
      <w:r w:rsidRPr="00A0027B">
        <w:rPr>
          <w:rFonts w:ascii="Calibri" w:hAnsi="Calibri" w:cs="Calibri"/>
          <w:color w:val="000000"/>
        </w:rPr>
        <w:t xml:space="preserve">ealth </w:t>
      </w:r>
      <w:r w:rsidR="006D3271">
        <w:rPr>
          <w:rFonts w:ascii="Calibri" w:hAnsi="Calibri" w:cs="Calibri"/>
          <w:color w:val="000000"/>
        </w:rPr>
        <w:t>S</w:t>
      </w:r>
      <w:r w:rsidRPr="00A0027B">
        <w:rPr>
          <w:rFonts w:ascii="Calibri" w:hAnsi="Calibri" w:cs="Calibri"/>
          <w:color w:val="000000"/>
        </w:rPr>
        <w:t xml:space="preserve">trategies to </w:t>
      </w:r>
      <w:r w:rsidR="006D3271">
        <w:rPr>
          <w:rFonts w:ascii="Calibri" w:hAnsi="Calibri" w:cs="Calibri"/>
          <w:color w:val="000000"/>
        </w:rPr>
        <w:t>A</w:t>
      </w:r>
      <w:r w:rsidRPr="00A0027B">
        <w:rPr>
          <w:rFonts w:ascii="Calibri" w:hAnsi="Calibri" w:cs="Calibri"/>
          <w:color w:val="000000"/>
        </w:rPr>
        <w:t xml:space="preserve">ddress </w:t>
      </w:r>
      <w:r w:rsidR="006D3271">
        <w:rPr>
          <w:rFonts w:ascii="Calibri" w:hAnsi="Calibri" w:cs="Calibri"/>
          <w:color w:val="000000"/>
        </w:rPr>
        <w:t>H</w:t>
      </w:r>
      <w:r w:rsidRPr="00A0027B">
        <w:rPr>
          <w:rFonts w:ascii="Calibri" w:hAnsi="Calibri" w:cs="Calibri"/>
          <w:color w:val="000000"/>
        </w:rPr>
        <w:t xml:space="preserve">igh </w:t>
      </w:r>
      <w:r w:rsidR="006D3271">
        <w:rPr>
          <w:rFonts w:ascii="Calibri" w:hAnsi="Calibri" w:cs="Calibri"/>
          <w:color w:val="000000"/>
        </w:rPr>
        <w:t>L</w:t>
      </w:r>
      <w:r w:rsidRPr="00A0027B">
        <w:rPr>
          <w:rFonts w:ascii="Calibri" w:hAnsi="Calibri" w:cs="Calibri"/>
          <w:color w:val="000000"/>
        </w:rPr>
        <w:t xml:space="preserve">evels of </w:t>
      </w:r>
      <w:r w:rsidR="006D3271">
        <w:rPr>
          <w:rFonts w:ascii="Calibri" w:hAnsi="Calibri" w:cs="Calibri"/>
          <w:color w:val="000000"/>
        </w:rPr>
        <w:t>C</w:t>
      </w:r>
      <w:r w:rsidRPr="00A0027B">
        <w:rPr>
          <w:rFonts w:ascii="Calibri" w:hAnsi="Calibri" w:cs="Calibri"/>
          <w:color w:val="000000"/>
        </w:rPr>
        <w:t xml:space="preserve">ommunity </w:t>
      </w:r>
      <w:r w:rsidR="006D3271">
        <w:rPr>
          <w:rFonts w:ascii="Calibri" w:hAnsi="Calibri" w:cs="Calibri"/>
          <w:color w:val="000000"/>
        </w:rPr>
        <w:t>T</w:t>
      </w:r>
      <w:r w:rsidRPr="00A0027B">
        <w:rPr>
          <w:rFonts w:ascii="Calibri" w:hAnsi="Calibri" w:cs="Calibri"/>
          <w:color w:val="000000"/>
        </w:rPr>
        <w:t xml:space="preserve">ransmission of SARS-CoV-2 and </w:t>
      </w:r>
      <w:r w:rsidR="006D3271">
        <w:rPr>
          <w:rFonts w:ascii="Calibri" w:hAnsi="Calibri" w:cs="Calibri"/>
          <w:color w:val="000000"/>
        </w:rPr>
        <w:t>R</w:t>
      </w:r>
      <w:r w:rsidRPr="00A0027B">
        <w:rPr>
          <w:rFonts w:ascii="Calibri" w:hAnsi="Calibri" w:cs="Calibri"/>
          <w:color w:val="000000"/>
        </w:rPr>
        <w:t xml:space="preserve">elated </w:t>
      </w:r>
      <w:r w:rsidR="006D3271">
        <w:rPr>
          <w:rFonts w:ascii="Calibri" w:hAnsi="Calibri" w:cs="Calibri"/>
          <w:color w:val="000000"/>
        </w:rPr>
        <w:t>D</w:t>
      </w:r>
      <w:r w:rsidRPr="00A0027B">
        <w:rPr>
          <w:rFonts w:ascii="Calibri" w:hAnsi="Calibri" w:cs="Calibri"/>
          <w:color w:val="000000"/>
        </w:rPr>
        <w:t xml:space="preserve">eaths, December 2020. </w:t>
      </w:r>
      <w:r w:rsidR="004D2D66" w:rsidRPr="004D2D66">
        <w:rPr>
          <w:rFonts w:ascii="Calibri" w:hAnsi="Calibri" w:cs="Calibri"/>
          <w:i/>
          <w:iCs/>
          <w:color w:val="000000"/>
        </w:rPr>
        <w:t>MMWR.</w:t>
      </w:r>
      <w:r w:rsidR="004D2D66">
        <w:rPr>
          <w:rFonts w:ascii="Calibri" w:hAnsi="Calibri" w:cs="Calibri"/>
          <w:color w:val="000000"/>
        </w:rPr>
        <w:t xml:space="preserve"> </w:t>
      </w:r>
      <w:r w:rsidRPr="00A0027B">
        <w:rPr>
          <w:rFonts w:ascii="Calibri" w:hAnsi="Calibri" w:cs="Calibri"/>
          <w:i/>
          <w:iCs/>
          <w:color w:val="000000"/>
        </w:rPr>
        <w:t xml:space="preserve">Morbidity and </w:t>
      </w:r>
      <w:r w:rsidR="00A35D11">
        <w:rPr>
          <w:rFonts w:ascii="Calibri" w:hAnsi="Calibri" w:cs="Calibri"/>
          <w:i/>
          <w:iCs/>
          <w:color w:val="000000"/>
        </w:rPr>
        <w:t>M</w:t>
      </w:r>
      <w:r w:rsidRPr="00A0027B">
        <w:rPr>
          <w:rFonts w:ascii="Calibri" w:hAnsi="Calibri" w:cs="Calibri"/>
          <w:i/>
          <w:iCs/>
          <w:color w:val="000000"/>
        </w:rPr>
        <w:t xml:space="preserve">ortality </w:t>
      </w:r>
      <w:r w:rsidR="00A35D11">
        <w:rPr>
          <w:rFonts w:ascii="Calibri" w:hAnsi="Calibri" w:cs="Calibri"/>
          <w:i/>
          <w:iCs/>
          <w:color w:val="000000"/>
        </w:rPr>
        <w:t>W</w:t>
      </w:r>
      <w:r w:rsidRPr="00A0027B">
        <w:rPr>
          <w:rFonts w:ascii="Calibri" w:hAnsi="Calibri" w:cs="Calibri"/>
          <w:i/>
          <w:iCs/>
          <w:color w:val="000000"/>
        </w:rPr>
        <w:t xml:space="preserve">eekly </w:t>
      </w:r>
      <w:r w:rsidR="00A35D11">
        <w:rPr>
          <w:rFonts w:ascii="Calibri" w:hAnsi="Calibri" w:cs="Calibri"/>
          <w:i/>
          <w:iCs/>
          <w:color w:val="000000"/>
        </w:rPr>
        <w:t>R</w:t>
      </w:r>
      <w:r w:rsidRPr="00A0027B">
        <w:rPr>
          <w:rFonts w:ascii="Calibri" w:hAnsi="Calibri" w:cs="Calibri"/>
          <w:i/>
          <w:iCs/>
          <w:color w:val="000000"/>
        </w:rPr>
        <w:t>eport.</w:t>
      </w:r>
      <w:r w:rsidRPr="00A0027B">
        <w:rPr>
          <w:rFonts w:ascii="Calibri" w:hAnsi="Calibri" w:cs="Calibri"/>
          <w:color w:val="000000"/>
        </w:rPr>
        <w:t xml:space="preserve"> </w:t>
      </w:r>
      <w:r w:rsidRPr="00A0027B">
        <w:rPr>
          <w:rFonts w:ascii="Calibri" w:hAnsi="Calibri" w:cs="Calibri"/>
          <w:b/>
          <w:bCs/>
          <w:color w:val="000000"/>
        </w:rPr>
        <w:t>69</w:t>
      </w:r>
      <w:r w:rsidRPr="00A0027B">
        <w:rPr>
          <w:rFonts w:ascii="Calibri" w:hAnsi="Calibri" w:cs="Calibri"/>
          <w:color w:val="000000"/>
        </w:rPr>
        <w:t xml:space="preserve"> (49), 1860</w:t>
      </w:r>
      <w:r w:rsidR="004D2D66">
        <w:rPr>
          <w:rFonts w:ascii="Calibri" w:hAnsi="Calibri" w:cs="Calibri"/>
          <w:color w:val="000000"/>
        </w:rPr>
        <w:t>–</w:t>
      </w:r>
      <w:r w:rsidRPr="00A0027B">
        <w:rPr>
          <w:rFonts w:ascii="Calibri" w:hAnsi="Calibri" w:cs="Calibri"/>
          <w:color w:val="000000"/>
        </w:rPr>
        <w:t>1867 (2020).</w:t>
      </w:r>
    </w:p>
    <w:p w14:paraId="7A3CDD28" w14:textId="655B0A1A"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textAlignment w:val="baseline"/>
        <w:rPr>
          <w:rFonts w:ascii="Calibri" w:hAnsi="Calibri" w:cs="Calibri"/>
          <w:color w:val="000000"/>
        </w:rPr>
      </w:pPr>
      <w:r w:rsidRPr="00A0027B">
        <w:rPr>
          <w:rFonts w:ascii="Calibri" w:hAnsi="Calibri" w:cs="Calibri"/>
          <w:color w:val="000000"/>
        </w:rPr>
        <w:t xml:space="preserve">World Health Organization. Surveillance strategies for COVID-19 human infection: interim guidance, 10 May 2020. </w:t>
      </w:r>
      <w:r w:rsidRPr="00555238">
        <w:rPr>
          <w:rFonts w:ascii="Calibri" w:hAnsi="Calibri" w:cs="Calibri"/>
          <w:i/>
          <w:iCs/>
          <w:color w:val="000000"/>
        </w:rPr>
        <w:t>World Health Organization.</w:t>
      </w:r>
      <w:r w:rsidRPr="00A0027B">
        <w:rPr>
          <w:rFonts w:ascii="Calibri" w:hAnsi="Calibri" w:cs="Calibri"/>
          <w:color w:val="000000"/>
        </w:rPr>
        <w:t xml:space="preserve"> </w:t>
      </w:r>
      <w:hyperlink r:id="rId9" w:history="1">
        <w:r w:rsidRPr="00A0027B">
          <w:rPr>
            <w:rStyle w:val="Hyperlink"/>
            <w:rFonts w:ascii="Calibri" w:hAnsi="Calibri" w:cs="Calibri"/>
            <w:color w:val="1155CC"/>
          </w:rPr>
          <w:t>https://apps.who.int/iris/handle/10665/332051</w:t>
        </w:r>
      </w:hyperlink>
      <w:r w:rsidR="00306603" w:rsidRPr="00534915">
        <w:rPr>
          <w:rStyle w:val="Hyperlink"/>
          <w:rFonts w:ascii="Calibri" w:hAnsi="Calibri" w:cs="Calibri"/>
          <w:color w:val="1155CC"/>
          <w:u w:val="none"/>
        </w:rPr>
        <w:t xml:space="preserve"> </w:t>
      </w:r>
      <w:r w:rsidR="00306603" w:rsidRPr="00306603">
        <w:rPr>
          <w:rStyle w:val="Hyperlink"/>
          <w:rFonts w:ascii="Calibri" w:hAnsi="Calibri" w:cs="Calibri"/>
          <w:color w:val="auto"/>
          <w:u w:val="none"/>
        </w:rPr>
        <w:t>(2020)</w:t>
      </w:r>
      <w:r w:rsidRPr="00A0027B">
        <w:rPr>
          <w:rFonts w:ascii="Calibri" w:hAnsi="Calibri" w:cs="Calibri"/>
          <w:color w:val="000000"/>
        </w:rPr>
        <w:t>.</w:t>
      </w:r>
    </w:p>
    <w:p w14:paraId="0BFD421E" w14:textId="7EF4794D"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Centers for Disease Control. Screening testing for early detection of SARS-CoV-2 infection. Division of viral diseases. 2 July 2020.</w:t>
      </w:r>
      <w:r w:rsidR="00D242F3" w:rsidRPr="00D242F3">
        <w:rPr>
          <w:rFonts w:ascii="Calibri" w:hAnsi="Calibri" w:cs="Calibri"/>
          <w:color w:val="000000"/>
        </w:rPr>
        <w:t xml:space="preserve"> </w:t>
      </w:r>
      <w:r w:rsidR="00D242F3" w:rsidRPr="00D242F3">
        <w:rPr>
          <w:rFonts w:ascii="Calibri" w:hAnsi="Calibri" w:cs="Calibri"/>
          <w:i/>
          <w:iCs/>
          <w:color w:val="000000"/>
        </w:rPr>
        <w:t>Centers for Disease Control.</w:t>
      </w:r>
      <w:r w:rsidR="00D242F3" w:rsidRPr="00A0027B">
        <w:rPr>
          <w:rFonts w:ascii="Calibri" w:hAnsi="Calibri" w:cs="Calibri"/>
          <w:color w:val="000000"/>
        </w:rPr>
        <w:t xml:space="preserve"> </w:t>
      </w:r>
      <w:r w:rsidRPr="00A0027B">
        <w:rPr>
          <w:rFonts w:ascii="Calibri" w:hAnsi="Calibri" w:cs="Calibri"/>
          <w:color w:val="000000"/>
        </w:rPr>
        <w:t xml:space="preserve"> </w:t>
      </w:r>
      <w:hyperlink r:id="rId10" w:anchor="PublicHealthSurveillance" w:history="1">
        <w:r w:rsidRPr="00A0027B">
          <w:rPr>
            <w:rStyle w:val="Hyperlink"/>
            <w:rFonts w:ascii="Calibri" w:hAnsi="Calibri" w:cs="Calibri"/>
            <w:color w:val="1155CC"/>
          </w:rPr>
          <w:t>https://www.cdc.gov/coronavirus/2019-ncov/hcp/testing-overview.html#PublicHealthSurveillance</w:t>
        </w:r>
      </w:hyperlink>
      <w:r w:rsidR="00D242F3" w:rsidRPr="00D242F3">
        <w:rPr>
          <w:rStyle w:val="Hyperlink"/>
          <w:rFonts w:ascii="Calibri" w:hAnsi="Calibri" w:cs="Calibri"/>
          <w:color w:val="auto"/>
          <w:u w:val="none"/>
        </w:rPr>
        <w:t xml:space="preserve"> (2020).</w:t>
      </w:r>
    </w:p>
    <w:p w14:paraId="0DDE32AC" w14:textId="1DBC88C6"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Larremore</w:t>
      </w:r>
      <w:proofErr w:type="spellEnd"/>
      <w:r w:rsidRPr="00A0027B">
        <w:rPr>
          <w:rFonts w:ascii="Calibri" w:hAnsi="Calibri" w:cs="Calibri"/>
          <w:color w:val="000000"/>
        </w:rPr>
        <w:t>, D.B.</w:t>
      </w:r>
      <w:r w:rsidR="00D242F3">
        <w:rPr>
          <w:rFonts w:ascii="Calibri" w:hAnsi="Calibri" w:cs="Calibri"/>
          <w:color w:val="000000"/>
        </w:rPr>
        <w:t xml:space="preserve"> </w:t>
      </w:r>
      <w:r w:rsidRPr="00A0027B">
        <w:rPr>
          <w:rFonts w:ascii="Calibri" w:hAnsi="Calibri" w:cs="Calibri"/>
          <w:color w:val="000000"/>
        </w:rPr>
        <w:t xml:space="preserve">et al. Test sensitivity is secondary to frequency and turnaround time for COVID-19 screening. </w:t>
      </w:r>
      <w:r w:rsidRPr="00A0027B">
        <w:rPr>
          <w:rFonts w:ascii="Calibri" w:hAnsi="Calibri" w:cs="Calibri"/>
          <w:i/>
          <w:iCs/>
          <w:color w:val="000000"/>
        </w:rPr>
        <w:t>Science Advances.</w:t>
      </w:r>
      <w:r w:rsidRPr="00A0027B">
        <w:rPr>
          <w:rFonts w:ascii="Calibri" w:hAnsi="Calibri" w:cs="Calibri"/>
          <w:color w:val="000000"/>
        </w:rPr>
        <w:t xml:space="preserve"> </w:t>
      </w:r>
      <w:r w:rsidRPr="00A0027B">
        <w:rPr>
          <w:rFonts w:ascii="Calibri" w:hAnsi="Calibri" w:cs="Calibri"/>
          <w:b/>
          <w:bCs/>
          <w:color w:val="000000"/>
        </w:rPr>
        <w:t>7</w:t>
      </w:r>
      <w:r w:rsidRPr="00A0027B">
        <w:rPr>
          <w:rFonts w:ascii="Calibri" w:hAnsi="Calibri" w:cs="Calibri"/>
          <w:color w:val="000000"/>
        </w:rPr>
        <w:t xml:space="preserve"> (1), eabd5393 (2021).</w:t>
      </w:r>
    </w:p>
    <w:p w14:paraId="204AA5B0" w14:textId="32906343"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Sethuraman</w:t>
      </w:r>
      <w:proofErr w:type="spellEnd"/>
      <w:r w:rsidRPr="00A0027B">
        <w:rPr>
          <w:rFonts w:ascii="Calibri" w:hAnsi="Calibri" w:cs="Calibri"/>
          <w:color w:val="000000"/>
        </w:rPr>
        <w:t xml:space="preserve">, N., Jeremiah, S.S., Ryo, A. Interpreting </w:t>
      </w:r>
      <w:r w:rsidR="009478F9">
        <w:rPr>
          <w:rFonts w:ascii="Calibri" w:hAnsi="Calibri" w:cs="Calibri"/>
          <w:color w:val="000000"/>
        </w:rPr>
        <w:t>D</w:t>
      </w:r>
      <w:r w:rsidRPr="00A0027B">
        <w:rPr>
          <w:rFonts w:ascii="Calibri" w:hAnsi="Calibri" w:cs="Calibri"/>
          <w:color w:val="000000"/>
        </w:rPr>
        <w:t xml:space="preserve">iagnostic </w:t>
      </w:r>
      <w:r w:rsidR="009478F9">
        <w:rPr>
          <w:rFonts w:ascii="Calibri" w:hAnsi="Calibri" w:cs="Calibri"/>
          <w:color w:val="000000"/>
        </w:rPr>
        <w:t>T</w:t>
      </w:r>
      <w:r w:rsidRPr="00A0027B">
        <w:rPr>
          <w:rFonts w:ascii="Calibri" w:hAnsi="Calibri" w:cs="Calibri"/>
          <w:color w:val="000000"/>
        </w:rPr>
        <w:t xml:space="preserve">ests for SARS-CoV-2. </w:t>
      </w:r>
      <w:r w:rsidR="008227B0">
        <w:rPr>
          <w:rFonts w:ascii="Calibri" w:hAnsi="Calibri" w:cs="Calibri"/>
          <w:i/>
          <w:iCs/>
          <w:color w:val="000000"/>
        </w:rPr>
        <w:t>JAMA</w:t>
      </w:r>
      <w:r w:rsidRPr="00A0027B">
        <w:rPr>
          <w:rFonts w:ascii="Calibri" w:hAnsi="Calibri" w:cs="Calibri"/>
          <w:color w:val="000000"/>
        </w:rPr>
        <w:t xml:space="preserve">. </w:t>
      </w:r>
      <w:r w:rsidRPr="00A0027B">
        <w:rPr>
          <w:rFonts w:ascii="Calibri" w:hAnsi="Calibri" w:cs="Calibri"/>
          <w:b/>
          <w:bCs/>
          <w:color w:val="000000"/>
        </w:rPr>
        <w:t xml:space="preserve">323 </w:t>
      </w:r>
      <w:r w:rsidRPr="00A0027B">
        <w:rPr>
          <w:rFonts w:ascii="Calibri" w:hAnsi="Calibri" w:cs="Calibri"/>
          <w:color w:val="000000"/>
        </w:rPr>
        <w:t>(22), 2249</w:t>
      </w:r>
      <w:r w:rsidR="009478F9">
        <w:rPr>
          <w:rFonts w:ascii="Calibri" w:hAnsi="Calibri" w:cs="Calibri"/>
          <w:color w:val="000000"/>
        </w:rPr>
        <w:t>–</w:t>
      </w:r>
      <w:r w:rsidRPr="00A0027B">
        <w:rPr>
          <w:rFonts w:ascii="Calibri" w:hAnsi="Calibri" w:cs="Calibri"/>
          <w:color w:val="000000"/>
        </w:rPr>
        <w:t>2251 (2020).</w:t>
      </w:r>
    </w:p>
    <w:p w14:paraId="6AC30310" w14:textId="3EA5EC5C"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 xml:space="preserve">Chu, A.W. et al. Evaluation of simple nucleic acid extraction methods for the detection of SARS-CoV-2 in nasopharyngeal and saliva specimens during global shortage of extraction kits. </w:t>
      </w:r>
      <w:r w:rsidRPr="00A0027B">
        <w:rPr>
          <w:rFonts w:ascii="Calibri" w:hAnsi="Calibri" w:cs="Calibri"/>
          <w:i/>
          <w:iCs/>
          <w:color w:val="000000"/>
        </w:rPr>
        <w:t xml:space="preserve">Journal of </w:t>
      </w:r>
      <w:r w:rsidR="00CA38FF">
        <w:rPr>
          <w:rFonts w:ascii="Calibri" w:hAnsi="Calibri" w:cs="Calibri"/>
          <w:i/>
          <w:iCs/>
          <w:color w:val="000000"/>
        </w:rPr>
        <w:t>c</w:t>
      </w:r>
      <w:r w:rsidRPr="00A0027B">
        <w:rPr>
          <w:rFonts w:ascii="Calibri" w:hAnsi="Calibri" w:cs="Calibri"/>
          <w:i/>
          <w:iCs/>
          <w:color w:val="000000"/>
        </w:rPr>
        <w:t xml:space="preserve">linical </w:t>
      </w:r>
      <w:r w:rsidR="00CA38FF">
        <w:rPr>
          <w:rFonts w:ascii="Calibri" w:hAnsi="Calibri" w:cs="Calibri"/>
          <w:i/>
          <w:iCs/>
          <w:color w:val="000000"/>
        </w:rPr>
        <w:t>v</w:t>
      </w:r>
      <w:r w:rsidRPr="00A0027B">
        <w:rPr>
          <w:rFonts w:ascii="Calibri" w:hAnsi="Calibri" w:cs="Calibri"/>
          <w:i/>
          <w:iCs/>
          <w:color w:val="000000"/>
        </w:rPr>
        <w:t>irology</w:t>
      </w:r>
      <w:r w:rsidR="00CA38FF">
        <w:rPr>
          <w:rFonts w:ascii="Calibri" w:hAnsi="Calibri" w:cs="Calibri"/>
          <w:i/>
          <w:iCs/>
          <w:color w:val="000000"/>
        </w:rPr>
        <w:t xml:space="preserve">: the official publication of the </w:t>
      </w:r>
      <w:r w:rsidR="006951E5">
        <w:rPr>
          <w:rFonts w:ascii="Calibri" w:hAnsi="Calibri" w:cs="Calibri"/>
          <w:i/>
          <w:iCs/>
          <w:color w:val="000000"/>
        </w:rPr>
        <w:t>Pan American Society for Clinical Virology</w:t>
      </w:r>
      <w:r w:rsidRPr="00A0027B">
        <w:rPr>
          <w:rFonts w:ascii="Calibri" w:hAnsi="Calibri" w:cs="Calibri"/>
          <w:color w:val="000000"/>
        </w:rPr>
        <w:t xml:space="preserve">. </w:t>
      </w:r>
      <w:r w:rsidRPr="00A0027B">
        <w:rPr>
          <w:rFonts w:ascii="Calibri" w:hAnsi="Calibri" w:cs="Calibri"/>
          <w:b/>
          <w:bCs/>
          <w:color w:val="000000"/>
        </w:rPr>
        <w:t>129</w:t>
      </w:r>
      <w:r w:rsidRPr="00A0027B">
        <w:rPr>
          <w:rFonts w:ascii="Calibri" w:hAnsi="Calibri" w:cs="Calibri"/>
          <w:color w:val="000000"/>
        </w:rPr>
        <w:t>, 104519 (2020). </w:t>
      </w:r>
    </w:p>
    <w:p w14:paraId="56596A82" w14:textId="1613B6DF"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lastRenderedPageBreak/>
        <w:t xml:space="preserve">Guan, D. et al. Global supply-chain effects of COVID-19 control measures. </w:t>
      </w:r>
      <w:r w:rsidRPr="00A0027B">
        <w:rPr>
          <w:rFonts w:ascii="Calibri" w:hAnsi="Calibri" w:cs="Calibri"/>
          <w:i/>
          <w:iCs/>
          <w:color w:val="000000"/>
        </w:rPr>
        <w:t xml:space="preserve">Nature Human </w:t>
      </w:r>
      <w:proofErr w:type="spellStart"/>
      <w:r w:rsidRPr="00A0027B">
        <w:rPr>
          <w:rFonts w:ascii="Calibri" w:hAnsi="Calibri" w:cs="Calibri"/>
          <w:i/>
          <w:iCs/>
          <w:color w:val="000000"/>
        </w:rPr>
        <w:t>Behavio</w:t>
      </w:r>
      <w:r w:rsidR="00F067BA">
        <w:rPr>
          <w:rFonts w:ascii="Calibri" w:hAnsi="Calibri" w:cs="Calibri"/>
          <w:i/>
          <w:iCs/>
          <w:color w:val="000000"/>
        </w:rPr>
        <w:t>u</w:t>
      </w:r>
      <w:r w:rsidRPr="00A0027B">
        <w:rPr>
          <w:rFonts w:ascii="Calibri" w:hAnsi="Calibri" w:cs="Calibri"/>
          <w:i/>
          <w:iCs/>
          <w:color w:val="000000"/>
        </w:rPr>
        <w:t>r</w:t>
      </w:r>
      <w:proofErr w:type="spellEnd"/>
      <w:r w:rsidRPr="00A0027B">
        <w:rPr>
          <w:rFonts w:ascii="Calibri" w:hAnsi="Calibri" w:cs="Calibri"/>
          <w:i/>
          <w:iCs/>
          <w:color w:val="000000"/>
        </w:rPr>
        <w:t>.</w:t>
      </w:r>
      <w:r w:rsidRPr="00A0027B">
        <w:rPr>
          <w:rFonts w:ascii="Calibri" w:hAnsi="Calibri" w:cs="Calibri"/>
          <w:color w:val="000000"/>
        </w:rPr>
        <w:t xml:space="preserve"> </w:t>
      </w:r>
      <w:r w:rsidRPr="00A0027B">
        <w:rPr>
          <w:rFonts w:ascii="Calibri" w:hAnsi="Calibri" w:cs="Calibri"/>
          <w:b/>
          <w:bCs/>
          <w:color w:val="000000"/>
        </w:rPr>
        <w:t xml:space="preserve">4 </w:t>
      </w:r>
      <w:r w:rsidRPr="00A0027B">
        <w:rPr>
          <w:rFonts w:ascii="Calibri" w:hAnsi="Calibri" w:cs="Calibri"/>
          <w:color w:val="000000"/>
        </w:rPr>
        <w:t>(6), 577</w:t>
      </w:r>
      <w:r w:rsidR="00F067BA">
        <w:rPr>
          <w:rFonts w:ascii="Calibri" w:hAnsi="Calibri" w:cs="Calibri"/>
          <w:color w:val="000000"/>
        </w:rPr>
        <w:t>–</w:t>
      </w:r>
      <w:r w:rsidRPr="00A0027B">
        <w:rPr>
          <w:rFonts w:ascii="Calibri" w:hAnsi="Calibri" w:cs="Calibri"/>
          <w:color w:val="000000"/>
        </w:rPr>
        <w:t>587 (2020). </w:t>
      </w:r>
    </w:p>
    <w:p w14:paraId="3F57D412" w14:textId="349C0B6F"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 xml:space="preserve">Bastos, M.L., Perlman-Arrow, S., Menzies, D., Campbell, J.R. The </w:t>
      </w:r>
      <w:r w:rsidR="00244A37">
        <w:rPr>
          <w:rFonts w:ascii="Calibri" w:hAnsi="Calibri" w:cs="Calibri"/>
          <w:color w:val="000000"/>
        </w:rPr>
        <w:t>S</w:t>
      </w:r>
      <w:r w:rsidRPr="00A0027B">
        <w:rPr>
          <w:rFonts w:ascii="Calibri" w:hAnsi="Calibri" w:cs="Calibri"/>
          <w:color w:val="000000"/>
        </w:rPr>
        <w:t xml:space="preserve">ensitivity and </w:t>
      </w:r>
      <w:r w:rsidR="00244A37">
        <w:rPr>
          <w:rFonts w:ascii="Calibri" w:hAnsi="Calibri" w:cs="Calibri"/>
          <w:color w:val="000000"/>
        </w:rPr>
        <w:t>C</w:t>
      </w:r>
      <w:r w:rsidRPr="00A0027B">
        <w:rPr>
          <w:rFonts w:ascii="Calibri" w:hAnsi="Calibri" w:cs="Calibri"/>
          <w:color w:val="000000"/>
        </w:rPr>
        <w:t xml:space="preserve">osts of </w:t>
      </w:r>
      <w:r w:rsidR="00244A37">
        <w:rPr>
          <w:rFonts w:ascii="Calibri" w:hAnsi="Calibri" w:cs="Calibri"/>
          <w:color w:val="000000"/>
        </w:rPr>
        <w:t>T</w:t>
      </w:r>
      <w:r w:rsidRPr="00A0027B">
        <w:rPr>
          <w:rFonts w:ascii="Calibri" w:hAnsi="Calibri" w:cs="Calibri"/>
          <w:color w:val="000000"/>
        </w:rPr>
        <w:t xml:space="preserve">esting for SARS-CoV-2 </w:t>
      </w:r>
      <w:r w:rsidR="00244A37">
        <w:rPr>
          <w:rFonts w:ascii="Calibri" w:hAnsi="Calibri" w:cs="Calibri"/>
          <w:color w:val="000000"/>
        </w:rPr>
        <w:t>I</w:t>
      </w:r>
      <w:r w:rsidRPr="00A0027B">
        <w:rPr>
          <w:rFonts w:ascii="Calibri" w:hAnsi="Calibri" w:cs="Calibri"/>
          <w:color w:val="000000"/>
        </w:rPr>
        <w:t xml:space="preserve">nfection </w:t>
      </w:r>
      <w:proofErr w:type="gramStart"/>
      <w:r w:rsidR="00244A37">
        <w:rPr>
          <w:rFonts w:ascii="Calibri" w:hAnsi="Calibri" w:cs="Calibri"/>
          <w:color w:val="000000"/>
        </w:rPr>
        <w:t>W</w:t>
      </w:r>
      <w:r w:rsidRPr="00A0027B">
        <w:rPr>
          <w:rFonts w:ascii="Calibri" w:hAnsi="Calibri" w:cs="Calibri"/>
          <w:color w:val="000000"/>
        </w:rPr>
        <w:t>ith</w:t>
      </w:r>
      <w:proofErr w:type="gramEnd"/>
      <w:r w:rsidRPr="00A0027B">
        <w:rPr>
          <w:rFonts w:ascii="Calibri" w:hAnsi="Calibri" w:cs="Calibri"/>
          <w:color w:val="000000"/>
        </w:rPr>
        <w:t xml:space="preserve"> </w:t>
      </w:r>
      <w:r w:rsidR="00244A37">
        <w:rPr>
          <w:rFonts w:ascii="Calibri" w:hAnsi="Calibri" w:cs="Calibri"/>
          <w:color w:val="000000"/>
        </w:rPr>
        <w:t>S</w:t>
      </w:r>
      <w:r w:rsidRPr="00A0027B">
        <w:rPr>
          <w:rFonts w:ascii="Calibri" w:hAnsi="Calibri" w:cs="Calibri"/>
          <w:color w:val="000000"/>
        </w:rPr>
        <w:t xml:space="preserve">aliva </w:t>
      </w:r>
      <w:r w:rsidR="00244A37">
        <w:rPr>
          <w:rFonts w:ascii="Calibri" w:hAnsi="Calibri" w:cs="Calibri"/>
          <w:color w:val="000000"/>
        </w:rPr>
        <w:t>V</w:t>
      </w:r>
      <w:r w:rsidRPr="00A0027B">
        <w:rPr>
          <w:rFonts w:ascii="Calibri" w:hAnsi="Calibri" w:cs="Calibri"/>
          <w:color w:val="000000"/>
        </w:rPr>
        <w:t xml:space="preserve">ersus </w:t>
      </w:r>
      <w:r w:rsidR="00244A37">
        <w:rPr>
          <w:rFonts w:ascii="Calibri" w:hAnsi="Calibri" w:cs="Calibri"/>
          <w:color w:val="000000"/>
        </w:rPr>
        <w:t>N</w:t>
      </w:r>
      <w:r w:rsidRPr="00A0027B">
        <w:rPr>
          <w:rFonts w:ascii="Calibri" w:hAnsi="Calibri" w:cs="Calibri"/>
          <w:color w:val="000000"/>
        </w:rPr>
        <w:t xml:space="preserve">asopharyngeal </w:t>
      </w:r>
      <w:r w:rsidR="00244A37">
        <w:rPr>
          <w:rFonts w:ascii="Calibri" w:hAnsi="Calibri" w:cs="Calibri"/>
          <w:color w:val="000000"/>
        </w:rPr>
        <w:t>S</w:t>
      </w:r>
      <w:r w:rsidRPr="00A0027B">
        <w:rPr>
          <w:rFonts w:ascii="Calibri" w:hAnsi="Calibri" w:cs="Calibri"/>
          <w:color w:val="000000"/>
        </w:rPr>
        <w:t xml:space="preserve">wabs: </w:t>
      </w:r>
      <w:r w:rsidR="00244A37">
        <w:rPr>
          <w:rFonts w:ascii="Calibri" w:hAnsi="Calibri" w:cs="Calibri"/>
          <w:color w:val="000000"/>
        </w:rPr>
        <w:t>A</w:t>
      </w:r>
      <w:r w:rsidRPr="00A0027B">
        <w:rPr>
          <w:rFonts w:ascii="Calibri" w:hAnsi="Calibri" w:cs="Calibri"/>
          <w:color w:val="000000"/>
        </w:rPr>
        <w:t xml:space="preserve"> </w:t>
      </w:r>
      <w:r w:rsidR="00244A37">
        <w:rPr>
          <w:rFonts w:ascii="Calibri" w:hAnsi="Calibri" w:cs="Calibri"/>
          <w:color w:val="000000"/>
        </w:rPr>
        <w:t>S</w:t>
      </w:r>
      <w:r w:rsidRPr="00A0027B">
        <w:rPr>
          <w:rFonts w:ascii="Calibri" w:hAnsi="Calibri" w:cs="Calibri"/>
          <w:color w:val="000000"/>
        </w:rPr>
        <w:t xml:space="preserve">ystematic </w:t>
      </w:r>
      <w:r w:rsidR="00244A37">
        <w:rPr>
          <w:rFonts w:ascii="Calibri" w:hAnsi="Calibri" w:cs="Calibri"/>
          <w:color w:val="000000"/>
        </w:rPr>
        <w:t>R</w:t>
      </w:r>
      <w:r w:rsidRPr="00A0027B">
        <w:rPr>
          <w:rFonts w:ascii="Calibri" w:hAnsi="Calibri" w:cs="Calibri"/>
          <w:color w:val="000000"/>
        </w:rPr>
        <w:t xml:space="preserve">eview and </w:t>
      </w:r>
      <w:r w:rsidR="00244A37">
        <w:rPr>
          <w:rFonts w:ascii="Calibri" w:hAnsi="Calibri" w:cs="Calibri"/>
          <w:color w:val="000000"/>
        </w:rPr>
        <w:t>M</w:t>
      </w:r>
      <w:r w:rsidRPr="00A0027B">
        <w:rPr>
          <w:rFonts w:ascii="Calibri" w:hAnsi="Calibri" w:cs="Calibri"/>
          <w:color w:val="000000"/>
        </w:rPr>
        <w:t xml:space="preserve">eta-analysis. </w:t>
      </w:r>
      <w:r w:rsidRPr="00A0027B">
        <w:rPr>
          <w:rFonts w:ascii="Calibri" w:hAnsi="Calibri" w:cs="Calibri"/>
          <w:i/>
          <w:iCs/>
          <w:color w:val="000000"/>
        </w:rPr>
        <w:t xml:space="preserve">Annals of </w:t>
      </w:r>
      <w:r w:rsidR="00A35D11">
        <w:rPr>
          <w:rFonts w:ascii="Calibri" w:hAnsi="Calibri" w:cs="Calibri"/>
          <w:i/>
          <w:iCs/>
          <w:color w:val="000000"/>
        </w:rPr>
        <w:t>I</w:t>
      </w:r>
      <w:r w:rsidRPr="00A0027B">
        <w:rPr>
          <w:rFonts w:ascii="Calibri" w:hAnsi="Calibri" w:cs="Calibri"/>
          <w:i/>
          <w:iCs/>
          <w:color w:val="000000"/>
        </w:rPr>
        <w:t xml:space="preserve">nternal </w:t>
      </w:r>
      <w:r w:rsidR="00A35D11">
        <w:rPr>
          <w:rFonts w:ascii="Calibri" w:hAnsi="Calibri" w:cs="Calibri"/>
          <w:i/>
          <w:iCs/>
          <w:color w:val="000000"/>
        </w:rPr>
        <w:t>M</w:t>
      </w:r>
      <w:r w:rsidRPr="00A0027B">
        <w:rPr>
          <w:rFonts w:ascii="Calibri" w:hAnsi="Calibri" w:cs="Calibri"/>
          <w:i/>
          <w:iCs/>
          <w:color w:val="000000"/>
        </w:rPr>
        <w:t>edicine.</w:t>
      </w:r>
      <w:r w:rsidRPr="00A0027B">
        <w:rPr>
          <w:rFonts w:ascii="Calibri" w:hAnsi="Calibri" w:cs="Calibri"/>
          <w:color w:val="000000"/>
        </w:rPr>
        <w:t xml:space="preserve"> </w:t>
      </w:r>
      <w:r w:rsidRPr="00A0027B">
        <w:rPr>
          <w:rFonts w:ascii="Calibri" w:hAnsi="Calibri" w:cs="Calibri"/>
          <w:b/>
          <w:bCs/>
          <w:color w:val="000000"/>
        </w:rPr>
        <w:t xml:space="preserve">174 </w:t>
      </w:r>
      <w:r w:rsidRPr="00A0027B">
        <w:rPr>
          <w:rFonts w:ascii="Calibri" w:hAnsi="Calibri" w:cs="Calibri"/>
          <w:color w:val="000000"/>
        </w:rPr>
        <w:t>(4), 501</w:t>
      </w:r>
      <w:r w:rsidR="00244A37">
        <w:rPr>
          <w:rFonts w:ascii="Calibri" w:hAnsi="Calibri" w:cs="Calibri"/>
          <w:color w:val="000000"/>
        </w:rPr>
        <w:t>–</w:t>
      </w:r>
      <w:r w:rsidRPr="00A0027B">
        <w:rPr>
          <w:rFonts w:ascii="Calibri" w:hAnsi="Calibri" w:cs="Calibri"/>
          <w:color w:val="000000"/>
        </w:rPr>
        <w:t>510 (2021).</w:t>
      </w:r>
    </w:p>
    <w:p w14:paraId="276F7E06" w14:textId="0A4263F7"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Pasomsub</w:t>
      </w:r>
      <w:proofErr w:type="spellEnd"/>
      <w:r w:rsidRPr="00A0027B">
        <w:rPr>
          <w:rFonts w:ascii="Calibri" w:hAnsi="Calibri" w:cs="Calibri"/>
          <w:color w:val="000000"/>
        </w:rPr>
        <w:t xml:space="preserve">, E. et al. Saliva sample as a non-invasive specimen for the diagnosis of coronavirus disease 2019: a cross-sectional study. </w:t>
      </w:r>
      <w:r w:rsidRPr="00A0027B">
        <w:rPr>
          <w:rFonts w:ascii="Calibri" w:hAnsi="Calibri" w:cs="Calibri"/>
          <w:i/>
          <w:iCs/>
          <w:color w:val="000000"/>
        </w:rPr>
        <w:t>Clinical Microbiology and Infection</w:t>
      </w:r>
      <w:r w:rsidR="00A148C1">
        <w:rPr>
          <w:rFonts w:ascii="Calibri" w:hAnsi="Calibri" w:cs="Calibri"/>
          <w:i/>
          <w:iCs/>
          <w:color w:val="000000"/>
        </w:rPr>
        <w:t>: The Official</w:t>
      </w:r>
      <w:r w:rsidR="00E71471">
        <w:rPr>
          <w:rFonts w:ascii="Calibri" w:hAnsi="Calibri" w:cs="Calibri"/>
          <w:i/>
          <w:iCs/>
          <w:color w:val="000000"/>
        </w:rPr>
        <w:t xml:space="preserve"> Publication of The European Society of Clinical Microbiology and Infectious Diseases</w:t>
      </w:r>
      <w:r w:rsidRPr="00A0027B">
        <w:rPr>
          <w:rFonts w:ascii="Calibri" w:hAnsi="Calibri" w:cs="Calibri"/>
          <w:i/>
          <w:iCs/>
          <w:color w:val="000000"/>
        </w:rPr>
        <w:t>.</w:t>
      </w:r>
      <w:r w:rsidRPr="00A0027B">
        <w:rPr>
          <w:rFonts w:ascii="Calibri" w:hAnsi="Calibri" w:cs="Calibri"/>
          <w:color w:val="000000"/>
        </w:rPr>
        <w:t xml:space="preserve"> </w:t>
      </w:r>
      <w:r w:rsidRPr="00A0027B">
        <w:rPr>
          <w:rFonts w:ascii="Calibri" w:hAnsi="Calibri" w:cs="Calibri"/>
          <w:b/>
          <w:bCs/>
          <w:color w:val="000000"/>
        </w:rPr>
        <w:t>2</w:t>
      </w:r>
      <w:r w:rsidR="00E71471">
        <w:rPr>
          <w:rFonts w:ascii="Calibri" w:hAnsi="Calibri" w:cs="Calibri"/>
          <w:b/>
          <w:bCs/>
          <w:color w:val="000000"/>
        </w:rPr>
        <w:t xml:space="preserve">7 </w:t>
      </w:r>
      <w:r w:rsidR="00E71471" w:rsidRPr="00E71471">
        <w:rPr>
          <w:rFonts w:ascii="Calibri" w:hAnsi="Calibri" w:cs="Calibri"/>
          <w:color w:val="000000"/>
        </w:rPr>
        <w:t>(2)</w:t>
      </w:r>
      <w:r w:rsidRPr="00E71471">
        <w:rPr>
          <w:rFonts w:ascii="Calibri" w:hAnsi="Calibri" w:cs="Calibri"/>
          <w:color w:val="000000"/>
        </w:rPr>
        <w:t>,</w:t>
      </w:r>
      <w:r w:rsidRPr="00A0027B">
        <w:rPr>
          <w:rFonts w:ascii="Calibri" w:hAnsi="Calibri" w:cs="Calibri"/>
          <w:color w:val="000000"/>
        </w:rPr>
        <w:t xml:space="preserve"> 285.e1</w:t>
      </w:r>
      <w:r w:rsidR="00E71471">
        <w:rPr>
          <w:rFonts w:ascii="Calibri" w:hAnsi="Calibri" w:cs="Calibri"/>
          <w:color w:val="000000"/>
        </w:rPr>
        <w:t>–</w:t>
      </w:r>
      <w:r w:rsidRPr="00A0027B">
        <w:rPr>
          <w:rFonts w:ascii="Calibri" w:hAnsi="Calibri" w:cs="Calibri"/>
          <w:color w:val="000000"/>
        </w:rPr>
        <w:t>285.e4 (2021).</w:t>
      </w:r>
    </w:p>
    <w:p w14:paraId="7B426A97" w14:textId="23C709B3"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 xml:space="preserve">To, K.K. et al. Consistent </w:t>
      </w:r>
      <w:r w:rsidR="00C672FD">
        <w:rPr>
          <w:rFonts w:ascii="Calibri" w:hAnsi="Calibri" w:cs="Calibri"/>
          <w:color w:val="000000"/>
        </w:rPr>
        <w:t>D</w:t>
      </w:r>
      <w:r w:rsidRPr="00A0027B">
        <w:rPr>
          <w:rFonts w:ascii="Calibri" w:hAnsi="Calibri" w:cs="Calibri"/>
          <w:color w:val="000000"/>
        </w:rPr>
        <w:t xml:space="preserve">etection of 2019 </w:t>
      </w:r>
      <w:r w:rsidR="00C672FD">
        <w:rPr>
          <w:rFonts w:ascii="Calibri" w:hAnsi="Calibri" w:cs="Calibri"/>
          <w:color w:val="000000"/>
        </w:rPr>
        <w:t>N</w:t>
      </w:r>
      <w:r w:rsidRPr="00A0027B">
        <w:rPr>
          <w:rFonts w:ascii="Calibri" w:hAnsi="Calibri" w:cs="Calibri"/>
          <w:color w:val="000000"/>
        </w:rPr>
        <w:t xml:space="preserve">ovel </w:t>
      </w:r>
      <w:r w:rsidR="00C672FD">
        <w:rPr>
          <w:rFonts w:ascii="Calibri" w:hAnsi="Calibri" w:cs="Calibri"/>
          <w:color w:val="000000"/>
        </w:rPr>
        <w:t>C</w:t>
      </w:r>
      <w:r w:rsidRPr="00A0027B">
        <w:rPr>
          <w:rFonts w:ascii="Calibri" w:hAnsi="Calibri" w:cs="Calibri"/>
          <w:color w:val="000000"/>
        </w:rPr>
        <w:t xml:space="preserve">oronavirus in </w:t>
      </w:r>
      <w:r w:rsidR="00C672FD">
        <w:rPr>
          <w:rFonts w:ascii="Calibri" w:hAnsi="Calibri" w:cs="Calibri"/>
          <w:color w:val="000000"/>
        </w:rPr>
        <w:t>S</w:t>
      </w:r>
      <w:r w:rsidRPr="00A0027B">
        <w:rPr>
          <w:rFonts w:ascii="Calibri" w:hAnsi="Calibri" w:cs="Calibri"/>
          <w:color w:val="000000"/>
        </w:rPr>
        <w:t xml:space="preserve">aliva. </w:t>
      </w:r>
      <w:r w:rsidRPr="00A0027B">
        <w:rPr>
          <w:rFonts w:ascii="Calibri" w:hAnsi="Calibri" w:cs="Calibri"/>
          <w:i/>
          <w:iCs/>
          <w:color w:val="000000"/>
        </w:rPr>
        <w:t>Clinical Infectious Diseases</w:t>
      </w:r>
      <w:r w:rsidR="00157499">
        <w:rPr>
          <w:rFonts w:ascii="Calibri" w:hAnsi="Calibri" w:cs="Calibri"/>
          <w:i/>
          <w:iCs/>
          <w:color w:val="000000"/>
        </w:rPr>
        <w:t>: An Official Publication of The Infectious Diseases Society of America</w:t>
      </w:r>
      <w:r w:rsidRPr="00A0027B">
        <w:rPr>
          <w:rFonts w:ascii="Calibri" w:hAnsi="Calibri" w:cs="Calibri"/>
          <w:color w:val="000000"/>
        </w:rPr>
        <w:t xml:space="preserve">. </w:t>
      </w:r>
      <w:r w:rsidRPr="00A0027B">
        <w:rPr>
          <w:rFonts w:ascii="Calibri" w:hAnsi="Calibri" w:cs="Calibri"/>
          <w:b/>
          <w:bCs/>
          <w:color w:val="000000"/>
        </w:rPr>
        <w:t xml:space="preserve">71 </w:t>
      </w:r>
      <w:r w:rsidRPr="00A0027B">
        <w:rPr>
          <w:rFonts w:ascii="Calibri" w:hAnsi="Calibri" w:cs="Calibri"/>
          <w:color w:val="000000"/>
        </w:rPr>
        <w:t>(15), 841</w:t>
      </w:r>
      <w:r w:rsidR="00157499">
        <w:rPr>
          <w:rFonts w:ascii="Calibri" w:hAnsi="Calibri" w:cs="Calibri"/>
          <w:color w:val="000000"/>
        </w:rPr>
        <w:t>–</w:t>
      </w:r>
      <w:r w:rsidRPr="00A0027B">
        <w:rPr>
          <w:rFonts w:ascii="Calibri" w:hAnsi="Calibri" w:cs="Calibri"/>
          <w:color w:val="000000"/>
        </w:rPr>
        <w:t>843 (2020).</w:t>
      </w:r>
    </w:p>
    <w:p w14:paraId="3E002ED2" w14:textId="4F263AC9"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Vogels</w:t>
      </w:r>
      <w:proofErr w:type="spellEnd"/>
      <w:r w:rsidRPr="00A0027B">
        <w:rPr>
          <w:rFonts w:ascii="Calibri" w:hAnsi="Calibri" w:cs="Calibri"/>
          <w:color w:val="000000"/>
        </w:rPr>
        <w:t xml:space="preserve">, C.B. et al. </w:t>
      </w:r>
      <w:proofErr w:type="spellStart"/>
      <w:r w:rsidRPr="00A0027B">
        <w:rPr>
          <w:rFonts w:ascii="Calibri" w:hAnsi="Calibri" w:cs="Calibri"/>
          <w:color w:val="000000"/>
        </w:rPr>
        <w:t>SalivaDirect</w:t>
      </w:r>
      <w:proofErr w:type="spellEnd"/>
      <w:r w:rsidRPr="00A0027B">
        <w:rPr>
          <w:rFonts w:ascii="Calibri" w:hAnsi="Calibri" w:cs="Calibri"/>
          <w:color w:val="000000"/>
        </w:rPr>
        <w:t xml:space="preserve">: A simplified and flexible platform to enhance SARS-CoV-2 testing capacity. </w:t>
      </w:r>
      <w:r w:rsidRPr="00A0027B">
        <w:rPr>
          <w:rFonts w:ascii="Calibri" w:hAnsi="Calibri" w:cs="Calibri"/>
          <w:i/>
          <w:iCs/>
          <w:color w:val="000000"/>
        </w:rPr>
        <w:t>Med</w:t>
      </w:r>
      <w:r w:rsidR="003F53FB">
        <w:rPr>
          <w:rFonts w:ascii="Calibri" w:hAnsi="Calibri" w:cs="Calibri"/>
          <w:i/>
          <w:iCs/>
          <w:color w:val="000000"/>
        </w:rPr>
        <w:t xml:space="preserve"> (New York, N.Y.)</w:t>
      </w:r>
      <w:r w:rsidRPr="00A0027B">
        <w:rPr>
          <w:rFonts w:ascii="Calibri" w:hAnsi="Calibri" w:cs="Calibri"/>
          <w:color w:val="000000"/>
        </w:rPr>
        <w:t xml:space="preserve">. </w:t>
      </w:r>
      <w:r w:rsidRPr="00A0027B">
        <w:rPr>
          <w:rFonts w:ascii="Calibri" w:hAnsi="Calibri" w:cs="Calibri"/>
          <w:b/>
          <w:bCs/>
          <w:color w:val="000000"/>
        </w:rPr>
        <w:t xml:space="preserve">2 </w:t>
      </w:r>
      <w:r w:rsidRPr="00A0027B">
        <w:rPr>
          <w:rFonts w:ascii="Calibri" w:hAnsi="Calibri" w:cs="Calibri"/>
          <w:color w:val="000000"/>
        </w:rPr>
        <w:t>(3), 263</w:t>
      </w:r>
      <w:r w:rsidR="00E01596">
        <w:rPr>
          <w:rFonts w:ascii="Calibri" w:hAnsi="Calibri" w:cs="Calibri"/>
          <w:color w:val="000000"/>
        </w:rPr>
        <w:t>–</w:t>
      </w:r>
      <w:r w:rsidRPr="00A0027B">
        <w:rPr>
          <w:rFonts w:ascii="Calibri" w:hAnsi="Calibri" w:cs="Calibri"/>
          <w:color w:val="000000"/>
        </w:rPr>
        <w:t>280</w:t>
      </w:r>
      <w:r w:rsidR="00E01596">
        <w:rPr>
          <w:rFonts w:ascii="Calibri" w:hAnsi="Calibri" w:cs="Calibri"/>
          <w:color w:val="000000"/>
        </w:rPr>
        <w:t>.e6</w:t>
      </w:r>
      <w:r w:rsidRPr="00A0027B">
        <w:rPr>
          <w:rFonts w:ascii="Calibri" w:hAnsi="Calibri" w:cs="Calibri"/>
          <w:color w:val="000000"/>
        </w:rPr>
        <w:t xml:space="preserve"> (2021). </w:t>
      </w:r>
    </w:p>
    <w:p w14:paraId="281113D2" w14:textId="62EF6773"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Griesemer</w:t>
      </w:r>
      <w:proofErr w:type="spellEnd"/>
      <w:r w:rsidRPr="00A0027B">
        <w:rPr>
          <w:rFonts w:ascii="Calibri" w:hAnsi="Calibri" w:cs="Calibri"/>
          <w:color w:val="000000"/>
        </w:rPr>
        <w:t xml:space="preserve">, S.B. et al. Evaluation of </w:t>
      </w:r>
      <w:r w:rsidR="00EA4AC2">
        <w:rPr>
          <w:rFonts w:ascii="Calibri" w:hAnsi="Calibri" w:cs="Calibri"/>
          <w:color w:val="000000"/>
        </w:rPr>
        <w:t>S</w:t>
      </w:r>
      <w:r w:rsidRPr="00A0027B">
        <w:rPr>
          <w:rFonts w:ascii="Calibri" w:hAnsi="Calibri" w:cs="Calibri"/>
          <w:color w:val="000000"/>
        </w:rPr>
        <w:t xml:space="preserve">pecimen </w:t>
      </w:r>
      <w:r w:rsidR="00EA4AC2">
        <w:rPr>
          <w:rFonts w:ascii="Calibri" w:hAnsi="Calibri" w:cs="Calibri"/>
          <w:color w:val="000000"/>
        </w:rPr>
        <w:t>T</w:t>
      </w:r>
      <w:r w:rsidRPr="00A0027B">
        <w:rPr>
          <w:rFonts w:ascii="Calibri" w:hAnsi="Calibri" w:cs="Calibri"/>
          <w:color w:val="000000"/>
        </w:rPr>
        <w:t xml:space="preserve">ypes and </w:t>
      </w:r>
      <w:r w:rsidR="00EA4AC2">
        <w:rPr>
          <w:rFonts w:ascii="Calibri" w:hAnsi="Calibri" w:cs="Calibri"/>
          <w:color w:val="000000"/>
        </w:rPr>
        <w:t>S</w:t>
      </w:r>
      <w:r w:rsidRPr="00A0027B">
        <w:rPr>
          <w:rFonts w:ascii="Calibri" w:hAnsi="Calibri" w:cs="Calibri"/>
          <w:color w:val="000000"/>
        </w:rPr>
        <w:t xml:space="preserve">aliva </w:t>
      </w:r>
      <w:r w:rsidR="00EA4AC2">
        <w:rPr>
          <w:rFonts w:ascii="Calibri" w:hAnsi="Calibri" w:cs="Calibri"/>
          <w:color w:val="000000"/>
        </w:rPr>
        <w:t>S</w:t>
      </w:r>
      <w:r w:rsidRPr="00A0027B">
        <w:rPr>
          <w:rFonts w:ascii="Calibri" w:hAnsi="Calibri" w:cs="Calibri"/>
          <w:color w:val="000000"/>
        </w:rPr>
        <w:t xml:space="preserve">tabilization </w:t>
      </w:r>
      <w:r w:rsidR="00EA4AC2">
        <w:rPr>
          <w:rFonts w:ascii="Calibri" w:hAnsi="Calibri" w:cs="Calibri"/>
          <w:color w:val="000000"/>
        </w:rPr>
        <w:t>S</w:t>
      </w:r>
      <w:r w:rsidRPr="00A0027B">
        <w:rPr>
          <w:rFonts w:ascii="Calibri" w:hAnsi="Calibri" w:cs="Calibri"/>
          <w:color w:val="000000"/>
        </w:rPr>
        <w:t xml:space="preserve">olutions for SARS-CoV-2 </w:t>
      </w:r>
      <w:r w:rsidR="00EA4AC2">
        <w:rPr>
          <w:rFonts w:ascii="Calibri" w:hAnsi="Calibri" w:cs="Calibri"/>
          <w:color w:val="000000"/>
        </w:rPr>
        <w:t>T</w:t>
      </w:r>
      <w:r w:rsidRPr="00A0027B">
        <w:rPr>
          <w:rFonts w:ascii="Calibri" w:hAnsi="Calibri" w:cs="Calibri"/>
          <w:color w:val="000000"/>
        </w:rPr>
        <w:t xml:space="preserve">esting. </w:t>
      </w:r>
      <w:r w:rsidRPr="00A0027B">
        <w:rPr>
          <w:rFonts w:ascii="Calibri" w:hAnsi="Calibri" w:cs="Calibri"/>
          <w:i/>
          <w:iCs/>
          <w:color w:val="000000"/>
        </w:rPr>
        <w:t xml:space="preserve">Journal </w:t>
      </w:r>
      <w:r w:rsidR="00EA4AC2">
        <w:rPr>
          <w:rFonts w:ascii="Calibri" w:hAnsi="Calibri" w:cs="Calibri"/>
          <w:i/>
          <w:iCs/>
          <w:color w:val="000000"/>
        </w:rPr>
        <w:t xml:space="preserve">of </w:t>
      </w:r>
      <w:r w:rsidRPr="00A0027B">
        <w:rPr>
          <w:rFonts w:ascii="Calibri" w:hAnsi="Calibri" w:cs="Calibri"/>
          <w:i/>
          <w:iCs/>
          <w:color w:val="000000"/>
        </w:rPr>
        <w:t>Clinical Microbiology.</w:t>
      </w:r>
      <w:r w:rsidRPr="00A0027B">
        <w:rPr>
          <w:rFonts w:ascii="Calibri" w:hAnsi="Calibri" w:cs="Calibri"/>
          <w:color w:val="000000"/>
        </w:rPr>
        <w:t xml:space="preserve"> </w:t>
      </w:r>
      <w:r w:rsidRPr="00A0027B">
        <w:rPr>
          <w:rFonts w:ascii="Calibri" w:hAnsi="Calibri" w:cs="Calibri"/>
          <w:b/>
          <w:bCs/>
          <w:color w:val="000000"/>
        </w:rPr>
        <w:t xml:space="preserve">59 </w:t>
      </w:r>
      <w:r w:rsidRPr="00A0027B">
        <w:rPr>
          <w:rFonts w:ascii="Calibri" w:hAnsi="Calibri" w:cs="Calibri"/>
          <w:color w:val="000000"/>
        </w:rPr>
        <w:t xml:space="preserve">(5), </w:t>
      </w:r>
      <w:r w:rsidR="00EA4AC2">
        <w:rPr>
          <w:rFonts w:ascii="Calibri" w:hAnsi="Calibri" w:cs="Calibri"/>
          <w:color w:val="000000"/>
        </w:rPr>
        <w:t>e</w:t>
      </w:r>
      <w:r w:rsidRPr="00A0027B">
        <w:rPr>
          <w:rFonts w:ascii="Calibri" w:hAnsi="Calibri" w:cs="Calibri"/>
          <w:color w:val="000000"/>
        </w:rPr>
        <w:t>1418</w:t>
      </w:r>
      <w:r w:rsidR="00EA4AC2">
        <w:rPr>
          <w:rFonts w:ascii="Calibri" w:hAnsi="Calibri" w:cs="Calibri"/>
          <w:color w:val="000000"/>
        </w:rPr>
        <w:t>–</w:t>
      </w:r>
      <w:r w:rsidRPr="00A0027B">
        <w:rPr>
          <w:rFonts w:ascii="Calibri" w:hAnsi="Calibri" w:cs="Calibri"/>
          <w:color w:val="000000"/>
        </w:rPr>
        <w:t>20 (2021).</w:t>
      </w:r>
    </w:p>
    <w:p w14:paraId="3232177D" w14:textId="4D463697"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Wehrhahn</w:t>
      </w:r>
      <w:proofErr w:type="spellEnd"/>
      <w:r w:rsidRPr="00A0027B">
        <w:rPr>
          <w:rFonts w:ascii="Calibri" w:hAnsi="Calibri" w:cs="Calibri"/>
          <w:color w:val="000000"/>
        </w:rPr>
        <w:t>, M.C. et</w:t>
      </w:r>
      <w:r w:rsidR="00DE6694">
        <w:rPr>
          <w:rFonts w:ascii="Calibri" w:hAnsi="Calibri" w:cs="Calibri"/>
          <w:color w:val="000000"/>
        </w:rPr>
        <w:t xml:space="preserve"> </w:t>
      </w:r>
      <w:r w:rsidRPr="00A0027B">
        <w:rPr>
          <w:rFonts w:ascii="Calibri" w:hAnsi="Calibri" w:cs="Calibri"/>
          <w:color w:val="000000"/>
        </w:rPr>
        <w:t xml:space="preserve">al. Self-collection: </w:t>
      </w:r>
      <w:r w:rsidR="00DE6694">
        <w:rPr>
          <w:rFonts w:ascii="Calibri" w:hAnsi="Calibri" w:cs="Calibri"/>
          <w:color w:val="000000"/>
        </w:rPr>
        <w:t>A</w:t>
      </w:r>
      <w:r w:rsidRPr="00A0027B">
        <w:rPr>
          <w:rFonts w:ascii="Calibri" w:hAnsi="Calibri" w:cs="Calibri"/>
          <w:color w:val="000000"/>
        </w:rPr>
        <w:t xml:space="preserve">n appropriate alternative during the SARS-CoV-2 pandemic. </w:t>
      </w:r>
      <w:r w:rsidRPr="00A0027B">
        <w:rPr>
          <w:rFonts w:ascii="Calibri" w:hAnsi="Calibri" w:cs="Calibri"/>
          <w:i/>
          <w:iCs/>
          <w:color w:val="000000"/>
        </w:rPr>
        <w:t>Journal of Clinical Virology</w:t>
      </w:r>
      <w:r w:rsidR="00DE6694">
        <w:rPr>
          <w:rFonts w:ascii="Calibri" w:hAnsi="Calibri" w:cs="Calibri"/>
          <w:i/>
          <w:iCs/>
          <w:color w:val="000000"/>
        </w:rPr>
        <w:t xml:space="preserve">: The </w:t>
      </w:r>
      <w:r w:rsidR="004C2F70">
        <w:rPr>
          <w:rFonts w:ascii="Calibri" w:hAnsi="Calibri" w:cs="Calibri"/>
          <w:i/>
          <w:iCs/>
          <w:color w:val="000000"/>
        </w:rPr>
        <w:t>Official Publication of The Pan American Society for Clinical Virology</w:t>
      </w:r>
      <w:r w:rsidRPr="00A0027B">
        <w:rPr>
          <w:rFonts w:ascii="Calibri" w:hAnsi="Calibri" w:cs="Calibri"/>
          <w:i/>
          <w:iCs/>
          <w:color w:val="000000"/>
        </w:rPr>
        <w:t>.</w:t>
      </w:r>
      <w:r w:rsidRPr="00A0027B">
        <w:rPr>
          <w:rFonts w:ascii="Calibri" w:hAnsi="Calibri" w:cs="Calibri"/>
          <w:color w:val="000000"/>
        </w:rPr>
        <w:t xml:space="preserve"> </w:t>
      </w:r>
      <w:r w:rsidRPr="00A0027B">
        <w:rPr>
          <w:rFonts w:ascii="Calibri" w:hAnsi="Calibri" w:cs="Calibri"/>
          <w:b/>
          <w:bCs/>
          <w:color w:val="000000"/>
        </w:rPr>
        <w:t>128,</w:t>
      </w:r>
      <w:r w:rsidRPr="00A0027B">
        <w:rPr>
          <w:rFonts w:ascii="Calibri" w:hAnsi="Calibri" w:cs="Calibri"/>
          <w:color w:val="000000"/>
        </w:rPr>
        <w:t xml:space="preserve"> 104417 (2020).</w:t>
      </w:r>
    </w:p>
    <w:p w14:paraId="46BBD2BA" w14:textId="6AC7B0B7"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Barza</w:t>
      </w:r>
      <w:proofErr w:type="spellEnd"/>
      <w:r w:rsidRPr="00A0027B">
        <w:rPr>
          <w:rFonts w:ascii="Calibri" w:hAnsi="Calibri" w:cs="Calibri"/>
          <w:color w:val="000000"/>
        </w:rPr>
        <w:t>, R., Patel, P., Sabatini, L., Singh, K. Use of a simplified sample processing step without RNA extraction for direct SARS-CoV-2 RT-PCR detection</w:t>
      </w:r>
      <w:r w:rsidRPr="00A0027B">
        <w:rPr>
          <w:rFonts w:ascii="Calibri" w:hAnsi="Calibri" w:cs="Calibri"/>
          <w:i/>
          <w:iCs/>
          <w:color w:val="000000"/>
        </w:rPr>
        <w:t>. Journal of Clinical Virology</w:t>
      </w:r>
      <w:r w:rsidR="005243B0">
        <w:rPr>
          <w:rFonts w:ascii="Calibri" w:hAnsi="Calibri" w:cs="Calibri"/>
          <w:i/>
          <w:iCs/>
          <w:color w:val="000000"/>
        </w:rPr>
        <w:t>: The Official Publication of The Pan American Society for Clinical Virology</w:t>
      </w:r>
      <w:r w:rsidRPr="00A0027B">
        <w:rPr>
          <w:rFonts w:ascii="Calibri" w:hAnsi="Calibri" w:cs="Calibri"/>
          <w:i/>
          <w:iCs/>
          <w:color w:val="000000"/>
        </w:rPr>
        <w:t>.</w:t>
      </w:r>
      <w:r w:rsidRPr="00A0027B">
        <w:rPr>
          <w:rFonts w:ascii="Calibri" w:hAnsi="Calibri" w:cs="Calibri"/>
          <w:color w:val="000000"/>
        </w:rPr>
        <w:t xml:space="preserve"> </w:t>
      </w:r>
      <w:r w:rsidRPr="00A0027B">
        <w:rPr>
          <w:rFonts w:ascii="Calibri" w:hAnsi="Calibri" w:cs="Calibri"/>
          <w:b/>
          <w:bCs/>
          <w:color w:val="000000"/>
        </w:rPr>
        <w:t>132</w:t>
      </w:r>
      <w:r w:rsidRPr="00A0027B">
        <w:rPr>
          <w:rFonts w:ascii="Calibri" w:hAnsi="Calibri" w:cs="Calibri"/>
          <w:color w:val="000000"/>
        </w:rPr>
        <w:t>, 104587 (2020). </w:t>
      </w:r>
    </w:p>
    <w:p w14:paraId="2E900BE1" w14:textId="4FF24AF6"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Paltiel</w:t>
      </w:r>
      <w:proofErr w:type="spellEnd"/>
      <w:r w:rsidRPr="00A0027B">
        <w:rPr>
          <w:rFonts w:ascii="Calibri" w:hAnsi="Calibri" w:cs="Calibri"/>
          <w:color w:val="000000"/>
        </w:rPr>
        <w:t xml:space="preserve">, A.D., Zheng, A., </w:t>
      </w:r>
      <w:proofErr w:type="spellStart"/>
      <w:r w:rsidRPr="00A0027B">
        <w:rPr>
          <w:rFonts w:ascii="Calibri" w:hAnsi="Calibri" w:cs="Calibri"/>
          <w:color w:val="000000"/>
        </w:rPr>
        <w:t>Walensky</w:t>
      </w:r>
      <w:proofErr w:type="spellEnd"/>
      <w:r w:rsidRPr="00A0027B">
        <w:rPr>
          <w:rFonts w:ascii="Calibri" w:hAnsi="Calibri" w:cs="Calibri"/>
          <w:color w:val="000000"/>
        </w:rPr>
        <w:t xml:space="preserve">, R.P. Assessment of SARS-CoV-2 </w:t>
      </w:r>
      <w:r w:rsidR="00826DF0">
        <w:rPr>
          <w:rFonts w:ascii="Calibri" w:hAnsi="Calibri" w:cs="Calibri"/>
          <w:color w:val="000000"/>
        </w:rPr>
        <w:t>S</w:t>
      </w:r>
      <w:r w:rsidRPr="00A0027B">
        <w:rPr>
          <w:rFonts w:ascii="Calibri" w:hAnsi="Calibri" w:cs="Calibri"/>
          <w:color w:val="000000"/>
        </w:rPr>
        <w:t xml:space="preserve">creening </w:t>
      </w:r>
      <w:r w:rsidR="00826DF0">
        <w:rPr>
          <w:rFonts w:ascii="Calibri" w:hAnsi="Calibri" w:cs="Calibri"/>
          <w:color w:val="000000"/>
        </w:rPr>
        <w:t>S</w:t>
      </w:r>
      <w:r w:rsidRPr="00A0027B">
        <w:rPr>
          <w:rFonts w:ascii="Calibri" w:hAnsi="Calibri" w:cs="Calibri"/>
          <w:color w:val="000000"/>
        </w:rPr>
        <w:t xml:space="preserve">trategies to </w:t>
      </w:r>
      <w:r w:rsidR="00826DF0">
        <w:rPr>
          <w:rFonts w:ascii="Calibri" w:hAnsi="Calibri" w:cs="Calibri"/>
          <w:color w:val="000000"/>
        </w:rPr>
        <w:t>P</w:t>
      </w:r>
      <w:r w:rsidRPr="00A0027B">
        <w:rPr>
          <w:rFonts w:ascii="Calibri" w:hAnsi="Calibri" w:cs="Calibri"/>
          <w:color w:val="000000"/>
        </w:rPr>
        <w:t xml:space="preserve">ermit the </w:t>
      </w:r>
      <w:r w:rsidR="00826DF0">
        <w:rPr>
          <w:rFonts w:ascii="Calibri" w:hAnsi="Calibri" w:cs="Calibri"/>
          <w:color w:val="000000"/>
        </w:rPr>
        <w:t>S</w:t>
      </w:r>
      <w:r w:rsidRPr="00A0027B">
        <w:rPr>
          <w:rFonts w:ascii="Calibri" w:hAnsi="Calibri" w:cs="Calibri"/>
          <w:color w:val="000000"/>
        </w:rPr>
        <w:t xml:space="preserve">afe </w:t>
      </w:r>
      <w:r w:rsidR="00826DF0">
        <w:rPr>
          <w:rFonts w:ascii="Calibri" w:hAnsi="Calibri" w:cs="Calibri"/>
          <w:color w:val="000000"/>
        </w:rPr>
        <w:t>R</w:t>
      </w:r>
      <w:r w:rsidRPr="00A0027B">
        <w:rPr>
          <w:rFonts w:ascii="Calibri" w:hAnsi="Calibri" w:cs="Calibri"/>
          <w:color w:val="000000"/>
        </w:rPr>
        <w:t xml:space="preserve">eopening of </w:t>
      </w:r>
      <w:r w:rsidR="00826DF0">
        <w:rPr>
          <w:rFonts w:ascii="Calibri" w:hAnsi="Calibri" w:cs="Calibri"/>
          <w:color w:val="000000"/>
        </w:rPr>
        <w:t>C</w:t>
      </w:r>
      <w:r w:rsidRPr="00A0027B">
        <w:rPr>
          <w:rFonts w:ascii="Calibri" w:hAnsi="Calibri" w:cs="Calibri"/>
          <w:color w:val="000000"/>
        </w:rPr>
        <w:t xml:space="preserve">ollege </w:t>
      </w:r>
      <w:r w:rsidR="00826DF0">
        <w:rPr>
          <w:rFonts w:ascii="Calibri" w:hAnsi="Calibri" w:cs="Calibri"/>
          <w:color w:val="000000"/>
        </w:rPr>
        <w:t>C</w:t>
      </w:r>
      <w:r w:rsidRPr="00A0027B">
        <w:rPr>
          <w:rFonts w:ascii="Calibri" w:hAnsi="Calibri" w:cs="Calibri"/>
          <w:color w:val="000000"/>
        </w:rPr>
        <w:t>ampuses in the United States</w:t>
      </w:r>
      <w:r w:rsidR="00826DF0">
        <w:rPr>
          <w:rFonts w:ascii="Calibri" w:hAnsi="Calibri" w:cs="Calibri"/>
          <w:color w:val="000000"/>
        </w:rPr>
        <w:t xml:space="preserve">. JAMA </w:t>
      </w:r>
      <w:r w:rsidRPr="00A0027B">
        <w:rPr>
          <w:rFonts w:ascii="Calibri" w:hAnsi="Calibri" w:cs="Calibri"/>
          <w:i/>
          <w:iCs/>
          <w:color w:val="000000"/>
        </w:rPr>
        <w:t>Network Open</w:t>
      </w:r>
      <w:r w:rsidRPr="00A0027B">
        <w:rPr>
          <w:rFonts w:ascii="Calibri" w:hAnsi="Calibri" w:cs="Calibri"/>
          <w:color w:val="000000"/>
        </w:rPr>
        <w:t xml:space="preserve">. </w:t>
      </w:r>
      <w:r w:rsidRPr="00A0027B">
        <w:rPr>
          <w:rFonts w:ascii="Calibri" w:hAnsi="Calibri" w:cs="Calibri"/>
          <w:b/>
          <w:bCs/>
          <w:color w:val="000000"/>
        </w:rPr>
        <w:t>3</w:t>
      </w:r>
      <w:r w:rsidR="00826DF0">
        <w:rPr>
          <w:rFonts w:ascii="Calibri" w:hAnsi="Calibri" w:cs="Calibri"/>
          <w:b/>
          <w:bCs/>
          <w:color w:val="000000"/>
        </w:rPr>
        <w:t xml:space="preserve"> </w:t>
      </w:r>
      <w:r w:rsidR="00826DF0" w:rsidRPr="00E86BC3">
        <w:rPr>
          <w:rFonts w:ascii="Calibri" w:hAnsi="Calibri" w:cs="Calibri"/>
          <w:color w:val="000000"/>
        </w:rPr>
        <w:t>(7)</w:t>
      </w:r>
      <w:r w:rsidRPr="00E86BC3">
        <w:rPr>
          <w:rFonts w:ascii="Calibri" w:hAnsi="Calibri" w:cs="Calibri"/>
          <w:color w:val="000000"/>
        </w:rPr>
        <w:t>,</w:t>
      </w:r>
      <w:r w:rsidRPr="00A0027B">
        <w:rPr>
          <w:rFonts w:ascii="Calibri" w:hAnsi="Calibri" w:cs="Calibri"/>
          <w:color w:val="000000"/>
        </w:rPr>
        <w:t xml:space="preserve"> e2016818 (2020).</w:t>
      </w:r>
    </w:p>
    <w:p w14:paraId="67247633" w14:textId="722FF068"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 xml:space="preserve">Centers for Disease Control. </w:t>
      </w:r>
      <w:r w:rsidR="0075354A">
        <w:rPr>
          <w:rFonts w:ascii="Calibri" w:hAnsi="Calibri" w:cs="Calibri"/>
          <w:color w:val="000000"/>
        </w:rPr>
        <w:t>2</w:t>
      </w:r>
      <w:r w:rsidRPr="00A0027B">
        <w:rPr>
          <w:rFonts w:ascii="Calibri" w:hAnsi="Calibri" w:cs="Calibri"/>
          <w:color w:val="000000"/>
        </w:rPr>
        <w:t>019-Novel Coronavirus (2019-nCoV) Real-</w:t>
      </w:r>
      <w:r w:rsidR="00E521D3">
        <w:rPr>
          <w:rFonts w:ascii="Calibri" w:hAnsi="Calibri" w:cs="Calibri"/>
          <w:color w:val="000000"/>
        </w:rPr>
        <w:t>T</w:t>
      </w:r>
      <w:r w:rsidRPr="00A0027B">
        <w:rPr>
          <w:rFonts w:ascii="Calibri" w:hAnsi="Calibri" w:cs="Calibri"/>
          <w:color w:val="000000"/>
        </w:rPr>
        <w:t xml:space="preserve">ime RT-PCR Primers and Probes. 2020 May 29. </w:t>
      </w:r>
      <w:r w:rsidR="008E6F7D" w:rsidRPr="008E6F7D">
        <w:rPr>
          <w:rFonts w:ascii="Calibri" w:hAnsi="Calibri" w:cs="Calibri"/>
          <w:i/>
          <w:iCs/>
          <w:color w:val="000000"/>
        </w:rPr>
        <w:t>U.S. Department of Health and Human Services.</w:t>
      </w:r>
      <w:r w:rsidR="008E6F7D">
        <w:rPr>
          <w:rFonts w:ascii="Calibri" w:hAnsi="Calibri" w:cs="Calibri"/>
          <w:color w:val="000000"/>
        </w:rPr>
        <w:t xml:space="preserve"> </w:t>
      </w:r>
      <w:hyperlink r:id="rId11" w:history="1">
        <w:r w:rsidR="008E6F7D" w:rsidRPr="006E2603">
          <w:rPr>
            <w:rStyle w:val="Hyperlink"/>
            <w:rFonts w:ascii="Calibri" w:hAnsi="Calibri" w:cs="Calibri"/>
          </w:rPr>
          <w:t>https://www.cdc.gov/coronavirus/2019-ncov/lab/rt-pcr-panel-primer-probes.html</w:t>
        </w:r>
      </w:hyperlink>
      <w:r w:rsidRPr="00A0027B">
        <w:rPr>
          <w:rFonts w:ascii="Calibri" w:hAnsi="Calibri" w:cs="Calibri"/>
          <w:color w:val="000000"/>
        </w:rPr>
        <w:t>. Accessed May 25</w:t>
      </w:r>
      <w:r w:rsidR="008E6F7D" w:rsidRPr="00A0027B">
        <w:rPr>
          <w:rFonts w:ascii="Calibri" w:hAnsi="Calibri" w:cs="Calibri"/>
          <w:color w:val="000000"/>
        </w:rPr>
        <w:t>, 2021</w:t>
      </w:r>
      <w:r w:rsidR="006E48F5">
        <w:rPr>
          <w:rFonts w:ascii="Calibri" w:hAnsi="Calibri" w:cs="Calibri"/>
          <w:color w:val="000000"/>
        </w:rPr>
        <w:t xml:space="preserve"> (2020)</w:t>
      </w:r>
      <w:r w:rsidRPr="00A0027B">
        <w:rPr>
          <w:rFonts w:ascii="Calibri" w:hAnsi="Calibri" w:cs="Calibri"/>
          <w:color w:val="000000"/>
        </w:rPr>
        <w:t>.</w:t>
      </w:r>
    </w:p>
    <w:p w14:paraId="7CD77CF5" w14:textId="22826626"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Cresswell</w:t>
      </w:r>
      <w:proofErr w:type="spellEnd"/>
      <w:r w:rsidRPr="00A0027B">
        <w:rPr>
          <w:rFonts w:ascii="Calibri" w:hAnsi="Calibri" w:cs="Calibri"/>
          <w:color w:val="000000"/>
        </w:rPr>
        <w:t xml:space="preserve">, K., Ramalingam, S., Sheikh, A. Can </w:t>
      </w:r>
      <w:r w:rsidR="00B45F66">
        <w:rPr>
          <w:rFonts w:ascii="Calibri" w:hAnsi="Calibri" w:cs="Calibri"/>
          <w:color w:val="000000"/>
        </w:rPr>
        <w:t>R</w:t>
      </w:r>
      <w:r w:rsidRPr="00A0027B">
        <w:rPr>
          <w:rFonts w:ascii="Calibri" w:hAnsi="Calibri" w:cs="Calibri"/>
          <w:color w:val="000000"/>
        </w:rPr>
        <w:t xml:space="preserve">obots </w:t>
      </w:r>
      <w:r w:rsidR="00B45F66">
        <w:rPr>
          <w:rFonts w:ascii="Calibri" w:hAnsi="Calibri" w:cs="Calibri"/>
          <w:color w:val="000000"/>
        </w:rPr>
        <w:t>I</w:t>
      </w:r>
      <w:r w:rsidRPr="00A0027B">
        <w:rPr>
          <w:rFonts w:ascii="Calibri" w:hAnsi="Calibri" w:cs="Calibri"/>
          <w:color w:val="000000"/>
        </w:rPr>
        <w:t xml:space="preserve">mprove </w:t>
      </w:r>
      <w:r w:rsidR="00B45F66">
        <w:rPr>
          <w:rFonts w:ascii="Calibri" w:hAnsi="Calibri" w:cs="Calibri"/>
          <w:color w:val="000000"/>
        </w:rPr>
        <w:t>T</w:t>
      </w:r>
      <w:r w:rsidRPr="00A0027B">
        <w:rPr>
          <w:rFonts w:ascii="Calibri" w:hAnsi="Calibri" w:cs="Calibri"/>
          <w:color w:val="000000"/>
        </w:rPr>
        <w:t xml:space="preserve">esting </w:t>
      </w:r>
      <w:r w:rsidR="00B45F66">
        <w:rPr>
          <w:rFonts w:ascii="Calibri" w:hAnsi="Calibri" w:cs="Calibri"/>
          <w:color w:val="000000"/>
        </w:rPr>
        <w:t>C</w:t>
      </w:r>
      <w:r w:rsidRPr="00A0027B">
        <w:rPr>
          <w:rFonts w:ascii="Calibri" w:hAnsi="Calibri" w:cs="Calibri"/>
          <w:color w:val="000000"/>
        </w:rPr>
        <w:t xml:space="preserve">apacity for SARS-CoV-2? </w:t>
      </w:r>
      <w:r w:rsidRPr="00A0027B">
        <w:rPr>
          <w:rFonts w:ascii="Calibri" w:hAnsi="Calibri" w:cs="Calibri"/>
          <w:i/>
          <w:iCs/>
          <w:color w:val="000000"/>
        </w:rPr>
        <w:t>Journal of Medical Internet Research</w:t>
      </w:r>
      <w:r w:rsidRPr="00A0027B">
        <w:rPr>
          <w:rFonts w:ascii="Calibri" w:hAnsi="Calibri" w:cs="Calibri"/>
          <w:color w:val="000000"/>
        </w:rPr>
        <w:t xml:space="preserve">. </w:t>
      </w:r>
      <w:r w:rsidRPr="00A0027B">
        <w:rPr>
          <w:rFonts w:ascii="Calibri" w:hAnsi="Calibri" w:cs="Calibri"/>
          <w:b/>
          <w:bCs/>
          <w:color w:val="000000"/>
        </w:rPr>
        <w:t>22</w:t>
      </w:r>
      <w:r w:rsidRPr="00A0027B">
        <w:rPr>
          <w:rFonts w:ascii="Calibri" w:hAnsi="Calibri" w:cs="Calibri"/>
          <w:color w:val="000000"/>
        </w:rPr>
        <w:t xml:space="preserve"> (8), e20169 (2020).</w:t>
      </w:r>
    </w:p>
    <w:p w14:paraId="71E1BB90" w14:textId="2F60CE01"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222222"/>
          <w:shd w:val="clear" w:color="auto" w:fill="FFFFFF"/>
        </w:rPr>
        <w:t>Villanueva-</w:t>
      </w:r>
      <w:proofErr w:type="spellStart"/>
      <w:r w:rsidRPr="00A0027B">
        <w:rPr>
          <w:rFonts w:ascii="Calibri" w:hAnsi="Calibri" w:cs="Calibri"/>
          <w:color w:val="222222"/>
          <w:shd w:val="clear" w:color="auto" w:fill="FFFFFF"/>
        </w:rPr>
        <w:t>Cañas</w:t>
      </w:r>
      <w:proofErr w:type="spellEnd"/>
      <w:r w:rsidRPr="00A0027B">
        <w:rPr>
          <w:rFonts w:ascii="Calibri" w:hAnsi="Calibri" w:cs="Calibri"/>
          <w:color w:val="222222"/>
          <w:shd w:val="clear" w:color="auto" w:fill="FFFFFF"/>
        </w:rPr>
        <w:t xml:space="preserve">, J. L. et al. Implementation of an open-source robotic platform for SARS-CoV-2 testing by real-time RT-PCR. </w:t>
      </w:r>
      <w:proofErr w:type="spellStart"/>
      <w:r w:rsidRPr="00A0027B">
        <w:rPr>
          <w:rFonts w:ascii="Calibri" w:hAnsi="Calibri" w:cs="Calibri"/>
          <w:i/>
          <w:iCs/>
          <w:color w:val="222222"/>
          <w:shd w:val="clear" w:color="auto" w:fill="FFFFFF"/>
        </w:rPr>
        <w:t>PL</w:t>
      </w:r>
      <w:r w:rsidR="001E3F65">
        <w:rPr>
          <w:rFonts w:ascii="Calibri" w:hAnsi="Calibri" w:cs="Calibri"/>
          <w:i/>
          <w:iCs/>
          <w:color w:val="222222"/>
          <w:shd w:val="clear" w:color="auto" w:fill="FFFFFF"/>
        </w:rPr>
        <w:t>o</w:t>
      </w:r>
      <w:r w:rsidRPr="00A0027B">
        <w:rPr>
          <w:rFonts w:ascii="Calibri" w:hAnsi="Calibri" w:cs="Calibri"/>
          <w:i/>
          <w:iCs/>
          <w:color w:val="222222"/>
          <w:shd w:val="clear" w:color="auto" w:fill="FFFFFF"/>
        </w:rPr>
        <w:t>S</w:t>
      </w:r>
      <w:proofErr w:type="spellEnd"/>
      <w:r w:rsidRPr="00A0027B">
        <w:rPr>
          <w:rFonts w:ascii="Calibri" w:hAnsi="Calibri" w:cs="Calibri"/>
          <w:i/>
          <w:iCs/>
          <w:color w:val="222222"/>
          <w:shd w:val="clear" w:color="auto" w:fill="FFFFFF"/>
        </w:rPr>
        <w:t xml:space="preserve"> One</w:t>
      </w:r>
      <w:r w:rsidRPr="00A0027B">
        <w:rPr>
          <w:rFonts w:ascii="Calibri" w:hAnsi="Calibri" w:cs="Calibri"/>
          <w:color w:val="222222"/>
          <w:shd w:val="clear" w:color="auto" w:fill="FFFFFF"/>
        </w:rPr>
        <w:t xml:space="preserve">, </w:t>
      </w:r>
      <w:r w:rsidRPr="00A0027B">
        <w:rPr>
          <w:rFonts w:ascii="Calibri" w:hAnsi="Calibri" w:cs="Calibri"/>
          <w:b/>
          <w:bCs/>
          <w:color w:val="222222"/>
          <w:shd w:val="clear" w:color="auto" w:fill="FFFFFF"/>
        </w:rPr>
        <w:t>16</w:t>
      </w:r>
      <w:r w:rsidRPr="00A0027B">
        <w:rPr>
          <w:rFonts w:ascii="Calibri" w:hAnsi="Calibri" w:cs="Calibri"/>
          <w:color w:val="222222"/>
          <w:shd w:val="clear" w:color="auto" w:fill="FFFFFF"/>
        </w:rPr>
        <w:t xml:space="preserve"> (7), e0252509 (2021).</w:t>
      </w:r>
    </w:p>
    <w:p w14:paraId="7BE56730" w14:textId="77777777"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University of South Carolina College of Pharmacy. Robot Boosts COVID-19 Testing Efficiency. https://sc.edu/study/colleges_schools/pharmacy/about/news/2020/robot-boosts-testing-efforts.php (2020).</w:t>
      </w:r>
    </w:p>
    <w:p w14:paraId="2AB4A196" w14:textId="76CA8983"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Matic, N.</w:t>
      </w:r>
      <w:r w:rsidR="00031785">
        <w:rPr>
          <w:rFonts w:ascii="Calibri" w:hAnsi="Calibri" w:cs="Calibri"/>
          <w:color w:val="000000"/>
        </w:rPr>
        <w:t xml:space="preserve"> </w:t>
      </w:r>
      <w:r w:rsidRPr="00A0027B">
        <w:rPr>
          <w:rFonts w:ascii="Calibri" w:hAnsi="Calibri" w:cs="Calibri"/>
          <w:color w:val="000000"/>
        </w:rPr>
        <w:t xml:space="preserve">et al. Practical challenges to the clinical implementation of saliva for SARS-CoV-2 detection. </w:t>
      </w:r>
      <w:r w:rsidRPr="00A0027B">
        <w:rPr>
          <w:rFonts w:ascii="Calibri" w:hAnsi="Calibri" w:cs="Calibri"/>
          <w:i/>
          <w:iCs/>
          <w:color w:val="000000"/>
        </w:rPr>
        <w:t xml:space="preserve">European Journal of Clinical Microbiology </w:t>
      </w:r>
      <w:r w:rsidR="00031785">
        <w:rPr>
          <w:rFonts w:ascii="Calibri" w:hAnsi="Calibri" w:cs="Calibri"/>
          <w:i/>
          <w:iCs/>
          <w:color w:val="000000"/>
        </w:rPr>
        <w:t>&amp;</w:t>
      </w:r>
      <w:r w:rsidRPr="00A0027B">
        <w:rPr>
          <w:rFonts w:ascii="Calibri" w:hAnsi="Calibri" w:cs="Calibri"/>
          <w:i/>
          <w:iCs/>
          <w:color w:val="000000"/>
        </w:rPr>
        <w:t xml:space="preserve"> Infectious Diseases</w:t>
      </w:r>
      <w:r w:rsidR="00031785">
        <w:rPr>
          <w:rFonts w:ascii="Calibri" w:hAnsi="Calibri" w:cs="Calibri"/>
          <w:i/>
          <w:iCs/>
          <w:color w:val="000000"/>
        </w:rPr>
        <w:t>: Official Publication of The European Society of Clinical Microbiology</w:t>
      </w:r>
      <w:r w:rsidRPr="00A0027B">
        <w:rPr>
          <w:rFonts w:ascii="Calibri" w:hAnsi="Calibri" w:cs="Calibri"/>
          <w:color w:val="000000"/>
        </w:rPr>
        <w:t xml:space="preserve">. </w:t>
      </w:r>
      <w:r w:rsidRPr="00A0027B">
        <w:rPr>
          <w:rFonts w:ascii="Calibri" w:hAnsi="Calibri" w:cs="Calibri"/>
          <w:b/>
          <w:bCs/>
          <w:color w:val="000000"/>
        </w:rPr>
        <w:t xml:space="preserve">40 </w:t>
      </w:r>
      <w:r w:rsidRPr="00A0027B">
        <w:rPr>
          <w:rFonts w:ascii="Calibri" w:hAnsi="Calibri" w:cs="Calibri"/>
          <w:color w:val="000000"/>
        </w:rPr>
        <w:t>(2), 447</w:t>
      </w:r>
      <w:r w:rsidR="00031785">
        <w:rPr>
          <w:rFonts w:ascii="Calibri" w:hAnsi="Calibri" w:cs="Calibri"/>
          <w:color w:val="000000"/>
        </w:rPr>
        <w:t>–</w:t>
      </w:r>
      <w:r w:rsidRPr="00A0027B">
        <w:rPr>
          <w:rFonts w:ascii="Calibri" w:hAnsi="Calibri" w:cs="Calibri"/>
          <w:color w:val="000000"/>
        </w:rPr>
        <w:t>450 (2021).</w:t>
      </w:r>
    </w:p>
    <w:p w14:paraId="6EA7C8C9" w14:textId="7D4E70DF"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Sahajpal</w:t>
      </w:r>
      <w:proofErr w:type="spellEnd"/>
      <w:r w:rsidRPr="00A0027B">
        <w:rPr>
          <w:rFonts w:ascii="Calibri" w:hAnsi="Calibri" w:cs="Calibri"/>
          <w:color w:val="000000"/>
        </w:rPr>
        <w:t>, N.S.</w:t>
      </w:r>
      <w:r w:rsidR="00690F8E">
        <w:rPr>
          <w:rFonts w:ascii="Calibri" w:hAnsi="Calibri" w:cs="Calibri"/>
          <w:color w:val="000000"/>
        </w:rPr>
        <w:t xml:space="preserve"> </w:t>
      </w:r>
      <w:r w:rsidRPr="00A0027B">
        <w:rPr>
          <w:rFonts w:ascii="Calibri" w:hAnsi="Calibri" w:cs="Calibri"/>
          <w:color w:val="000000"/>
        </w:rPr>
        <w:t xml:space="preserve">et al. </w:t>
      </w:r>
      <w:proofErr w:type="spellStart"/>
      <w:r w:rsidRPr="00A0027B">
        <w:rPr>
          <w:rFonts w:ascii="Calibri" w:hAnsi="Calibri" w:cs="Calibri"/>
          <w:color w:val="000000"/>
        </w:rPr>
        <w:t>SalivaSTAT</w:t>
      </w:r>
      <w:proofErr w:type="spellEnd"/>
      <w:r w:rsidRPr="00A0027B">
        <w:rPr>
          <w:rFonts w:ascii="Calibri" w:hAnsi="Calibri" w:cs="Calibri"/>
          <w:color w:val="000000"/>
        </w:rPr>
        <w:t xml:space="preserve">: </w:t>
      </w:r>
      <w:r w:rsidR="00F9280E">
        <w:rPr>
          <w:rFonts w:ascii="Calibri" w:hAnsi="Calibri" w:cs="Calibri"/>
          <w:color w:val="000000"/>
        </w:rPr>
        <w:t>D</w:t>
      </w:r>
      <w:r w:rsidRPr="00A0027B">
        <w:rPr>
          <w:rFonts w:ascii="Calibri" w:hAnsi="Calibri" w:cs="Calibri"/>
          <w:color w:val="000000"/>
        </w:rPr>
        <w:t xml:space="preserve">irect-PCR and </w:t>
      </w:r>
      <w:r w:rsidR="00F9280E">
        <w:rPr>
          <w:rFonts w:ascii="Calibri" w:hAnsi="Calibri" w:cs="Calibri"/>
          <w:color w:val="000000"/>
        </w:rPr>
        <w:t>P</w:t>
      </w:r>
      <w:r w:rsidRPr="00A0027B">
        <w:rPr>
          <w:rFonts w:ascii="Calibri" w:hAnsi="Calibri" w:cs="Calibri"/>
          <w:color w:val="000000"/>
        </w:rPr>
        <w:t xml:space="preserve">ooling of </w:t>
      </w:r>
      <w:r w:rsidR="00F9280E">
        <w:rPr>
          <w:rFonts w:ascii="Calibri" w:hAnsi="Calibri" w:cs="Calibri"/>
          <w:color w:val="000000"/>
        </w:rPr>
        <w:t>S</w:t>
      </w:r>
      <w:r w:rsidRPr="00A0027B">
        <w:rPr>
          <w:rFonts w:ascii="Calibri" w:hAnsi="Calibri" w:cs="Calibri"/>
          <w:color w:val="000000"/>
        </w:rPr>
        <w:t>aliva</w:t>
      </w:r>
      <w:r w:rsidR="00F9280E">
        <w:rPr>
          <w:rFonts w:ascii="Calibri" w:hAnsi="Calibri" w:cs="Calibri"/>
          <w:color w:val="000000"/>
        </w:rPr>
        <w:t xml:space="preserve"> S</w:t>
      </w:r>
      <w:r w:rsidRPr="00A0027B">
        <w:rPr>
          <w:rFonts w:ascii="Calibri" w:hAnsi="Calibri" w:cs="Calibri"/>
          <w:color w:val="000000"/>
        </w:rPr>
        <w:t xml:space="preserve">amples </w:t>
      </w:r>
      <w:r w:rsidR="00F9280E">
        <w:rPr>
          <w:rFonts w:ascii="Calibri" w:hAnsi="Calibri" w:cs="Calibri"/>
          <w:color w:val="000000"/>
        </w:rPr>
        <w:t>C</w:t>
      </w:r>
      <w:r w:rsidRPr="00A0027B">
        <w:rPr>
          <w:rFonts w:ascii="Calibri" w:hAnsi="Calibri" w:cs="Calibri"/>
          <w:color w:val="000000"/>
        </w:rPr>
        <w:t xml:space="preserve">ollected in </w:t>
      </w:r>
      <w:r w:rsidR="00F9280E">
        <w:rPr>
          <w:rFonts w:ascii="Calibri" w:hAnsi="Calibri" w:cs="Calibri"/>
          <w:color w:val="000000"/>
        </w:rPr>
        <w:t>H</w:t>
      </w:r>
      <w:r w:rsidRPr="00A0027B">
        <w:rPr>
          <w:rFonts w:ascii="Calibri" w:hAnsi="Calibri" w:cs="Calibri"/>
          <w:color w:val="000000"/>
        </w:rPr>
        <w:t xml:space="preserve">ealthcare and </w:t>
      </w:r>
      <w:r w:rsidR="00F9280E">
        <w:rPr>
          <w:rFonts w:ascii="Calibri" w:hAnsi="Calibri" w:cs="Calibri"/>
          <w:color w:val="000000"/>
        </w:rPr>
        <w:t>C</w:t>
      </w:r>
      <w:r w:rsidRPr="00A0027B">
        <w:rPr>
          <w:rFonts w:ascii="Calibri" w:hAnsi="Calibri" w:cs="Calibri"/>
          <w:color w:val="000000"/>
        </w:rPr>
        <w:t xml:space="preserve">ommunity </w:t>
      </w:r>
      <w:r w:rsidR="00F9280E">
        <w:rPr>
          <w:rFonts w:ascii="Calibri" w:hAnsi="Calibri" w:cs="Calibri"/>
          <w:color w:val="000000"/>
        </w:rPr>
        <w:t>S</w:t>
      </w:r>
      <w:r w:rsidRPr="00A0027B">
        <w:rPr>
          <w:rFonts w:ascii="Calibri" w:hAnsi="Calibri" w:cs="Calibri"/>
          <w:color w:val="000000"/>
        </w:rPr>
        <w:t xml:space="preserve">etting for SARS-CoV-2 </w:t>
      </w:r>
      <w:r w:rsidR="00F9280E">
        <w:rPr>
          <w:rFonts w:ascii="Calibri" w:hAnsi="Calibri" w:cs="Calibri"/>
          <w:color w:val="000000"/>
        </w:rPr>
        <w:t>M</w:t>
      </w:r>
      <w:r w:rsidRPr="00A0027B">
        <w:rPr>
          <w:rFonts w:ascii="Calibri" w:hAnsi="Calibri" w:cs="Calibri"/>
          <w:color w:val="000000"/>
        </w:rPr>
        <w:t xml:space="preserve">ass </w:t>
      </w:r>
      <w:r w:rsidR="00F9280E">
        <w:rPr>
          <w:rFonts w:ascii="Calibri" w:hAnsi="Calibri" w:cs="Calibri"/>
          <w:color w:val="000000"/>
        </w:rPr>
        <w:t>S</w:t>
      </w:r>
      <w:r w:rsidRPr="00A0027B">
        <w:rPr>
          <w:rFonts w:ascii="Calibri" w:hAnsi="Calibri" w:cs="Calibri"/>
          <w:color w:val="000000"/>
        </w:rPr>
        <w:t xml:space="preserve">urveillance. </w:t>
      </w:r>
      <w:r w:rsidRPr="00A0027B">
        <w:rPr>
          <w:rFonts w:ascii="Calibri" w:hAnsi="Calibri" w:cs="Calibri"/>
          <w:i/>
          <w:iCs/>
          <w:color w:val="000000"/>
        </w:rPr>
        <w:t>Diagnostics</w:t>
      </w:r>
      <w:r w:rsidR="00F9280E">
        <w:rPr>
          <w:rFonts w:ascii="Calibri" w:hAnsi="Calibri" w:cs="Calibri"/>
          <w:i/>
          <w:iCs/>
          <w:color w:val="000000"/>
        </w:rPr>
        <w:t xml:space="preserve"> (</w:t>
      </w:r>
      <w:r w:rsidR="00690F8E">
        <w:rPr>
          <w:rFonts w:ascii="Calibri" w:hAnsi="Calibri" w:cs="Calibri"/>
          <w:i/>
          <w:iCs/>
          <w:color w:val="000000"/>
        </w:rPr>
        <w:t>Basel, Switzerland</w:t>
      </w:r>
      <w:r w:rsidR="00F9280E">
        <w:rPr>
          <w:rFonts w:ascii="Calibri" w:hAnsi="Calibri" w:cs="Calibri"/>
          <w:i/>
          <w:iCs/>
          <w:color w:val="000000"/>
        </w:rPr>
        <w:t>)</w:t>
      </w:r>
      <w:r w:rsidRPr="00A0027B">
        <w:rPr>
          <w:rFonts w:ascii="Calibri" w:hAnsi="Calibri" w:cs="Calibri"/>
          <w:color w:val="000000"/>
        </w:rPr>
        <w:t xml:space="preserve">. </w:t>
      </w:r>
      <w:r w:rsidRPr="00A0027B">
        <w:rPr>
          <w:rFonts w:ascii="Calibri" w:hAnsi="Calibri" w:cs="Calibri"/>
          <w:b/>
          <w:bCs/>
          <w:color w:val="000000"/>
        </w:rPr>
        <w:t xml:space="preserve">11 </w:t>
      </w:r>
      <w:r w:rsidRPr="00A0027B">
        <w:rPr>
          <w:rFonts w:ascii="Calibri" w:hAnsi="Calibri" w:cs="Calibri"/>
          <w:color w:val="000000"/>
        </w:rPr>
        <w:t>(5), 904 (2021).</w:t>
      </w:r>
    </w:p>
    <w:p w14:paraId="35CECA4B" w14:textId="43D8FC04"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t>Genzen</w:t>
      </w:r>
      <w:proofErr w:type="spellEnd"/>
      <w:r w:rsidRPr="00A0027B">
        <w:rPr>
          <w:rFonts w:ascii="Calibri" w:hAnsi="Calibri" w:cs="Calibri"/>
          <w:color w:val="000000"/>
        </w:rPr>
        <w:t>, J.R.</w:t>
      </w:r>
      <w:r w:rsidR="00C7690B">
        <w:rPr>
          <w:rFonts w:ascii="Calibri" w:hAnsi="Calibri" w:cs="Calibri"/>
          <w:color w:val="000000"/>
        </w:rPr>
        <w:t xml:space="preserve"> et al. </w:t>
      </w:r>
      <w:r w:rsidRPr="00A0027B">
        <w:rPr>
          <w:rFonts w:ascii="Calibri" w:hAnsi="Calibri" w:cs="Calibri"/>
          <w:color w:val="000000"/>
        </w:rPr>
        <w:t xml:space="preserve">Challenges and </w:t>
      </w:r>
      <w:r w:rsidR="00C7690B">
        <w:rPr>
          <w:rFonts w:ascii="Calibri" w:hAnsi="Calibri" w:cs="Calibri"/>
          <w:color w:val="000000"/>
        </w:rPr>
        <w:t>O</w:t>
      </w:r>
      <w:r w:rsidRPr="00A0027B">
        <w:rPr>
          <w:rFonts w:ascii="Calibri" w:hAnsi="Calibri" w:cs="Calibri"/>
          <w:color w:val="000000"/>
        </w:rPr>
        <w:t xml:space="preserve">pportunities in </w:t>
      </w:r>
      <w:r w:rsidR="00C7690B">
        <w:rPr>
          <w:rFonts w:ascii="Calibri" w:hAnsi="Calibri" w:cs="Calibri"/>
          <w:color w:val="000000"/>
        </w:rPr>
        <w:t>I</w:t>
      </w:r>
      <w:r w:rsidRPr="00A0027B">
        <w:rPr>
          <w:rFonts w:ascii="Calibri" w:hAnsi="Calibri" w:cs="Calibri"/>
          <w:color w:val="000000"/>
        </w:rPr>
        <w:t xml:space="preserve">mplementing </w:t>
      </w:r>
      <w:r w:rsidR="00C7690B">
        <w:rPr>
          <w:rFonts w:ascii="Calibri" w:hAnsi="Calibri" w:cs="Calibri"/>
          <w:color w:val="000000"/>
        </w:rPr>
        <w:t>T</w:t>
      </w:r>
      <w:r w:rsidRPr="00A0027B">
        <w:rPr>
          <w:rFonts w:ascii="Calibri" w:hAnsi="Calibri" w:cs="Calibri"/>
          <w:color w:val="000000"/>
        </w:rPr>
        <w:t xml:space="preserve">otal </w:t>
      </w:r>
      <w:r w:rsidR="00C7690B">
        <w:rPr>
          <w:rFonts w:ascii="Calibri" w:hAnsi="Calibri" w:cs="Calibri"/>
          <w:color w:val="000000"/>
        </w:rPr>
        <w:t>L</w:t>
      </w:r>
      <w:r w:rsidRPr="00A0027B">
        <w:rPr>
          <w:rFonts w:ascii="Calibri" w:hAnsi="Calibri" w:cs="Calibri"/>
          <w:color w:val="000000"/>
        </w:rPr>
        <w:t xml:space="preserve">aboratory </w:t>
      </w:r>
      <w:r w:rsidR="00C7690B">
        <w:rPr>
          <w:rFonts w:ascii="Calibri" w:hAnsi="Calibri" w:cs="Calibri"/>
          <w:color w:val="000000"/>
        </w:rPr>
        <w:t>A</w:t>
      </w:r>
      <w:r w:rsidRPr="00A0027B">
        <w:rPr>
          <w:rFonts w:ascii="Calibri" w:hAnsi="Calibri" w:cs="Calibri"/>
          <w:color w:val="000000"/>
        </w:rPr>
        <w:t xml:space="preserve">utomation. </w:t>
      </w:r>
      <w:r w:rsidRPr="00A0027B">
        <w:rPr>
          <w:rFonts w:ascii="Calibri" w:hAnsi="Calibri" w:cs="Calibri"/>
          <w:i/>
          <w:iCs/>
          <w:color w:val="000000"/>
        </w:rPr>
        <w:t>Clinical Chemistry</w:t>
      </w:r>
      <w:r w:rsidRPr="00A0027B">
        <w:rPr>
          <w:rFonts w:ascii="Calibri" w:hAnsi="Calibri" w:cs="Calibri"/>
          <w:color w:val="000000"/>
        </w:rPr>
        <w:t xml:space="preserve">. </w:t>
      </w:r>
      <w:r w:rsidRPr="00A0027B">
        <w:rPr>
          <w:rFonts w:ascii="Calibri" w:hAnsi="Calibri" w:cs="Calibri"/>
          <w:b/>
          <w:bCs/>
          <w:color w:val="000000"/>
        </w:rPr>
        <w:t xml:space="preserve">64 </w:t>
      </w:r>
      <w:r w:rsidRPr="00A0027B">
        <w:rPr>
          <w:rFonts w:ascii="Calibri" w:hAnsi="Calibri" w:cs="Calibri"/>
          <w:color w:val="000000"/>
        </w:rPr>
        <w:t>(2), 259</w:t>
      </w:r>
      <w:r w:rsidR="008B7E74">
        <w:rPr>
          <w:rFonts w:ascii="Calibri" w:hAnsi="Calibri" w:cs="Calibri"/>
          <w:color w:val="000000"/>
        </w:rPr>
        <w:t>–</w:t>
      </w:r>
      <w:r w:rsidRPr="00A0027B">
        <w:rPr>
          <w:rFonts w:ascii="Calibri" w:hAnsi="Calibri" w:cs="Calibri"/>
          <w:color w:val="000000"/>
        </w:rPr>
        <w:t>264 (2018).</w:t>
      </w:r>
    </w:p>
    <w:p w14:paraId="59338213" w14:textId="387A1048"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000000"/>
        </w:rPr>
        <w:lastRenderedPageBreak/>
        <w:t>Archetti</w:t>
      </w:r>
      <w:proofErr w:type="spellEnd"/>
      <w:r w:rsidRPr="00A0027B">
        <w:rPr>
          <w:rFonts w:ascii="Calibri" w:hAnsi="Calibri" w:cs="Calibri"/>
          <w:color w:val="000000"/>
        </w:rPr>
        <w:t xml:space="preserve">, C., Montanelli, A., </w:t>
      </w:r>
      <w:proofErr w:type="spellStart"/>
      <w:r w:rsidRPr="00A0027B">
        <w:rPr>
          <w:rFonts w:ascii="Calibri" w:hAnsi="Calibri" w:cs="Calibri"/>
          <w:color w:val="000000"/>
        </w:rPr>
        <w:t>Finazzi</w:t>
      </w:r>
      <w:proofErr w:type="spellEnd"/>
      <w:r w:rsidRPr="00A0027B">
        <w:rPr>
          <w:rFonts w:ascii="Calibri" w:hAnsi="Calibri" w:cs="Calibri"/>
          <w:color w:val="000000"/>
        </w:rPr>
        <w:t xml:space="preserve">, D., </w:t>
      </w:r>
      <w:proofErr w:type="spellStart"/>
      <w:r w:rsidRPr="00A0027B">
        <w:rPr>
          <w:rFonts w:ascii="Calibri" w:hAnsi="Calibri" w:cs="Calibri"/>
          <w:color w:val="000000"/>
        </w:rPr>
        <w:t>Caimi</w:t>
      </w:r>
      <w:proofErr w:type="spellEnd"/>
      <w:r w:rsidRPr="00A0027B">
        <w:rPr>
          <w:rFonts w:ascii="Calibri" w:hAnsi="Calibri" w:cs="Calibri"/>
          <w:color w:val="000000"/>
        </w:rPr>
        <w:t xml:space="preserve">, L., </w:t>
      </w:r>
      <w:proofErr w:type="spellStart"/>
      <w:r w:rsidRPr="00A0027B">
        <w:rPr>
          <w:rFonts w:ascii="Calibri" w:hAnsi="Calibri" w:cs="Calibri"/>
          <w:color w:val="000000"/>
        </w:rPr>
        <w:t>Garrafa</w:t>
      </w:r>
      <w:proofErr w:type="spellEnd"/>
      <w:r w:rsidRPr="00A0027B">
        <w:rPr>
          <w:rFonts w:ascii="Calibri" w:hAnsi="Calibri" w:cs="Calibri"/>
          <w:color w:val="000000"/>
        </w:rPr>
        <w:t xml:space="preserve">, E. Clinical </w:t>
      </w:r>
      <w:r w:rsidR="008B7E74">
        <w:rPr>
          <w:rFonts w:ascii="Calibri" w:hAnsi="Calibri" w:cs="Calibri"/>
          <w:color w:val="000000"/>
        </w:rPr>
        <w:t>L</w:t>
      </w:r>
      <w:r w:rsidRPr="00A0027B">
        <w:rPr>
          <w:rFonts w:ascii="Calibri" w:hAnsi="Calibri" w:cs="Calibri"/>
          <w:color w:val="000000"/>
        </w:rPr>
        <w:t xml:space="preserve">aboratory </w:t>
      </w:r>
      <w:r w:rsidR="008B7E74">
        <w:rPr>
          <w:rFonts w:ascii="Calibri" w:hAnsi="Calibri" w:cs="Calibri"/>
          <w:color w:val="000000"/>
        </w:rPr>
        <w:t>A</w:t>
      </w:r>
      <w:r w:rsidRPr="00A0027B">
        <w:rPr>
          <w:rFonts w:ascii="Calibri" w:hAnsi="Calibri" w:cs="Calibri"/>
          <w:color w:val="000000"/>
        </w:rPr>
        <w:t xml:space="preserve">utomation: </w:t>
      </w:r>
      <w:r w:rsidR="008B7E74">
        <w:rPr>
          <w:rFonts w:ascii="Calibri" w:hAnsi="Calibri" w:cs="Calibri"/>
          <w:color w:val="000000"/>
        </w:rPr>
        <w:t>A</w:t>
      </w:r>
      <w:r w:rsidRPr="00A0027B">
        <w:rPr>
          <w:rFonts w:ascii="Calibri" w:hAnsi="Calibri" w:cs="Calibri"/>
          <w:color w:val="000000"/>
        </w:rPr>
        <w:t xml:space="preserve"> </w:t>
      </w:r>
      <w:r w:rsidR="008B7E74">
        <w:rPr>
          <w:rFonts w:ascii="Calibri" w:hAnsi="Calibri" w:cs="Calibri"/>
          <w:color w:val="000000"/>
        </w:rPr>
        <w:t>C</w:t>
      </w:r>
      <w:r w:rsidRPr="00A0027B">
        <w:rPr>
          <w:rFonts w:ascii="Calibri" w:hAnsi="Calibri" w:cs="Calibri"/>
          <w:color w:val="000000"/>
        </w:rPr>
        <w:t>ase</w:t>
      </w:r>
      <w:r w:rsidR="008B7E74">
        <w:rPr>
          <w:rFonts w:ascii="Calibri" w:hAnsi="Calibri" w:cs="Calibri"/>
          <w:color w:val="000000"/>
        </w:rPr>
        <w:t xml:space="preserve"> S</w:t>
      </w:r>
      <w:r w:rsidRPr="00A0027B">
        <w:rPr>
          <w:rFonts w:ascii="Calibri" w:hAnsi="Calibri" w:cs="Calibri"/>
          <w:color w:val="000000"/>
        </w:rPr>
        <w:t xml:space="preserve">tudy. </w:t>
      </w:r>
      <w:r w:rsidRPr="00A0027B">
        <w:rPr>
          <w:rFonts w:ascii="Calibri" w:hAnsi="Calibri" w:cs="Calibri"/>
          <w:i/>
          <w:iCs/>
          <w:color w:val="000000"/>
        </w:rPr>
        <w:t>Journal of Public Health Research</w:t>
      </w:r>
      <w:r w:rsidRPr="00A0027B">
        <w:rPr>
          <w:rFonts w:ascii="Calibri" w:hAnsi="Calibri" w:cs="Calibri"/>
          <w:color w:val="000000"/>
        </w:rPr>
        <w:t xml:space="preserve">. </w:t>
      </w:r>
      <w:r w:rsidRPr="00A0027B">
        <w:rPr>
          <w:rFonts w:ascii="Calibri" w:hAnsi="Calibri" w:cs="Calibri"/>
          <w:b/>
          <w:bCs/>
          <w:color w:val="000000"/>
        </w:rPr>
        <w:t xml:space="preserve">6 </w:t>
      </w:r>
      <w:r w:rsidRPr="00A0027B">
        <w:rPr>
          <w:rFonts w:ascii="Calibri" w:hAnsi="Calibri" w:cs="Calibri"/>
          <w:color w:val="000000"/>
        </w:rPr>
        <w:t>(1),</w:t>
      </w:r>
      <w:r w:rsidRPr="00A0027B">
        <w:rPr>
          <w:rFonts w:ascii="Calibri" w:hAnsi="Calibri" w:cs="Calibri"/>
          <w:b/>
          <w:bCs/>
          <w:color w:val="000000"/>
        </w:rPr>
        <w:t xml:space="preserve"> </w:t>
      </w:r>
      <w:r w:rsidRPr="00A0027B">
        <w:rPr>
          <w:rFonts w:ascii="Calibri" w:hAnsi="Calibri" w:cs="Calibri"/>
          <w:color w:val="000000"/>
        </w:rPr>
        <w:t>881 (2017).</w:t>
      </w:r>
    </w:p>
    <w:p w14:paraId="28120326" w14:textId="66BC8197"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212121"/>
        </w:rPr>
        <w:t xml:space="preserve">Hecker, K.H., Roux, K.H. High and low annealing temperatures increase both specificity and yield in touchdown and stepdown PCR. </w:t>
      </w:r>
      <w:proofErr w:type="spellStart"/>
      <w:r w:rsidRPr="00A0027B">
        <w:rPr>
          <w:rFonts w:ascii="Calibri" w:hAnsi="Calibri" w:cs="Calibri"/>
          <w:i/>
          <w:iCs/>
          <w:color w:val="212121"/>
        </w:rPr>
        <w:t>Bio</w:t>
      </w:r>
      <w:r w:rsidR="00452EBE">
        <w:rPr>
          <w:rFonts w:ascii="Calibri" w:hAnsi="Calibri" w:cs="Calibri"/>
          <w:i/>
          <w:iCs/>
          <w:color w:val="212121"/>
        </w:rPr>
        <w:t>T</w:t>
      </w:r>
      <w:r w:rsidRPr="00A0027B">
        <w:rPr>
          <w:rFonts w:ascii="Calibri" w:hAnsi="Calibri" w:cs="Calibri"/>
          <w:i/>
          <w:iCs/>
          <w:color w:val="212121"/>
        </w:rPr>
        <w:t>echniques</w:t>
      </w:r>
      <w:proofErr w:type="spellEnd"/>
      <w:r w:rsidRPr="00A0027B">
        <w:rPr>
          <w:rFonts w:ascii="Calibri" w:hAnsi="Calibri" w:cs="Calibri"/>
          <w:color w:val="212121"/>
        </w:rPr>
        <w:t xml:space="preserve">. </w:t>
      </w:r>
      <w:r w:rsidRPr="00A0027B">
        <w:rPr>
          <w:rFonts w:ascii="Calibri" w:hAnsi="Calibri" w:cs="Calibri"/>
          <w:b/>
          <w:bCs/>
          <w:color w:val="212121"/>
        </w:rPr>
        <w:t>20</w:t>
      </w:r>
      <w:r w:rsidRPr="00A0027B">
        <w:rPr>
          <w:rFonts w:ascii="Calibri" w:hAnsi="Calibri" w:cs="Calibri"/>
          <w:color w:val="212121"/>
        </w:rPr>
        <w:t xml:space="preserve"> (3), 478</w:t>
      </w:r>
      <w:r w:rsidR="00452EBE">
        <w:rPr>
          <w:rFonts w:ascii="Calibri" w:hAnsi="Calibri" w:cs="Calibri"/>
          <w:color w:val="212121"/>
        </w:rPr>
        <w:t>–4</w:t>
      </w:r>
      <w:r w:rsidRPr="00A0027B">
        <w:rPr>
          <w:rFonts w:ascii="Calibri" w:hAnsi="Calibri" w:cs="Calibri"/>
          <w:color w:val="212121"/>
        </w:rPr>
        <w:t>85 (1996).</w:t>
      </w:r>
    </w:p>
    <w:p w14:paraId="560F8007" w14:textId="6B337CB0"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222222"/>
        </w:rPr>
        <w:t>Bhat, P.P.</w:t>
      </w:r>
      <w:r w:rsidR="002370EC">
        <w:rPr>
          <w:rFonts w:ascii="Calibri" w:hAnsi="Calibri" w:cs="Calibri"/>
          <w:color w:val="222222"/>
        </w:rPr>
        <w:t xml:space="preserve"> et al. </w:t>
      </w:r>
      <w:r w:rsidRPr="00A0027B">
        <w:rPr>
          <w:rFonts w:ascii="Calibri" w:hAnsi="Calibri" w:cs="Calibri"/>
          <w:color w:val="222222"/>
        </w:rPr>
        <w:t xml:space="preserve">Formation of beads-on-a-string structures during break-up of viscoelastic filaments. </w:t>
      </w:r>
      <w:r w:rsidRPr="00A0027B">
        <w:rPr>
          <w:rFonts w:ascii="Calibri" w:hAnsi="Calibri" w:cs="Calibri"/>
          <w:i/>
          <w:iCs/>
          <w:color w:val="222222"/>
        </w:rPr>
        <w:t>Nature Physics</w:t>
      </w:r>
      <w:r w:rsidRPr="00A0027B">
        <w:rPr>
          <w:rFonts w:ascii="Calibri" w:hAnsi="Calibri" w:cs="Calibri"/>
          <w:color w:val="222222"/>
        </w:rPr>
        <w:t xml:space="preserve">. </w:t>
      </w:r>
      <w:r w:rsidRPr="00A0027B">
        <w:rPr>
          <w:rFonts w:ascii="Calibri" w:hAnsi="Calibri" w:cs="Calibri"/>
          <w:b/>
          <w:bCs/>
          <w:color w:val="222222"/>
        </w:rPr>
        <w:t>6</w:t>
      </w:r>
      <w:r w:rsidRPr="00A0027B">
        <w:rPr>
          <w:rFonts w:ascii="Calibri" w:hAnsi="Calibri" w:cs="Calibri"/>
          <w:color w:val="222222"/>
        </w:rPr>
        <w:t>, 625</w:t>
      </w:r>
      <w:r w:rsidR="005113CF">
        <w:rPr>
          <w:rFonts w:ascii="Calibri" w:hAnsi="Calibri" w:cs="Calibri"/>
          <w:color w:val="222222"/>
        </w:rPr>
        <w:t>–6</w:t>
      </w:r>
      <w:r w:rsidRPr="00A0027B">
        <w:rPr>
          <w:rFonts w:ascii="Calibri" w:hAnsi="Calibri" w:cs="Calibri"/>
          <w:color w:val="222222"/>
        </w:rPr>
        <w:t>31 (2010).</w:t>
      </w:r>
    </w:p>
    <w:p w14:paraId="2BAF615D" w14:textId="2B6EB7AD"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222222"/>
        </w:rPr>
        <w:t>Miller, C.S.</w:t>
      </w:r>
      <w:r w:rsidR="00CB68CE">
        <w:rPr>
          <w:rFonts w:ascii="Calibri" w:hAnsi="Calibri" w:cs="Calibri"/>
          <w:color w:val="222222"/>
        </w:rPr>
        <w:t xml:space="preserve"> </w:t>
      </w:r>
      <w:r w:rsidRPr="00A0027B">
        <w:rPr>
          <w:rFonts w:ascii="Calibri" w:hAnsi="Calibri" w:cs="Calibri"/>
          <w:color w:val="222222"/>
        </w:rPr>
        <w:t xml:space="preserve">et al. Current developments in salivary diagnostics. </w:t>
      </w:r>
      <w:r w:rsidRPr="00A0027B">
        <w:rPr>
          <w:rFonts w:ascii="Calibri" w:hAnsi="Calibri" w:cs="Calibri"/>
          <w:i/>
          <w:iCs/>
          <w:color w:val="222222"/>
        </w:rPr>
        <w:t xml:space="preserve">Biomarkers in </w:t>
      </w:r>
      <w:r w:rsidR="00CB68CE">
        <w:rPr>
          <w:rFonts w:ascii="Calibri" w:hAnsi="Calibri" w:cs="Calibri"/>
          <w:i/>
          <w:iCs/>
          <w:color w:val="222222"/>
        </w:rPr>
        <w:t>M</w:t>
      </w:r>
      <w:r w:rsidRPr="00A0027B">
        <w:rPr>
          <w:rFonts w:ascii="Calibri" w:hAnsi="Calibri" w:cs="Calibri"/>
          <w:i/>
          <w:iCs/>
          <w:color w:val="222222"/>
        </w:rPr>
        <w:t>edicine</w:t>
      </w:r>
      <w:r w:rsidRPr="00A0027B">
        <w:rPr>
          <w:rFonts w:ascii="Calibri" w:hAnsi="Calibri" w:cs="Calibri"/>
          <w:color w:val="222222"/>
        </w:rPr>
        <w:t xml:space="preserve">. </w:t>
      </w:r>
      <w:r w:rsidRPr="00A0027B">
        <w:rPr>
          <w:rFonts w:ascii="Calibri" w:hAnsi="Calibri" w:cs="Calibri"/>
          <w:b/>
          <w:bCs/>
          <w:color w:val="222222"/>
        </w:rPr>
        <w:t>4</w:t>
      </w:r>
      <w:r w:rsidRPr="00A0027B">
        <w:rPr>
          <w:rFonts w:ascii="Calibri" w:hAnsi="Calibri" w:cs="Calibri"/>
          <w:color w:val="222222"/>
        </w:rPr>
        <w:t xml:space="preserve"> (1),</w:t>
      </w:r>
      <w:r w:rsidR="00CB68CE">
        <w:rPr>
          <w:rFonts w:ascii="Calibri" w:hAnsi="Calibri" w:cs="Calibri"/>
          <w:color w:val="222222"/>
        </w:rPr>
        <w:t xml:space="preserve"> </w:t>
      </w:r>
      <w:r w:rsidRPr="00A0027B">
        <w:rPr>
          <w:rFonts w:ascii="Calibri" w:hAnsi="Calibri" w:cs="Calibri"/>
          <w:color w:val="222222"/>
        </w:rPr>
        <w:t>171</w:t>
      </w:r>
      <w:r w:rsidR="00CB68CE">
        <w:rPr>
          <w:rFonts w:ascii="Calibri" w:hAnsi="Calibri" w:cs="Calibri"/>
          <w:color w:val="222222"/>
        </w:rPr>
        <w:t>–1</w:t>
      </w:r>
      <w:r w:rsidRPr="00A0027B">
        <w:rPr>
          <w:rFonts w:ascii="Calibri" w:hAnsi="Calibri" w:cs="Calibri"/>
          <w:color w:val="222222"/>
        </w:rPr>
        <w:t>89 (2010).</w:t>
      </w:r>
    </w:p>
    <w:p w14:paraId="0236F7F1" w14:textId="590D32FC"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Moreno-Contreras, J. et</w:t>
      </w:r>
      <w:r w:rsidR="00D335C6">
        <w:rPr>
          <w:rFonts w:ascii="Calibri" w:hAnsi="Calibri" w:cs="Calibri"/>
          <w:color w:val="000000"/>
        </w:rPr>
        <w:t xml:space="preserve"> </w:t>
      </w:r>
      <w:r w:rsidRPr="00A0027B">
        <w:rPr>
          <w:rFonts w:ascii="Calibri" w:hAnsi="Calibri" w:cs="Calibri"/>
          <w:color w:val="000000"/>
        </w:rPr>
        <w:t xml:space="preserve">al. Saliva </w:t>
      </w:r>
      <w:r w:rsidR="00CD08FF">
        <w:rPr>
          <w:rFonts w:ascii="Calibri" w:hAnsi="Calibri" w:cs="Calibri"/>
          <w:color w:val="000000"/>
        </w:rPr>
        <w:t>S</w:t>
      </w:r>
      <w:r w:rsidRPr="00A0027B">
        <w:rPr>
          <w:rFonts w:ascii="Calibri" w:hAnsi="Calibri" w:cs="Calibri"/>
          <w:color w:val="000000"/>
        </w:rPr>
        <w:t xml:space="preserve">ampling and </w:t>
      </w:r>
      <w:r w:rsidR="00CD08FF">
        <w:rPr>
          <w:rFonts w:ascii="Calibri" w:hAnsi="Calibri" w:cs="Calibri"/>
          <w:color w:val="000000"/>
        </w:rPr>
        <w:t>I</w:t>
      </w:r>
      <w:r w:rsidRPr="00A0027B">
        <w:rPr>
          <w:rFonts w:ascii="Calibri" w:hAnsi="Calibri" w:cs="Calibri"/>
          <w:color w:val="000000"/>
        </w:rPr>
        <w:t xml:space="preserve">ts </w:t>
      </w:r>
      <w:r w:rsidR="00CD08FF">
        <w:rPr>
          <w:rFonts w:ascii="Calibri" w:hAnsi="Calibri" w:cs="Calibri"/>
          <w:color w:val="000000"/>
        </w:rPr>
        <w:t>D</w:t>
      </w:r>
      <w:r w:rsidRPr="00A0027B">
        <w:rPr>
          <w:rFonts w:ascii="Calibri" w:hAnsi="Calibri" w:cs="Calibri"/>
          <w:color w:val="000000"/>
        </w:rPr>
        <w:t xml:space="preserve">irect </w:t>
      </w:r>
      <w:r w:rsidR="00CD08FF">
        <w:rPr>
          <w:rFonts w:ascii="Calibri" w:hAnsi="Calibri" w:cs="Calibri"/>
          <w:color w:val="000000"/>
        </w:rPr>
        <w:t>L</w:t>
      </w:r>
      <w:r w:rsidRPr="00A0027B">
        <w:rPr>
          <w:rFonts w:ascii="Calibri" w:hAnsi="Calibri" w:cs="Calibri"/>
          <w:color w:val="000000"/>
        </w:rPr>
        <w:t xml:space="preserve">ysis, an </w:t>
      </w:r>
      <w:r w:rsidR="00CD08FF">
        <w:rPr>
          <w:rFonts w:ascii="Calibri" w:hAnsi="Calibri" w:cs="Calibri"/>
          <w:color w:val="000000"/>
        </w:rPr>
        <w:t>E</w:t>
      </w:r>
      <w:r w:rsidRPr="00A0027B">
        <w:rPr>
          <w:rFonts w:ascii="Calibri" w:hAnsi="Calibri" w:cs="Calibri"/>
          <w:color w:val="000000"/>
        </w:rPr>
        <w:t xml:space="preserve">xcellent </w:t>
      </w:r>
      <w:r w:rsidR="00CD08FF">
        <w:rPr>
          <w:rFonts w:ascii="Calibri" w:hAnsi="Calibri" w:cs="Calibri"/>
          <w:color w:val="000000"/>
        </w:rPr>
        <w:t>O</w:t>
      </w:r>
      <w:r w:rsidRPr="00A0027B">
        <w:rPr>
          <w:rFonts w:ascii="Calibri" w:hAnsi="Calibri" w:cs="Calibri"/>
          <w:color w:val="000000"/>
        </w:rPr>
        <w:t xml:space="preserve">ption </w:t>
      </w:r>
      <w:proofErr w:type="gramStart"/>
      <w:r w:rsidR="00CD08FF">
        <w:rPr>
          <w:rFonts w:ascii="Calibri" w:hAnsi="Calibri" w:cs="Calibri"/>
          <w:color w:val="000000"/>
        </w:rPr>
        <w:t>T</w:t>
      </w:r>
      <w:r w:rsidRPr="00A0027B">
        <w:rPr>
          <w:rFonts w:ascii="Calibri" w:hAnsi="Calibri" w:cs="Calibri"/>
          <w:color w:val="000000"/>
        </w:rPr>
        <w:t>o</w:t>
      </w:r>
      <w:proofErr w:type="gramEnd"/>
      <w:r w:rsidRPr="00A0027B">
        <w:rPr>
          <w:rFonts w:ascii="Calibri" w:hAnsi="Calibri" w:cs="Calibri"/>
          <w:color w:val="000000"/>
        </w:rPr>
        <w:t xml:space="preserve"> </w:t>
      </w:r>
      <w:r w:rsidR="00CD08FF">
        <w:rPr>
          <w:rFonts w:ascii="Calibri" w:hAnsi="Calibri" w:cs="Calibri"/>
          <w:color w:val="000000"/>
        </w:rPr>
        <w:t>I</w:t>
      </w:r>
      <w:r w:rsidRPr="00A0027B">
        <w:rPr>
          <w:rFonts w:ascii="Calibri" w:hAnsi="Calibri" w:cs="Calibri"/>
          <w:color w:val="000000"/>
        </w:rPr>
        <w:t xml:space="preserve">ncrease the </w:t>
      </w:r>
      <w:r w:rsidR="00CD08FF">
        <w:rPr>
          <w:rFonts w:ascii="Calibri" w:hAnsi="Calibri" w:cs="Calibri"/>
          <w:color w:val="000000"/>
        </w:rPr>
        <w:t>N</w:t>
      </w:r>
      <w:r w:rsidRPr="00A0027B">
        <w:rPr>
          <w:rFonts w:ascii="Calibri" w:hAnsi="Calibri" w:cs="Calibri"/>
          <w:color w:val="000000"/>
        </w:rPr>
        <w:t>umber of SARS-CoV-2</w:t>
      </w:r>
      <w:r w:rsidR="00CD08FF">
        <w:rPr>
          <w:rFonts w:ascii="Calibri" w:hAnsi="Calibri" w:cs="Calibri"/>
          <w:color w:val="000000"/>
        </w:rPr>
        <w:t xml:space="preserve"> D</w:t>
      </w:r>
      <w:r w:rsidRPr="00A0027B">
        <w:rPr>
          <w:rFonts w:ascii="Calibri" w:hAnsi="Calibri" w:cs="Calibri"/>
          <w:color w:val="000000"/>
        </w:rPr>
        <w:t xml:space="preserve">iagnostic </w:t>
      </w:r>
      <w:r w:rsidR="00CD08FF">
        <w:rPr>
          <w:rFonts w:ascii="Calibri" w:hAnsi="Calibri" w:cs="Calibri"/>
          <w:color w:val="000000"/>
        </w:rPr>
        <w:t>T</w:t>
      </w:r>
      <w:r w:rsidRPr="00A0027B">
        <w:rPr>
          <w:rFonts w:ascii="Calibri" w:hAnsi="Calibri" w:cs="Calibri"/>
          <w:color w:val="000000"/>
        </w:rPr>
        <w:t xml:space="preserve">ests in </w:t>
      </w:r>
      <w:r w:rsidR="00CD08FF">
        <w:rPr>
          <w:rFonts w:ascii="Calibri" w:hAnsi="Calibri" w:cs="Calibri"/>
          <w:color w:val="000000"/>
        </w:rPr>
        <w:t>S</w:t>
      </w:r>
      <w:r w:rsidRPr="00A0027B">
        <w:rPr>
          <w:rFonts w:ascii="Calibri" w:hAnsi="Calibri" w:cs="Calibri"/>
          <w:color w:val="000000"/>
        </w:rPr>
        <w:t xml:space="preserve">ettings with </w:t>
      </w:r>
      <w:r w:rsidR="00CD08FF">
        <w:rPr>
          <w:rFonts w:ascii="Calibri" w:hAnsi="Calibri" w:cs="Calibri"/>
          <w:color w:val="000000"/>
        </w:rPr>
        <w:t>S</w:t>
      </w:r>
      <w:r w:rsidRPr="00A0027B">
        <w:rPr>
          <w:rFonts w:ascii="Calibri" w:hAnsi="Calibri" w:cs="Calibri"/>
          <w:color w:val="000000"/>
        </w:rPr>
        <w:t xml:space="preserve">upply </w:t>
      </w:r>
      <w:r w:rsidR="00CD08FF">
        <w:rPr>
          <w:rFonts w:ascii="Calibri" w:hAnsi="Calibri" w:cs="Calibri"/>
          <w:color w:val="000000"/>
        </w:rPr>
        <w:t>S</w:t>
      </w:r>
      <w:r w:rsidRPr="00A0027B">
        <w:rPr>
          <w:rFonts w:ascii="Calibri" w:hAnsi="Calibri" w:cs="Calibri"/>
          <w:color w:val="000000"/>
        </w:rPr>
        <w:t xml:space="preserve">hortages. </w:t>
      </w:r>
      <w:r w:rsidRPr="00A0027B">
        <w:rPr>
          <w:rFonts w:ascii="Calibri" w:hAnsi="Calibri" w:cs="Calibri"/>
          <w:i/>
          <w:iCs/>
          <w:color w:val="000000"/>
        </w:rPr>
        <w:t>Journal of Clinical Microbiology.</w:t>
      </w:r>
      <w:r w:rsidRPr="00A0027B">
        <w:rPr>
          <w:rFonts w:ascii="Calibri" w:hAnsi="Calibri" w:cs="Calibri"/>
          <w:color w:val="000000"/>
        </w:rPr>
        <w:t xml:space="preserve"> </w:t>
      </w:r>
      <w:r w:rsidR="00CD08FF" w:rsidRPr="00CD08FF">
        <w:rPr>
          <w:rFonts w:ascii="Calibri" w:hAnsi="Calibri" w:cs="Calibri"/>
          <w:b/>
          <w:bCs/>
          <w:color w:val="000000"/>
        </w:rPr>
        <w:t>58</w:t>
      </w:r>
      <w:r w:rsidR="00CD08FF">
        <w:rPr>
          <w:rFonts w:ascii="Calibri" w:hAnsi="Calibri" w:cs="Calibri"/>
          <w:color w:val="000000"/>
        </w:rPr>
        <w:t xml:space="preserve"> </w:t>
      </w:r>
      <w:r w:rsidR="00CD08FF" w:rsidRPr="00CD08FF">
        <w:rPr>
          <w:rFonts w:ascii="Calibri" w:hAnsi="Calibri" w:cs="Calibri"/>
          <w:color w:val="000000"/>
        </w:rPr>
        <w:t>(</w:t>
      </w:r>
      <w:r w:rsidRPr="00CD08FF">
        <w:rPr>
          <w:rFonts w:ascii="Calibri" w:hAnsi="Calibri" w:cs="Calibri"/>
          <w:color w:val="000000"/>
        </w:rPr>
        <w:t>10</w:t>
      </w:r>
      <w:r w:rsidR="00CD08FF" w:rsidRPr="00CD08FF">
        <w:rPr>
          <w:rFonts w:ascii="Calibri" w:hAnsi="Calibri" w:cs="Calibri"/>
          <w:color w:val="000000"/>
        </w:rPr>
        <w:t>)</w:t>
      </w:r>
      <w:r w:rsidRPr="00CD08FF">
        <w:rPr>
          <w:rFonts w:ascii="Calibri" w:hAnsi="Calibri" w:cs="Calibri"/>
          <w:color w:val="000000"/>
        </w:rPr>
        <w:t>,</w:t>
      </w:r>
      <w:r w:rsidRPr="00A0027B">
        <w:rPr>
          <w:rFonts w:ascii="Calibri" w:hAnsi="Calibri" w:cs="Calibri"/>
          <w:color w:val="000000"/>
        </w:rPr>
        <w:t xml:space="preserve"> e01659</w:t>
      </w:r>
      <w:r w:rsidR="00CD08FF">
        <w:rPr>
          <w:rFonts w:ascii="Calibri" w:hAnsi="Calibri" w:cs="Calibri"/>
          <w:color w:val="000000"/>
        </w:rPr>
        <w:t>–</w:t>
      </w:r>
      <w:r w:rsidRPr="00A0027B">
        <w:rPr>
          <w:rFonts w:ascii="Calibri" w:hAnsi="Calibri" w:cs="Calibri"/>
          <w:color w:val="000000"/>
        </w:rPr>
        <w:t>20 (2020).</w:t>
      </w:r>
    </w:p>
    <w:p w14:paraId="11D29326" w14:textId="7C5DA4C6"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Wang, W.</w:t>
      </w:r>
      <w:r w:rsidR="00D335C6">
        <w:rPr>
          <w:rFonts w:ascii="Calibri" w:hAnsi="Calibri" w:cs="Calibri"/>
          <w:color w:val="000000"/>
        </w:rPr>
        <w:t xml:space="preserve"> </w:t>
      </w:r>
      <w:r w:rsidRPr="00A0027B">
        <w:rPr>
          <w:rFonts w:ascii="Calibri" w:hAnsi="Calibri" w:cs="Calibri"/>
          <w:color w:val="000000"/>
        </w:rPr>
        <w:t xml:space="preserve">et al. Detection of SARS-CoV-2 in </w:t>
      </w:r>
      <w:r w:rsidR="00D335C6">
        <w:rPr>
          <w:rFonts w:ascii="Calibri" w:hAnsi="Calibri" w:cs="Calibri"/>
          <w:color w:val="000000"/>
        </w:rPr>
        <w:t>D</w:t>
      </w:r>
      <w:r w:rsidRPr="00A0027B">
        <w:rPr>
          <w:rFonts w:ascii="Calibri" w:hAnsi="Calibri" w:cs="Calibri"/>
          <w:color w:val="000000"/>
        </w:rPr>
        <w:t xml:space="preserve">ifferent </w:t>
      </w:r>
      <w:r w:rsidR="00D335C6">
        <w:rPr>
          <w:rFonts w:ascii="Calibri" w:hAnsi="Calibri" w:cs="Calibri"/>
          <w:color w:val="000000"/>
        </w:rPr>
        <w:t>T</w:t>
      </w:r>
      <w:r w:rsidRPr="00A0027B">
        <w:rPr>
          <w:rFonts w:ascii="Calibri" w:hAnsi="Calibri" w:cs="Calibri"/>
          <w:color w:val="000000"/>
        </w:rPr>
        <w:t xml:space="preserve">ypes of </w:t>
      </w:r>
      <w:r w:rsidR="00D335C6">
        <w:rPr>
          <w:rFonts w:ascii="Calibri" w:hAnsi="Calibri" w:cs="Calibri"/>
          <w:color w:val="000000"/>
        </w:rPr>
        <w:t>C</w:t>
      </w:r>
      <w:r w:rsidRPr="00A0027B">
        <w:rPr>
          <w:rFonts w:ascii="Calibri" w:hAnsi="Calibri" w:cs="Calibri"/>
          <w:color w:val="000000"/>
        </w:rPr>
        <w:t xml:space="preserve">linical </w:t>
      </w:r>
      <w:r w:rsidR="00D335C6">
        <w:rPr>
          <w:rFonts w:ascii="Calibri" w:hAnsi="Calibri" w:cs="Calibri"/>
          <w:color w:val="000000"/>
        </w:rPr>
        <w:t>S</w:t>
      </w:r>
      <w:r w:rsidRPr="00A0027B">
        <w:rPr>
          <w:rFonts w:ascii="Calibri" w:hAnsi="Calibri" w:cs="Calibri"/>
          <w:color w:val="000000"/>
        </w:rPr>
        <w:t xml:space="preserve">pecimens. </w:t>
      </w:r>
      <w:r w:rsidR="00D335C6">
        <w:rPr>
          <w:rFonts w:ascii="Calibri" w:hAnsi="Calibri" w:cs="Calibri"/>
          <w:i/>
          <w:iCs/>
          <w:color w:val="000000"/>
        </w:rPr>
        <w:t>JAMA</w:t>
      </w:r>
      <w:r w:rsidRPr="00A0027B">
        <w:rPr>
          <w:rFonts w:ascii="Calibri" w:hAnsi="Calibri" w:cs="Calibri"/>
          <w:color w:val="000000"/>
        </w:rPr>
        <w:t xml:space="preserve">. </w:t>
      </w:r>
      <w:r w:rsidRPr="00A0027B">
        <w:rPr>
          <w:rFonts w:ascii="Calibri" w:hAnsi="Calibri" w:cs="Calibri"/>
          <w:b/>
          <w:bCs/>
          <w:color w:val="000000"/>
        </w:rPr>
        <w:t>323</w:t>
      </w:r>
      <w:r w:rsidRPr="00A0027B">
        <w:rPr>
          <w:rFonts w:ascii="Calibri" w:hAnsi="Calibri" w:cs="Calibri"/>
          <w:color w:val="000000"/>
        </w:rPr>
        <w:t xml:space="preserve"> (18), 1843</w:t>
      </w:r>
      <w:r w:rsidR="00D335C6">
        <w:rPr>
          <w:rFonts w:ascii="Calibri" w:hAnsi="Calibri" w:cs="Calibri"/>
          <w:color w:val="000000"/>
        </w:rPr>
        <w:t>–1</w:t>
      </w:r>
      <w:r w:rsidRPr="00A0027B">
        <w:rPr>
          <w:rFonts w:ascii="Calibri" w:hAnsi="Calibri" w:cs="Calibri"/>
          <w:color w:val="000000"/>
        </w:rPr>
        <w:t>844 (2020).</w:t>
      </w:r>
    </w:p>
    <w:p w14:paraId="5663CDEE" w14:textId="0890DB5D"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000000"/>
        </w:rPr>
        <w:t xml:space="preserve">Landry, M.L., </w:t>
      </w:r>
      <w:proofErr w:type="spellStart"/>
      <w:r w:rsidRPr="00A0027B">
        <w:rPr>
          <w:rFonts w:ascii="Calibri" w:hAnsi="Calibri" w:cs="Calibri"/>
          <w:color w:val="000000"/>
        </w:rPr>
        <w:t>Criscuolo</w:t>
      </w:r>
      <w:proofErr w:type="spellEnd"/>
      <w:r w:rsidRPr="00A0027B">
        <w:rPr>
          <w:rFonts w:ascii="Calibri" w:hAnsi="Calibri" w:cs="Calibri"/>
          <w:color w:val="000000"/>
        </w:rPr>
        <w:t xml:space="preserve">, J., </w:t>
      </w:r>
      <w:proofErr w:type="spellStart"/>
      <w:r w:rsidRPr="00A0027B">
        <w:rPr>
          <w:rFonts w:ascii="Calibri" w:hAnsi="Calibri" w:cs="Calibri"/>
          <w:color w:val="000000"/>
        </w:rPr>
        <w:t>Peaper</w:t>
      </w:r>
      <w:proofErr w:type="spellEnd"/>
      <w:r w:rsidRPr="00A0027B">
        <w:rPr>
          <w:rFonts w:ascii="Calibri" w:hAnsi="Calibri" w:cs="Calibri"/>
          <w:color w:val="000000"/>
        </w:rPr>
        <w:t xml:space="preserve">, D.R. Challenges in use of saliva for detection of SARS CoV-2 RNA in symptomatic outpatients. </w:t>
      </w:r>
      <w:r w:rsidRPr="00A0027B">
        <w:rPr>
          <w:rFonts w:ascii="Calibri" w:hAnsi="Calibri" w:cs="Calibri"/>
          <w:i/>
          <w:iCs/>
          <w:color w:val="000000"/>
        </w:rPr>
        <w:t>Journal of Clinical Virology</w:t>
      </w:r>
      <w:r w:rsidR="00110E79">
        <w:rPr>
          <w:rFonts w:ascii="Calibri" w:hAnsi="Calibri" w:cs="Calibri"/>
          <w:i/>
          <w:iCs/>
          <w:color w:val="000000"/>
        </w:rPr>
        <w:t>: The Official Publication of The Pan American Society for Clinical Virology</w:t>
      </w:r>
      <w:r w:rsidRPr="00A0027B">
        <w:rPr>
          <w:rFonts w:ascii="Calibri" w:hAnsi="Calibri" w:cs="Calibri"/>
          <w:i/>
          <w:iCs/>
          <w:color w:val="000000"/>
        </w:rPr>
        <w:t>.</w:t>
      </w:r>
      <w:r w:rsidRPr="00A0027B">
        <w:rPr>
          <w:rFonts w:ascii="Calibri" w:hAnsi="Calibri" w:cs="Calibri"/>
          <w:color w:val="000000"/>
        </w:rPr>
        <w:t xml:space="preserve"> </w:t>
      </w:r>
      <w:r w:rsidRPr="00A0027B">
        <w:rPr>
          <w:rFonts w:ascii="Calibri" w:hAnsi="Calibri" w:cs="Calibri"/>
          <w:b/>
          <w:bCs/>
          <w:color w:val="000000"/>
        </w:rPr>
        <w:t>130</w:t>
      </w:r>
      <w:r w:rsidRPr="00A0027B">
        <w:rPr>
          <w:rFonts w:ascii="Calibri" w:hAnsi="Calibri" w:cs="Calibri"/>
          <w:color w:val="000000"/>
        </w:rPr>
        <w:t>, 104567 (2020).</w:t>
      </w:r>
    </w:p>
    <w:p w14:paraId="4DE00BFC" w14:textId="193A186D"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r w:rsidRPr="00A0027B">
        <w:rPr>
          <w:rFonts w:ascii="Calibri" w:hAnsi="Calibri" w:cs="Calibri"/>
          <w:color w:val="222222"/>
        </w:rPr>
        <w:t xml:space="preserve">Lista, M.J. et al. Resilient SARS-CoV-2 diagnostics workflows including viral heat inactivation. </w:t>
      </w:r>
      <w:proofErr w:type="spellStart"/>
      <w:r w:rsidRPr="00A0027B">
        <w:rPr>
          <w:rFonts w:ascii="Calibri" w:hAnsi="Calibri" w:cs="Calibri"/>
          <w:i/>
          <w:iCs/>
          <w:color w:val="222222"/>
        </w:rPr>
        <w:t>PL</w:t>
      </w:r>
      <w:r w:rsidR="000E1FDD">
        <w:rPr>
          <w:rFonts w:ascii="Calibri" w:hAnsi="Calibri" w:cs="Calibri"/>
          <w:i/>
          <w:iCs/>
          <w:color w:val="222222"/>
        </w:rPr>
        <w:t>o</w:t>
      </w:r>
      <w:r w:rsidRPr="00A0027B">
        <w:rPr>
          <w:rFonts w:ascii="Calibri" w:hAnsi="Calibri" w:cs="Calibri"/>
          <w:i/>
          <w:iCs/>
          <w:color w:val="222222"/>
        </w:rPr>
        <w:t>S</w:t>
      </w:r>
      <w:proofErr w:type="spellEnd"/>
      <w:r w:rsidRPr="00A0027B">
        <w:rPr>
          <w:rFonts w:ascii="Calibri" w:hAnsi="Calibri" w:cs="Calibri"/>
          <w:i/>
          <w:iCs/>
          <w:color w:val="222222"/>
        </w:rPr>
        <w:t xml:space="preserve"> </w:t>
      </w:r>
      <w:r w:rsidR="000E1FDD">
        <w:rPr>
          <w:rFonts w:ascii="Calibri" w:hAnsi="Calibri" w:cs="Calibri"/>
          <w:i/>
          <w:iCs/>
          <w:color w:val="222222"/>
        </w:rPr>
        <w:t>O</w:t>
      </w:r>
      <w:r w:rsidRPr="00A0027B">
        <w:rPr>
          <w:rFonts w:ascii="Calibri" w:hAnsi="Calibri" w:cs="Calibri"/>
          <w:i/>
          <w:iCs/>
          <w:color w:val="222222"/>
        </w:rPr>
        <w:t>ne</w:t>
      </w:r>
      <w:r w:rsidRPr="00A0027B">
        <w:rPr>
          <w:rFonts w:ascii="Calibri" w:hAnsi="Calibri" w:cs="Calibri"/>
          <w:color w:val="222222"/>
        </w:rPr>
        <w:t xml:space="preserve">. </w:t>
      </w:r>
      <w:r w:rsidRPr="00A0027B">
        <w:rPr>
          <w:rFonts w:ascii="Calibri" w:hAnsi="Calibri" w:cs="Calibri"/>
          <w:b/>
          <w:bCs/>
          <w:color w:val="222222"/>
        </w:rPr>
        <w:t>16</w:t>
      </w:r>
      <w:r w:rsidRPr="00A0027B">
        <w:rPr>
          <w:rFonts w:ascii="Calibri" w:hAnsi="Calibri" w:cs="Calibri"/>
          <w:color w:val="222222"/>
        </w:rPr>
        <w:t xml:space="preserve"> (9), e0256813 (2021).</w:t>
      </w:r>
    </w:p>
    <w:p w14:paraId="2738AB4C" w14:textId="34774ADC" w:rsidR="0075118C"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color w:val="000000"/>
        </w:rPr>
      </w:pPr>
      <w:proofErr w:type="spellStart"/>
      <w:r w:rsidRPr="00A0027B">
        <w:rPr>
          <w:rFonts w:ascii="Calibri" w:hAnsi="Calibri" w:cs="Calibri"/>
          <w:color w:val="222222"/>
        </w:rPr>
        <w:t>Brotons</w:t>
      </w:r>
      <w:proofErr w:type="spellEnd"/>
      <w:r w:rsidRPr="00A0027B">
        <w:rPr>
          <w:rFonts w:ascii="Calibri" w:hAnsi="Calibri" w:cs="Calibri"/>
          <w:color w:val="222222"/>
        </w:rPr>
        <w:t xml:space="preserve">, P. et al. Validation and implementation of a direct RT-qPCR method for rapid screening of SARS-CoV-2 infection by using non-invasive saliva samples. </w:t>
      </w:r>
      <w:r w:rsidRPr="00A0027B">
        <w:rPr>
          <w:rFonts w:ascii="Calibri" w:hAnsi="Calibri" w:cs="Calibri"/>
          <w:i/>
          <w:iCs/>
          <w:color w:val="222222"/>
        </w:rPr>
        <w:t>International Journal of Infectious Diseases</w:t>
      </w:r>
      <w:r w:rsidR="00EB6746">
        <w:rPr>
          <w:rFonts w:ascii="Calibri" w:hAnsi="Calibri" w:cs="Calibri"/>
          <w:i/>
          <w:iCs/>
          <w:color w:val="222222"/>
        </w:rPr>
        <w:t>: IJID: Official Publication of The International Society for Infectious Diseases</w:t>
      </w:r>
      <w:r w:rsidRPr="00A0027B">
        <w:rPr>
          <w:rFonts w:ascii="Calibri" w:hAnsi="Calibri" w:cs="Calibri"/>
          <w:color w:val="222222"/>
        </w:rPr>
        <w:t xml:space="preserve">. </w:t>
      </w:r>
      <w:r w:rsidRPr="00A0027B">
        <w:rPr>
          <w:rFonts w:ascii="Calibri" w:hAnsi="Calibri" w:cs="Calibri"/>
          <w:b/>
          <w:bCs/>
          <w:color w:val="222222"/>
        </w:rPr>
        <w:t>110</w:t>
      </w:r>
      <w:r w:rsidRPr="00A0027B">
        <w:rPr>
          <w:rFonts w:ascii="Calibri" w:hAnsi="Calibri" w:cs="Calibri"/>
          <w:color w:val="222222"/>
        </w:rPr>
        <w:t>, 363</w:t>
      </w:r>
      <w:r w:rsidR="001B0A84">
        <w:rPr>
          <w:rFonts w:ascii="Calibri" w:hAnsi="Calibri" w:cs="Calibri"/>
          <w:color w:val="222222"/>
        </w:rPr>
        <w:t>–3</w:t>
      </w:r>
      <w:r w:rsidRPr="00A0027B">
        <w:rPr>
          <w:rFonts w:ascii="Calibri" w:hAnsi="Calibri" w:cs="Calibri"/>
          <w:color w:val="222222"/>
        </w:rPr>
        <w:t>70 (2021).</w:t>
      </w:r>
    </w:p>
    <w:p w14:paraId="35CC3B41" w14:textId="06F837F6" w:rsidR="00BE22A2" w:rsidRPr="00A0027B" w:rsidRDefault="0075118C" w:rsidP="00D76C89">
      <w:pPr>
        <w:pStyle w:val="NormalWeb"/>
        <w:numPr>
          <w:ilvl w:val="0"/>
          <w:numId w:val="14"/>
        </w:numPr>
        <w:tabs>
          <w:tab w:val="clear" w:pos="720"/>
          <w:tab w:val="num" w:pos="426"/>
        </w:tabs>
        <w:spacing w:before="0" w:beforeAutospacing="0" w:after="0" w:afterAutospacing="0"/>
        <w:ind w:left="0" w:firstLine="0"/>
        <w:jc w:val="both"/>
        <w:textAlignment w:val="baseline"/>
        <w:rPr>
          <w:rFonts w:ascii="Calibri" w:hAnsi="Calibri" w:cs="Calibri"/>
          <w:b/>
          <w:color w:val="808080"/>
        </w:rPr>
      </w:pPr>
      <w:proofErr w:type="spellStart"/>
      <w:r w:rsidRPr="00A0027B">
        <w:rPr>
          <w:rFonts w:ascii="Calibri" w:hAnsi="Calibri" w:cs="Calibri"/>
          <w:color w:val="000000"/>
        </w:rPr>
        <w:t>Batéjat</w:t>
      </w:r>
      <w:proofErr w:type="spellEnd"/>
      <w:r w:rsidRPr="00A0027B">
        <w:rPr>
          <w:rFonts w:ascii="Calibri" w:hAnsi="Calibri" w:cs="Calibri"/>
          <w:color w:val="000000"/>
        </w:rPr>
        <w:t xml:space="preserve">, C., </w:t>
      </w:r>
      <w:proofErr w:type="spellStart"/>
      <w:r w:rsidRPr="00A0027B">
        <w:rPr>
          <w:rFonts w:ascii="Calibri" w:hAnsi="Calibri" w:cs="Calibri"/>
          <w:color w:val="000000"/>
        </w:rPr>
        <w:t>Grassin</w:t>
      </w:r>
      <w:proofErr w:type="spellEnd"/>
      <w:r w:rsidRPr="00A0027B">
        <w:rPr>
          <w:rFonts w:ascii="Calibri" w:hAnsi="Calibri" w:cs="Calibri"/>
          <w:color w:val="000000"/>
        </w:rPr>
        <w:t xml:space="preserve">, Q., </w:t>
      </w:r>
      <w:proofErr w:type="spellStart"/>
      <w:r w:rsidRPr="00A0027B">
        <w:rPr>
          <w:rFonts w:ascii="Calibri" w:hAnsi="Calibri" w:cs="Calibri"/>
          <w:color w:val="000000"/>
        </w:rPr>
        <w:t>Manuguerra</w:t>
      </w:r>
      <w:proofErr w:type="spellEnd"/>
      <w:r w:rsidRPr="00A0027B">
        <w:rPr>
          <w:rFonts w:ascii="Calibri" w:hAnsi="Calibri" w:cs="Calibri"/>
          <w:color w:val="000000"/>
        </w:rPr>
        <w:t>, J.C.</w:t>
      </w:r>
      <w:r w:rsidR="00EE25ED">
        <w:rPr>
          <w:rFonts w:ascii="Calibri" w:hAnsi="Calibri" w:cs="Calibri"/>
          <w:color w:val="000000"/>
        </w:rPr>
        <w:t xml:space="preserve">, </w:t>
      </w:r>
      <w:proofErr w:type="spellStart"/>
      <w:r w:rsidR="00EE25ED">
        <w:rPr>
          <w:rFonts w:ascii="Calibri" w:hAnsi="Calibri" w:cs="Calibri"/>
          <w:color w:val="000000"/>
        </w:rPr>
        <w:t>Leclercr</w:t>
      </w:r>
      <w:proofErr w:type="spellEnd"/>
      <w:r w:rsidR="00EE25ED">
        <w:rPr>
          <w:rFonts w:ascii="Calibri" w:hAnsi="Calibri" w:cs="Calibri"/>
          <w:color w:val="000000"/>
        </w:rPr>
        <w:t>, I.</w:t>
      </w:r>
      <w:r w:rsidRPr="00A0027B">
        <w:rPr>
          <w:rFonts w:ascii="Calibri" w:hAnsi="Calibri" w:cs="Calibri"/>
          <w:color w:val="000000"/>
        </w:rPr>
        <w:t xml:space="preserve"> Heat inactivation of the severe acute respiratory syndrome coronavirus 2. </w:t>
      </w:r>
      <w:r w:rsidRPr="00A0027B">
        <w:rPr>
          <w:rFonts w:ascii="Calibri" w:hAnsi="Calibri" w:cs="Calibri"/>
          <w:i/>
          <w:iCs/>
          <w:color w:val="000000"/>
        </w:rPr>
        <w:t xml:space="preserve">Journal of </w:t>
      </w:r>
      <w:r w:rsidR="00EE25ED">
        <w:rPr>
          <w:rFonts w:ascii="Calibri" w:hAnsi="Calibri" w:cs="Calibri"/>
          <w:i/>
          <w:iCs/>
          <w:color w:val="000000"/>
        </w:rPr>
        <w:t>B</w:t>
      </w:r>
      <w:r w:rsidRPr="00A0027B">
        <w:rPr>
          <w:rFonts w:ascii="Calibri" w:hAnsi="Calibri" w:cs="Calibri"/>
          <w:i/>
          <w:iCs/>
          <w:color w:val="000000"/>
        </w:rPr>
        <w:t xml:space="preserve">iosafety and </w:t>
      </w:r>
      <w:r w:rsidR="00EE25ED">
        <w:rPr>
          <w:rFonts w:ascii="Calibri" w:hAnsi="Calibri" w:cs="Calibri"/>
          <w:i/>
          <w:iCs/>
          <w:color w:val="000000"/>
        </w:rPr>
        <w:t>B</w:t>
      </w:r>
      <w:r w:rsidRPr="00A0027B">
        <w:rPr>
          <w:rFonts w:ascii="Calibri" w:hAnsi="Calibri" w:cs="Calibri"/>
          <w:i/>
          <w:iCs/>
          <w:color w:val="000000"/>
        </w:rPr>
        <w:t>iosecurity</w:t>
      </w:r>
      <w:r w:rsidRPr="00A0027B">
        <w:rPr>
          <w:rFonts w:ascii="Calibri" w:hAnsi="Calibri" w:cs="Calibri"/>
          <w:color w:val="000000"/>
        </w:rPr>
        <w:t xml:space="preserve">. </w:t>
      </w:r>
      <w:r w:rsidRPr="00A0027B">
        <w:rPr>
          <w:rFonts w:ascii="Calibri" w:hAnsi="Calibri" w:cs="Calibri"/>
          <w:b/>
          <w:bCs/>
          <w:color w:val="000000"/>
        </w:rPr>
        <w:t>3</w:t>
      </w:r>
      <w:r w:rsidRPr="00A0027B">
        <w:rPr>
          <w:rFonts w:ascii="Calibri" w:hAnsi="Calibri" w:cs="Calibri"/>
          <w:color w:val="000000"/>
        </w:rPr>
        <w:t xml:space="preserve"> (1), 1</w:t>
      </w:r>
      <w:r w:rsidR="00EE25ED">
        <w:rPr>
          <w:rFonts w:ascii="Calibri" w:hAnsi="Calibri" w:cs="Calibri"/>
          <w:color w:val="000000"/>
        </w:rPr>
        <w:t>–</w:t>
      </w:r>
      <w:r w:rsidRPr="00A0027B">
        <w:rPr>
          <w:rFonts w:ascii="Calibri" w:hAnsi="Calibri" w:cs="Calibri"/>
          <w:color w:val="000000"/>
        </w:rPr>
        <w:t>3 (2021).</w:t>
      </w:r>
    </w:p>
    <w:p w14:paraId="4BB2CBEC" w14:textId="318CB069" w:rsidR="003E2441" w:rsidRPr="00A0027B" w:rsidRDefault="003E2441" w:rsidP="00A0027B">
      <w:pPr>
        <w:pStyle w:val="NormalWeb"/>
        <w:spacing w:before="0" w:beforeAutospacing="0" w:after="0" w:afterAutospacing="0"/>
        <w:jc w:val="both"/>
        <w:textAlignment w:val="baseline"/>
        <w:rPr>
          <w:rFonts w:ascii="Calibri" w:hAnsi="Calibri" w:cs="Calibri"/>
          <w:color w:val="000000"/>
        </w:rPr>
      </w:pPr>
    </w:p>
    <w:p w14:paraId="7D5883BB" w14:textId="00B6349E" w:rsidR="003E2441" w:rsidRPr="00A0027B" w:rsidRDefault="003E2441" w:rsidP="00A0027B">
      <w:pPr>
        <w:pStyle w:val="NormalWeb"/>
        <w:spacing w:before="0" w:beforeAutospacing="0" w:after="0" w:afterAutospacing="0"/>
        <w:jc w:val="both"/>
        <w:textAlignment w:val="baseline"/>
        <w:rPr>
          <w:rFonts w:ascii="Calibri" w:hAnsi="Calibri" w:cs="Calibri"/>
          <w:b/>
          <w:color w:val="808080"/>
        </w:rPr>
      </w:pPr>
    </w:p>
    <w:sectPr w:rsidR="003E2441" w:rsidRPr="00A0027B" w:rsidSect="0017477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0EC7" w14:textId="77777777" w:rsidR="007A407A" w:rsidRDefault="007A407A">
      <w:r>
        <w:separator/>
      </w:r>
    </w:p>
  </w:endnote>
  <w:endnote w:type="continuationSeparator" w:id="0">
    <w:p w14:paraId="2C841664" w14:textId="77777777" w:rsidR="007A407A" w:rsidRDefault="007A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7BC5" w14:textId="77777777" w:rsidR="00C51619" w:rsidRDefault="00C51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B466" w14:textId="77777777" w:rsidR="00C51619" w:rsidRDefault="00C51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7A79" w14:textId="77777777" w:rsidR="007A407A" w:rsidRDefault="007A407A">
      <w:r>
        <w:separator/>
      </w:r>
    </w:p>
  </w:footnote>
  <w:footnote w:type="continuationSeparator" w:id="0">
    <w:p w14:paraId="5A9E93BA" w14:textId="77777777" w:rsidR="007A407A" w:rsidRDefault="007A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077507F"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0276C1"/>
    <w:multiLevelType w:val="multilevel"/>
    <w:tmpl w:val="31E46CBA"/>
    <w:lvl w:ilvl="0">
      <w:start w:val="1"/>
      <w:numFmt w:val="decimal"/>
      <w:suff w:val="space"/>
      <w:lvlText w:val="%1."/>
      <w:lvlJc w:val="left"/>
      <w:pPr>
        <w:ind w:left="360" w:hanging="360"/>
      </w:pPr>
      <w:rPr>
        <w:rFonts w:ascii="Calibri" w:hAnsi="Calibri" w:hint="default"/>
        <w:b w:val="0"/>
        <w:bCs w:val="0"/>
        <w:sz w:val="24"/>
      </w:rPr>
    </w:lvl>
    <w:lvl w:ilvl="1">
      <w:start w:val="1"/>
      <w:numFmt w:val="decimal"/>
      <w:suff w:val="space"/>
      <w:lvlText w:val="%1.%2."/>
      <w:lvlJc w:val="left"/>
      <w:pPr>
        <w:ind w:left="792" w:hanging="432"/>
      </w:pPr>
      <w:rPr>
        <w:rFonts w:ascii="Calibri" w:hAnsi="Calibri" w:cstheme="majorHAnsi" w:hint="default"/>
        <w:b w:val="0"/>
        <w:bCs w:val="0"/>
      </w:rPr>
    </w:lvl>
    <w:lvl w:ilvl="2">
      <w:start w:val="1"/>
      <w:numFmt w:val="decimal"/>
      <w:suff w:val="space"/>
      <w:lvlText w:val="%1.%2.%3."/>
      <w:lvlJc w:val="left"/>
      <w:pPr>
        <w:ind w:left="1224" w:hanging="504"/>
      </w:pPr>
      <w:rPr>
        <w:rFonts w:ascii="Calibri" w:hAnsi="Calibri"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5F439E"/>
    <w:multiLevelType w:val="multilevel"/>
    <w:tmpl w:val="42E2539C"/>
    <w:lvl w:ilvl="0">
      <w:start w:val="1"/>
      <w:numFmt w:val="decimal"/>
      <w:lvlText w:val="%1."/>
      <w:lvlJc w:val="left"/>
      <w:pPr>
        <w:tabs>
          <w:tab w:val="num" w:pos="720"/>
        </w:tabs>
        <w:ind w:left="720" w:hanging="360"/>
      </w:pPr>
      <w:rPr>
        <w:rFonts w:asciiTheme="majorHAnsi" w:hAnsiTheme="majorHAnsi" w:cstheme="majorHAnsi" w:hint="default"/>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2"/>
  </w:num>
  <w:num w:numId="4">
    <w:abstractNumId w:val="0"/>
  </w:num>
  <w:num w:numId="5">
    <w:abstractNumId w:val="9"/>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10"/>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zsDQwMzQyNjQ1MTVS0lEKTi0uzszPAykwrAUADz2xEiwAAAA="/>
  </w:docVars>
  <w:rsids>
    <w:rsidRoot w:val="006E4797"/>
    <w:rsid w:val="00004037"/>
    <w:rsid w:val="00004A42"/>
    <w:rsid w:val="00010786"/>
    <w:rsid w:val="00031785"/>
    <w:rsid w:val="000318FE"/>
    <w:rsid w:val="00034D81"/>
    <w:rsid w:val="00040B9D"/>
    <w:rsid w:val="00050780"/>
    <w:rsid w:val="00054199"/>
    <w:rsid w:val="0005574A"/>
    <w:rsid w:val="00057035"/>
    <w:rsid w:val="00057846"/>
    <w:rsid w:val="00057B45"/>
    <w:rsid w:val="00061F75"/>
    <w:rsid w:val="00064692"/>
    <w:rsid w:val="0007709E"/>
    <w:rsid w:val="000816A6"/>
    <w:rsid w:val="00085B6A"/>
    <w:rsid w:val="00087B11"/>
    <w:rsid w:val="000B556D"/>
    <w:rsid w:val="000C2662"/>
    <w:rsid w:val="000C7E2E"/>
    <w:rsid w:val="000E0546"/>
    <w:rsid w:val="000E1F1F"/>
    <w:rsid w:val="000E1FDD"/>
    <w:rsid w:val="000E4559"/>
    <w:rsid w:val="000E4CD6"/>
    <w:rsid w:val="000E77A8"/>
    <w:rsid w:val="00110E79"/>
    <w:rsid w:val="001121E3"/>
    <w:rsid w:val="00112F44"/>
    <w:rsid w:val="00120656"/>
    <w:rsid w:val="00127234"/>
    <w:rsid w:val="00141BE4"/>
    <w:rsid w:val="00141FF0"/>
    <w:rsid w:val="00156EF7"/>
    <w:rsid w:val="00157499"/>
    <w:rsid w:val="0017477A"/>
    <w:rsid w:val="00176A99"/>
    <w:rsid w:val="001A192E"/>
    <w:rsid w:val="001B0A84"/>
    <w:rsid w:val="001D2A9B"/>
    <w:rsid w:val="001D629C"/>
    <w:rsid w:val="001E3F65"/>
    <w:rsid w:val="001E5027"/>
    <w:rsid w:val="001F1960"/>
    <w:rsid w:val="0020156A"/>
    <w:rsid w:val="00201E8C"/>
    <w:rsid w:val="00204947"/>
    <w:rsid w:val="00210BDA"/>
    <w:rsid w:val="00216CBB"/>
    <w:rsid w:val="002268E8"/>
    <w:rsid w:val="00231CB5"/>
    <w:rsid w:val="002370EC"/>
    <w:rsid w:val="00244A37"/>
    <w:rsid w:val="0024501F"/>
    <w:rsid w:val="002503EC"/>
    <w:rsid w:val="00257EE9"/>
    <w:rsid w:val="00263105"/>
    <w:rsid w:val="002728CB"/>
    <w:rsid w:val="00276232"/>
    <w:rsid w:val="00282A87"/>
    <w:rsid w:val="00286BAE"/>
    <w:rsid w:val="00293A17"/>
    <w:rsid w:val="002B48B3"/>
    <w:rsid w:val="002C1E80"/>
    <w:rsid w:val="002C5902"/>
    <w:rsid w:val="002C6067"/>
    <w:rsid w:val="002D3995"/>
    <w:rsid w:val="002D56CE"/>
    <w:rsid w:val="002E4C19"/>
    <w:rsid w:val="002F6C57"/>
    <w:rsid w:val="00306603"/>
    <w:rsid w:val="00314622"/>
    <w:rsid w:val="00317989"/>
    <w:rsid w:val="00333806"/>
    <w:rsid w:val="00351087"/>
    <w:rsid w:val="00370009"/>
    <w:rsid w:val="00375416"/>
    <w:rsid w:val="00375878"/>
    <w:rsid w:val="00385BDF"/>
    <w:rsid w:val="00387ED8"/>
    <w:rsid w:val="00396783"/>
    <w:rsid w:val="003B6D7A"/>
    <w:rsid w:val="003C79DF"/>
    <w:rsid w:val="003C7CD1"/>
    <w:rsid w:val="003D347D"/>
    <w:rsid w:val="003E012F"/>
    <w:rsid w:val="003E2441"/>
    <w:rsid w:val="003F2715"/>
    <w:rsid w:val="003F42F2"/>
    <w:rsid w:val="003F53FB"/>
    <w:rsid w:val="003F543C"/>
    <w:rsid w:val="00401E03"/>
    <w:rsid w:val="00404A0C"/>
    <w:rsid w:val="00405847"/>
    <w:rsid w:val="00417394"/>
    <w:rsid w:val="00417E36"/>
    <w:rsid w:val="004302AA"/>
    <w:rsid w:val="00431B17"/>
    <w:rsid w:val="004354B8"/>
    <w:rsid w:val="004361A9"/>
    <w:rsid w:val="00442B22"/>
    <w:rsid w:val="004475DE"/>
    <w:rsid w:val="004479CC"/>
    <w:rsid w:val="00447F37"/>
    <w:rsid w:val="00451661"/>
    <w:rsid w:val="00452EBE"/>
    <w:rsid w:val="00454C68"/>
    <w:rsid w:val="00474CAC"/>
    <w:rsid w:val="00495938"/>
    <w:rsid w:val="00496053"/>
    <w:rsid w:val="004A31E9"/>
    <w:rsid w:val="004B09DF"/>
    <w:rsid w:val="004B3F4C"/>
    <w:rsid w:val="004C07CC"/>
    <w:rsid w:val="004C2678"/>
    <w:rsid w:val="004C2AFD"/>
    <w:rsid w:val="004C2F70"/>
    <w:rsid w:val="004C3DE6"/>
    <w:rsid w:val="004C3E11"/>
    <w:rsid w:val="004C3F0A"/>
    <w:rsid w:val="004C5716"/>
    <w:rsid w:val="004D0698"/>
    <w:rsid w:val="004D208D"/>
    <w:rsid w:val="004D2D66"/>
    <w:rsid w:val="004F60EC"/>
    <w:rsid w:val="00507E2A"/>
    <w:rsid w:val="005113CF"/>
    <w:rsid w:val="00513609"/>
    <w:rsid w:val="00520BD5"/>
    <w:rsid w:val="00522F7D"/>
    <w:rsid w:val="005243B0"/>
    <w:rsid w:val="00532BEF"/>
    <w:rsid w:val="00534915"/>
    <w:rsid w:val="005407CD"/>
    <w:rsid w:val="00544E75"/>
    <w:rsid w:val="00547E1F"/>
    <w:rsid w:val="00551D82"/>
    <w:rsid w:val="005551B2"/>
    <w:rsid w:val="00555238"/>
    <w:rsid w:val="00560751"/>
    <w:rsid w:val="005637B4"/>
    <w:rsid w:val="005679FA"/>
    <w:rsid w:val="0059007D"/>
    <w:rsid w:val="005909BD"/>
    <w:rsid w:val="005949A0"/>
    <w:rsid w:val="005A42D2"/>
    <w:rsid w:val="005A5A37"/>
    <w:rsid w:val="005B4B6A"/>
    <w:rsid w:val="005B62A8"/>
    <w:rsid w:val="005C1BB7"/>
    <w:rsid w:val="005C59D7"/>
    <w:rsid w:val="005D05CD"/>
    <w:rsid w:val="005D5346"/>
    <w:rsid w:val="005F3928"/>
    <w:rsid w:val="005F6846"/>
    <w:rsid w:val="006031BB"/>
    <w:rsid w:val="00614CD9"/>
    <w:rsid w:val="00614D64"/>
    <w:rsid w:val="00615B13"/>
    <w:rsid w:val="006221A0"/>
    <w:rsid w:val="00622578"/>
    <w:rsid w:val="00626BE5"/>
    <w:rsid w:val="00633EDF"/>
    <w:rsid w:val="006631D8"/>
    <w:rsid w:val="00681D55"/>
    <w:rsid w:val="00690F8E"/>
    <w:rsid w:val="006951E5"/>
    <w:rsid w:val="006A0241"/>
    <w:rsid w:val="006A28A6"/>
    <w:rsid w:val="006B0300"/>
    <w:rsid w:val="006C33C3"/>
    <w:rsid w:val="006C38BA"/>
    <w:rsid w:val="006D3271"/>
    <w:rsid w:val="006D334A"/>
    <w:rsid w:val="006D7DD0"/>
    <w:rsid w:val="006E4797"/>
    <w:rsid w:val="006E48F5"/>
    <w:rsid w:val="006F3013"/>
    <w:rsid w:val="006F3FD9"/>
    <w:rsid w:val="0070129F"/>
    <w:rsid w:val="00703EFD"/>
    <w:rsid w:val="0070444F"/>
    <w:rsid w:val="00706017"/>
    <w:rsid w:val="00706928"/>
    <w:rsid w:val="007122F2"/>
    <w:rsid w:val="007148FB"/>
    <w:rsid w:val="00721136"/>
    <w:rsid w:val="00721C2E"/>
    <w:rsid w:val="00745631"/>
    <w:rsid w:val="0075118C"/>
    <w:rsid w:val="0075354A"/>
    <w:rsid w:val="007561EC"/>
    <w:rsid w:val="007632E9"/>
    <w:rsid w:val="00764A5C"/>
    <w:rsid w:val="00764EE3"/>
    <w:rsid w:val="00785795"/>
    <w:rsid w:val="0079216C"/>
    <w:rsid w:val="00792525"/>
    <w:rsid w:val="00794761"/>
    <w:rsid w:val="0079769D"/>
    <w:rsid w:val="007A3B83"/>
    <w:rsid w:val="007A407A"/>
    <w:rsid w:val="007A7DC9"/>
    <w:rsid w:val="007C1D52"/>
    <w:rsid w:val="007E1779"/>
    <w:rsid w:val="007E1FA3"/>
    <w:rsid w:val="007F0D1E"/>
    <w:rsid w:val="007F6598"/>
    <w:rsid w:val="0081277B"/>
    <w:rsid w:val="00813C58"/>
    <w:rsid w:val="0081494E"/>
    <w:rsid w:val="0081558B"/>
    <w:rsid w:val="0082273C"/>
    <w:rsid w:val="008227B0"/>
    <w:rsid w:val="00825F98"/>
    <w:rsid w:val="00826DF0"/>
    <w:rsid w:val="0083010F"/>
    <w:rsid w:val="00843D67"/>
    <w:rsid w:val="00851BDF"/>
    <w:rsid w:val="00851C3D"/>
    <w:rsid w:val="0085423F"/>
    <w:rsid w:val="00860819"/>
    <w:rsid w:val="00861EB2"/>
    <w:rsid w:val="00864E9D"/>
    <w:rsid w:val="00865B0B"/>
    <w:rsid w:val="00867ACD"/>
    <w:rsid w:val="00882DAD"/>
    <w:rsid w:val="008833AD"/>
    <w:rsid w:val="00890729"/>
    <w:rsid w:val="00896FB9"/>
    <w:rsid w:val="008A6113"/>
    <w:rsid w:val="008B031D"/>
    <w:rsid w:val="008B5394"/>
    <w:rsid w:val="008B7E74"/>
    <w:rsid w:val="008C13A2"/>
    <w:rsid w:val="008D1A71"/>
    <w:rsid w:val="008E63EB"/>
    <w:rsid w:val="008E6F7D"/>
    <w:rsid w:val="008F33AC"/>
    <w:rsid w:val="00907BDF"/>
    <w:rsid w:val="0091270F"/>
    <w:rsid w:val="00916AA5"/>
    <w:rsid w:val="00924319"/>
    <w:rsid w:val="009306DF"/>
    <w:rsid w:val="00933249"/>
    <w:rsid w:val="009478F9"/>
    <w:rsid w:val="00947CA7"/>
    <w:rsid w:val="00962701"/>
    <w:rsid w:val="00964FC9"/>
    <w:rsid w:val="009808E9"/>
    <w:rsid w:val="009A35C5"/>
    <w:rsid w:val="009B1EEA"/>
    <w:rsid w:val="009D3E82"/>
    <w:rsid w:val="009D56D0"/>
    <w:rsid w:val="009E3071"/>
    <w:rsid w:val="009E5FA1"/>
    <w:rsid w:val="009F1273"/>
    <w:rsid w:val="00A0027B"/>
    <w:rsid w:val="00A0096E"/>
    <w:rsid w:val="00A0761B"/>
    <w:rsid w:val="00A10D21"/>
    <w:rsid w:val="00A148C1"/>
    <w:rsid w:val="00A16E95"/>
    <w:rsid w:val="00A21528"/>
    <w:rsid w:val="00A21F21"/>
    <w:rsid w:val="00A35D11"/>
    <w:rsid w:val="00A36D38"/>
    <w:rsid w:val="00A50CB5"/>
    <w:rsid w:val="00A50D47"/>
    <w:rsid w:val="00A639F5"/>
    <w:rsid w:val="00A64CCE"/>
    <w:rsid w:val="00A770DC"/>
    <w:rsid w:val="00A862E9"/>
    <w:rsid w:val="00A87B8C"/>
    <w:rsid w:val="00A943F8"/>
    <w:rsid w:val="00AA4710"/>
    <w:rsid w:val="00AE21CE"/>
    <w:rsid w:val="00AF6D35"/>
    <w:rsid w:val="00B112AC"/>
    <w:rsid w:val="00B20D1B"/>
    <w:rsid w:val="00B323DA"/>
    <w:rsid w:val="00B3727A"/>
    <w:rsid w:val="00B3761D"/>
    <w:rsid w:val="00B37C71"/>
    <w:rsid w:val="00B45F66"/>
    <w:rsid w:val="00B47E72"/>
    <w:rsid w:val="00B54F0C"/>
    <w:rsid w:val="00B6624B"/>
    <w:rsid w:val="00B74AE1"/>
    <w:rsid w:val="00B76A45"/>
    <w:rsid w:val="00B815AA"/>
    <w:rsid w:val="00B829D8"/>
    <w:rsid w:val="00BA07D8"/>
    <w:rsid w:val="00BA1CC2"/>
    <w:rsid w:val="00BA2176"/>
    <w:rsid w:val="00BB45A3"/>
    <w:rsid w:val="00BC0861"/>
    <w:rsid w:val="00BC2979"/>
    <w:rsid w:val="00BE22A2"/>
    <w:rsid w:val="00BE313D"/>
    <w:rsid w:val="00BE4036"/>
    <w:rsid w:val="00BE49A7"/>
    <w:rsid w:val="00BF793F"/>
    <w:rsid w:val="00C01473"/>
    <w:rsid w:val="00C02965"/>
    <w:rsid w:val="00C14F31"/>
    <w:rsid w:val="00C24AA1"/>
    <w:rsid w:val="00C3169F"/>
    <w:rsid w:val="00C31EC6"/>
    <w:rsid w:val="00C31FAB"/>
    <w:rsid w:val="00C5140A"/>
    <w:rsid w:val="00C51619"/>
    <w:rsid w:val="00C55EEF"/>
    <w:rsid w:val="00C56D8E"/>
    <w:rsid w:val="00C672FD"/>
    <w:rsid w:val="00C75849"/>
    <w:rsid w:val="00C7690B"/>
    <w:rsid w:val="00C86783"/>
    <w:rsid w:val="00C9063E"/>
    <w:rsid w:val="00C9065C"/>
    <w:rsid w:val="00C95B12"/>
    <w:rsid w:val="00C96914"/>
    <w:rsid w:val="00CA38FF"/>
    <w:rsid w:val="00CA3DBF"/>
    <w:rsid w:val="00CA6D2A"/>
    <w:rsid w:val="00CB1DDF"/>
    <w:rsid w:val="00CB68CE"/>
    <w:rsid w:val="00CC00F7"/>
    <w:rsid w:val="00CD08FF"/>
    <w:rsid w:val="00CD3E8A"/>
    <w:rsid w:val="00CD4F85"/>
    <w:rsid w:val="00CE0A5B"/>
    <w:rsid w:val="00CE0F37"/>
    <w:rsid w:val="00CE32D5"/>
    <w:rsid w:val="00CE4C8C"/>
    <w:rsid w:val="00CE585F"/>
    <w:rsid w:val="00CF0313"/>
    <w:rsid w:val="00D06CD3"/>
    <w:rsid w:val="00D074F2"/>
    <w:rsid w:val="00D23C10"/>
    <w:rsid w:val="00D242F3"/>
    <w:rsid w:val="00D335C6"/>
    <w:rsid w:val="00D33C82"/>
    <w:rsid w:val="00D34677"/>
    <w:rsid w:val="00D363BE"/>
    <w:rsid w:val="00D37875"/>
    <w:rsid w:val="00D52615"/>
    <w:rsid w:val="00D55C2B"/>
    <w:rsid w:val="00D57974"/>
    <w:rsid w:val="00D57DC7"/>
    <w:rsid w:val="00D61684"/>
    <w:rsid w:val="00D7002C"/>
    <w:rsid w:val="00D74C58"/>
    <w:rsid w:val="00D76731"/>
    <w:rsid w:val="00D76C89"/>
    <w:rsid w:val="00D907DE"/>
    <w:rsid w:val="00D913F4"/>
    <w:rsid w:val="00D93658"/>
    <w:rsid w:val="00D94EB2"/>
    <w:rsid w:val="00D97940"/>
    <w:rsid w:val="00DB26E5"/>
    <w:rsid w:val="00DB66B8"/>
    <w:rsid w:val="00DD4E6A"/>
    <w:rsid w:val="00DD5C98"/>
    <w:rsid w:val="00DE6694"/>
    <w:rsid w:val="00DF6B34"/>
    <w:rsid w:val="00E01596"/>
    <w:rsid w:val="00E11FE9"/>
    <w:rsid w:val="00E26B57"/>
    <w:rsid w:val="00E315DD"/>
    <w:rsid w:val="00E31F13"/>
    <w:rsid w:val="00E34EC0"/>
    <w:rsid w:val="00E42B2D"/>
    <w:rsid w:val="00E521D3"/>
    <w:rsid w:val="00E542F7"/>
    <w:rsid w:val="00E550E4"/>
    <w:rsid w:val="00E61D59"/>
    <w:rsid w:val="00E645F1"/>
    <w:rsid w:val="00E71471"/>
    <w:rsid w:val="00E74616"/>
    <w:rsid w:val="00E86BC3"/>
    <w:rsid w:val="00E870F2"/>
    <w:rsid w:val="00EA4AC2"/>
    <w:rsid w:val="00EA5C3F"/>
    <w:rsid w:val="00EA7FB7"/>
    <w:rsid w:val="00EB1E68"/>
    <w:rsid w:val="00EB3AC8"/>
    <w:rsid w:val="00EB6746"/>
    <w:rsid w:val="00ED0C8D"/>
    <w:rsid w:val="00ED0F4C"/>
    <w:rsid w:val="00ED23B6"/>
    <w:rsid w:val="00ED288F"/>
    <w:rsid w:val="00ED36ED"/>
    <w:rsid w:val="00ED47DC"/>
    <w:rsid w:val="00ED5CBA"/>
    <w:rsid w:val="00EE19F9"/>
    <w:rsid w:val="00EE1E4B"/>
    <w:rsid w:val="00EE25ED"/>
    <w:rsid w:val="00EE2E76"/>
    <w:rsid w:val="00EE3A07"/>
    <w:rsid w:val="00EF2A63"/>
    <w:rsid w:val="00EF4E54"/>
    <w:rsid w:val="00EF7D0E"/>
    <w:rsid w:val="00F024DD"/>
    <w:rsid w:val="00F067BA"/>
    <w:rsid w:val="00F13945"/>
    <w:rsid w:val="00F24005"/>
    <w:rsid w:val="00F248AA"/>
    <w:rsid w:val="00F52A02"/>
    <w:rsid w:val="00F54574"/>
    <w:rsid w:val="00F54C2F"/>
    <w:rsid w:val="00F57D3E"/>
    <w:rsid w:val="00F65052"/>
    <w:rsid w:val="00F85D0D"/>
    <w:rsid w:val="00F9280E"/>
    <w:rsid w:val="00F93279"/>
    <w:rsid w:val="00F93ACE"/>
    <w:rsid w:val="00F96F60"/>
    <w:rsid w:val="00FA1C8A"/>
    <w:rsid w:val="00FA689F"/>
    <w:rsid w:val="00FB0F36"/>
    <w:rsid w:val="00FB21A0"/>
    <w:rsid w:val="00FB51DE"/>
    <w:rsid w:val="00FB5E32"/>
    <w:rsid w:val="00FD25BA"/>
    <w:rsid w:val="00FD335E"/>
    <w:rsid w:val="00FE4339"/>
    <w:rsid w:val="00F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table" w:styleId="TableGrid">
    <w:name w:val="Table Grid"/>
    <w:basedOn w:val="TableNormal"/>
    <w:uiPriority w:val="39"/>
    <w:rsid w:val="00FA1C8A"/>
    <w:pPr>
      <w:widowControl/>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4C19"/>
    <w:pPr>
      <w:widowControl/>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uiPriority w:val="34"/>
    <w:qFormat/>
    <w:rsid w:val="002E4C19"/>
    <w:pPr>
      <w:ind w:left="720"/>
      <w:contextualSpacing/>
    </w:pPr>
  </w:style>
  <w:style w:type="paragraph" w:styleId="Revision">
    <w:name w:val="Revision"/>
    <w:hidden/>
    <w:uiPriority w:val="99"/>
    <w:semiHidden/>
    <w:rsid w:val="002C1E80"/>
    <w:pPr>
      <w:widowControl/>
      <w:jc w:val="left"/>
    </w:pPr>
  </w:style>
  <w:style w:type="character" w:styleId="LineNumber">
    <w:name w:val="line number"/>
    <w:basedOn w:val="DefaultParagraphFont"/>
    <w:uiPriority w:val="99"/>
    <w:semiHidden/>
    <w:unhideWhenUsed/>
    <w:rsid w:val="00286BAE"/>
  </w:style>
  <w:style w:type="paragraph" w:styleId="Footer">
    <w:name w:val="footer"/>
    <w:basedOn w:val="Normal"/>
    <w:link w:val="FooterChar"/>
    <w:uiPriority w:val="99"/>
    <w:unhideWhenUsed/>
    <w:rsid w:val="00C51619"/>
    <w:pPr>
      <w:tabs>
        <w:tab w:val="center" w:pos="4513"/>
        <w:tab w:val="right" w:pos="9026"/>
      </w:tabs>
    </w:pPr>
  </w:style>
  <w:style w:type="character" w:customStyle="1" w:styleId="FooterChar">
    <w:name w:val="Footer Char"/>
    <w:basedOn w:val="DefaultParagraphFont"/>
    <w:link w:val="Footer"/>
    <w:uiPriority w:val="99"/>
    <w:rsid w:val="00C51619"/>
  </w:style>
  <w:style w:type="character" w:styleId="CommentReference">
    <w:name w:val="annotation reference"/>
    <w:basedOn w:val="DefaultParagraphFont"/>
    <w:uiPriority w:val="99"/>
    <w:semiHidden/>
    <w:unhideWhenUsed/>
    <w:rsid w:val="00B37C71"/>
    <w:rPr>
      <w:sz w:val="16"/>
      <w:szCs w:val="16"/>
    </w:rPr>
  </w:style>
  <w:style w:type="paragraph" w:styleId="CommentText">
    <w:name w:val="annotation text"/>
    <w:basedOn w:val="Normal"/>
    <w:link w:val="CommentTextChar"/>
    <w:uiPriority w:val="99"/>
    <w:semiHidden/>
    <w:unhideWhenUsed/>
    <w:rsid w:val="00B37C71"/>
    <w:rPr>
      <w:sz w:val="20"/>
      <w:szCs w:val="20"/>
    </w:rPr>
  </w:style>
  <w:style w:type="character" w:customStyle="1" w:styleId="CommentTextChar">
    <w:name w:val="Comment Text Char"/>
    <w:basedOn w:val="DefaultParagraphFont"/>
    <w:link w:val="CommentText"/>
    <w:uiPriority w:val="99"/>
    <w:semiHidden/>
    <w:rsid w:val="00B37C71"/>
    <w:rPr>
      <w:sz w:val="20"/>
      <w:szCs w:val="20"/>
    </w:rPr>
  </w:style>
  <w:style w:type="paragraph" w:styleId="CommentSubject">
    <w:name w:val="annotation subject"/>
    <w:basedOn w:val="CommentText"/>
    <w:next w:val="CommentText"/>
    <w:link w:val="CommentSubjectChar"/>
    <w:uiPriority w:val="99"/>
    <w:semiHidden/>
    <w:unhideWhenUsed/>
    <w:rsid w:val="00B37C71"/>
    <w:rPr>
      <w:b/>
      <w:bCs/>
    </w:rPr>
  </w:style>
  <w:style w:type="character" w:customStyle="1" w:styleId="CommentSubjectChar">
    <w:name w:val="Comment Subject Char"/>
    <w:basedOn w:val="CommentTextChar"/>
    <w:link w:val="CommentSubject"/>
    <w:uiPriority w:val="99"/>
    <w:semiHidden/>
    <w:rsid w:val="00B37C71"/>
    <w:rPr>
      <w:b/>
      <w:bCs/>
      <w:sz w:val="20"/>
      <w:szCs w:val="20"/>
    </w:rPr>
  </w:style>
  <w:style w:type="character" w:styleId="FollowedHyperlink">
    <w:name w:val="FollowedHyperlink"/>
    <w:basedOn w:val="DefaultParagraphFont"/>
    <w:uiPriority w:val="99"/>
    <w:semiHidden/>
    <w:unhideWhenUsed/>
    <w:rsid w:val="00D242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234992">
      <w:bodyDiv w:val="1"/>
      <w:marLeft w:val="0"/>
      <w:marRight w:val="0"/>
      <w:marTop w:val="0"/>
      <w:marBottom w:val="0"/>
      <w:divBdr>
        <w:top w:val="none" w:sz="0" w:space="0" w:color="auto"/>
        <w:left w:val="none" w:sz="0" w:space="0" w:color="auto"/>
        <w:bottom w:val="none" w:sz="0" w:space="0" w:color="auto"/>
        <w:right w:val="none" w:sz="0" w:space="0" w:color="auto"/>
      </w:divBdr>
    </w:div>
    <w:div w:id="905728880">
      <w:bodyDiv w:val="1"/>
      <w:marLeft w:val="0"/>
      <w:marRight w:val="0"/>
      <w:marTop w:val="0"/>
      <w:marBottom w:val="0"/>
      <w:divBdr>
        <w:top w:val="none" w:sz="0" w:space="0" w:color="auto"/>
        <w:left w:val="none" w:sz="0" w:space="0" w:color="auto"/>
        <w:bottom w:val="none" w:sz="0" w:space="0" w:color="auto"/>
        <w:right w:val="none" w:sz="0" w:space="0" w:color="auto"/>
      </w:divBdr>
    </w:div>
    <w:div w:id="919214319">
      <w:bodyDiv w:val="1"/>
      <w:marLeft w:val="0"/>
      <w:marRight w:val="0"/>
      <w:marTop w:val="0"/>
      <w:marBottom w:val="0"/>
      <w:divBdr>
        <w:top w:val="none" w:sz="0" w:space="0" w:color="auto"/>
        <w:left w:val="none" w:sz="0" w:space="0" w:color="auto"/>
        <w:bottom w:val="none" w:sz="0" w:space="0" w:color="auto"/>
        <w:right w:val="none" w:sz="0" w:space="0" w:color="auto"/>
      </w:divBdr>
    </w:div>
    <w:div w:id="1225681353">
      <w:bodyDiv w:val="1"/>
      <w:marLeft w:val="0"/>
      <w:marRight w:val="0"/>
      <w:marTop w:val="0"/>
      <w:marBottom w:val="0"/>
      <w:divBdr>
        <w:top w:val="none" w:sz="0" w:space="0" w:color="auto"/>
        <w:left w:val="none" w:sz="0" w:space="0" w:color="auto"/>
        <w:bottom w:val="none" w:sz="0" w:space="0" w:color="auto"/>
        <w:right w:val="none" w:sz="0" w:space="0" w:color="auto"/>
      </w:divBdr>
    </w:div>
    <w:div w:id="1982341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yminifactory.com/object/3d-print-14136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lab/rt-pcr-panel-primer-prob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dc.gov/coronavirus/2019-ncov/hcp/testing-overview.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s.who.int/iris/handle/10665/3320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6771-A17C-4AF9-8908-6B01492E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6483</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Evelyn Ham</dc:creator>
  <cp:lastModifiedBy>Deepika Mittal</cp:lastModifiedBy>
  <cp:revision>123</cp:revision>
  <dcterms:created xsi:type="dcterms:W3CDTF">2022-01-04T19:03:00Z</dcterms:created>
  <dcterms:modified xsi:type="dcterms:W3CDTF">2022-01-07T09:56:00Z</dcterms:modified>
</cp:coreProperties>
</file>