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Determination of Glucan Chain Length Distribution of Glycogen Using the Fluorophore-Assisted Carbohydrate Electrophoresis (FACE)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L&amp;#233;a Fermont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Nicolas Szydlowski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Christophe Colleoni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University of Lille, CNRS, UMR8576-UGSF-Unit&amp;#233; de Glycobiologie Structurale et Fonctionnelle. F-59000 Lille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University of Lille, CNRS, USR3290-MSAP-Miniaturisation pour la Synth&amp;#232;se, l’Analyse et la Prot&amp;#233;omique. F-59000 Lille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L&amp;#233;a Fermont</w:t>
        <w:tab/>
        <w:tab/>
        <w:tab/>
        <w:t xml:space="preserve">(Lea.fermont@univ-lille.fr</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Nicolas Szydlowski</w:t>
        <w:tab/>
        <w:tab/>
        <w:t xml:space="preserve">(Nicolas.szydlowski@univ-lille.fr</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 Colleoni</w:t>
        <w:tab/>
        <w:tab/>
        <w:t xml:space="preserve">(Christophe.colleoni@univ-lille.fr</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 Colleoni</w:t>
        <w:tab/>
        <w:tab/>
        <w:t xml:space="preserve">(Christophe.colleoni@univ-lille.fr</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Glycogen, FACE, chain length distribution, average chain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protocol, the Fluorophore-Assisted Carbohydrate Electrophoresis (FACE) technique is used to determine the chain length distribution (CLD) and the average chain length (ACL) of glycogen.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Glycogen particles are branched polysaccharides composed of linear chains of glucosyl units linked by &amp;#945;-1,4 glucoside bonds. The latter are attached to each other by &amp;#945;-1,6 glucoside linkages, referred to as branch points. Among the different forms of carbon storage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starch, &amp;#946;-glucan), glycogen is probably one of the oldest and most successful storage polysaccharides found across the living world. Glucan chains are organized so that a large amount of glucose can quickly be stored or fueled in a cell when needed. Numerous complementary techniques have been developed over the last decades to solve the fine structure of glycogen particles. This article describes Fluorophore-Assisted Carbohydrate Electrophoresis (FACE). This method quantifies the population of glucan chains that compose a glycogen particle. Also known as chain length distribution (CLD), this parameter mirrors the particle size and the percentage of branching. It is also an essential requirement for the mathematical modeling of glycogen biosynthesis.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Glycogen, used as carbon and energy storage, is a homopolymer of glucose consisting of linear chains of glucosyl units linked by (1 &amp;#8594; 4)-&amp;#945; bonds and attached through (1 &amp;#8594; 6)-&amp;#945; glycosidic bonds or branching points. They appear as &amp;#946;- and &amp;#945;-particles in the cytosol of a wide range of organisms. &amp;#946;-particles are tiny water-soluble particles mainly observed in prokaryotes. Their diameter ranges from 20-40 nm, likely dictated by the glycogen metabolizing enzymes and steric hindrance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described in animal cells, the larger &amp;#945;-particles display up to 300 nm in diameter with a cauliflower-like shape. This particular organization may originate from the aggregation of several &amp;#946;-particles or may arise by budding out of a single &amp;#946;-particle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Interestingly, a recent study has reported the presence of &amp;#945;-particles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unlike &amp;#945;-particles from animal cells, the latter falls apart quickly during the extraction process, which may explain the lack of data in the literature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appearance of &amp;#945;-particles in eukaryotes and prokaryotes involves phylogenetically unrelated glycogen metabolizing </w:t>
      </w:r>
      <w:r>
        <w:rPr>
          <w:rFonts w:ascii="Calibri" w:hAnsi="Calibri" w:cs="Calibri" w:eastAsia="Calibri"/>
          <w:color w:val="000000"/>
          <w:spacing w:val="0"/>
          <w:position w:val="0"/>
          <w:sz w:val="24"/>
          <w:shd w:fill="auto" w:val="clear"/>
        </w:rPr>
        <w:t xml:space="preserve">enzymes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This </w:t>
      </w:r>
      <w:r>
        <w:rPr>
          <w:rFonts w:ascii="Calibri" w:hAnsi="Calibri" w:cs="Calibri" w:eastAsia="Calibri"/>
          <w:color w:val="auto"/>
          <w:spacing w:val="0"/>
          <w:position w:val="0"/>
          <w:sz w:val="24"/>
          <w:shd w:fill="auto" w:val="clear"/>
        </w:rPr>
        <w:t xml:space="preserve">raises questions regarding the function of such particles and the nature of potential cross-linker agents between &amp;#946;-particles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two opposing mathematical models were proposed for glycogen molecule formation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is generally accepted that &amp;#946;-particles have evolved in response to their metabolic function as a highly efficient fuel reserve for the rapid release of large amounts of glucose. A large body of evidence indicates that glycogen properties such as digestibility and solubility in water are correlated with the average chain length (ACL), which will then dictate the percentage of branching points and the particle size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8,10,11</w:t>
      </w:r>
      <w:r>
        <w:rPr>
          <w:rFonts w:ascii="Calibri" w:hAnsi="Calibri" w:cs="Calibri" w:eastAsia="Calibri"/>
          <w:color w:val="auto"/>
          <w:spacing w:val="0"/>
          <w:position w:val="0"/>
          <w:sz w:val="24"/>
          <w:shd w:fill="auto" w:val="clear"/>
        </w:rPr>
        <w:t xml:space="preserve">. ACL is defined by the ratio between the total number of glucose residues and the number of branching points. Typically, the ACL values vary from 11-14 and 7-23 glucose residues in eukaryotes and prokaryotes, respectively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humans, several glycogen disorder diseases are due to abnormal glycogen accumulation. For instance, Andersen's disease is associated with the deficient activity of a glycogen branching enzyme, resulting in the accumulation of abnormal glycogen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prokaryotes, cumulative studies suggest that ACL is a critical factor impacting the degradation rate of glycogen and bacterial survival ability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It has been reported that bacteria synthesizing &amp;#946;-particles with a low ACL value degrade more slowly and therefore withstand starvation conditions longer. Thus, knowledge of the architecture of &amp;#946;-particles is essential for understanding the formation of abnormal glycogen particles in human glycogen storage diseases and prokaryotes survival in a nutrient-deficient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first isolation of glycogen from dog liver by the French physiologist Claude Bernard in the late nineteenth century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many techniques were developed to characterize glycogen particles in detail. For instance, transmission electron microscopy for glycogen morphology (&amp;#945;- or &amp;#946;-particles)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proton-NMR spectrometry for determining the percentage of &amp;#945;-1,6 linkages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size exclusion chromatography with multi-detectors for inferring the molecular weight, Fluorophore-Assisted Carbohydrate Electrophoresis (FACE)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or High-Performance Anion exchange chromatography with Pulsed Amperometric Detection (HPAEC-PAD) for both chain length distribution (CLD) and ACL determination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focuses on the fluorophore-assisted carbohydrate electrophoresis method, which relies on the reductive amination of the hemiacetal group by primary amine function. Historically, 8-amino-1,3,6-naphthalene trisulfonic acid (ANTS) was first used for labeling. Later, it was replaced by the more sensitive fluorophore, 8-amino 1,3,6 pyrene trisulfonic acid (APTS)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hemiacetal function of the reducing end of a glucan chain interacts with the primary amine of APTS under reducing conditions. The sulfonic groups of APTS carry negative charges that enable the separation of glucan chains according to their degree of polymerization (DP). The reductive amine reaction is highly reproducible and efficient. An average efficiency labeling of 80% is obtained for DP3 to DP135 and up to 88% and 97% for maltose (DP2) and glucose, respectively</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Because one molecule of APTS reacts with the reducing end of each glucan chain, individual chains could be quantified and compared to each other on a molar basis.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Incubation with debranching enzymes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Mix 200 &amp;#181;L of purified glycogen at 0.5-2 mg/mL with 200 &amp;#181;L of 100 mM of acetate buffer (pH 4.8). Add 2 &amp;#181;L of isoamylase (180 U/mg of protein) and 1.5 &amp;#181;L of pullulanase (30 U/mg of protein)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mix gently by pipetting up and down, and incubate at 42 &amp;#176;C for 16 h in a 1.5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Degradation or amylase contamination might occur during the glycogen purification process. To appreciate the presence of free malto-oligosaccharides, samples can be incubated without the debranching enzyme cocktail in parallel. A standard (e.g., maltoheptaose) is included in the analysis to determine the relationship between the elution time and the degree of polymerization.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Stop the reactions by incubating at 95 &amp;#176;C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Centrifuge at 16,100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5 min at room temperature to pellet and remove any insoluble material.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Remove the supernatants using a pipette and transfer them to new annotated tubes. Desalt the supernatants by adding the equivalent of 100 &amp;#181;L of anion/cation exchange resin beads (AG-501-X8,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agitate.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Regularly agitate the beads for 5 min.  Collect the samples by pipetting and place them in new annotated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Freeze-dry or use a vacuum evaporator set up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30 &amp;#176;C to dry the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strike w:val="true"/>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Store dried samples at room temperature or at -20 &amp;#176;C. </w:t>
      </w:r>
    </w:p>
    <w:p>
      <w:pPr>
        <w:spacing w:before="0" w:after="0" w:line="240"/>
        <w:ind w:right="0" w:left="0" w:firstLine="0"/>
        <w:jc w:val="both"/>
        <w:rPr>
          <w:rFonts w:ascii="Calibri" w:hAnsi="Calibri" w:cs="Calibri" w:eastAsia="Calibri"/>
          <w:b/>
          <w:strike w:val="true"/>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samples can be stored for 1 month.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Reductive amination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Mix the dried samples with 2 &amp;#181;L of 1 M sodium cyanoborohydride in tetrahydrofuran (THF) and 2 &amp;#181;L of APTS (5 mg of APTS resuspended in 48 &amp;#181;L of 15% acetic acid)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Incubate at 42 &amp;#176;C for 16 h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Sodium cyanoborohydride is handled with adapted personal protection equipment and under a chemical hood. Inhalation and contact with skin are highly toxic and can be fatal, causing severe skin burns and eye damage. Highly toxic gases can be generated when mixing sodium cyanoborohydride with acetic acid. In contact with water, sodium cyanoborohydride releases flammable gases, which may ignite spontaneously. Concentrated samples are handled under a chemical hood and using adapted personal protection equipment starting from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FACE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Add 46 &amp;#181;L of ultrapure water to each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Dilute the samples directly to 1/50 in micro vials of 100 &amp;#181;L by adding 1 &amp;#181;L of the sample to 49 &amp;#181;L of ultrapure water.  Keep the samples in the dark while setting the FACE (5-10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Perform reverse polarity electrophoresis with a capillary electrophoresis instrument with a laser-induced fluorescence (LIF) detector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Set the polarity to "reverse mode" for separation, set the LIF at 488 nm emission wavelength and the detector at 512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Set the Injection time for 10 s and the injection pressure at 0.5 psi.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Carry out the APTS-labelled-glucans separation at 30 kV in a bare fused silica capillary of 60.2 cm in length with an inner diameter of 50 &amp;#181;m (375 &amp;#181;m outer diameter) in the N-linked carbohydrate separation buffer diluted to 1/3 in ultrapure water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N-linked carbohydrate </w:t>
      </w:r>
      <w:r>
        <w:rPr>
          <w:rFonts w:ascii="Calibri" w:hAnsi="Calibri" w:cs="Calibri" w:eastAsia="Calibri"/>
          <w:color w:val="000000"/>
          <w:spacing w:val="0"/>
          <w:position w:val="0"/>
          <w:sz w:val="24"/>
          <w:shd w:fill="auto" w:val="clear"/>
        </w:rPr>
        <w:t xml:space="preserve">separation buffer is replaced every 20 runs.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DATA processing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Export the ".ASC "and ".CDF "files containing the electropherogram profile and integration data,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Open the </w:t>
      </w:r>
      <w:r>
        <w:rPr>
          <w:rFonts w:ascii="Calibri" w:hAnsi="Calibri" w:cs="Calibri" w:eastAsia="Calibri"/>
          <w:b/>
          <w:color w:val="auto"/>
          <w:spacing w:val="0"/>
          <w:position w:val="0"/>
          <w:sz w:val="24"/>
          <w:shd w:fill="FFFF00" w:val="clear"/>
        </w:rPr>
        <w:t xml:space="preserve">.ASC</w:t>
      </w:r>
      <w:r>
        <w:rPr>
          <w:rFonts w:ascii="Calibri" w:hAnsi="Calibri" w:cs="Calibri" w:eastAsia="Calibri"/>
          <w:color w:val="auto"/>
          <w:spacing w:val="0"/>
          <w:position w:val="0"/>
          <w:sz w:val="24"/>
          <w:shd w:fill="FFFF00" w:val="clear"/>
        </w:rPr>
        <w:t xml:space="preserve"> file and draw the relative fluorescence unit according to the time chart.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Open the </w:t>
      </w:r>
      <w:r>
        <w:rPr>
          <w:rFonts w:ascii="Calibri" w:hAnsi="Calibri" w:cs="Calibri" w:eastAsia="Calibri"/>
          <w:b/>
          <w:color w:val="auto"/>
          <w:spacing w:val="0"/>
          <w:position w:val="0"/>
          <w:sz w:val="24"/>
          <w:shd w:fill="FFFF00" w:val="clear"/>
        </w:rPr>
        <w:t xml:space="preserve">.CDF</w:t>
      </w:r>
      <w:r>
        <w:rPr>
          <w:rFonts w:ascii="Calibri" w:hAnsi="Calibri" w:cs="Calibri" w:eastAsia="Calibri"/>
          <w:color w:val="auto"/>
          <w:spacing w:val="0"/>
          <w:position w:val="0"/>
          <w:sz w:val="24"/>
          <w:shd w:fill="FFFF00" w:val="clear"/>
        </w:rPr>
        <w:t xml:space="preserve"> file, proceed with a first automatic integration and adjust the following parameters: width; valley to valley integration; minimum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Check and correct any improper integration event manually.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Determination of the average chain length of glycogen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represents the workflow required to infer the chain length distribution and the average chain length (ACL) of glycogen.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displays the electropherograms of commercial maltohexaose and debranched bovine liver glycogen. The fluorescence signals observed between 4.13-4.67 min in all experiments originated from the unreacted APTS. The elution time of labeled maltohexaose (DP6) was estimated at 8.49 min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APTS-labelled glucans of bovine glycogen were identified based on the elution time of DP6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No trace of free malto-oligosaccharide was detected in the control sample (glycogen not incubated with debranching enzymes)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can be concluded that the release of APTS-labelled glucan is due to the cleavage of branching points by both isoamylase and pullulanase activities. It should be noticed that the capillary electrophoresis profile can be redrawn in a more appropriate format to create a mosaic figure containing several profiles. To do this, DATA files containing fluorescence values are generated with "asc" extension and opened in the spreadsheet program by choosing CSV (comma-separated value) format. Unfortunately, the exported fluorescence values are not associated with the corresponding elution time. Consequently, they must be manually added according to the acquisition frequency setup on the FACE apparatus (4 Hz means one value acquisition every 0.25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Peak areas were then inferred using the FACE instrument's native application or exported as a DATA file with a "cdf" extension to use another application. The area values are exported in a spreadsheet program and normalized by expressing the DP as a percentage of the total surface area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average chain length (ACL) is inferred by calculating the sum of each percentage chain times the corresponding degree of polymerization. Similar experiments were carried out in triplicate on rabbit liver glycogen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on bovine liver glycogen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and oyster glycogen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chain length distribution of rabbit liver glycogen clearly showed a higher content of short malto-oligosaccharide (DP2) than bovine liver glycogen (DP 7) or oyster glycogen (DP6). As a result, the rabbit liver glycogen possesses the lowest average chain length (ACL = 9.8) compared to bovine liver glycogen (ACL = 11.9) and oyster glycogen (ACL = 12.6). It is to be noted that those commercial glycogens are usually used for assaying the glycogen phosphorylase or glycogen synthase activity. This suggests that the determination of kinetic parameters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glycogen metabolizing enzyme activities will vary according to the source of glycogen.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Subtractive analyses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subtractive analysis is a simple method to compare the glucan chains distribution of two samples. For example, CLDs of glycogen produced by the wildtype (WT)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PCC6803 strain and single isogenic </w:t>
      </w:r>
      <w:r>
        <w:rPr>
          <w:rFonts w:ascii="Calibri" w:hAnsi="Calibri" w:cs="Calibri" w:eastAsia="Calibri"/>
          <w:i/>
          <w:color w:val="auto"/>
          <w:spacing w:val="0"/>
          <w:position w:val="0"/>
          <w:sz w:val="24"/>
          <w:shd w:fill="auto" w:val="clear"/>
        </w:rPr>
        <w:t xml:space="preserve">glgA1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glgA2</w:t>
      </w:r>
      <w:r>
        <w:rPr>
          <w:rFonts w:ascii="Calibri" w:hAnsi="Calibri" w:cs="Calibri" w:eastAsia="Calibri"/>
          <w:color w:val="auto"/>
          <w:spacing w:val="0"/>
          <w:position w:val="0"/>
          <w:sz w:val="24"/>
          <w:shd w:fill="auto" w:val="clear"/>
        </w:rPr>
        <w:t xml:space="preserve"> mutant strains were determined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recall, most cyanobacteria strains possess two genes encoding glycogen synthase activities: GlgA1 and GlgA2</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Both enzymes transfer the residue glucose of ADP-glucose onto the non-reducing ends of linear glucan chains. As depicted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it is challenging to compare samples by only looking at the chain length distribution profiles. The subtractive analysis consists of subtracting the percentage of each DP between samples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The subtractive analysis of %DP of WT minus % of DP </w:t>
      </w:r>
      <w:r>
        <w:rPr>
          <w:rFonts w:ascii="Calibri" w:hAnsi="Calibri" w:cs="Calibri" w:eastAsia="Calibri"/>
          <w:i/>
          <w:color w:val="auto"/>
          <w:spacing w:val="0"/>
          <w:position w:val="0"/>
          <w:sz w:val="24"/>
          <w:shd w:fill="auto" w:val="clear"/>
        </w:rPr>
        <w:t xml:space="preserve">glgA1</w:t>
      </w:r>
      <w:r>
        <w:rPr>
          <w:rFonts w:ascii="Calibri" w:hAnsi="Calibri" w:cs="Calibri" w:eastAsia="Calibri"/>
          <w:color w:val="auto"/>
          <w:spacing w:val="0"/>
          <w:position w:val="0"/>
          <w:sz w:val="24"/>
          <w:shd w:fill="auto" w:val="clear"/>
        </w:rPr>
        <w:t xml:space="preserve"> mutant reveals an excess of DP3, 4, and 5 (negative values) and a decreased content of DP 10-20. In contrast, the subtractive analysis between %DP of WT and % of DP </w:t>
      </w:r>
      <w:r>
        <w:rPr>
          <w:rFonts w:ascii="Calibri" w:hAnsi="Calibri" w:cs="Calibri" w:eastAsia="Calibri"/>
          <w:i/>
          <w:color w:val="auto"/>
          <w:spacing w:val="0"/>
          <w:position w:val="0"/>
          <w:sz w:val="24"/>
          <w:shd w:fill="auto" w:val="clear"/>
        </w:rPr>
        <w:t xml:space="preserve">glgA2</w:t>
      </w:r>
      <w:r>
        <w:rPr>
          <w:rFonts w:ascii="Calibri" w:hAnsi="Calibri" w:cs="Calibri" w:eastAsia="Calibri"/>
          <w:color w:val="auto"/>
          <w:spacing w:val="0"/>
          <w:position w:val="0"/>
          <w:sz w:val="24"/>
          <w:shd w:fill="auto" w:val="clear"/>
        </w:rPr>
        <w:t xml:space="preserve"> mutant indicates an opposite effect. Because the subtractive analysis profiles are different between GlgA1 and GlgA2, this suggests a specific function of each glycogen synthase isoform in glycogen biosynthesis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subtractive analysis is only applicable to experiments that involve a reference sample performed in parallel with the samples. Otherwise, subtractive analysis can be empirical since it lies on the normalized CLD of the reference. In 2015, Deng and collaborators, who investigated stopping mechanisms of glycogen growth in mice and humans, proposed an alternate plotting and interpreting glycogen CLDs to address this issue. This plot uses the maximum peak area to normalize each CLD. The data are then plotted on a logarithmic scale highlighting two components. The latter illustrate two different mechanisms for chain elongation stopping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By drawing lines fitting to the higher DP component, absolute parameters (i.e., slopes and intercepts of the lines) can be used for CLD comparison without normalization to a reference profile. CLDs of the wildtype (WT)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PCC6803 strain and the single isogenic </w:t>
      </w:r>
      <w:r>
        <w:rPr>
          <w:rFonts w:ascii="Calibri" w:hAnsi="Calibri" w:cs="Calibri" w:eastAsia="Calibri"/>
          <w:i/>
          <w:color w:val="auto"/>
          <w:spacing w:val="0"/>
          <w:position w:val="0"/>
          <w:sz w:val="24"/>
          <w:shd w:fill="auto" w:val="clear"/>
        </w:rPr>
        <w:t xml:space="preserve">glgA1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glgA2</w:t>
      </w:r>
      <w:r>
        <w:rPr>
          <w:rFonts w:ascii="Calibri" w:hAnsi="Calibri" w:cs="Calibri" w:eastAsia="Calibri"/>
          <w:color w:val="auto"/>
          <w:spacing w:val="0"/>
          <w:position w:val="0"/>
          <w:sz w:val="24"/>
          <w:shd w:fill="auto" w:val="clear"/>
        </w:rPr>
        <w:t xml:space="preserve"> mutants were plotted on a log scale, and fitting lines were determined for each profile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The first component was highly similar between samples, peaking with a maximum at DP 6. This illustrates that the branching enzyme explicitly produces a maximum of such chains. The second component appeared as a broad shoulder, which was already described for mice and human glycogens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inclination of the second component arose at a higher DP in </w:t>
      </w:r>
      <w:r>
        <w:rPr>
          <w:rFonts w:ascii="Calibri" w:hAnsi="Calibri" w:cs="Calibri" w:eastAsia="Calibri"/>
          <w:i/>
          <w:color w:val="auto"/>
          <w:spacing w:val="0"/>
          <w:position w:val="0"/>
          <w:sz w:val="24"/>
          <w:shd w:fill="auto" w:val="clear"/>
        </w:rPr>
        <w:t xml:space="preserve">glgA1</w:t>
      </w:r>
      <w:r>
        <w:rPr>
          <w:rFonts w:ascii="Calibri" w:hAnsi="Calibri" w:cs="Calibri" w:eastAsia="Calibri"/>
          <w:color w:val="auto"/>
          <w:spacing w:val="0"/>
          <w:position w:val="0"/>
          <w:sz w:val="24"/>
          <w:shd w:fill="auto" w:val="clear"/>
        </w:rPr>
        <w:t xml:space="preserve"> and the slope of the corresponding fitting line (red line) was lower than the wildtype profile. Thus, the lack of GlgA1 slows down the arrest of chain elongation during biosynthesis that was proposed to occur by steric hindrance for mice and human glycogen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These data suggest that the remaining elongating enzyme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GlgA2) produces longer chains before chain crowding. In </w:t>
      </w:r>
      <w:r>
        <w:rPr>
          <w:rFonts w:ascii="Calibri" w:hAnsi="Calibri" w:cs="Calibri" w:eastAsia="Calibri"/>
          <w:i/>
          <w:color w:val="auto"/>
          <w:spacing w:val="0"/>
          <w:position w:val="0"/>
          <w:sz w:val="24"/>
          <w:shd w:fill="auto" w:val="clear"/>
        </w:rPr>
        <w:t xml:space="preserve">glgA2</w:t>
      </w:r>
      <w:r>
        <w:rPr>
          <w:rFonts w:ascii="Calibri" w:hAnsi="Calibri" w:cs="Calibri" w:eastAsia="Calibri"/>
          <w:color w:val="auto"/>
          <w:spacing w:val="0"/>
          <w:position w:val="0"/>
          <w:sz w:val="24"/>
          <w:shd w:fill="auto" w:val="clear"/>
        </w:rPr>
        <w:t xml:space="preserve">, the opposite effect was observed with a more dramatic drop of the fitting line, corroborating that the chains produced by the remaining GlgA1 are overall shorter than those synthesized by GlgA2 alone before steric hindrance. This analysis suggests that both isoforms possess distinct kinetics and/or that their respective concertation with branching enzyme activity differ.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reductive amination reaction with 8-amino 1,3,6 pyrene trisulfonic acid (APTS). </w:t>
      </w:r>
      <w:r>
        <w:rPr>
          <w:rFonts w:ascii="Calibri" w:hAnsi="Calibri" w:cs="Calibri" w:eastAsia="Calibri"/>
          <w:color w:val="auto"/>
          <w:spacing w:val="0"/>
          <w:position w:val="0"/>
          <w:sz w:val="24"/>
          <w:shd w:fill="auto" w:val="clear"/>
        </w:rPr>
        <w:t xml:space="preserve"> Reductive amination reaction of the hemiacetal group by primary amine function of 8-amino 1,3,6 pyrene trisulfonic acid (APTS) under reductive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Workflow to determine the chain length distribution (CLD) and average chain length.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Electropherograms of a standard and bovine liver glycogen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time elution (8.49 min) of a glucan standard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maltohexaose (DP6), was used as a reference to determine the degree of polymerization (DP) of APTS-labelled glucans released from bovine liver glycogen after the action of debranching enzyme activities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inset panel shows a separation of glucan chains up to 44 DP. In parallel, untreated bovine glycogen was labeled with APTS to detect possible traces of free malto-oligosaccharides in sample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Data normalization, chain length distribution, and average chain length value. </w:t>
      </w:r>
      <w:r>
        <w:rPr>
          <w:rFonts w:ascii="Calibri" w:hAnsi="Calibri" w:cs="Calibri" w:eastAsia="Calibri"/>
          <w:color w:val="auto"/>
          <w:spacing w:val="0"/>
          <w:position w:val="0"/>
          <w:sz w:val="24"/>
          <w:shd w:fill="auto" w:val="clear"/>
        </w:rPr>
        <w:t xml:space="preserve">Fluorescence peak areas were imported and normalized in a spreadsheet. The chain length distribution is shown as the percentage of DP for each DP. The average chain length (ACL) is calculated by summing each percentage chain times the corresponding degree of polymerization.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Chain length distribution of commercial glycogen. </w:t>
      </w:r>
      <w:r>
        <w:rPr>
          <w:rFonts w:ascii="Calibri" w:hAnsi="Calibri" w:cs="Calibri" w:eastAsia="Calibri"/>
          <w:color w:val="auto"/>
          <w:spacing w:val="0"/>
          <w:position w:val="0"/>
          <w:sz w:val="24"/>
          <w:shd w:fill="auto" w:val="clear"/>
        </w:rPr>
        <w:t xml:space="preserve">The rabbit liver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bovine liver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oyster glycogen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were incubated in the presence of debranching enzymes (isoamylase and pullulanase). The APTS-labelled glucans were then separated according to their degree of polymerization (DP) using FACE analysis. Maltose (DP2), maltohexaose (DP6) maltoheptaose (DP7) represent the most abundant glucans in rabbit liver, oyster, and bovine liver glycogen, respectively. The Standard Error of Mean (SEM) was inferred from three independent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Comparison of chain length distributions using subtractive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chain length distributions of glycogen purified from cyanobacterial strains: wildtype (WT)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PCC6803 and single isogenic </w:t>
      </w:r>
      <w:r>
        <w:rPr>
          <w:rFonts w:ascii="Calibri" w:hAnsi="Calibri" w:cs="Calibri" w:eastAsia="Calibri"/>
          <w:i/>
          <w:color w:val="auto"/>
          <w:spacing w:val="0"/>
          <w:position w:val="0"/>
          <w:sz w:val="24"/>
          <w:shd w:fill="auto" w:val="clear"/>
        </w:rPr>
        <w:t xml:space="preserve">glgA1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glgA2</w:t>
      </w:r>
      <w:r>
        <w:rPr>
          <w:rFonts w:ascii="Calibri" w:hAnsi="Calibri" w:cs="Calibri" w:eastAsia="Calibri"/>
          <w:color w:val="auto"/>
          <w:spacing w:val="0"/>
          <w:position w:val="0"/>
          <w:sz w:val="24"/>
          <w:shd w:fill="auto" w:val="clear"/>
        </w:rPr>
        <w:t xml:space="preserve"> mutant strains were determined using FACE analysis. The Standard Error of Mean (SEM) was inferred from three independent experiments.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Subtractive analyses were performed by subtracting the % of each DP of WT to the % of each DP of  </w:t>
      </w:r>
      <w:r>
        <w:rPr>
          <w:rFonts w:ascii="Calibri" w:hAnsi="Calibri" w:cs="Calibri" w:eastAsia="Calibri"/>
          <w:i/>
          <w:color w:val="auto"/>
          <w:spacing w:val="0"/>
          <w:position w:val="0"/>
          <w:sz w:val="24"/>
          <w:shd w:fill="auto" w:val="clear"/>
        </w:rPr>
        <w:t xml:space="preserve">glgA1</w:t>
      </w:r>
      <w:r>
        <w:rPr>
          <w:rFonts w:ascii="Calibri" w:hAnsi="Calibri" w:cs="Calibri" w:eastAsia="Calibri"/>
          <w:color w:val="auto"/>
          <w:spacing w:val="0"/>
          <w:position w:val="0"/>
          <w:sz w:val="24"/>
          <w:shd w:fill="auto" w:val="clear"/>
        </w:rPr>
        <w:t xml:space="preserve"> and subtracting the % of each DP of WT to the % of each DP of DP </w:t>
      </w:r>
      <w:r>
        <w:rPr>
          <w:rFonts w:ascii="Calibri" w:hAnsi="Calibri" w:cs="Calibri" w:eastAsia="Calibri"/>
          <w:i/>
          <w:color w:val="auto"/>
          <w:spacing w:val="0"/>
          <w:position w:val="0"/>
          <w:sz w:val="24"/>
          <w:shd w:fill="auto" w:val="clear"/>
        </w:rPr>
        <w:t xml:space="preserve">glgA2</w:t>
      </w:r>
      <w:r>
        <w:rPr>
          <w:rFonts w:ascii="Calibri" w:hAnsi="Calibri" w:cs="Calibri" w:eastAsia="Calibri"/>
          <w:color w:val="auto"/>
          <w:spacing w:val="0"/>
          <w:position w:val="0"/>
          <w:sz w:val="24"/>
          <w:shd w:fill="auto" w:val="clear"/>
        </w:rPr>
        <w:t xml:space="preserve">. This straightforward mathematical manipulation displays the alteration of glucan chains in mutant strains (black lines).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average chain length distributions of glycogen from wildtype and mutants of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were normalized according to the maximum peak observed for each CLD (DP6 for all samples). Two components are evidenced by plotting the normalized CLD on a logarithmic scale (N</w:t>
      </w:r>
      <w:r>
        <w:rPr>
          <w:rFonts w:ascii="Calibri" w:hAnsi="Calibri" w:cs="Calibri" w:eastAsia="Calibri"/>
          <w:color w:val="auto"/>
          <w:spacing w:val="0"/>
          <w:position w:val="0"/>
          <w:sz w:val="24"/>
          <w:shd w:fill="auto" w:val="clear"/>
          <w:vertAlign w:val="subscript"/>
        </w:rPr>
        <w:t xml:space="preserve">de </w:t>
      </w:r>
      <w:r>
        <w:rPr>
          <w:rFonts w:ascii="Calibri" w:hAnsi="Calibri" w:cs="Calibri" w:eastAsia="Calibri"/>
          <w:color w:val="auto"/>
          <w:spacing w:val="0"/>
          <w:position w:val="0"/>
          <w:sz w:val="24"/>
          <w:shd w:fill="auto" w:val="clear"/>
        </w:rPr>
        <w:t xml:space="preserve">(DP)). Each component indicates a different mechanism of growth stoppage (for more information, see Reference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physicochemical properties of glycogen particles (e.g., size, morphology, solubility) are directly associated with the length of glucans composing the particles. Any imbalance between biosynthetic and catabolic enzymes results in the alteration of the chain length distribution and, </w:t>
      </w:r>
      <w:r>
        <w:rPr>
          <w:rFonts w:ascii="Calibri" w:hAnsi="Calibri" w:cs="Calibri" w:eastAsia="Calibri"/>
          <w:i/>
          <w:color w:val="auto"/>
          <w:spacing w:val="0"/>
          <w:position w:val="0"/>
          <w:sz w:val="24"/>
          <w:shd w:fill="auto" w:val="clear"/>
        </w:rPr>
        <w:t xml:space="preserve">per se,</w:t>
      </w:r>
      <w:r>
        <w:rPr>
          <w:rFonts w:ascii="Calibri" w:hAnsi="Calibri" w:cs="Calibri" w:eastAsia="Calibri"/>
          <w:color w:val="auto"/>
          <w:spacing w:val="0"/>
          <w:position w:val="0"/>
          <w:sz w:val="24"/>
          <w:shd w:fill="auto" w:val="clear"/>
        </w:rPr>
        <w:t xml:space="preserve"> the accumulation of abnormal glycogen that can be hazardous for the cell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FACE analysis is a method of choice to determine glycogen's chain length distribution (CLD). As depicted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determination of CLD allows the inference of the average chain length value of glycogen (ACL), which mirrors the structure of glycogen particles. Animal glycogens with high ACL values are associated with the appearance of abnormal particles. The subtractive analysis is a helpful method for comparing two glycogen samples from different genetic backgrounds (mutant versus wildtype). By plotting on a logarithmical scale CLDs normalized to the maximum peak, on the other hand, has the advantage of comparing CLD independently of a reference and gave us information on the growing glycogen mechanism.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FACE analysis is a powerful technique for characterizing the catalytic properties of glycogen metabolizing enzymes. For instance, all glycogen branching enzymes cleave (1 &amp;#8594; 4)-&amp;#945; linkages and transfer oligomaltosyl groups onto a (1 &amp;#8594; 6)-&amp;#945; position or branching points. Branching enzymes are distinguishable due to their affinity for polysaccharides (e.g., amylopectin, glycogen) and the length of transferred glucans despite the similar catalytic mechanism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Thus, various sources of branching enzymes (human, plant, bacteria) can be characterized and classified through a series of incubation experiments and CLD comparisons using FACE analysis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mentioned in the introduction, HPAEC-PAD is also an alternative method for determining the chain length distribution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Both techniques require the complete hydrolysis of (1 &amp;#8594; 6)-&amp;#945; linkages or branching points by isoamylase-type debranching enzymes before separating the pool of linear glucans according to their degree of polymerization (DP). However, the HPAEC-PAD method harbors two disadvantages compared to FACE: (1) the amperometric pulse response decreases as the glucan chains increase, which does not provide quantitative information. This mass bias issue can be circumvented using HPAEC-ENZ-PAD that involves a post-column enzyme reactor between the anion exchange column and PAD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column enzyme reactor hydrolyzes malto-oligosaccharides into glucose residues allowing a constant pulse amperometric response.  (2) The HPAEC-PAD allows the separation of glucan chains with a degree of polymerization up to 70. Although the resolution is enough for determining the CLD of glycogen samples, FACE separates chains with DPs up to 150, suitable for starch samples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is essential to keep in mind that both HPAEC-PAD and FACE analysis have pros and cons. For instance, the amination reaction requires a free hemiacetal group to react with the primary amine function of the APTS. This implies that APTS labeling cannot be used for glucan chains lacking reducing ends (e.g., inulin). The HPAEC-PAD method does not require the presence of reducing ends. A second interesting aspect of the HPAEC-PAD method is that the anion exchange column can be loaded with a few milligrams of linear glucans, allowing the purification of malto-oligosaccharide with a specific DP or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C-radiolabeled malto-oligosaccharide for enzymatic assay</w:t>
      </w:r>
      <w:r>
        <w:rPr>
          <w:rFonts w:ascii="Calibri" w:hAnsi="Calibri" w:cs="Calibri" w:eastAsia="Calibri"/>
          <w:color w:val="auto"/>
          <w:spacing w:val="0"/>
          <w:position w:val="0"/>
          <w:sz w:val="24"/>
          <w:shd w:fill="auto" w:val="clear"/>
          <w:vertAlign w:val="superscript"/>
        </w:rPr>
        <w:t xml:space="preserve">18,25</w:t>
      </w:r>
      <w:r>
        <w:rPr>
          <w:rFonts w:ascii="Calibri" w:hAnsi="Calibri" w:cs="Calibri" w:eastAsia="Calibri"/>
          <w:color w:val="auto"/>
          <w:spacing w:val="0"/>
          <w:position w:val="0"/>
          <w:sz w:val="24"/>
          <w:shd w:fill="auto" w:val="clear"/>
        </w:rPr>
        <w:t xml:space="preserve">. Finally, although mass spectrometry (e.g., MALDI-TOF) is a fast and sensitive technic to determine chain length distribution, this technic appears to be less reproducible. It overestimates the amount of long glucan chains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Nevertheless, the latter can be used for a specific application such as MALDI imaging to map the presence of glycogen across cellular tissue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associated with this work.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CNRS, the Universit&amp;#233; de Lille CNRS, and the ANR grants "MathTest" (ANR-18-CE13-0027).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Konkolewicz, D., Thorn-Seshold, O., Gray-Weale, A. Models for randomly hyperbranched polymers: Theory and simulation. </w:t>
      </w:r>
      <w:r>
        <w:rPr>
          <w:rFonts w:ascii="Calibri" w:hAnsi="Calibri" w:cs="Calibri" w:eastAsia="Calibri"/>
          <w:i/>
          <w:color w:val="auto"/>
          <w:spacing w:val="0"/>
          <w:position w:val="0"/>
          <w:sz w:val="24"/>
          <w:shd w:fill="auto" w:val="clear"/>
        </w:rPr>
        <w:t xml:space="preserve">The Journal of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(5), 054901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Deng, B., Sullivan, M. A., Wu, A. C., Li, J., Chen, C., Gilbert, R. G. The mechanism for stopping chain and total-molecule growth in complex branched polymers, exemplified by glycogen.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1870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Besford, Q. A., Sullivan, M. A., Zheng, L., Gilbert, R. G., Stapleton, D., Gray-Weale, A. The structure of cardiac glycogen in healthy mice. </w:t>
      </w:r>
      <w:r>
        <w:rPr>
          <w:rFonts w:ascii="Calibri" w:hAnsi="Calibri" w:cs="Calibri" w:eastAsia="Calibri"/>
          <w:i/>
          <w:color w:val="auto"/>
          <w:spacing w:val="0"/>
          <w:position w:val="0"/>
          <w:sz w:val="24"/>
          <w:shd w:fill="auto" w:val="clear"/>
        </w:rPr>
        <w:t xml:space="preserve">International Journal of Biological 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 887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Wang,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Molecular structure of glycogen in escherichia coli.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2821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Ball, S., Colleoni, C., Cenci, U., Raj, J. N., Tirtiaux, C. The evolution of glycogen and starch metabolism in eukaryotes gives molecular clues to understand the establishment of plastid endosymbiosis.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(6), 1775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Zhang, P., Nada, S. S., Tan, X., Deng, B., Sullivan, M. A., Gilbert, R. G. Exploring glycogen biosynthesis through Monte Carlo simulation. </w:t>
      </w:r>
      <w:r>
        <w:rPr>
          <w:rFonts w:ascii="Calibri" w:hAnsi="Calibri" w:cs="Calibri" w:eastAsia="Calibri"/>
          <w:i/>
          <w:color w:val="auto"/>
          <w:spacing w:val="0"/>
          <w:position w:val="0"/>
          <w:sz w:val="24"/>
          <w:shd w:fill="auto" w:val="clear"/>
        </w:rPr>
        <w:t xml:space="preserve">International Journal of Biological 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(Cld), 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Melendez-Hevia, E., Waddell, T. G., Shelton, E. D. Optimization of molecular design in the evolution of metabolism: The glycogen molecule.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(2), 477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Mel&amp;#233;ndez, R., Mel&amp;#233;ndez-Hevia, E., Cascante, M. How did glycogen structure evolve to satisfy the requirement for rapid mobilization of glucose? A problem of physical constraints in structure building. </w:t>
      </w:r>
      <w:r>
        <w:rPr>
          <w:rFonts w:ascii="Calibri" w:hAnsi="Calibri" w:cs="Calibri" w:eastAsia="Calibri"/>
          <w:i/>
          <w:color w:val="auto"/>
          <w:spacing w:val="0"/>
          <w:position w:val="0"/>
          <w:sz w:val="24"/>
          <w:shd w:fill="auto" w:val="clear"/>
        </w:rPr>
        <w:t xml:space="preserve">Journal of Molecular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Mel&amp;#233;ndez, R., Mel&amp;#233;ndez-Hevia, E., Canela, E. I. The fractal structure of glycogen: A clever solution to optimize cell metabolism.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(3), 1327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Wang, L., Wise, M. J. Glycogen with short average chain length enhances bacterial durability. </w:t>
      </w:r>
      <w:r>
        <w:rPr>
          <w:rFonts w:ascii="Calibri" w:hAnsi="Calibri" w:cs="Calibri" w:eastAsia="Calibri"/>
          <w:i/>
          <w:color w:val="auto"/>
          <w:spacing w:val="0"/>
          <w:position w:val="0"/>
          <w:sz w:val="24"/>
          <w:shd w:fill="auto" w:val="clear"/>
        </w:rPr>
        <w:t xml:space="preserve">Naturwissenschaften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(9),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Kanungo, S., Wells, K., Tribett, T., El-Gharbawy, A. Glycogen metabolism and glycogen storage disorders. </w:t>
      </w:r>
      <w:r>
        <w:rPr>
          <w:rFonts w:ascii="Calibri" w:hAnsi="Calibri" w:cs="Calibri" w:eastAsia="Calibri"/>
          <w:i/>
          <w:color w:val="auto"/>
          <w:spacing w:val="0"/>
          <w:position w:val="0"/>
          <w:sz w:val="24"/>
          <w:shd w:fill="auto" w:val="clear"/>
        </w:rPr>
        <w:t xml:space="preserve">Annals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(24), 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Wang,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Recent progress in the structure of glycogen serving as a durable energy reserve in bacteria. </w:t>
      </w:r>
      <w:r>
        <w:rPr>
          <w:rFonts w:ascii="Calibri" w:hAnsi="Calibri" w:cs="Calibri" w:eastAsia="Calibri"/>
          <w:i/>
          <w:color w:val="auto"/>
          <w:spacing w:val="0"/>
          <w:position w:val="0"/>
          <w:sz w:val="24"/>
          <w:shd w:fill="auto" w:val="clear"/>
        </w:rPr>
        <w:t xml:space="preserve">World Journal of Microbiology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Wang,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Influence of in situ progressive N-terminal is still controversial truncation of glycogen branching enzyme in Escherichia coli DH5&amp;#945; on glycogen structure, accumulation, and bacterial viability. </w:t>
      </w:r>
      <w:r>
        <w:rPr>
          <w:rFonts w:ascii="Calibri" w:hAnsi="Calibri" w:cs="Calibri" w:eastAsia="Calibri"/>
          <w:i/>
          <w:color w:val="auto"/>
          <w:spacing w:val="0"/>
          <w:position w:val="0"/>
          <w:sz w:val="24"/>
          <w:shd w:fill="auto" w:val="clear"/>
        </w:rPr>
        <w:t xml:space="preserve">BMC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Bernard, C. On the physiological mechanism of sugar formation in the liver. </w:t>
      </w:r>
      <w:r>
        <w:rPr>
          <w:rFonts w:ascii="Calibri" w:hAnsi="Calibri" w:cs="Calibri" w:eastAsia="Calibri"/>
          <w:i/>
          <w:color w:val="auto"/>
          <w:spacing w:val="0"/>
          <w:position w:val="0"/>
          <w:sz w:val="24"/>
          <w:shd w:fill="auto" w:val="clear"/>
        </w:rPr>
        <w:t xml:space="preserve">Proceedings of the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(12), 578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586 (1857).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Liu, Q.-H., Tang, J.-W., Wen, P.-B., Wang, M.-M., Zhang, X., Wang, L. From prokaryotes to eukaryotes: Insights into the molecular structure of glycogen particles. </w:t>
      </w:r>
      <w:r>
        <w:rPr>
          <w:rFonts w:ascii="Calibri" w:hAnsi="Calibri" w:cs="Calibri" w:eastAsia="Calibri"/>
          <w:i/>
          <w:color w:val="auto"/>
          <w:spacing w:val="0"/>
          <w:position w:val="0"/>
          <w:sz w:val="24"/>
          <w:shd w:fill="auto" w:val="clear"/>
        </w:rPr>
        <w:t xml:space="preserve">Frontiers in Molecular Biosciences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673315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Zang, L. H., Rothman, D. L., Shulman, R. G. 1 H NMR visibility of mammalian glycogen in solution.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(5), 1678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O'Shea, M. G., Samuel, M. S., Konik, C. M., Morell, M. K. Fluorophore-assisted carbohydrate electrophoresis (FACE) of oligosaccharides: Efficiency of labelling and high-resolution separation. </w:t>
      </w:r>
      <w:r>
        <w:rPr>
          <w:rFonts w:ascii="Calibri" w:hAnsi="Calibri" w:cs="Calibri" w:eastAsia="Calibri"/>
          <w:i/>
          <w:color w:val="auto"/>
          <w:spacing w:val="0"/>
          <w:position w:val="0"/>
          <w:sz w:val="24"/>
          <w:shd w:fill="auto" w:val="clear"/>
        </w:rPr>
        <w:t xml:space="preserve">Carbohydrate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Koizumi, K., Fukuda, M., Hizukuri, S. Estimation of the distributions of chain length of amylopectins by high-performance liquid chromatography with pulsed amperometric detection.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585</w:t>
      </w:r>
      <w:r>
        <w:rPr>
          <w:rFonts w:ascii="Calibri" w:hAnsi="Calibri" w:cs="Calibri" w:eastAsia="Calibri"/>
          <w:color w:val="auto"/>
          <w:spacing w:val="0"/>
          <w:position w:val="0"/>
          <w:sz w:val="24"/>
          <w:shd w:fill="auto" w:val="clear"/>
        </w:rPr>
        <w:t xml:space="preserve"> (2),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Morell, M. K., Samuel, M. S., Shea, M. G. O. Analysis of starch structure. </w:t>
      </w:r>
      <w:r>
        <w:rPr>
          <w:rFonts w:ascii="Calibri" w:hAnsi="Calibri" w:cs="Calibri" w:eastAsia="Calibri"/>
          <w:i/>
          <w:color w:val="auto"/>
          <w:spacing w:val="0"/>
          <w:position w:val="0"/>
          <w:sz w:val="24"/>
          <w:shd w:fill="auto" w:val="clear"/>
        </w:rPr>
        <w:t xml:space="preserve">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Guttman, A., Chen, F.-T. A., Evangelista, R. A., Cooke, N. High-resolution capillary gel electrophoresis of reducing oligosaccharides labeled with 1-Aminopyrene-3,6,8-trisulfonate.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(2), 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Kadouche,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function of the GlgA2 glycogen/starch synthase in cyanobacterium sp. clg1 highlights convergent evolution of glycogen metabolism into starch granule aggregation.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(3), 1879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Hayashi, M., Suzuki, R., Colleoni, C., Ball, S. G., Fujita, N., Suzuki, E. Bound substrate in the structure of cyanobacterial branching enzyme supports a new mechanistic model.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(13), 5465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Sawada,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Diversity of reaction characteristics of glucan branching enzymes and the fine structure of &amp;#945;-glucan from various sources.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562</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Wong, K. S., Jane, J. Quantitative analysis of debranched amylopectin by HPAEC-PAD with a post-column enzyme reactor. </w:t>
      </w:r>
      <w:r>
        <w:rPr>
          <w:rFonts w:ascii="Calibri" w:hAnsi="Calibri" w:cs="Calibri" w:eastAsia="Calibri"/>
          <w:i/>
          <w:color w:val="auto"/>
          <w:spacing w:val="0"/>
          <w:position w:val="0"/>
          <w:sz w:val="24"/>
          <w:shd w:fill="auto" w:val="clear"/>
        </w:rPr>
        <w:t xml:space="preserve">Journal of Liquid Chromatography &amp;amp; Related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Colleoni,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Biochemical Characterization of the chlamydomonas reinhardtii a-1,4 glucanotransferase supports a direct function in amylopectin biosynthesis.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Broberg, S., Koch, K., Andersson, R., Kenne, L. A comparison between MALDI-TOF mass spectrometry and HPAEC-PAD analysis of debranched starch.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Sun, R.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Brain glycogen serves as a critical glucosamine cache required for protein glycosylation.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 1404-1417.e9 (2021).</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