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6D645" w14:textId="7E49804D" w:rsidR="00EE1A52" w:rsidRDefault="00EE1A52" w:rsidP="003D1733">
      <w:pPr>
        <w:pStyle w:val="ListParagraph"/>
        <w:numPr>
          <w:ilvl w:val="0"/>
          <w:numId w:val="1"/>
        </w:numPr>
        <w:spacing w:line="240" w:lineRule="auto"/>
        <w:ind w:left="0" w:hanging="11"/>
        <w:jc w:val="both"/>
        <w:rPr>
          <w:rFonts w:cstheme="minorHAnsi"/>
          <w:b/>
          <w:color w:val="000000" w:themeColor="text1"/>
          <w:sz w:val="24"/>
          <w:szCs w:val="24"/>
          <w:u w:val="single"/>
        </w:rPr>
      </w:pPr>
      <w:r w:rsidRPr="00A6148A">
        <w:rPr>
          <w:rFonts w:cstheme="minorHAnsi"/>
          <w:b/>
          <w:color w:val="000000" w:themeColor="text1"/>
          <w:sz w:val="24"/>
          <w:szCs w:val="24"/>
          <w:u w:val="single"/>
        </w:rPr>
        <w:t>Fluorescent microscope imaging of microtissues</w:t>
      </w:r>
    </w:p>
    <w:p w14:paraId="64CC0348" w14:textId="77777777" w:rsidR="00A6148A" w:rsidRPr="00A6148A" w:rsidRDefault="00A6148A" w:rsidP="003D1733">
      <w:pPr>
        <w:pStyle w:val="ListParagraph"/>
        <w:spacing w:line="240" w:lineRule="auto"/>
        <w:ind w:left="0" w:hanging="11"/>
        <w:jc w:val="both"/>
        <w:rPr>
          <w:rFonts w:cstheme="minorHAnsi"/>
          <w:b/>
          <w:color w:val="000000" w:themeColor="text1"/>
          <w:sz w:val="24"/>
          <w:szCs w:val="24"/>
          <w:u w:val="single"/>
        </w:rPr>
      </w:pPr>
    </w:p>
    <w:p w14:paraId="2DA6B83D" w14:textId="67B1E5BD" w:rsidR="00A6148A" w:rsidRPr="00A6148A" w:rsidRDefault="00EE1A52" w:rsidP="003D1733">
      <w:pPr>
        <w:pStyle w:val="ListParagraph"/>
        <w:numPr>
          <w:ilvl w:val="1"/>
          <w:numId w:val="1"/>
        </w:numPr>
        <w:spacing w:line="240" w:lineRule="auto"/>
        <w:ind w:left="0" w:hanging="11"/>
        <w:jc w:val="both"/>
        <w:rPr>
          <w:rFonts w:cstheme="minorHAnsi"/>
          <w:color w:val="000000" w:themeColor="text1"/>
          <w:sz w:val="24"/>
          <w:szCs w:val="24"/>
        </w:rPr>
      </w:pPr>
      <w:r w:rsidRPr="00A6148A">
        <w:rPr>
          <w:rFonts w:cstheme="minorHAnsi"/>
          <w:color w:val="000000" w:themeColor="text1"/>
          <w:sz w:val="24"/>
          <w:szCs w:val="24"/>
        </w:rPr>
        <w:t xml:space="preserve">To </w:t>
      </w:r>
      <w:r w:rsidR="00A6148A" w:rsidRPr="00A6148A">
        <w:rPr>
          <w:rFonts w:cstheme="minorHAnsi"/>
          <w:color w:val="000000" w:themeColor="text1"/>
          <w:sz w:val="24"/>
          <w:szCs w:val="24"/>
        </w:rPr>
        <w:t>visualize</w:t>
      </w:r>
      <w:r w:rsidRPr="00A6148A">
        <w:rPr>
          <w:rFonts w:cstheme="minorHAnsi"/>
          <w:color w:val="000000" w:themeColor="text1"/>
          <w:sz w:val="24"/>
          <w:szCs w:val="24"/>
        </w:rPr>
        <w:t xml:space="preserve"> HK in the microtissues</w:t>
      </w:r>
      <w:r w:rsidR="004A6184" w:rsidRPr="00A6148A">
        <w:rPr>
          <w:rFonts w:cstheme="minorHAnsi"/>
          <w:color w:val="000000" w:themeColor="text1"/>
          <w:sz w:val="24"/>
          <w:szCs w:val="24"/>
        </w:rPr>
        <w:t>,</w:t>
      </w:r>
      <w:r w:rsidRPr="00A6148A">
        <w:rPr>
          <w:rFonts w:cstheme="minorHAnsi"/>
          <w:color w:val="000000" w:themeColor="text1"/>
          <w:sz w:val="24"/>
          <w:szCs w:val="24"/>
        </w:rPr>
        <w:t xml:space="preserve"> cell</w:t>
      </w:r>
      <w:r w:rsidR="00892A27" w:rsidRPr="00A6148A">
        <w:rPr>
          <w:rFonts w:cstheme="minorHAnsi"/>
          <w:color w:val="000000" w:themeColor="text1"/>
          <w:sz w:val="24"/>
          <w:szCs w:val="24"/>
        </w:rPr>
        <w:t>s</w:t>
      </w:r>
      <w:r w:rsidRPr="00A6148A">
        <w:rPr>
          <w:rFonts w:cstheme="minorHAnsi"/>
          <w:color w:val="000000" w:themeColor="text1"/>
          <w:sz w:val="24"/>
          <w:szCs w:val="24"/>
        </w:rPr>
        <w:t xml:space="preserve"> were first transduced with</w:t>
      </w:r>
      <w:r w:rsidR="004A6184" w:rsidRPr="00A6148A">
        <w:rPr>
          <w:rFonts w:cstheme="minorHAnsi"/>
          <w:color w:val="000000" w:themeColor="text1"/>
          <w:sz w:val="24"/>
          <w:szCs w:val="24"/>
        </w:rPr>
        <w:t xml:space="preserve"> an</w:t>
      </w:r>
      <w:r w:rsidRPr="00A6148A">
        <w:rPr>
          <w:rFonts w:cstheme="minorHAnsi"/>
          <w:color w:val="000000" w:themeColor="text1"/>
          <w:sz w:val="24"/>
          <w:szCs w:val="24"/>
        </w:rPr>
        <w:t xml:space="preserve"> adenoviral vector</w:t>
      </w:r>
      <w:r w:rsidR="004A6184" w:rsidRPr="00A6148A">
        <w:rPr>
          <w:rFonts w:cstheme="minorHAnsi"/>
          <w:color w:val="000000" w:themeColor="text1"/>
          <w:sz w:val="24"/>
          <w:szCs w:val="24"/>
        </w:rPr>
        <w:t xml:space="preserve"> </w:t>
      </w:r>
      <w:r w:rsidRPr="00A6148A">
        <w:rPr>
          <w:rFonts w:cstheme="minorHAnsi"/>
          <w:color w:val="000000" w:themeColor="text1"/>
          <w:sz w:val="24"/>
          <w:szCs w:val="24"/>
        </w:rPr>
        <w:t xml:space="preserve">expressing </w:t>
      </w:r>
      <w:r w:rsidR="00632BD0" w:rsidRPr="00A6148A">
        <w:rPr>
          <w:rFonts w:cstheme="minorHAnsi"/>
          <w:color w:val="000000" w:themeColor="text1"/>
          <w:sz w:val="24"/>
          <w:szCs w:val="24"/>
        </w:rPr>
        <w:t>GFP</w:t>
      </w:r>
      <w:r w:rsidR="00E960AF">
        <w:rPr>
          <w:rFonts w:cstheme="minorHAnsi"/>
          <w:color w:val="000000" w:themeColor="text1"/>
          <w:sz w:val="24"/>
          <w:szCs w:val="24"/>
        </w:rPr>
        <w:fldChar w:fldCharType="begin" w:fldLock="1"/>
      </w:r>
      <w:r w:rsidR="00680D1D">
        <w:rPr>
          <w:rFonts w:cstheme="minorHAnsi"/>
          <w:color w:val="000000" w:themeColor="text1"/>
          <w:sz w:val="24"/>
          <w:szCs w:val="24"/>
        </w:rPr>
        <w:instrText>ADDIN CSL_CITATION {"citationItems":[{"id":"ITEM-1","itemData":{"DOI":"10.1002/hep4.1450","ISBN":"2471-254X (Electronic) 2471-254X (Linking)","PMID":"31909357","abstract":"Nonalcoholic steatohepatitis (NASH) is the most severe form of nonalcoholic fatty liver disease (NAFLD), which to date has no approved drug treatments. There is an urgent need for better understanding of the genetic and molecular pathways that underlie NAFLD/NASH, and currently available preclinical models, be they in vivo or in vitro, do not fully represent key aspects of the human disease state. We have developed a human in vitro co-culture NASH model using primary human hepatocytes, Kupffer cells and hepatic stellate cells, which are cultured together as microtissues in a perfused three-dimensional microphysiological system (MPS). The microtissues were cultured in medium containing free fatty acids for at least 2 weeks, to induce a NASH-like phenotype. The co-culture microtissues within the MPS display a NASH-like phenotype, showing key features of the disease including hepatic fat accumulation, the production of an inflammatory milieu, and the expression of profibrotic markers. Addition of lipopolysaccharide resulted in a more pro-inflammatory milieu. In the model, obeticholic acid ameliorated the NASH phenotype. Microtissues were formed from both wild-type and patatin-like phospholipase domain containing 3 (PNPLA3) I148M mutant hepatic stellate cells. Stellate cells carrying the mutation enhanced the overall disease state of the model and in particular produced a more pro-inflammatory milieu. Conclusion: The MPS model displays a phenotype akin to advanced NAFLD or NASH and has utility as a tool for exploring mechanisms underlying the disease. Furthermore, we demonstrate that in co-culture the PNPLA3 I148M mutation alone can cause hepatic stellate cells to enhance the overall NASH disease phenotype.","author":[{"dropping-particle":"","family":"Kostrzewski","given":"T","non-dropping-particle":"","parse-names":false,"suffix":""},{"dropping-particle":"","family":"Maraver","given":"P","non-dropping-particle":"","parse-names":false,"suffix":""},{"dropping-particle":"","family":"Ouro-Gnao","given":"L","non-dropping-particle":"","parse-names":false,"suffix":""},{"dropping-particle":"","family":"Levi","given":"A","non-dropping-particle":"","parse-names":false,"suffix":""},{"dropping-particle":"","family":"Snow","given":"S","non-dropping-particle":"","parse-names":false,"suffix":""},{"dropping-particle":"","family":"Miedzik","given":"A","non-dropping-particle":"","parse-names":false,"suffix":""},{"dropping-particle":"","family":"Rombouts","given":"K","non-dropping-particle":"","parse-names":false,"suffix":""},{"dropping-particle":"","family":"Hughes","given":"D","non-dropping-particle":"","parse-names":false,"suffix":""}],"container-title":"Hepatol Commun","id":"ITEM-1","issue":"1","issued":{"date-parts":[["2020"]]},"note":"Kostrzewski, Tomasz\nMaraver, Paloma\nOuro-Gnao, Larissa\nLevi, Ana\nSnow, Sophie\nMiedzik, Alina\nRombouts, Krista\nHughes, David\neng\n2020/01/08 06:00\nHepatol Commun. 2019 Nov 13;4(1):77-91. doi: 10.1002/hep4.1450. eCollection 2020 Jan.","page":"77-91","title":"A Microphysiological System for Studying Nonalcoholic Steatohepatitis","type":"article-journal","volume":"4"},"uris":["http://www.mendeley.com/documents/?uuid=20b97ccf-a6f4-4700-bf7b-24ac593e5edf"]}],"mendeley":{"formattedCitation":"&lt;sup&gt;1&lt;/sup&gt;","plainTextFormattedCitation":"1","previouslyFormattedCitation":"&lt;sup&gt;1&lt;/sup&gt;"},"properties":{"noteIndex":0},"schema":"https://github.com/citation-style-language/schema/raw/master/csl-citation.json"}</w:instrText>
      </w:r>
      <w:r w:rsidR="00E960AF">
        <w:rPr>
          <w:rFonts w:cstheme="minorHAnsi"/>
          <w:color w:val="000000" w:themeColor="text1"/>
          <w:sz w:val="24"/>
          <w:szCs w:val="24"/>
        </w:rPr>
        <w:fldChar w:fldCharType="separate"/>
      </w:r>
      <w:r w:rsidR="00E960AF" w:rsidRPr="00E960AF">
        <w:rPr>
          <w:rFonts w:cstheme="minorHAnsi"/>
          <w:noProof/>
          <w:color w:val="000000" w:themeColor="text1"/>
          <w:sz w:val="24"/>
          <w:szCs w:val="24"/>
          <w:vertAlign w:val="superscript"/>
        </w:rPr>
        <w:t>1</w:t>
      </w:r>
      <w:r w:rsidR="00E960AF">
        <w:rPr>
          <w:rFonts w:cstheme="minorHAnsi"/>
          <w:color w:val="000000" w:themeColor="text1"/>
          <w:sz w:val="24"/>
          <w:szCs w:val="24"/>
        </w:rPr>
        <w:fldChar w:fldCharType="end"/>
      </w:r>
      <w:r w:rsidR="00405035" w:rsidRPr="00A6148A">
        <w:rPr>
          <w:rFonts w:cstheme="minorHAnsi"/>
          <w:color w:val="000000" w:themeColor="text1"/>
          <w:sz w:val="24"/>
          <w:szCs w:val="24"/>
        </w:rPr>
        <w:t xml:space="preserve"> (</w:t>
      </w:r>
      <w:r w:rsidRPr="00A6148A">
        <w:rPr>
          <w:rFonts w:cstheme="minorHAnsi"/>
          <w:color w:val="000000" w:themeColor="text1"/>
          <w:sz w:val="24"/>
          <w:szCs w:val="24"/>
        </w:rPr>
        <w:t>Ad-</w:t>
      </w:r>
      <w:proofErr w:type="spellStart"/>
      <w:r w:rsidRPr="00A6148A">
        <w:rPr>
          <w:rFonts w:cstheme="minorHAnsi"/>
          <w:color w:val="000000" w:themeColor="text1"/>
          <w:sz w:val="24"/>
          <w:szCs w:val="24"/>
        </w:rPr>
        <w:t>eGFP</w:t>
      </w:r>
      <w:proofErr w:type="spellEnd"/>
      <w:r w:rsidRPr="00A6148A">
        <w:rPr>
          <w:rFonts w:cstheme="minorHAnsi"/>
          <w:color w:val="000000" w:themeColor="text1"/>
          <w:sz w:val="24"/>
          <w:szCs w:val="24"/>
        </w:rPr>
        <w:t xml:space="preserve"> </w:t>
      </w:r>
      <w:r w:rsidR="00405035" w:rsidRPr="00A6148A">
        <w:rPr>
          <w:rFonts w:cstheme="minorHAnsi"/>
          <w:color w:val="000000" w:themeColor="text1"/>
          <w:sz w:val="24"/>
          <w:szCs w:val="24"/>
        </w:rPr>
        <w:t xml:space="preserve">- </w:t>
      </w:r>
      <w:r w:rsidRPr="00A6148A">
        <w:rPr>
          <w:rFonts w:cstheme="minorHAnsi"/>
          <w:color w:val="000000" w:themeColor="text1"/>
          <w:sz w:val="24"/>
          <w:szCs w:val="24"/>
        </w:rPr>
        <w:t xml:space="preserve">Vector Biolabs) by spinfection. </w:t>
      </w:r>
    </w:p>
    <w:p w14:paraId="68F8ACA4" w14:textId="77777777" w:rsidR="00A6148A" w:rsidRDefault="00A6148A" w:rsidP="003D1733">
      <w:pPr>
        <w:pStyle w:val="ListParagraph"/>
        <w:spacing w:line="240" w:lineRule="auto"/>
        <w:ind w:left="0" w:hanging="11"/>
        <w:jc w:val="both"/>
        <w:rPr>
          <w:rFonts w:cstheme="minorHAnsi"/>
          <w:color w:val="000000" w:themeColor="text1"/>
          <w:sz w:val="24"/>
          <w:szCs w:val="24"/>
        </w:rPr>
      </w:pPr>
    </w:p>
    <w:p w14:paraId="71B66774" w14:textId="77777777" w:rsidR="00A6148A" w:rsidRDefault="00EE1A52" w:rsidP="003D1733">
      <w:pPr>
        <w:pStyle w:val="ListParagraph"/>
        <w:numPr>
          <w:ilvl w:val="1"/>
          <w:numId w:val="1"/>
        </w:numPr>
        <w:spacing w:line="240" w:lineRule="auto"/>
        <w:ind w:left="0" w:hanging="11"/>
        <w:jc w:val="both"/>
        <w:rPr>
          <w:rFonts w:cstheme="minorHAnsi"/>
          <w:color w:val="000000" w:themeColor="text1"/>
          <w:sz w:val="24"/>
          <w:szCs w:val="24"/>
        </w:rPr>
      </w:pPr>
      <w:r w:rsidRPr="00A6148A">
        <w:rPr>
          <w:rFonts w:cstheme="minorHAnsi"/>
          <w:color w:val="000000" w:themeColor="text1"/>
          <w:sz w:val="24"/>
          <w:szCs w:val="24"/>
        </w:rPr>
        <w:t xml:space="preserve">Freshly thawed HK were mixed with Ad-GFP (MOI: 25) and centrifuged at 100 </w:t>
      </w:r>
      <w:r w:rsidRPr="00A6148A">
        <w:rPr>
          <w:rFonts w:cstheme="minorHAnsi"/>
          <w:iCs/>
          <w:color w:val="000000" w:themeColor="text1"/>
          <w:sz w:val="24"/>
          <w:szCs w:val="24"/>
        </w:rPr>
        <w:t>x</w:t>
      </w:r>
      <w:r w:rsidR="00A6148A">
        <w:rPr>
          <w:rFonts w:cstheme="minorHAnsi"/>
          <w:iCs/>
          <w:color w:val="000000" w:themeColor="text1"/>
          <w:sz w:val="24"/>
          <w:szCs w:val="24"/>
        </w:rPr>
        <w:t xml:space="preserve"> </w:t>
      </w:r>
      <w:r w:rsidRPr="00A6148A">
        <w:rPr>
          <w:rFonts w:cstheme="minorHAnsi"/>
          <w:i/>
          <w:color w:val="000000" w:themeColor="text1"/>
          <w:sz w:val="24"/>
          <w:szCs w:val="24"/>
        </w:rPr>
        <w:t>g</w:t>
      </w:r>
      <w:r w:rsidRPr="00A6148A">
        <w:rPr>
          <w:rFonts w:cstheme="minorHAnsi"/>
          <w:color w:val="000000" w:themeColor="text1"/>
          <w:sz w:val="24"/>
          <w:szCs w:val="24"/>
        </w:rPr>
        <w:t>, 4</w:t>
      </w:r>
      <w:r w:rsidR="00A6148A">
        <w:rPr>
          <w:rFonts w:cstheme="minorHAnsi"/>
          <w:color w:val="000000" w:themeColor="text1"/>
          <w:sz w:val="24"/>
          <w:szCs w:val="24"/>
        </w:rPr>
        <w:t xml:space="preserve"> </w:t>
      </w:r>
      <w:r w:rsidRPr="00A6148A">
        <w:rPr>
          <w:rFonts w:cstheme="minorHAnsi"/>
          <w:color w:val="000000" w:themeColor="text1"/>
          <w:sz w:val="24"/>
          <w:szCs w:val="24"/>
        </w:rPr>
        <w:t xml:space="preserve">°C for 50 min. </w:t>
      </w:r>
    </w:p>
    <w:p w14:paraId="7DABC240" w14:textId="77777777" w:rsidR="00A6148A" w:rsidRPr="00A6148A" w:rsidRDefault="00A6148A" w:rsidP="003D1733">
      <w:pPr>
        <w:pStyle w:val="ListParagraph"/>
        <w:ind w:left="0" w:hanging="11"/>
        <w:rPr>
          <w:rFonts w:cstheme="minorHAnsi"/>
          <w:color w:val="000000" w:themeColor="text1"/>
          <w:sz w:val="24"/>
          <w:szCs w:val="24"/>
        </w:rPr>
      </w:pPr>
    </w:p>
    <w:p w14:paraId="4FD13824" w14:textId="77777777" w:rsidR="00A6148A" w:rsidRDefault="00EE1A52" w:rsidP="003D1733">
      <w:pPr>
        <w:pStyle w:val="ListParagraph"/>
        <w:numPr>
          <w:ilvl w:val="1"/>
          <w:numId w:val="1"/>
        </w:numPr>
        <w:spacing w:line="240" w:lineRule="auto"/>
        <w:ind w:left="0" w:hanging="11"/>
        <w:jc w:val="both"/>
        <w:rPr>
          <w:rFonts w:cstheme="minorHAnsi"/>
          <w:color w:val="000000" w:themeColor="text1"/>
          <w:sz w:val="24"/>
          <w:szCs w:val="24"/>
        </w:rPr>
      </w:pPr>
      <w:r w:rsidRPr="00A6148A">
        <w:rPr>
          <w:rFonts w:cstheme="minorHAnsi"/>
          <w:color w:val="000000" w:themeColor="text1"/>
          <w:sz w:val="24"/>
          <w:szCs w:val="24"/>
        </w:rPr>
        <w:t>Cells were washed and then seeded into the MPS</w:t>
      </w:r>
      <w:r w:rsidR="008C303D" w:rsidRPr="00A6148A">
        <w:rPr>
          <w:rFonts w:cstheme="minorHAnsi"/>
          <w:color w:val="000000" w:themeColor="text1"/>
          <w:sz w:val="24"/>
          <w:szCs w:val="24"/>
        </w:rPr>
        <w:t xml:space="preserve"> with PHH</w:t>
      </w:r>
      <w:r w:rsidRPr="00A6148A">
        <w:rPr>
          <w:rFonts w:cstheme="minorHAnsi"/>
          <w:color w:val="000000" w:themeColor="text1"/>
          <w:sz w:val="24"/>
          <w:szCs w:val="24"/>
        </w:rPr>
        <w:t xml:space="preserve">. </w:t>
      </w:r>
    </w:p>
    <w:p w14:paraId="28639BB7" w14:textId="77777777" w:rsidR="00A6148A" w:rsidRPr="00A6148A" w:rsidRDefault="00A6148A" w:rsidP="003D1733">
      <w:pPr>
        <w:pStyle w:val="ListParagraph"/>
        <w:ind w:left="0" w:hanging="11"/>
        <w:rPr>
          <w:rFonts w:cstheme="minorHAnsi"/>
          <w:color w:val="000000" w:themeColor="text1"/>
          <w:sz w:val="24"/>
          <w:szCs w:val="24"/>
        </w:rPr>
      </w:pPr>
    </w:p>
    <w:p w14:paraId="5E5787A5" w14:textId="6374BD4E" w:rsidR="00EC7A45" w:rsidRDefault="00EE1A52" w:rsidP="003D1733">
      <w:pPr>
        <w:pStyle w:val="ListParagraph"/>
        <w:numPr>
          <w:ilvl w:val="1"/>
          <w:numId w:val="1"/>
        </w:numPr>
        <w:spacing w:line="240" w:lineRule="auto"/>
        <w:ind w:left="0" w:hanging="11"/>
        <w:jc w:val="both"/>
        <w:rPr>
          <w:rFonts w:cstheme="minorHAnsi"/>
          <w:color w:val="000000" w:themeColor="text1"/>
          <w:sz w:val="24"/>
          <w:szCs w:val="24"/>
        </w:rPr>
      </w:pPr>
      <w:r w:rsidRPr="00A6148A">
        <w:rPr>
          <w:rFonts w:cstheme="minorHAnsi"/>
          <w:color w:val="000000" w:themeColor="text1"/>
          <w:sz w:val="24"/>
          <w:szCs w:val="24"/>
        </w:rPr>
        <w:t xml:space="preserve">Following culture scaffolds were fixed for 15 min in 4% paraformaldehyde and then washed with PBS before imaging using a Nikon </w:t>
      </w:r>
      <w:proofErr w:type="spellStart"/>
      <w:r w:rsidRPr="00A6148A">
        <w:rPr>
          <w:rFonts w:cstheme="minorHAnsi"/>
          <w:color w:val="000000" w:themeColor="text1"/>
          <w:sz w:val="24"/>
          <w:szCs w:val="24"/>
        </w:rPr>
        <w:t>Ti</w:t>
      </w:r>
      <w:proofErr w:type="spellEnd"/>
      <w:r w:rsidRPr="00A6148A">
        <w:rPr>
          <w:rFonts w:cstheme="minorHAnsi"/>
          <w:color w:val="000000" w:themeColor="text1"/>
          <w:sz w:val="24"/>
          <w:szCs w:val="24"/>
        </w:rPr>
        <w:t xml:space="preserve"> Eclipse fluorescence microscope with FITC filter.</w:t>
      </w:r>
    </w:p>
    <w:p w14:paraId="65654092" w14:textId="77777777" w:rsidR="003D1733" w:rsidRPr="003D1733" w:rsidRDefault="003D1733" w:rsidP="003D1733">
      <w:pPr>
        <w:pStyle w:val="ListParagraph"/>
        <w:rPr>
          <w:rFonts w:cstheme="minorHAnsi"/>
          <w:color w:val="000000" w:themeColor="text1"/>
          <w:sz w:val="24"/>
          <w:szCs w:val="24"/>
        </w:rPr>
      </w:pPr>
    </w:p>
    <w:p w14:paraId="108F52B9" w14:textId="77777777" w:rsidR="003D1733" w:rsidRPr="00A6148A" w:rsidRDefault="003D1733" w:rsidP="003D1733">
      <w:pPr>
        <w:pStyle w:val="ListParagraph"/>
        <w:spacing w:line="240" w:lineRule="auto"/>
        <w:ind w:left="0"/>
        <w:jc w:val="both"/>
        <w:rPr>
          <w:rFonts w:cstheme="minorHAnsi"/>
          <w:color w:val="000000" w:themeColor="text1"/>
          <w:sz w:val="24"/>
          <w:szCs w:val="24"/>
        </w:rPr>
      </w:pPr>
    </w:p>
    <w:p w14:paraId="505FDB92" w14:textId="260DF3EE" w:rsidR="00892A27" w:rsidRDefault="00892A27" w:rsidP="003D1733">
      <w:pPr>
        <w:pStyle w:val="ListParagraph"/>
        <w:numPr>
          <w:ilvl w:val="0"/>
          <w:numId w:val="1"/>
        </w:numPr>
        <w:spacing w:line="240" w:lineRule="auto"/>
        <w:ind w:left="0" w:hanging="11"/>
        <w:jc w:val="both"/>
        <w:rPr>
          <w:b/>
          <w:bCs/>
          <w:sz w:val="24"/>
          <w:szCs w:val="24"/>
          <w:u w:val="single"/>
        </w:rPr>
      </w:pPr>
      <w:r w:rsidRPr="00892A27">
        <w:rPr>
          <w:b/>
          <w:bCs/>
          <w:sz w:val="24"/>
          <w:szCs w:val="24"/>
          <w:u w:val="single"/>
        </w:rPr>
        <w:t>Pre-</w:t>
      </w:r>
      <w:r w:rsidRPr="003D1733">
        <w:rPr>
          <w:rFonts w:cstheme="minorHAnsi"/>
          <w:b/>
          <w:color w:val="000000" w:themeColor="text1"/>
          <w:sz w:val="24"/>
          <w:szCs w:val="24"/>
          <w:u w:val="single"/>
        </w:rPr>
        <w:t>qualification</w:t>
      </w:r>
      <w:r w:rsidRPr="00892A27">
        <w:rPr>
          <w:b/>
          <w:bCs/>
          <w:sz w:val="24"/>
          <w:szCs w:val="24"/>
          <w:u w:val="single"/>
        </w:rPr>
        <w:t xml:space="preserve"> assessment of cells</w:t>
      </w:r>
    </w:p>
    <w:p w14:paraId="0053AC22" w14:textId="77777777" w:rsidR="003D1733" w:rsidRPr="00892A27" w:rsidRDefault="003D1733" w:rsidP="003D1733">
      <w:pPr>
        <w:pStyle w:val="ListParagraph"/>
        <w:spacing w:line="240" w:lineRule="auto"/>
        <w:ind w:left="0"/>
        <w:jc w:val="both"/>
        <w:rPr>
          <w:b/>
          <w:bCs/>
          <w:sz w:val="24"/>
          <w:szCs w:val="24"/>
          <w:u w:val="single"/>
        </w:rPr>
      </w:pPr>
    </w:p>
    <w:p w14:paraId="0877627D" w14:textId="77777777" w:rsidR="00892A27" w:rsidRPr="00892A27" w:rsidRDefault="00892A27" w:rsidP="003D1733">
      <w:pPr>
        <w:pStyle w:val="ListParagraph"/>
        <w:numPr>
          <w:ilvl w:val="1"/>
          <w:numId w:val="1"/>
        </w:numPr>
        <w:spacing w:line="240" w:lineRule="auto"/>
        <w:ind w:left="0" w:hanging="11"/>
        <w:jc w:val="both"/>
        <w:rPr>
          <w:sz w:val="24"/>
          <w:szCs w:val="24"/>
        </w:rPr>
      </w:pPr>
      <w:r w:rsidRPr="003D1733">
        <w:rPr>
          <w:rFonts w:cstheme="minorHAnsi"/>
          <w:color w:val="000000" w:themeColor="text1"/>
          <w:sz w:val="24"/>
          <w:szCs w:val="24"/>
        </w:rPr>
        <w:t>PHHs</w:t>
      </w:r>
      <w:r w:rsidRPr="00892A27">
        <w:rPr>
          <w:sz w:val="24"/>
          <w:szCs w:val="24"/>
        </w:rPr>
        <w:t xml:space="preserve"> are validated in-house following a standardized protocol and are cultured in 3D under flow in LC12 plates for 5 days. Several functional hepatic biomarkers are assayed (LDH, urea, albumin and CYP3A4) at end of experiment, and thresholds set for each in part are: </w:t>
      </w:r>
    </w:p>
    <w:p w14:paraId="6709F7F3" w14:textId="37D36D60" w:rsidR="00892A27" w:rsidRPr="00892A27" w:rsidRDefault="00892A27" w:rsidP="003D1733">
      <w:pPr>
        <w:ind w:hanging="11"/>
        <w:jc w:val="both"/>
        <w:rPr>
          <w:sz w:val="24"/>
          <w:szCs w:val="24"/>
        </w:rPr>
      </w:pPr>
      <w:r w:rsidRPr="00892A27">
        <w:rPr>
          <w:sz w:val="24"/>
          <w:szCs w:val="24"/>
        </w:rPr>
        <w:t>LDH pass &lt;2 × 10</w:t>
      </w:r>
      <w:r w:rsidRPr="00892A27">
        <w:rPr>
          <w:sz w:val="24"/>
          <w:szCs w:val="24"/>
          <w:vertAlign w:val="superscript"/>
        </w:rPr>
        <w:t>6</w:t>
      </w:r>
      <w:r w:rsidRPr="00892A27">
        <w:rPr>
          <w:sz w:val="24"/>
          <w:szCs w:val="24"/>
        </w:rPr>
        <w:t xml:space="preserve"> cells</w:t>
      </w:r>
    </w:p>
    <w:p w14:paraId="047A1B5E" w14:textId="0D3E28E5" w:rsidR="00892A27" w:rsidRPr="00892A27" w:rsidRDefault="00892A27" w:rsidP="003D1733">
      <w:pPr>
        <w:ind w:hanging="11"/>
        <w:jc w:val="both"/>
        <w:rPr>
          <w:sz w:val="24"/>
          <w:szCs w:val="24"/>
        </w:rPr>
      </w:pPr>
      <w:r w:rsidRPr="00892A27">
        <w:rPr>
          <w:sz w:val="24"/>
          <w:szCs w:val="24"/>
        </w:rPr>
        <w:t>Urea pass &gt;40</w:t>
      </w:r>
      <w:r w:rsidRPr="00892A27">
        <w:rPr>
          <w:rFonts w:ascii="Symbol" w:hAnsi="Symbol"/>
          <w:sz w:val="24"/>
          <w:szCs w:val="24"/>
        </w:rPr>
        <w:t></w:t>
      </w:r>
      <w:r w:rsidRPr="00892A27">
        <w:rPr>
          <w:rFonts w:ascii="Symbol" w:hAnsi="Symbol"/>
          <w:sz w:val="24"/>
          <w:szCs w:val="24"/>
        </w:rPr>
        <w:t></w:t>
      </w:r>
      <w:r w:rsidRPr="00892A27">
        <w:rPr>
          <w:sz w:val="24"/>
          <w:szCs w:val="24"/>
        </w:rPr>
        <w:t>g/10</w:t>
      </w:r>
      <w:r w:rsidRPr="00892A27">
        <w:rPr>
          <w:sz w:val="24"/>
          <w:szCs w:val="24"/>
          <w:vertAlign w:val="superscript"/>
        </w:rPr>
        <w:t>6</w:t>
      </w:r>
      <w:r w:rsidRPr="00892A27">
        <w:rPr>
          <w:sz w:val="24"/>
          <w:szCs w:val="24"/>
        </w:rPr>
        <w:t>/day</w:t>
      </w:r>
    </w:p>
    <w:p w14:paraId="5B78A2D0" w14:textId="30FF9DCF" w:rsidR="00892A27" w:rsidRPr="00892A27" w:rsidRDefault="00892A27" w:rsidP="003D1733">
      <w:pPr>
        <w:ind w:hanging="11"/>
        <w:jc w:val="both"/>
        <w:rPr>
          <w:sz w:val="24"/>
          <w:szCs w:val="24"/>
        </w:rPr>
      </w:pPr>
      <w:r w:rsidRPr="00892A27">
        <w:rPr>
          <w:sz w:val="24"/>
          <w:szCs w:val="24"/>
        </w:rPr>
        <w:t xml:space="preserve">Albumin &gt;4 </w:t>
      </w:r>
      <w:r w:rsidRPr="00892A27">
        <w:rPr>
          <w:rFonts w:ascii="Symbol" w:hAnsi="Symbol"/>
          <w:sz w:val="24"/>
          <w:szCs w:val="24"/>
        </w:rPr>
        <w:t></w:t>
      </w:r>
      <w:r w:rsidRPr="00892A27">
        <w:rPr>
          <w:sz w:val="24"/>
          <w:szCs w:val="24"/>
        </w:rPr>
        <w:t>g/10</w:t>
      </w:r>
      <w:r w:rsidRPr="00892A27">
        <w:rPr>
          <w:sz w:val="24"/>
          <w:szCs w:val="24"/>
          <w:vertAlign w:val="superscript"/>
        </w:rPr>
        <w:t>6</w:t>
      </w:r>
      <w:r w:rsidRPr="00892A27">
        <w:rPr>
          <w:sz w:val="24"/>
          <w:szCs w:val="24"/>
        </w:rPr>
        <w:t xml:space="preserve"> cells/day</w:t>
      </w:r>
    </w:p>
    <w:p w14:paraId="3E0AF235" w14:textId="5955C93E" w:rsidR="00892A27" w:rsidRPr="00892A27" w:rsidRDefault="00892A27" w:rsidP="003D1733">
      <w:pPr>
        <w:ind w:hanging="11"/>
        <w:jc w:val="both"/>
        <w:rPr>
          <w:sz w:val="24"/>
          <w:szCs w:val="24"/>
        </w:rPr>
      </w:pPr>
      <w:r w:rsidRPr="00892A27">
        <w:rPr>
          <w:sz w:val="24"/>
          <w:szCs w:val="24"/>
        </w:rPr>
        <w:t xml:space="preserve">CYP3A4 &gt;1.5 </w:t>
      </w:r>
      <w:proofErr w:type="spellStart"/>
      <w:r w:rsidRPr="00892A27">
        <w:rPr>
          <w:sz w:val="24"/>
          <w:szCs w:val="24"/>
        </w:rPr>
        <w:t>pmol</w:t>
      </w:r>
      <w:proofErr w:type="spellEnd"/>
      <w:r w:rsidRPr="00892A27">
        <w:rPr>
          <w:sz w:val="24"/>
          <w:szCs w:val="24"/>
        </w:rPr>
        <w:t>/10</w:t>
      </w:r>
      <w:r w:rsidRPr="00892A27">
        <w:rPr>
          <w:sz w:val="24"/>
          <w:szCs w:val="24"/>
          <w:vertAlign w:val="superscript"/>
        </w:rPr>
        <w:t>6</w:t>
      </w:r>
      <w:r w:rsidRPr="00892A27">
        <w:rPr>
          <w:sz w:val="24"/>
          <w:szCs w:val="24"/>
        </w:rPr>
        <w:t>/min</w:t>
      </w:r>
    </w:p>
    <w:p w14:paraId="44FAC3A1" w14:textId="77777777" w:rsidR="00892A27" w:rsidRPr="00892A27" w:rsidRDefault="00892A27" w:rsidP="003D1733">
      <w:pPr>
        <w:pStyle w:val="ListParagraph"/>
        <w:numPr>
          <w:ilvl w:val="1"/>
          <w:numId w:val="1"/>
        </w:numPr>
        <w:spacing w:line="240" w:lineRule="auto"/>
        <w:ind w:left="0" w:hanging="11"/>
        <w:jc w:val="both"/>
        <w:rPr>
          <w:sz w:val="24"/>
          <w:szCs w:val="24"/>
        </w:rPr>
      </w:pPr>
      <w:r w:rsidRPr="003D1733">
        <w:rPr>
          <w:rFonts w:cstheme="minorHAnsi"/>
          <w:color w:val="000000" w:themeColor="text1"/>
          <w:sz w:val="24"/>
          <w:szCs w:val="24"/>
        </w:rPr>
        <w:t>HKCs cells are pre-validated in-house prior to use in experiments and are co-cultured with</w:t>
      </w:r>
      <w:r w:rsidRPr="00892A27">
        <w:rPr>
          <w:sz w:val="24"/>
          <w:szCs w:val="24"/>
        </w:rPr>
        <w:t xml:space="preserve"> validated in 3D under flow in LC12 plates for 7 days PHHs. HKCs must have low levels of post-thaw activation; this is assessed by measuring biomarkers IL-6 and TNF-alpha. LPS stimulation is also performed; significant difference to stimulation is excepted between monoculture of PHHs and co-cultures.  </w:t>
      </w:r>
    </w:p>
    <w:p w14:paraId="632FD24D" w14:textId="77777777" w:rsidR="00892A27" w:rsidRDefault="00892A27" w:rsidP="00892A27"/>
    <w:p w14:paraId="0BB2AF68" w14:textId="77777777" w:rsidR="00680D1D" w:rsidRDefault="00680D1D" w:rsidP="00892A27"/>
    <w:p w14:paraId="50D4771E" w14:textId="77777777" w:rsidR="00680D1D" w:rsidRDefault="00680D1D" w:rsidP="00892A27"/>
    <w:p w14:paraId="1E2A173B" w14:textId="77777777" w:rsidR="00680D1D" w:rsidRDefault="00680D1D" w:rsidP="00892A27"/>
    <w:p w14:paraId="14880AA5" w14:textId="77777777" w:rsidR="00680D1D" w:rsidRDefault="00680D1D" w:rsidP="00892A27"/>
    <w:p w14:paraId="04A8CCE1" w14:textId="77777777" w:rsidR="00680D1D" w:rsidRDefault="00680D1D" w:rsidP="00680D1D">
      <w:r>
        <w:rPr>
          <w:b/>
        </w:rPr>
        <w:t>REFERENCES:</w:t>
      </w:r>
      <w:r>
        <w:t xml:space="preserve"> </w:t>
      </w:r>
    </w:p>
    <w:p w14:paraId="7A5AE89B" w14:textId="5AD2187B" w:rsidR="00680D1D" w:rsidRPr="00680D1D" w:rsidRDefault="00680D1D" w:rsidP="00680D1D">
      <w:pPr>
        <w:widowControl w:val="0"/>
        <w:autoSpaceDE w:val="0"/>
        <w:autoSpaceDN w:val="0"/>
        <w:adjustRightInd w:val="0"/>
        <w:spacing w:line="240" w:lineRule="auto"/>
        <w:ind w:left="640" w:hanging="640"/>
        <w:rPr>
          <w:rFonts w:ascii="Calibri" w:hAnsi="Calibri" w:cs="Calibri"/>
          <w:noProof/>
        </w:rPr>
      </w:pPr>
      <w:r>
        <w:rPr>
          <w:color w:val="808080"/>
        </w:rPr>
        <w:fldChar w:fldCharType="begin" w:fldLock="1"/>
      </w:r>
      <w:r>
        <w:rPr>
          <w:color w:val="808080"/>
        </w:rPr>
        <w:instrText xml:space="preserve">ADDIN Mendeley Bibliography CSL_BIBLIOGRAPHY </w:instrText>
      </w:r>
      <w:r>
        <w:rPr>
          <w:color w:val="808080"/>
        </w:rPr>
        <w:fldChar w:fldCharType="separate"/>
      </w:r>
      <w:r w:rsidRPr="00680D1D">
        <w:rPr>
          <w:rFonts w:ascii="Calibri" w:hAnsi="Calibri" w:cs="Calibri"/>
          <w:noProof/>
          <w:szCs w:val="24"/>
        </w:rPr>
        <w:t>1.</w:t>
      </w:r>
      <w:r w:rsidRPr="00680D1D">
        <w:rPr>
          <w:rFonts w:ascii="Calibri" w:hAnsi="Calibri" w:cs="Calibri"/>
          <w:noProof/>
          <w:szCs w:val="24"/>
        </w:rPr>
        <w:tab/>
        <w:t xml:space="preserve">Kostrzewski, T. </w:t>
      </w:r>
      <w:r w:rsidRPr="00570489">
        <w:rPr>
          <w:rFonts w:ascii="Calibri" w:hAnsi="Calibri" w:cs="Calibri"/>
          <w:noProof/>
          <w:szCs w:val="24"/>
        </w:rPr>
        <w:t>et al</w:t>
      </w:r>
      <w:r w:rsidRPr="00680D1D">
        <w:rPr>
          <w:rFonts w:ascii="Calibri" w:hAnsi="Calibri" w:cs="Calibri"/>
          <w:i/>
          <w:iCs/>
          <w:noProof/>
          <w:szCs w:val="24"/>
        </w:rPr>
        <w:t>.</w:t>
      </w:r>
      <w:r w:rsidRPr="00680D1D">
        <w:rPr>
          <w:rFonts w:ascii="Calibri" w:hAnsi="Calibri" w:cs="Calibri"/>
          <w:noProof/>
          <w:szCs w:val="24"/>
        </w:rPr>
        <w:t xml:space="preserve"> A </w:t>
      </w:r>
      <w:r w:rsidR="00570489" w:rsidRPr="00680D1D">
        <w:rPr>
          <w:rFonts w:ascii="Calibri" w:hAnsi="Calibri" w:cs="Calibri"/>
          <w:noProof/>
          <w:szCs w:val="24"/>
        </w:rPr>
        <w:t>microphysiological system for studying nonalcoholic steatohepa</w:t>
      </w:r>
      <w:r w:rsidRPr="00680D1D">
        <w:rPr>
          <w:rFonts w:ascii="Calibri" w:hAnsi="Calibri" w:cs="Calibri"/>
          <w:noProof/>
          <w:szCs w:val="24"/>
        </w:rPr>
        <w:t xml:space="preserve">titis. </w:t>
      </w:r>
      <w:r w:rsidR="00570489" w:rsidRPr="00570489">
        <w:rPr>
          <w:rFonts w:ascii="Calibri" w:hAnsi="Calibri" w:cs="Calibri"/>
          <w:i/>
          <w:iCs/>
          <w:noProof/>
          <w:szCs w:val="24"/>
        </w:rPr>
        <w:t>Hepatology Communications</w:t>
      </w:r>
      <w:r w:rsidRPr="00680D1D">
        <w:rPr>
          <w:rFonts w:ascii="Calibri" w:hAnsi="Calibri" w:cs="Calibri"/>
          <w:noProof/>
          <w:szCs w:val="24"/>
        </w:rPr>
        <w:t xml:space="preserve">. </w:t>
      </w:r>
      <w:r w:rsidRPr="00680D1D">
        <w:rPr>
          <w:rFonts w:ascii="Calibri" w:hAnsi="Calibri" w:cs="Calibri"/>
          <w:b/>
          <w:bCs/>
          <w:noProof/>
          <w:szCs w:val="24"/>
        </w:rPr>
        <w:t>4</w:t>
      </w:r>
      <w:r w:rsidRPr="00680D1D">
        <w:rPr>
          <w:rFonts w:ascii="Calibri" w:hAnsi="Calibri" w:cs="Calibri"/>
          <w:noProof/>
          <w:szCs w:val="24"/>
        </w:rPr>
        <w:t xml:space="preserve"> (1), 77–91</w:t>
      </w:r>
      <w:r w:rsidR="00570489">
        <w:rPr>
          <w:rFonts w:ascii="Calibri" w:hAnsi="Calibri" w:cs="Calibri"/>
          <w:noProof/>
          <w:szCs w:val="24"/>
        </w:rPr>
        <w:t xml:space="preserve"> </w:t>
      </w:r>
      <w:r w:rsidRPr="00680D1D">
        <w:rPr>
          <w:rFonts w:ascii="Calibri" w:hAnsi="Calibri" w:cs="Calibri"/>
          <w:noProof/>
          <w:szCs w:val="24"/>
        </w:rPr>
        <w:t>(2020).</w:t>
      </w:r>
    </w:p>
    <w:p w14:paraId="3B670DFF" w14:textId="7F7A29E2" w:rsidR="00680D1D" w:rsidRPr="003A75A0" w:rsidRDefault="00680D1D" w:rsidP="00680D1D">
      <w:pPr>
        <w:rPr>
          <w:color w:val="808080"/>
        </w:rPr>
      </w:pPr>
      <w:r>
        <w:rPr>
          <w:color w:val="808080"/>
        </w:rPr>
        <w:fldChar w:fldCharType="end"/>
      </w:r>
    </w:p>
    <w:p w14:paraId="0B121943" w14:textId="77777777" w:rsidR="00892A27" w:rsidRDefault="00892A27"/>
    <w:sectPr w:rsidR="00892A2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82588"/>
    <w:multiLevelType w:val="multilevel"/>
    <w:tmpl w:val="BBFE9D88"/>
    <w:lvl w:ilvl="0">
      <w:start w:val="1"/>
      <w:numFmt w:val="decimal"/>
      <w:lvlText w:val="%1."/>
      <w:lvlJc w:val="left"/>
      <w:pPr>
        <w:ind w:left="720" w:hanging="360"/>
      </w:pPr>
      <w:rPr>
        <w:rFonts w:asciiTheme="minorHAnsi" w:eastAsiaTheme="minorHAnsi" w:hAnsiTheme="minorHAnsi" w:cstheme="min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srQwMDYzMjAzNjVT0lEKTi0uzszPAykwrAUAQ+bt2SwAAAA="/>
  </w:docVars>
  <w:rsids>
    <w:rsidRoot w:val="3674ACBA"/>
    <w:rsid w:val="000A2223"/>
    <w:rsid w:val="003D1733"/>
    <w:rsid w:val="00405035"/>
    <w:rsid w:val="004A6184"/>
    <w:rsid w:val="00570489"/>
    <w:rsid w:val="00632BD0"/>
    <w:rsid w:val="00680D1D"/>
    <w:rsid w:val="006B01AA"/>
    <w:rsid w:val="007647F4"/>
    <w:rsid w:val="00892A27"/>
    <w:rsid w:val="008C303D"/>
    <w:rsid w:val="00A6148A"/>
    <w:rsid w:val="00C05378"/>
    <w:rsid w:val="00CF7AC6"/>
    <w:rsid w:val="00E12B9D"/>
    <w:rsid w:val="00E960AF"/>
    <w:rsid w:val="00EC7A45"/>
    <w:rsid w:val="00EE1A52"/>
    <w:rsid w:val="3674A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AC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A5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48A"/>
    <w:pPr>
      <w:ind w:left="720"/>
      <w:contextualSpacing/>
    </w:pPr>
  </w:style>
  <w:style w:type="character" w:styleId="CommentReference">
    <w:name w:val="annotation reference"/>
    <w:basedOn w:val="DefaultParagraphFont"/>
    <w:uiPriority w:val="99"/>
    <w:semiHidden/>
    <w:unhideWhenUsed/>
    <w:rsid w:val="00680D1D"/>
    <w:rPr>
      <w:sz w:val="16"/>
      <w:szCs w:val="16"/>
    </w:rPr>
  </w:style>
  <w:style w:type="paragraph" w:styleId="CommentText">
    <w:name w:val="annotation text"/>
    <w:basedOn w:val="Normal"/>
    <w:link w:val="CommentTextChar"/>
    <w:uiPriority w:val="99"/>
    <w:unhideWhenUsed/>
    <w:rsid w:val="00680D1D"/>
    <w:pPr>
      <w:widowControl w:val="0"/>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680D1D"/>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289EEC73E1EA439C85CEA2DBDF53D6" ma:contentTypeVersion="13" ma:contentTypeDescription="Create a new document." ma:contentTypeScope="" ma:versionID="9cfa1d608f399660e9dec3bdb5ad9ad9">
  <xsd:schema xmlns:xsd="http://www.w3.org/2001/XMLSchema" xmlns:xs="http://www.w3.org/2001/XMLSchema" xmlns:p="http://schemas.microsoft.com/office/2006/metadata/properties" xmlns:ns2="fe5b421a-de7e-4887-94dc-1b84d1a43c64" xmlns:ns3="0eafc08e-3fed-4eb2-9a75-586a65d85845" targetNamespace="http://schemas.microsoft.com/office/2006/metadata/properties" ma:root="true" ma:fieldsID="2283f9264d492e85d74f67a968534e0d" ns2:_="" ns3:_="">
    <xsd:import namespace="fe5b421a-de7e-4887-94dc-1b84d1a43c64"/>
    <xsd:import namespace="0eafc08e-3fed-4eb2-9a75-586a65d858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b421a-de7e-4887-94dc-1b84d1a43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afc08e-3fed-4eb2-9a75-586a65d858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743C97-1C47-47C7-9FA0-69AF6D0C7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b421a-de7e-4887-94dc-1b84d1a43c64"/>
    <ds:schemaRef ds:uri="0eafc08e-3fed-4eb2-9a75-586a65d85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B39E5-7C9D-4004-9CB4-7B550BBFF411}">
  <ds:schemaRefs>
    <ds:schemaRef ds:uri="http://schemas.microsoft.com/sharepoint/v3/contenttype/forms"/>
  </ds:schemaRefs>
</ds:datastoreItem>
</file>

<file path=customXml/itemProps3.xml><?xml version="1.0" encoding="utf-8"?>
<ds:datastoreItem xmlns:ds="http://schemas.openxmlformats.org/officeDocument/2006/customXml" ds:itemID="{74CD088D-7558-49F7-B2F2-5A624043182D}">
  <ds:schemaRefs>
    <ds:schemaRef ds:uri="http://schemas.openxmlformats.org/officeDocument/2006/bibliography"/>
  </ds:schemaRefs>
</ds:datastoreItem>
</file>

<file path=customXml/itemProps4.xml><?xml version="1.0" encoding="utf-8"?>
<ds:datastoreItem xmlns:ds="http://schemas.openxmlformats.org/officeDocument/2006/customXml" ds:itemID="{AEB8CA28-EA3E-4549-9842-7D22460465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2021-12-23T15:52:00Z</dcterms:created>
  <dcterms:modified xsi:type="dcterms:W3CDTF">2021-12-23T15:52:00Z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0x0101009D289EEC73E1EA439C85CEA2DBDF53D6</vt:lpwstr>
  </property>
  <property fmtid="{D5CDD505-2E9C-101B-9397-08002B2CF9AE}" pid="3" name="Mendeley Document_1">
    <vt:lpwstr>True</vt:lpwstr>
  </property>
  <property fmtid="{D5CDD505-2E9C-101B-9397-08002B2CF9AE}" pid="4" name="Mendeley Unique User Id_1">
    <vt:lpwstr>302091d9-d19b-30b0-a38f-45938ed35efb</vt:lpwstr>
  </property>
  <property fmtid="{D5CDD505-2E9C-101B-9397-08002B2CF9AE}" pid="5" name="Mendeley Citation Style_1">
    <vt:lpwstr>http://www.zotero.org/styles/journal-of-visualized-experiments</vt:lpwstr>
  </property>
</Properties>
</file>