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6660AA9C" w:rsidR="006E4797" w:rsidRDefault="00551D82">
      <w:pPr>
        <w:pBdr>
          <w:top w:val="nil"/>
          <w:left w:val="nil"/>
          <w:bottom w:val="nil"/>
          <w:right w:val="nil"/>
          <w:between w:val="nil"/>
        </w:pBdr>
        <w:rPr>
          <w:color w:val="000000"/>
        </w:rPr>
      </w:pPr>
      <w:r>
        <w:rPr>
          <w:b/>
          <w:color w:val="000000"/>
        </w:rPr>
        <w:t>TITLE:</w:t>
      </w:r>
      <w:r>
        <w:rPr>
          <w:color w:val="000000"/>
        </w:rPr>
        <w:t xml:space="preserve"> </w:t>
      </w:r>
    </w:p>
    <w:p w14:paraId="1D9A1237" w14:textId="758BE6F1" w:rsidR="00070FAE" w:rsidRPr="00E53D92" w:rsidRDefault="00070FAE">
      <w:r w:rsidRPr="00E53D92">
        <w:t xml:space="preserve">Human </w:t>
      </w:r>
      <w:r w:rsidR="005204C8" w:rsidRPr="00E53D92">
        <w:t xml:space="preserve">Liver Microphysiological System </w:t>
      </w:r>
      <w:r w:rsidRPr="00E53D92">
        <w:t xml:space="preserve">for </w:t>
      </w:r>
      <w:r w:rsidR="004374E6">
        <w:t>Assessing</w:t>
      </w:r>
      <w:r w:rsidR="005204C8" w:rsidRPr="00E53D92">
        <w:t xml:space="preserve"> Drug-Induced Liver Toxicity</w:t>
      </w:r>
      <w:r w:rsidR="005204C8">
        <w:t xml:space="preserve"> </w:t>
      </w:r>
      <w:r w:rsidR="005204C8">
        <w:rPr>
          <w:i/>
          <w:iCs/>
        </w:rPr>
        <w:t>In Vitro</w:t>
      </w:r>
      <w:r w:rsidRPr="00E53D92">
        <w:t xml:space="preserve">. </w:t>
      </w:r>
    </w:p>
    <w:p w14:paraId="7A9973F7" w14:textId="77777777" w:rsidR="00070FAE" w:rsidRDefault="00070FAE">
      <w:pPr>
        <w:rPr>
          <w:color w:val="808080"/>
        </w:rPr>
      </w:pPr>
    </w:p>
    <w:p w14:paraId="2CD8481E" w14:textId="6F8AB923" w:rsidR="006E4797" w:rsidRDefault="00551D82">
      <w:pPr>
        <w:rPr>
          <w:color w:val="808080"/>
        </w:rPr>
      </w:pPr>
      <w:r>
        <w:rPr>
          <w:b/>
        </w:rPr>
        <w:t xml:space="preserve">AUTHORS AND AFFILIATIONS: </w:t>
      </w:r>
    </w:p>
    <w:p w14:paraId="45622122" w14:textId="12DFCD4C" w:rsidR="008A5293" w:rsidRDefault="00E7735C" w:rsidP="001C7AC8">
      <w:r w:rsidRPr="00E53D92">
        <w:t>Ovidiu Novac</w:t>
      </w:r>
      <w:r w:rsidR="008009F0" w:rsidRPr="00E53D92">
        <w:rPr>
          <w:vertAlign w:val="superscript"/>
        </w:rPr>
        <w:t>1</w:t>
      </w:r>
      <w:r w:rsidRPr="00E53D92">
        <w:t xml:space="preserve">, </w:t>
      </w:r>
      <w:r w:rsidR="006A23C5" w:rsidRPr="00E53D92">
        <w:t>Raul Silva</w:t>
      </w:r>
      <w:r w:rsidR="008009F0" w:rsidRPr="00E53D92">
        <w:rPr>
          <w:vertAlign w:val="superscript"/>
        </w:rPr>
        <w:t>1</w:t>
      </w:r>
      <w:r w:rsidR="006A23C5" w:rsidRPr="00E53D92">
        <w:t>, Lucy-May Young</w:t>
      </w:r>
      <w:r w:rsidR="008009F0" w:rsidRPr="00E53D92">
        <w:rPr>
          <w:vertAlign w:val="superscript"/>
        </w:rPr>
        <w:t>1</w:t>
      </w:r>
      <w:r w:rsidR="006A23C5" w:rsidRPr="00E53D92">
        <w:t>, Kim Lachani</w:t>
      </w:r>
      <w:r w:rsidR="008009F0" w:rsidRPr="00E53D92">
        <w:rPr>
          <w:vertAlign w:val="superscript"/>
        </w:rPr>
        <w:t>1</w:t>
      </w:r>
      <w:r w:rsidR="006A23C5" w:rsidRPr="00E53D92">
        <w:t>,</w:t>
      </w:r>
      <w:r w:rsidR="004142B1" w:rsidRPr="00E53D92">
        <w:t xml:space="preserve"> </w:t>
      </w:r>
      <w:r w:rsidR="006A23C5" w:rsidRPr="00E53D92">
        <w:t>David Hughes</w:t>
      </w:r>
      <w:r w:rsidR="008009F0" w:rsidRPr="00E53D92">
        <w:rPr>
          <w:vertAlign w:val="superscript"/>
        </w:rPr>
        <w:t>1</w:t>
      </w:r>
      <w:r w:rsidR="006A23C5" w:rsidRPr="00E53D92">
        <w:t>,</w:t>
      </w:r>
      <w:r w:rsidR="0072422E" w:rsidRPr="00E53D92">
        <w:t xml:space="preserve"> </w:t>
      </w:r>
      <w:r w:rsidR="006A23C5" w:rsidRPr="00E53D92">
        <w:t>Tomasz Kostrzewski</w:t>
      </w:r>
      <w:r w:rsidR="008009F0" w:rsidRPr="00E53D92">
        <w:rPr>
          <w:vertAlign w:val="superscript"/>
        </w:rPr>
        <w:t>1</w:t>
      </w:r>
    </w:p>
    <w:p w14:paraId="56905DB3" w14:textId="77777777" w:rsidR="00000434" w:rsidRPr="00082325" w:rsidRDefault="00000434" w:rsidP="008A5293">
      <w:pPr>
        <w:tabs>
          <w:tab w:val="center" w:pos="4680"/>
        </w:tabs>
        <w:rPr>
          <w:rStyle w:val="Hyperlink"/>
          <w:color w:val="auto"/>
          <w:u w:val="none"/>
        </w:rPr>
      </w:pPr>
    </w:p>
    <w:p w14:paraId="522E33DA" w14:textId="59E871C9" w:rsidR="00C70D4F" w:rsidRPr="00E53D92" w:rsidRDefault="008009F0" w:rsidP="008A5293">
      <w:pPr>
        <w:tabs>
          <w:tab w:val="center" w:pos="4680"/>
        </w:tabs>
      </w:pPr>
      <w:r w:rsidRPr="00E53D92">
        <w:rPr>
          <w:vertAlign w:val="superscript"/>
        </w:rPr>
        <w:t>1</w:t>
      </w:r>
      <w:r w:rsidR="00C70D4F" w:rsidRPr="00E53D92">
        <w:t>CN Bio Innovations Ltd, Science Park, Cambridge, United Kingdom</w:t>
      </w:r>
    </w:p>
    <w:p w14:paraId="141ABDE5" w14:textId="1883512F" w:rsidR="006E4797" w:rsidRDefault="006E4797">
      <w:pPr>
        <w:pBdr>
          <w:top w:val="nil"/>
          <w:left w:val="nil"/>
          <w:bottom w:val="nil"/>
          <w:right w:val="nil"/>
          <w:between w:val="nil"/>
        </w:pBdr>
        <w:rPr>
          <w:color w:val="000000"/>
        </w:rPr>
      </w:pPr>
    </w:p>
    <w:p w14:paraId="00CE27A8" w14:textId="2A1BB369" w:rsidR="005204C8" w:rsidRDefault="005204C8">
      <w:pPr>
        <w:pBdr>
          <w:top w:val="nil"/>
          <w:left w:val="nil"/>
          <w:bottom w:val="nil"/>
          <w:right w:val="nil"/>
          <w:between w:val="nil"/>
        </w:pBdr>
        <w:rPr>
          <w:color w:val="000000"/>
        </w:rPr>
      </w:pPr>
      <w:r>
        <w:rPr>
          <w:color w:val="000000"/>
        </w:rPr>
        <w:t>Email addresses of co-authors:</w:t>
      </w:r>
    </w:p>
    <w:p w14:paraId="5CC1D95D" w14:textId="77777777" w:rsidR="00726FDB" w:rsidRDefault="005204C8" w:rsidP="005204C8">
      <w:r w:rsidRPr="00E53D92">
        <w:t xml:space="preserve">Ovidiu Novac </w:t>
      </w:r>
      <w:r>
        <w:tab/>
      </w:r>
      <w:r>
        <w:tab/>
        <w:t>(o</w:t>
      </w:r>
      <w:r w:rsidRPr="003F036C">
        <w:t>vidiu.</w:t>
      </w:r>
      <w:r>
        <w:t>n</w:t>
      </w:r>
      <w:r w:rsidRPr="003F036C">
        <w:t>ovac@cn-bio.com</w:t>
      </w:r>
      <w:r>
        <w:t>)</w:t>
      </w:r>
      <w:r>
        <w:rPr>
          <w:rStyle w:val="Hyperlink"/>
          <w:color w:val="auto"/>
        </w:rPr>
        <w:t xml:space="preserve"> </w:t>
      </w:r>
    </w:p>
    <w:p w14:paraId="669EA229" w14:textId="683F42FD" w:rsidR="00726FDB" w:rsidRPr="00B93D88" w:rsidRDefault="005204C8" w:rsidP="005204C8">
      <w:pPr>
        <w:rPr>
          <w:rStyle w:val="Hyperlink"/>
          <w:color w:val="auto"/>
          <w:u w:val="none"/>
        </w:rPr>
      </w:pPr>
      <w:r w:rsidRPr="00E53D92">
        <w:t xml:space="preserve">Raul Silva </w:t>
      </w:r>
      <w:r>
        <w:tab/>
      </w:r>
      <w:r>
        <w:tab/>
      </w:r>
      <w:r w:rsidRPr="00B93D88">
        <w:t>(</w:t>
      </w:r>
      <w:hyperlink r:id="rId11" w:history="1">
        <w:r w:rsidR="00726FDB" w:rsidRPr="002772FC">
          <w:rPr>
            <w:rStyle w:val="Hyperlink"/>
            <w:color w:val="auto"/>
            <w:u w:val="none"/>
          </w:rPr>
          <w:t>raul.silva@cn-bio.com</w:t>
        </w:r>
      </w:hyperlink>
      <w:r w:rsidRPr="00B93D88">
        <w:t>)</w:t>
      </w:r>
    </w:p>
    <w:p w14:paraId="3BD7E2F8" w14:textId="12AFDFAB" w:rsidR="00726FDB" w:rsidRPr="00B93D88" w:rsidRDefault="005204C8" w:rsidP="00726FDB">
      <w:r w:rsidRPr="00B93D88">
        <w:t xml:space="preserve">Lucy-May Young </w:t>
      </w:r>
      <w:r w:rsidR="00726FDB" w:rsidRPr="00B93D88">
        <w:tab/>
      </w:r>
      <w:r w:rsidRPr="00B93D88">
        <w:t>(</w:t>
      </w:r>
      <w:hyperlink r:id="rId12" w:history="1">
        <w:r w:rsidR="00726FDB" w:rsidRPr="002772FC">
          <w:rPr>
            <w:rStyle w:val="Hyperlink"/>
            <w:color w:val="auto"/>
            <w:u w:val="none"/>
          </w:rPr>
          <w:t>lucy.young@cn-bio.com</w:t>
        </w:r>
      </w:hyperlink>
      <w:r w:rsidRPr="00B93D88">
        <w:t>)</w:t>
      </w:r>
    </w:p>
    <w:p w14:paraId="5B096B7F" w14:textId="77777777" w:rsidR="00726FDB" w:rsidRPr="00B93D88" w:rsidRDefault="005204C8" w:rsidP="00726FDB">
      <w:pPr>
        <w:rPr>
          <w:rStyle w:val="Hyperlink"/>
          <w:color w:val="auto"/>
          <w:u w:val="none"/>
        </w:rPr>
      </w:pPr>
      <w:r w:rsidRPr="00B93D88">
        <w:t>Kim Lachani</w:t>
      </w:r>
      <w:r w:rsidR="00726FDB" w:rsidRPr="00B93D88">
        <w:tab/>
      </w:r>
      <w:r w:rsidR="00726FDB" w:rsidRPr="00B93D88">
        <w:tab/>
      </w:r>
      <w:r w:rsidRPr="00B93D88">
        <w:t>(kim.lachani@cn-bio.com)</w:t>
      </w:r>
      <w:r w:rsidRPr="002772FC">
        <w:rPr>
          <w:rStyle w:val="Hyperlink"/>
          <w:color w:val="auto"/>
          <w:u w:val="none"/>
        </w:rPr>
        <w:t xml:space="preserve">  </w:t>
      </w:r>
    </w:p>
    <w:p w14:paraId="00D353A8" w14:textId="6C0D8E41" w:rsidR="00726FDB" w:rsidRPr="00B93D88" w:rsidRDefault="005204C8" w:rsidP="00726FDB">
      <w:r w:rsidRPr="00B93D88">
        <w:t>David Hughes</w:t>
      </w:r>
      <w:r w:rsidR="00726FDB" w:rsidRPr="00B93D88">
        <w:tab/>
      </w:r>
      <w:r w:rsidR="00726FDB" w:rsidRPr="00B93D88">
        <w:tab/>
      </w:r>
      <w:r w:rsidRPr="00B93D88">
        <w:t>(</w:t>
      </w:r>
      <w:hyperlink r:id="rId13" w:history="1">
        <w:r w:rsidR="00726FDB" w:rsidRPr="002772FC">
          <w:rPr>
            <w:rStyle w:val="Hyperlink"/>
            <w:color w:val="auto"/>
            <w:u w:val="none"/>
          </w:rPr>
          <w:t>david.hughes@cn-bio.com</w:t>
        </w:r>
      </w:hyperlink>
      <w:r w:rsidRPr="00B93D88">
        <w:t>)</w:t>
      </w:r>
    </w:p>
    <w:p w14:paraId="146A5F69" w14:textId="4718EC22" w:rsidR="005204C8" w:rsidRDefault="005204C8" w:rsidP="001C7AC8">
      <w:r w:rsidRPr="00B93D88">
        <w:t>Tomasz Kostrzewski</w:t>
      </w:r>
      <w:r w:rsidR="00726FDB" w:rsidRPr="00B93D88">
        <w:tab/>
      </w:r>
      <w:r w:rsidRPr="00B93D88">
        <w:t>(tomasz.kostrzewski@cn-bio.com</w:t>
      </w:r>
      <w:r>
        <w:t>)</w:t>
      </w:r>
    </w:p>
    <w:p w14:paraId="03BE91D3" w14:textId="68CD8F33" w:rsidR="005204C8" w:rsidRDefault="005204C8">
      <w:pPr>
        <w:pBdr>
          <w:top w:val="nil"/>
          <w:left w:val="nil"/>
          <w:bottom w:val="nil"/>
          <w:right w:val="nil"/>
          <w:between w:val="nil"/>
        </w:pBdr>
        <w:rPr>
          <w:color w:val="000000"/>
        </w:rPr>
      </w:pPr>
    </w:p>
    <w:p w14:paraId="30FB8FB7" w14:textId="203A90A6" w:rsidR="005204C8" w:rsidRDefault="005204C8">
      <w:pPr>
        <w:pBdr>
          <w:top w:val="nil"/>
          <w:left w:val="nil"/>
          <w:bottom w:val="nil"/>
          <w:right w:val="nil"/>
          <w:between w:val="nil"/>
        </w:pBdr>
        <w:rPr>
          <w:color w:val="000000"/>
        </w:rPr>
      </w:pPr>
      <w:r>
        <w:rPr>
          <w:color w:val="000000"/>
        </w:rPr>
        <w:t>Corresponding author:</w:t>
      </w:r>
    </w:p>
    <w:p w14:paraId="01CBF984" w14:textId="192511DE" w:rsidR="005204C8" w:rsidRDefault="005204C8">
      <w:pPr>
        <w:pBdr>
          <w:top w:val="nil"/>
          <w:left w:val="nil"/>
          <w:bottom w:val="nil"/>
          <w:right w:val="nil"/>
          <w:between w:val="nil"/>
        </w:pBdr>
      </w:pPr>
      <w:r w:rsidRPr="00E53D92">
        <w:t xml:space="preserve">Ovidiu Novac </w:t>
      </w:r>
      <w:r>
        <w:tab/>
      </w:r>
      <w:r>
        <w:tab/>
        <w:t>(</w:t>
      </w:r>
      <w:r w:rsidRPr="001C7AC8">
        <w:t>ovidiu.novac@cn-bio.com</w:t>
      </w:r>
      <w:r>
        <w:t>)</w:t>
      </w:r>
    </w:p>
    <w:p w14:paraId="5E74CE4B" w14:textId="77777777" w:rsidR="005204C8" w:rsidRDefault="005204C8">
      <w:pPr>
        <w:pBdr>
          <w:top w:val="nil"/>
          <w:left w:val="nil"/>
          <w:bottom w:val="nil"/>
          <w:right w:val="nil"/>
          <w:between w:val="nil"/>
        </w:pBdr>
        <w:rPr>
          <w:color w:val="000000"/>
        </w:rPr>
      </w:pPr>
    </w:p>
    <w:p w14:paraId="60F3B8D4" w14:textId="70740860" w:rsidR="006E4797" w:rsidRDefault="00551D82">
      <w:r>
        <w:rPr>
          <w:b/>
        </w:rPr>
        <w:t>SUMMARY:</w:t>
      </w:r>
      <w:r>
        <w:t xml:space="preserve"> </w:t>
      </w:r>
    </w:p>
    <w:p w14:paraId="01069787" w14:textId="082231B0" w:rsidR="006E4797" w:rsidRPr="00E53D92" w:rsidRDefault="00726FDB" w:rsidP="003558A4">
      <w:r w:rsidRPr="00667DE1">
        <w:t>Drug</w:t>
      </w:r>
      <w:r>
        <w:t>-</w:t>
      </w:r>
      <w:r w:rsidR="003558A4" w:rsidRPr="00667DE1">
        <w:t xml:space="preserve">induced liver injury (DILI) is a major cause of drug </w:t>
      </w:r>
      <w:r w:rsidR="00ED41A4" w:rsidRPr="00667DE1">
        <w:t>failure</w:t>
      </w:r>
      <w:r w:rsidR="009A253B" w:rsidRPr="00667DE1">
        <w:t xml:space="preserve">. </w:t>
      </w:r>
      <w:r w:rsidR="00727FDE" w:rsidRPr="00667DE1">
        <w:t>A</w:t>
      </w:r>
      <w:r w:rsidR="00727FDE">
        <w:t xml:space="preserve"> protocol has been</w:t>
      </w:r>
      <w:r w:rsidR="009A253B">
        <w:t xml:space="preserve"> </w:t>
      </w:r>
      <w:r w:rsidR="00EC0ED1">
        <w:t xml:space="preserve">developed </w:t>
      </w:r>
      <w:r w:rsidR="003558A4" w:rsidRPr="00E53D92">
        <w:t xml:space="preserve">to </w:t>
      </w:r>
      <w:r w:rsidR="00644A6A">
        <w:t xml:space="preserve">accurately </w:t>
      </w:r>
      <w:r w:rsidR="003558A4" w:rsidRPr="00E53D92">
        <w:t xml:space="preserve">predict </w:t>
      </w:r>
      <w:r>
        <w:t xml:space="preserve">the </w:t>
      </w:r>
      <w:r w:rsidR="003558A4" w:rsidRPr="00E53D92">
        <w:t xml:space="preserve">DILI liability of </w:t>
      </w:r>
      <w:r w:rsidR="00D945F2">
        <w:t>a</w:t>
      </w:r>
      <w:r w:rsidR="00D945F2" w:rsidRPr="00E53D92">
        <w:t xml:space="preserve"> </w:t>
      </w:r>
      <w:r w:rsidR="003558A4" w:rsidRPr="00E53D92">
        <w:t>compound</w:t>
      </w:r>
      <w:r w:rsidR="00D945F2">
        <w:t xml:space="preserve"> using a liver microphysiological system</w:t>
      </w:r>
      <w:r w:rsidR="001668E5">
        <w:t xml:space="preserve"> (M</w:t>
      </w:r>
      <w:r w:rsidR="00AA3313">
        <w:t>PS)</w:t>
      </w:r>
      <w:r w:rsidR="003558A4" w:rsidRPr="00E53D92">
        <w:t xml:space="preserve">. </w:t>
      </w:r>
      <w:r w:rsidR="00C40BEA">
        <w:t xml:space="preserve">The </w:t>
      </w:r>
      <w:r w:rsidR="00BA2B42">
        <w:t xml:space="preserve">liver </w:t>
      </w:r>
      <w:r w:rsidR="00282A89">
        <w:t>model</w:t>
      </w:r>
      <w:r w:rsidR="00265F47">
        <w:t xml:space="preserve"> </w:t>
      </w:r>
      <w:r w:rsidR="008C624B">
        <w:t xml:space="preserve">uses </w:t>
      </w:r>
      <w:r>
        <w:t xml:space="preserve">the </w:t>
      </w:r>
      <w:r w:rsidR="008C624B">
        <w:t xml:space="preserve">coculture of primary hepatic cells and </w:t>
      </w:r>
      <w:r w:rsidR="007976D1">
        <w:t>translationally relevant endpoints to assess</w:t>
      </w:r>
      <w:r w:rsidR="00A26815">
        <w:t xml:space="preserve"> cellular responses to treatment.</w:t>
      </w:r>
    </w:p>
    <w:p w14:paraId="74EFC8D7" w14:textId="77777777" w:rsidR="006E4797" w:rsidRPr="00E53D92" w:rsidRDefault="006E4797"/>
    <w:p w14:paraId="537492E0" w14:textId="19661D8A" w:rsidR="00E65A4C" w:rsidRDefault="00551D82" w:rsidP="001A413F">
      <w:r>
        <w:rPr>
          <w:b/>
        </w:rPr>
        <w:t>ABSTRACT:</w:t>
      </w:r>
      <w:r>
        <w:t xml:space="preserve"> </w:t>
      </w:r>
    </w:p>
    <w:p w14:paraId="2CF9CD54" w14:textId="36AD965C" w:rsidR="006E4797" w:rsidRPr="005C2E62" w:rsidRDefault="00C42A00" w:rsidP="001A413F">
      <w:r w:rsidRPr="00C42A00">
        <w:t xml:space="preserve">DILI is a major cause of attrition </w:t>
      </w:r>
      <w:r w:rsidR="009445BA">
        <w:t xml:space="preserve">in </w:t>
      </w:r>
      <w:r w:rsidR="005C6C66">
        <w:t xml:space="preserve">drug development </w:t>
      </w:r>
      <w:r w:rsidRPr="00C42A00">
        <w:t xml:space="preserve">with </w:t>
      </w:r>
      <w:r w:rsidR="0021356A">
        <w:t>over 1000 FDA</w:t>
      </w:r>
      <w:r w:rsidR="00590C30">
        <w:t>-</w:t>
      </w:r>
      <w:r w:rsidRPr="00C42A00">
        <w:t xml:space="preserve">approved drugs known to </w:t>
      </w:r>
      <w:r w:rsidR="009711D0">
        <w:t>potentially cause DILI</w:t>
      </w:r>
      <w:r w:rsidR="00736EF9">
        <w:t xml:space="preserve"> in humans</w:t>
      </w:r>
      <w:r w:rsidRPr="00C42A00">
        <w:t xml:space="preserve">. Unfortunately, DILI is often not detected until drugs have reached clinical stages, risking patients’ safety and </w:t>
      </w:r>
      <w:r w:rsidR="007675D1">
        <w:t xml:space="preserve">leading to </w:t>
      </w:r>
      <w:r w:rsidRPr="00C42A00">
        <w:t>substantial losses for the pharma industry.</w:t>
      </w:r>
      <w:r w:rsidR="00E33674">
        <w:t xml:space="preserve"> </w:t>
      </w:r>
      <w:r w:rsidR="00A229EA">
        <w:t>Taking into account</w:t>
      </w:r>
      <w:r w:rsidR="00C466FA">
        <w:t xml:space="preserve"> that</w:t>
      </w:r>
      <w:r w:rsidR="001F4AEB">
        <w:t xml:space="preserve"> standard 2D models </w:t>
      </w:r>
      <w:r w:rsidR="00C466FA">
        <w:t xml:space="preserve">have </w:t>
      </w:r>
      <w:r w:rsidR="001F4AEB">
        <w:t>limitations</w:t>
      </w:r>
      <w:r w:rsidR="00A229EA">
        <w:t xml:space="preserve"> in detecting DILI</w:t>
      </w:r>
      <w:r w:rsidR="001F4AEB">
        <w:t xml:space="preserve"> i</w:t>
      </w:r>
      <w:r w:rsidR="001F4AEB" w:rsidRPr="001F4AEB">
        <w:t xml:space="preserve">t is essential to develop </w:t>
      </w:r>
      <w:r w:rsidR="00A443E1">
        <w:t xml:space="preserve">in vitro </w:t>
      </w:r>
      <w:r w:rsidR="00A443E1" w:rsidRPr="001F4AEB">
        <w:t xml:space="preserve">models </w:t>
      </w:r>
      <w:r w:rsidR="00A443E1">
        <w:t xml:space="preserve">that are </w:t>
      </w:r>
      <w:r w:rsidR="001F4AEB" w:rsidRPr="001F4AEB">
        <w:t xml:space="preserve">more predictive to improve </w:t>
      </w:r>
      <w:r w:rsidR="00CC470A">
        <w:t xml:space="preserve">data </w:t>
      </w:r>
      <w:r w:rsidR="001F4AEB" w:rsidRPr="001F4AEB">
        <w:t>translatability</w:t>
      </w:r>
      <w:r w:rsidR="00B0016F">
        <w:t>.</w:t>
      </w:r>
      <w:r w:rsidR="001F4AEB" w:rsidRPr="001F4AEB">
        <w:t xml:space="preserve"> </w:t>
      </w:r>
      <w:r w:rsidR="001A413F" w:rsidRPr="00E53D92">
        <w:t xml:space="preserve">To understand causality and mechanistic aspects of DILI in detail, a human liver MPS </w:t>
      </w:r>
      <w:r w:rsidR="00AB55EF">
        <w:t>consisting</w:t>
      </w:r>
      <w:r w:rsidR="00AB55EF" w:rsidRPr="00E53D92">
        <w:t xml:space="preserve"> </w:t>
      </w:r>
      <w:r w:rsidR="001A413F" w:rsidRPr="00E53D92">
        <w:t>of human primary liver parenchymal and non-parenchymal cells (NPCs)</w:t>
      </w:r>
      <w:r w:rsidR="00F83C7E">
        <w:t xml:space="preserve"> and</w:t>
      </w:r>
      <w:r w:rsidR="001A413F" w:rsidRPr="00E53D92">
        <w:t xml:space="preserve"> cultured in 3D microtissues on an engineered scaffold under perfusion</w:t>
      </w:r>
      <w:r w:rsidR="00F83C7E">
        <w:t xml:space="preserve"> has been developed.</w:t>
      </w:r>
      <w:r w:rsidR="001A413F" w:rsidRPr="00E53D92">
        <w:t xml:space="preserve"> Cryopreserved primary human hepatocytes</w:t>
      </w:r>
      <w:r w:rsidR="00D57AB4">
        <w:t xml:space="preserve"> (PHHs)</w:t>
      </w:r>
      <w:r w:rsidR="001A413F" w:rsidRPr="00E53D92">
        <w:t xml:space="preserve"> and Kupffer cells </w:t>
      </w:r>
      <w:r w:rsidR="00D57AB4">
        <w:t>(</w:t>
      </w:r>
      <w:r w:rsidR="00E64BF5">
        <w:t>HKC</w:t>
      </w:r>
      <w:r w:rsidR="00D57AB4">
        <w:t xml:space="preserve">s) </w:t>
      </w:r>
      <w:r w:rsidR="001A413F" w:rsidRPr="00E53D92">
        <w:t xml:space="preserve">were </w:t>
      </w:r>
      <w:r w:rsidR="00842B5E">
        <w:t>co</w:t>
      </w:r>
      <w:r w:rsidR="00C866E7" w:rsidRPr="00E53D92">
        <w:t>cultured</w:t>
      </w:r>
      <w:r w:rsidR="00E54F35">
        <w:t xml:space="preserve"> as microtissues</w:t>
      </w:r>
      <w:r w:rsidR="00C866E7" w:rsidRPr="00E53D92">
        <w:t xml:space="preserve"> </w:t>
      </w:r>
      <w:r w:rsidR="009B2849">
        <w:t>in the</w:t>
      </w:r>
      <w:r w:rsidR="009B2849" w:rsidRPr="00E53D92">
        <w:t xml:space="preserve"> MPS</w:t>
      </w:r>
      <w:r w:rsidR="009B2849">
        <w:t xml:space="preserve"> platform</w:t>
      </w:r>
      <w:r w:rsidR="009B2849" w:rsidRPr="00E53D92">
        <w:t xml:space="preserve"> </w:t>
      </w:r>
      <w:r w:rsidR="00C866E7" w:rsidRPr="00E53D92">
        <w:t xml:space="preserve">for up to </w:t>
      </w:r>
      <w:r w:rsidR="004422E8">
        <w:t>two</w:t>
      </w:r>
      <w:r w:rsidR="00726FDB" w:rsidRPr="00E53D92">
        <w:t xml:space="preserve"> </w:t>
      </w:r>
      <w:r w:rsidR="00C866E7" w:rsidRPr="00E53D92">
        <w:t>weeks</w:t>
      </w:r>
      <w:r w:rsidR="00726FDB">
        <w:t>,</w:t>
      </w:r>
      <w:r w:rsidR="00C855B9">
        <w:t xml:space="preserve"> and</w:t>
      </w:r>
      <w:r w:rsidR="001A413F" w:rsidRPr="00E53D92">
        <w:t xml:space="preserve"> </w:t>
      </w:r>
      <w:r w:rsidR="00C855B9">
        <w:t>e</w:t>
      </w:r>
      <w:r w:rsidR="001A413F" w:rsidRPr="00E53D92">
        <w:t xml:space="preserve">ach compound of interest was repeatably dosed onto liver microtissues at </w:t>
      </w:r>
      <w:r w:rsidR="00AB55EF">
        <w:t>seven</w:t>
      </w:r>
      <w:r w:rsidR="001A413F" w:rsidRPr="00E53D92">
        <w:t xml:space="preserve"> test concentrations for up to four days. </w:t>
      </w:r>
      <w:r w:rsidR="00256D7F">
        <w:t>F</w:t>
      </w:r>
      <w:r w:rsidR="002755D4">
        <w:t>unctional liver-specific endpoints were anal</w:t>
      </w:r>
      <w:r w:rsidR="007B21DB">
        <w:t>yzed (</w:t>
      </w:r>
      <w:r w:rsidR="004422E8">
        <w:t xml:space="preserve">including </w:t>
      </w:r>
      <w:r w:rsidR="007B21DB">
        <w:t xml:space="preserve">clinical </w:t>
      </w:r>
      <w:r w:rsidR="009361F6">
        <w:t xml:space="preserve">biomarkers such as </w:t>
      </w:r>
      <w:r w:rsidR="00540EFD">
        <w:t>a</w:t>
      </w:r>
      <w:r w:rsidR="00540EFD" w:rsidRPr="00540EFD">
        <w:t xml:space="preserve">lanine </w:t>
      </w:r>
      <w:r w:rsidR="00540EFD">
        <w:t>a</w:t>
      </w:r>
      <w:r w:rsidR="00540EFD" w:rsidRPr="00540EFD">
        <w:t>minotransferase</w:t>
      </w:r>
      <w:r w:rsidR="00540EFD">
        <w:t xml:space="preserve">, </w:t>
      </w:r>
      <w:r w:rsidR="009361F6">
        <w:t xml:space="preserve">ALT) </w:t>
      </w:r>
      <w:r w:rsidR="006F2CF4">
        <w:t xml:space="preserve">to </w:t>
      </w:r>
      <w:r w:rsidR="001A1807">
        <w:t>evaluate</w:t>
      </w:r>
      <w:r w:rsidR="006F2CF4">
        <w:t xml:space="preserve"> liver function. </w:t>
      </w:r>
      <w:r w:rsidR="001A413F" w:rsidRPr="00E53D92">
        <w:t>Acute and chronic exposure to compounds of various DILI severities can be assessed by comparing responses to single and multi-dosed microtissues. The methodology has been validated with a broad set of sever</w:t>
      </w:r>
      <w:r w:rsidR="00726FDB">
        <w:t>e and mildly hepatotoxic compounds. H</w:t>
      </w:r>
      <w:r w:rsidR="001A413F" w:rsidRPr="00E53D92">
        <w:t xml:space="preserve">ere we show the data for </w:t>
      </w:r>
      <w:r w:rsidR="00E4584D">
        <w:t xml:space="preserve">pioglitazone and </w:t>
      </w:r>
      <w:r w:rsidR="001A413F" w:rsidRPr="00E53D92">
        <w:t>troglitazone, well-known hepatotoxic compound</w:t>
      </w:r>
      <w:r w:rsidR="00726FDB">
        <w:t>s</w:t>
      </w:r>
      <w:r w:rsidR="001A413F" w:rsidRPr="00E53D92">
        <w:t xml:space="preserve"> withdrawn from the market for causing liver failures.</w:t>
      </w:r>
      <w:r w:rsidR="005204C8">
        <w:t xml:space="preserve"> </w:t>
      </w:r>
      <w:r w:rsidR="001A413F" w:rsidRPr="007A78E3">
        <w:t xml:space="preserve">Overall, </w:t>
      </w:r>
      <w:r w:rsidR="00D95292" w:rsidRPr="005204C8">
        <w:t>i</w:t>
      </w:r>
      <w:r w:rsidR="00F511C8" w:rsidRPr="007A78E3">
        <w:t>t has been shown that</w:t>
      </w:r>
      <w:r w:rsidR="001A413F" w:rsidRPr="007A78E3">
        <w:t xml:space="preserve"> the liver MPS model </w:t>
      </w:r>
      <w:r w:rsidR="008E5D0A" w:rsidRPr="005204C8">
        <w:t>can be a useful tool</w:t>
      </w:r>
      <w:r w:rsidR="000A494D" w:rsidRPr="005204C8">
        <w:t xml:space="preserve"> to </w:t>
      </w:r>
      <w:r w:rsidR="007A78E3" w:rsidRPr="005204C8">
        <w:t xml:space="preserve">assess </w:t>
      </w:r>
      <w:r w:rsidR="001A413F" w:rsidRPr="007A78E3">
        <w:t xml:space="preserve">DILI and its association </w:t>
      </w:r>
      <w:r w:rsidR="000811C9">
        <w:t xml:space="preserve">with </w:t>
      </w:r>
      <w:r w:rsidR="000811C9" w:rsidRPr="000811C9">
        <w:t>changes in hepatic function</w:t>
      </w:r>
      <w:r w:rsidR="001A413F" w:rsidRPr="007A78E3">
        <w:t>.</w:t>
      </w:r>
      <w:r w:rsidR="001A413F" w:rsidRPr="005C2E62">
        <w:t xml:space="preserve"> The model can </w:t>
      </w:r>
      <w:r w:rsidR="001A413F" w:rsidRPr="005C2E62">
        <w:lastRenderedPageBreak/>
        <w:t>additionally be used to assess how novel compounds behave in distinct patient subsets and how toxicity profiles may be affected by liver disease state</w:t>
      </w:r>
      <w:r w:rsidR="00726FDB">
        <w:t>s</w:t>
      </w:r>
      <w:r w:rsidR="001A413F" w:rsidRPr="005C2E62">
        <w:t xml:space="preserve"> (e.g., viral hepatitis, fatty liver disease).</w:t>
      </w:r>
    </w:p>
    <w:p w14:paraId="67A12350" w14:textId="77777777" w:rsidR="00882A49" w:rsidRDefault="00882A49">
      <w:pPr>
        <w:rPr>
          <w:b/>
        </w:rPr>
      </w:pPr>
    </w:p>
    <w:p w14:paraId="6B70BC93" w14:textId="1CAE5936" w:rsidR="00CB32CD" w:rsidRDefault="00551D82">
      <w:pPr>
        <w:rPr>
          <w:color w:val="808080"/>
        </w:rPr>
      </w:pPr>
      <w:r>
        <w:rPr>
          <w:b/>
        </w:rPr>
        <w:t>INTRODUCTION:</w:t>
      </w:r>
      <w:r>
        <w:t xml:space="preserve"> </w:t>
      </w:r>
      <w:r>
        <w:rPr>
          <w:color w:val="808080"/>
        </w:rPr>
        <w:t xml:space="preserve"> </w:t>
      </w:r>
    </w:p>
    <w:p w14:paraId="5856B490" w14:textId="52C4F08A" w:rsidR="0061250F" w:rsidRPr="00A01067" w:rsidRDefault="003C7D99" w:rsidP="00683721">
      <w:pPr>
        <w:rPr>
          <w:color w:val="000000"/>
          <w:shd w:val="clear" w:color="auto" w:fill="FFFFFF"/>
        </w:rPr>
      </w:pPr>
      <w:r w:rsidRPr="005C2E62">
        <w:rPr>
          <w:bCs/>
        </w:rPr>
        <w:t xml:space="preserve">DILI </w:t>
      </w:r>
      <w:r w:rsidR="00D65BA7">
        <w:rPr>
          <w:bCs/>
        </w:rPr>
        <w:t>remains</w:t>
      </w:r>
      <w:r w:rsidRPr="005C2E62">
        <w:rPr>
          <w:bCs/>
        </w:rPr>
        <w:t xml:space="preserve"> the most common cause for acute liver failure in the USA and Europe</w:t>
      </w:r>
      <w:r w:rsidR="00644D9A">
        <w:rPr>
          <w:bCs/>
        </w:rPr>
        <w:t xml:space="preserve"> and</w:t>
      </w:r>
      <w:r w:rsidRPr="005C2E62">
        <w:rPr>
          <w:bCs/>
        </w:rPr>
        <w:t xml:space="preserve"> is a leading cause of attrition of compounds in </w:t>
      </w:r>
      <w:r w:rsidR="00726FDB">
        <w:rPr>
          <w:bCs/>
        </w:rPr>
        <w:t xml:space="preserve">the </w:t>
      </w:r>
      <w:r w:rsidRPr="005C2E62">
        <w:rPr>
          <w:bCs/>
        </w:rPr>
        <w:t xml:space="preserve">drug development </w:t>
      </w:r>
      <w:r w:rsidR="000F57FD">
        <w:rPr>
          <w:bCs/>
        </w:rPr>
        <w:t>process</w:t>
      </w:r>
      <w:r w:rsidR="006E5C30" w:rsidRPr="005C2E62">
        <w:rPr>
          <w:bCs/>
        </w:rPr>
        <w:fldChar w:fldCharType="begin" w:fldLock="1"/>
      </w:r>
      <w:r w:rsidR="00FF1EA1">
        <w:rPr>
          <w:bCs/>
        </w:rPr>
        <w:instrText>ADDIN CSL_CITATION {"citationItems":[{"id":"ITEM-1","itemData":{"abstract":"Drug-induced liver injury (DILI) is an uncommon, but potentially fatal, cause of liver disease that is associated with prescription medications, OTC drugs, and herbal and dietary supplements (HDS). DILI has two types: intrinsic and idiosyncratic. Patient, environmental, and drug-related factors may play a role in the pathogenesis of DILI. In the United States, antibiotics and antiepileptic drugs are the most common drug classes associated with DILI, but HDS are on the rise as a cause. Management of DILI involves the removal of the offending agent and the use of N-acetylcysteine for acetaminophen-induced liver injury. Outcomes vary depending on the drug used and type of liver injury sustained. Pharmacists can play an essential role in the evaluation of DILI, especially in patients taking multiple medications and supplements.","author":[{"dropping-particle":"","family":"Donna M. Lisi","given":"","non-dropping-particle":"","parse-names":false,"suffix":""}],"container-title":"GASTROENTEROLOGY","id":"ITEM-1","issued":{"date-parts":[["2016"]]},"page":"30-34","title":"Drug-Induced Liver Injury: An Overview","type":"article-journal","volume":"41(12)"},"uris":["http://www.mendeley.com/documents/?uuid=b95fea72-5056-46b1-a7d7-0a2407d8b09d"]}],"mendeley":{"formattedCitation":"&lt;sup&gt;1&lt;/sup&gt;","plainTextFormattedCitation":"1","previouslyFormattedCitation":"&lt;sup&gt;1&lt;/sup&gt;"},"properties":{"noteIndex":0},"schema":"https://github.com/citation-style-language/schema/raw/master/csl-citation.json"}</w:instrText>
      </w:r>
      <w:r w:rsidR="006E5C30" w:rsidRPr="005C2E62">
        <w:rPr>
          <w:bCs/>
        </w:rPr>
        <w:fldChar w:fldCharType="separate"/>
      </w:r>
      <w:r w:rsidR="00D71661" w:rsidRPr="00D71661">
        <w:rPr>
          <w:bCs/>
          <w:noProof/>
          <w:vertAlign w:val="superscript"/>
        </w:rPr>
        <w:t>1</w:t>
      </w:r>
      <w:r w:rsidR="006E5C30" w:rsidRPr="005C2E62">
        <w:rPr>
          <w:bCs/>
        </w:rPr>
        <w:fldChar w:fldCharType="end"/>
      </w:r>
      <w:r w:rsidR="006E5C30" w:rsidRPr="005C2E62">
        <w:rPr>
          <w:bCs/>
        </w:rPr>
        <w:t>.</w:t>
      </w:r>
      <w:r w:rsidRPr="005C2E62">
        <w:rPr>
          <w:bCs/>
        </w:rPr>
        <w:t xml:space="preserve"> </w:t>
      </w:r>
      <w:r w:rsidR="0088774A">
        <w:rPr>
          <w:bCs/>
        </w:rPr>
        <w:t>Nearly all classes of medications can cause</w:t>
      </w:r>
      <w:r w:rsidR="00CA33E5" w:rsidRPr="005C2E62">
        <w:rPr>
          <w:bCs/>
        </w:rPr>
        <w:t xml:space="preserve"> </w:t>
      </w:r>
      <w:r w:rsidR="00FF2E53" w:rsidRPr="005C2E62">
        <w:rPr>
          <w:bCs/>
        </w:rPr>
        <w:t>hepatotoxicity, with</w:t>
      </w:r>
      <w:r w:rsidR="002306BC" w:rsidRPr="005C2E62">
        <w:rPr>
          <w:bCs/>
        </w:rPr>
        <w:t xml:space="preserve"> </w:t>
      </w:r>
      <w:r w:rsidR="00FF2E53" w:rsidRPr="005C2E62">
        <w:rPr>
          <w:bCs/>
        </w:rPr>
        <w:t xml:space="preserve">central nervous system agents and antibiotics </w:t>
      </w:r>
      <w:r w:rsidR="00777E0B" w:rsidRPr="005C2E62">
        <w:rPr>
          <w:bCs/>
        </w:rPr>
        <w:t xml:space="preserve">being </w:t>
      </w:r>
      <w:r w:rsidR="005E2F93">
        <w:rPr>
          <w:bCs/>
        </w:rPr>
        <w:t>by far</w:t>
      </w:r>
      <w:r w:rsidR="00777E0B" w:rsidRPr="005C2E62">
        <w:rPr>
          <w:bCs/>
        </w:rPr>
        <w:t xml:space="preserve"> the most common </w:t>
      </w:r>
      <w:r w:rsidR="00791588" w:rsidRPr="005C2E62">
        <w:rPr>
          <w:bCs/>
        </w:rPr>
        <w:t>treatments</w:t>
      </w:r>
      <w:r w:rsidR="00777E0B" w:rsidRPr="005C2E62">
        <w:rPr>
          <w:bCs/>
        </w:rPr>
        <w:t xml:space="preserve"> that cause DILI in patients</w:t>
      </w:r>
      <w:r w:rsidR="00707897" w:rsidRPr="005C2E62">
        <w:rPr>
          <w:bCs/>
        </w:rPr>
        <w:fldChar w:fldCharType="begin" w:fldLock="1"/>
      </w:r>
      <w:r w:rsidR="00FF1EA1">
        <w:rPr>
          <w:bCs/>
        </w:rPr>
        <w:instrText>ADDIN CSL_CITATION {"citationItems":[{"id":"ITEM-1","itemData":{"DOI":"10.2174/1389200219666180523095355","ISSN":"1875-5453","abstract":"Background: Drug-induced Liver Injury (DILI) is an important cause of acute liver failure cases in the United States, and remains a common cause of withdrawal of drugs in both preclinical and clinical phases. Methods: A structured search of bibliographic databases-Web of Science Core Collection, Scopus and Medline for peer-reviewed articles on models of DILI was performed. The reference lists of relevant studies was prepared and a citation search for the included studies was carried out. In addition, the characteristics of screened studies were described. Results: One hundred and six articles about the existing knowledge of appropriate models to study DILI in vitro and in vivo with special focus on hepatic cell models, variations of 3D co-cultures, animal models, databases and predic-tive modeling and translational biomarkers developed to understand the mechanisms and pathophysiology of DILI are described. Conclusion: Besides descriptions of current applications of existing modeling systems, associated advantages and limitations of each modeling system and future directions for research development are discussed as well.","author":[{"dropping-particle":"","family":"Kuna","given":"Lucija","non-dropping-particle":"","parse-names":false,"suffix":""},{"dropping-particle":"","family":"Booii","given":"Ivana","non-dropping-particle":"","parse-names":false,"suffix":""},{"dropping-particle":"","family":"Kizivat","given":"Tomislav","non-dropping-particle":"","parse-names":false,"suffix":""},{"dropping-particle":"","family":"Bojanii","given":"Kristina","non-dropping-particle":"","parse-names":false,"suffix":""},{"dropping-particle":"","family":"Mrro","given":"Margareta","non-dropping-particle":"","parse-names":false,"suffix":""},{"dropping-particle":"","family":"Kralj","given":"Edgar","non-dropping-particle":"","parse-names":false,"suffix":""},{"dropping-particle":"","family":"Smolii","given":"Robert","non-dropping-particle":"","parse-names":false,"suffix":""},{"dropping-particle":"","family":"Wu","given":"George Y","non-dropping-particle":"","parse-names":false,"suffix":""},{"dropping-particle":"","family":"Smolii","given":"Martina","non-dropping-particle":"","parse-names":false,"suffix":""}],"container-title":"Current Drug Metabolism","id":"ITEM-1","issued":{"date-parts":[["2018"]]},"page":"830-838","title":"Current Drug Metabolism Current Drug Metabolism The international journal for timely in-depth reviews on Drug Metabolism The international journal for timely in-depth reviews on Drug Metabolism SCIENCE BENTHAM Send Orders for Reprints to reprints@benthamscience.ae Models of Drug Induced Liver Injury (DILI)-Current Issues and Future Perspec-tives","type":"article-journal","volume":"19"},"uris":["http://www.mendeley.com/documents/?uuid=7828c218-f8a8-3c9f-9063-400c0c3ea719"]}],"mendeley":{"formattedCitation":"&lt;sup&gt;2&lt;/sup&gt;","plainTextFormattedCitation":"2","previouslyFormattedCitation":"&lt;sup&gt;2&lt;/sup&gt;"},"properties":{"noteIndex":0},"schema":"https://github.com/citation-style-language/schema/raw/master/csl-citation.json"}</w:instrText>
      </w:r>
      <w:r w:rsidR="00707897" w:rsidRPr="005C2E62">
        <w:rPr>
          <w:bCs/>
        </w:rPr>
        <w:fldChar w:fldCharType="separate"/>
      </w:r>
      <w:r w:rsidR="00D71661" w:rsidRPr="00D71661">
        <w:rPr>
          <w:bCs/>
          <w:noProof/>
          <w:vertAlign w:val="superscript"/>
        </w:rPr>
        <w:t>2</w:t>
      </w:r>
      <w:r w:rsidR="00707897" w:rsidRPr="005C2E62">
        <w:rPr>
          <w:bCs/>
        </w:rPr>
        <w:fldChar w:fldCharType="end"/>
      </w:r>
      <w:r w:rsidR="00707897" w:rsidRPr="005C2E62">
        <w:rPr>
          <w:bCs/>
        </w:rPr>
        <w:t>.</w:t>
      </w:r>
      <w:r w:rsidR="00777E0B" w:rsidRPr="005C2E62">
        <w:rPr>
          <w:bCs/>
        </w:rPr>
        <w:t xml:space="preserve"> </w:t>
      </w:r>
      <w:r w:rsidR="00DC131E">
        <w:rPr>
          <w:color w:val="000000"/>
          <w:shd w:val="clear" w:color="auto" w:fill="FFFFFF"/>
        </w:rPr>
        <w:t xml:space="preserve">Drug-induced hepatotoxicity is </w:t>
      </w:r>
      <w:r w:rsidR="00C1528B">
        <w:rPr>
          <w:color w:val="000000"/>
          <w:shd w:val="clear" w:color="auto" w:fill="FFFFFF"/>
        </w:rPr>
        <w:t>caused by</w:t>
      </w:r>
      <w:r w:rsidR="00DC131E">
        <w:rPr>
          <w:color w:val="000000"/>
          <w:shd w:val="clear" w:color="auto" w:fill="FFFFFF"/>
        </w:rPr>
        <w:t xml:space="preserve"> a complex interaction</w:t>
      </w:r>
      <w:r w:rsidR="00C1528B">
        <w:rPr>
          <w:color w:val="000000"/>
          <w:shd w:val="clear" w:color="auto" w:fill="FFFFFF"/>
        </w:rPr>
        <w:t xml:space="preserve"> of</w:t>
      </w:r>
      <w:r w:rsidR="00DC131E">
        <w:rPr>
          <w:color w:val="000000"/>
          <w:shd w:val="clear" w:color="auto" w:fill="FFFFFF"/>
        </w:rPr>
        <w:t xml:space="preserve"> genetic, non-genetic</w:t>
      </w:r>
      <w:r w:rsidR="00726FDB">
        <w:rPr>
          <w:color w:val="000000"/>
          <w:shd w:val="clear" w:color="auto" w:fill="FFFFFF"/>
        </w:rPr>
        <w:t>,</w:t>
      </w:r>
      <w:r w:rsidR="00DC131E">
        <w:rPr>
          <w:color w:val="000000"/>
          <w:shd w:val="clear" w:color="auto" w:fill="FFFFFF"/>
        </w:rPr>
        <w:t xml:space="preserve"> and environmental factors</w:t>
      </w:r>
      <w:r w:rsidR="00341797">
        <w:rPr>
          <w:color w:val="000000"/>
          <w:shd w:val="clear" w:color="auto" w:fill="FFFFFF"/>
        </w:rPr>
        <w:t xml:space="preserve">, </w:t>
      </w:r>
      <w:r w:rsidR="00726FDB">
        <w:rPr>
          <w:color w:val="000000"/>
          <w:shd w:val="clear" w:color="auto" w:fill="FFFFFF"/>
        </w:rPr>
        <w:t>leading to the death of hepatocytes and other liver cell types,</w:t>
      </w:r>
      <w:r w:rsidR="00341797">
        <w:rPr>
          <w:color w:val="000000"/>
          <w:shd w:val="clear" w:color="auto" w:fill="FFFFFF"/>
        </w:rPr>
        <w:t xml:space="preserve"> including</w:t>
      </w:r>
      <w:r w:rsidR="00DC131E">
        <w:rPr>
          <w:color w:val="000000"/>
          <w:shd w:val="clear" w:color="auto" w:fill="FFFFFF"/>
        </w:rPr>
        <w:t xml:space="preserve"> cholangiocytes </w:t>
      </w:r>
      <w:r w:rsidR="00341797">
        <w:rPr>
          <w:color w:val="000000"/>
          <w:shd w:val="clear" w:color="auto" w:fill="FFFFFF"/>
        </w:rPr>
        <w:t>and</w:t>
      </w:r>
      <w:r w:rsidR="00DC131E">
        <w:rPr>
          <w:color w:val="000000"/>
          <w:shd w:val="clear" w:color="auto" w:fill="FFFFFF"/>
        </w:rPr>
        <w:t xml:space="preserve"> endothelial cells</w:t>
      </w:r>
      <w:r w:rsidR="005A1A11">
        <w:rPr>
          <w:color w:val="000000"/>
          <w:shd w:val="clear" w:color="auto" w:fill="FFFFFF"/>
        </w:rPr>
        <w:fldChar w:fldCharType="begin" w:fldLock="1"/>
      </w:r>
      <w:r w:rsidR="007E03BB">
        <w:rPr>
          <w:color w:val="000000"/>
          <w:shd w:val="clear" w:color="auto" w:fill="FFFFFF"/>
        </w:rPr>
        <w:instrText>ADDIN CSL_CITATION {"citationItems":[{"id":"ITEM-1","itemData":{"abstract":"Drug-induced liver injury (DILI) is an uncommon, but potentially fatal, cause of liver disease that is associated with prescription medications, OTC drugs, and herbal and dietary supplements (HDS). DILI has two types: intrinsic and idiosyncratic. Patient, environmental, and drug-related factors may play a role in the pathogenesis of DILI. In the United States, antibiotics and antiepileptic drugs are the most common drug classes associated with DILI, but HDS are on the rise as a cause. Management of DILI involves the removal of the offending agent and the use of N-acetylcysteine for acetaminophen-induced liver injury. Outcomes vary depending on the drug used and type of liver injury sustained. Pharmacists can play an essential role in the evaluation of DILI, especially in patients taking multiple medications and supplements.","author":[{"dropping-particle":"","family":"Donna M. Lisi","given":"","non-dropping-particle":"","parse-names":false,"suffix":""}],"container-title":"GASTROENTEROLOGY","id":"ITEM-1","issued":{"date-parts":[["2016"]]},"page":"30-34","title":"Drug-Induced Liver Injury: An Overview","type":"article-journal","volume":"41(12)"},"uris":["http://www.mendeley.com/documents/?uuid=b95fea72-5056-46b1-a7d7-0a2407d8b09d"]},{"id":"ITEM-2","itemData":{"author":[{"dropping-particle":"","family":"Katarey","given":"Dev","non-dropping-particle":"","parse-names":false,"suffix":""},{"dropping-particle":"","family":"Verma","given":"Sumita","non-dropping-particle":"","parse-names":false,"suffix":""}],"id":"ITEM-2","issue":"6","issued":{"date-parts":[["2016"]]},"title":"Drug-induced liver injury","type":"article-journal","volume":"16"},"uris":["http://www.mendeley.com/documents/?uuid=f4e8b608-16b5-4ef8-84ae-e7dd406ec892"]}],"mendeley":{"formattedCitation":"&lt;sup&gt;1, 3&lt;/sup&gt;","plainTextFormattedCitation":"1, 3","previouslyFormattedCitation":"&lt;sup&gt;1, 3&lt;/sup&gt;"},"properties":{"noteIndex":0},"schema":"https://github.com/citation-style-language/schema/raw/master/csl-citation.json"}</w:instrText>
      </w:r>
      <w:r w:rsidR="005A1A11">
        <w:rPr>
          <w:color w:val="000000"/>
          <w:shd w:val="clear" w:color="auto" w:fill="FFFFFF"/>
        </w:rPr>
        <w:fldChar w:fldCharType="separate"/>
      </w:r>
      <w:r w:rsidR="00730E00" w:rsidRPr="00730E00">
        <w:rPr>
          <w:noProof/>
          <w:color w:val="000000"/>
          <w:shd w:val="clear" w:color="auto" w:fill="FFFFFF"/>
          <w:vertAlign w:val="superscript"/>
        </w:rPr>
        <w:t>1, 3</w:t>
      </w:r>
      <w:r w:rsidR="005A1A11">
        <w:rPr>
          <w:color w:val="000000"/>
          <w:shd w:val="clear" w:color="auto" w:fill="FFFFFF"/>
        </w:rPr>
        <w:fldChar w:fldCharType="end"/>
      </w:r>
      <w:r w:rsidR="00341797">
        <w:rPr>
          <w:color w:val="000000"/>
          <w:shd w:val="clear" w:color="auto" w:fill="FFFFFF"/>
        </w:rPr>
        <w:t>.</w:t>
      </w:r>
    </w:p>
    <w:p w14:paraId="3D673946" w14:textId="77777777" w:rsidR="0061250F" w:rsidRDefault="0061250F" w:rsidP="00683721">
      <w:pPr>
        <w:rPr>
          <w:bCs/>
        </w:rPr>
      </w:pPr>
    </w:p>
    <w:p w14:paraId="1617FCCA" w14:textId="3C6E21B6" w:rsidR="00683721" w:rsidRPr="005C2E62" w:rsidRDefault="001E6F65" w:rsidP="00683721">
      <w:pPr>
        <w:rPr>
          <w:bCs/>
        </w:rPr>
      </w:pPr>
      <w:r>
        <w:rPr>
          <w:bCs/>
        </w:rPr>
        <w:t xml:space="preserve">DILI causing agents can be classified in two ways: </w:t>
      </w:r>
      <w:r w:rsidR="00866B70">
        <w:rPr>
          <w:bCs/>
        </w:rPr>
        <w:t>those which cause</w:t>
      </w:r>
      <w:r>
        <w:rPr>
          <w:bCs/>
        </w:rPr>
        <w:t xml:space="preserve"> </w:t>
      </w:r>
      <w:r w:rsidR="008144DD">
        <w:rPr>
          <w:bCs/>
        </w:rPr>
        <w:t xml:space="preserve">predictable dose-dependent </w:t>
      </w:r>
      <w:r w:rsidR="00671729">
        <w:rPr>
          <w:bCs/>
        </w:rPr>
        <w:t xml:space="preserve">liver damage </w:t>
      </w:r>
      <w:r w:rsidR="00564F15">
        <w:rPr>
          <w:bCs/>
        </w:rPr>
        <w:t>or</w:t>
      </w:r>
      <w:r w:rsidR="000B7933">
        <w:rPr>
          <w:bCs/>
        </w:rPr>
        <w:t xml:space="preserve"> those which cause</w:t>
      </w:r>
      <w:r w:rsidR="003C7D99" w:rsidRPr="005C2E62">
        <w:rPr>
          <w:bCs/>
        </w:rPr>
        <w:t xml:space="preserve"> idiosyncratic DILI that is rare and develops independently of drug dose, or route</w:t>
      </w:r>
      <w:r w:rsidR="00726FDB">
        <w:rPr>
          <w:bCs/>
        </w:rPr>
        <w:t>,</w:t>
      </w:r>
      <w:r w:rsidR="003C7D99" w:rsidRPr="005C2E62">
        <w:rPr>
          <w:bCs/>
        </w:rPr>
        <w:t xml:space="preserve"> or duration of administration</w:t>
      </w:r>
      <w:r w:rsidR="00707897" w:rsidRPr="005C2E62">
        <w:rPr>
          <w:bCs/>
        </w:rPr>
        <w:t>,</w:t>
      </w:r>
      <w:r w:rsidR="003C7D99" w:rsidRPr="005C2E62">
        <w:rPr>
          <w:bCs/>
        </w:rPr>
        <w:t xml:space="preserve"> but is responsible for up to </w:t>
      </w:r>
      <w:r w:rsidR="00E975F7">
        <w:rPr>
          <w:bCs/>
        </w:rPr>
        <w:t>a sixth</w:t>
      </w:r>
      <w:r w:rsidR="003C7D99" w:rsidRPr="005C2E62">
        <w:rPr>
          <w:bCs/>
        </w:rPr>
        <w:t xml:space="preserve"> of </w:t>
      </w:r>
      <w:r w:rsidR="00773748">
        <w:rPr>
          <w:bCs/>
        </w:rPr>
        <w:t xml:space="preserve">all </w:t>
      </w:r>
      <w:r w:rsidR="003C7D99" w:rsidRPr="005C2E62">
        <w:rPr>
          <w:bCs/>
        </w:rPr>
        <w:t>acute liver failures in the USA only</w:t>
      </w:r>
      <w:r w:rsidR="00ED7E03" w:rsidRPr="005C2E62">
        <w:rPr>
          <w:bCs/>
        </w:rPr>
        <w:fldChar w:fldCharType="begin" w:fldLock="1"/>
      </w:r>
      <w:r w:rsidR="00FF1EA1">
        <w:rPr>
          <w:bCs/>
        </w:rPr>
        <w:instrText>ADDIN CSL_CITATION {"citationItems":[{"id":"ITEM-1","itemData":{"DOI":"10.1136/gutjnl-2016-313369","abstract":"Idiosyncratic drug-induced liver injury (IDILI) is a rare but potentially severe adverse drug reaction that should be considered in patients who develop laboratory criteria for liver injury secondary to the administration of a potentially hepatotoxic drug. Although currently used liver parameters are sensitive in detecting DILI, they are neither specific nor able to predict the patient's subsequent clinical course. Genetic risk assessment is useful mainly due to its high negative predictive value, with several human leucocyte antigen alleles being associated with DILI. New emerging biomarkers which could be useful in assessing DILI include total keratin18 (K18) and caspase-cleaved keratin18 (ccK18), macrophage colony-stimulating factor receptor 1, high mobility group box 1 and microRNA-122. From the numerous in vitro test systems that are available, monocyte-derived hepatocytes generated from patients with DILI show promise in identifying the DILI-causing agent from among a panel of coprescribed drugs. Several computer-based algorithms are available that rely on cumulative scores of known risk factors such as the administered dose or potential liabilities such as mitochondrial toxicity, inhibition of the bile salt export pump or the formation of reactive metabolites. A novel DILI cluster score is being developed which predicts DILI from multiple complimentary cluster and classification models using absorption-distribution-metabolism-elimination-related as well as physicochemical properties, diverse substructural descriptors and known structural liabilities. The provision of more advanced scientific and regulatory guidance for liver safety assessment will depend on validating the new diagnostic markers in the ongoing DILI registries, biobanks and public-private partnerships. IMPORTANCE OF DILI DIAGNOSIS Drug-induced liver injury (DILI) accounts for &lt;1% of cases of acute liver injury seen by gastroenterolo-gists, but is the most common cause for acute liver failure in the USA and Europe. 1-3 According to surveys in France and Iceland, DILI occurs with an annual incidence of about 14-19 per 100 000 inhabitants. 4 5 DILI is also a leading cause of attrition of compounds in drug development and one of the two most frequent causes for drug withdrawals, restrictions and project terminations (figure 1). 6-11 Of 76 drugs withdrawn from the market between 1969 and 2002, 12 were attributable to liver damage. 12 Whereas liver signals that escape detection during dr…","author":[{"dropping-particle":"","family":"Kullak-Ublick","given":"Gerd A","non-dropping-particle":"","parse-names":false,"suffix":""},{"dropping-particle":"","family":"Andrade","given":"Raul J","non-dropping-particle":"","parse-names":false,"suffix":""},{"dropping-particle":"","family":"Merz","given":"Michael","non-dropping-particle":"","parse-names":false,"suffix":""},{"dropping-particle":"","family":"End","given":"Peter","non-dropping-particle":"","parse-names":false,"suffix":""},{"dropping-particle":"","family":"Benesic","given":"Andreas","non-dropping-particle":"","parse-names":false,"suffix":""},{"dropping-particle":"","family":"Gerbes","given":"Alexander L","non-dropping-particle":"","parse-names":false,"suffix":""},{"dropping-particle":"","family":"Aithal","given":"Guruprasad P","non-dropping-particle":"","parse-names":false,"suffix":""},{"dropping-particle":"","family":"Gerd","given":"Dr","non-dropping-particle":"","parse-names":false,"suffix":""},{"dropping-particle":"","family":"Kullak-Ublick","given":"A","non-dropping-particle":"","parse-names":false,"suffix":""}],"container-title":"Gut","id":"ITEM-1","issued":{"date-parts":[["2017"]]},"page":"1154-1164","title":"Drug-induced liver injury: recent advances in diagnosis and risk assessment Recent advances in clinical practice","type":"article-journal","volume":"66"},"uris":["http://www.mendeley.com/documents/?uuid=c826a9e3-385c-3aba-a71f-f763e7d300e8"]}],"mendeley":{"formattedCitation":"&lt;sup&gt;4&lt;/sup&gt;","plainTextFormattedCitation":"4","previouslyFormattedCitation":"&lt;sup&gt;4&lt;/sup&gt;"},"properties":{"noteIndex":0},"schema":"https://github.com/citation-style-language/schema/raw/master/csl-citation.json"}</w:instrText>
      </w:r>
      <w:r w:rsidR="00ED7E03" w:rsidRPr="005C2E62">
        <w:rPr>
          <w:bCs/>
        </w:rPr>
        <w:fldChar w:fldCharType="separate"/>
      </w:r>
      <w:r w:rsidR="00D71661" w:rsidRPr="00D71661">
        <w:rPr>
          <w:bCs/>
          <w:noProof/>
          <w:vertAlign w:val="superscript"/>
        </w:rPr>
        <w:t>4</w:t>
      </w:r>
      <w:r w:rsidR="00ED7E03" w:rsidRPr="005C2E62">
        <w:rPr>
          <w:bCs/>
        </w:rPr>
        <w:fldChar w:fldCharType="end"/>
      </w:r>
      <w:r w:rsidR="00D16E0D" w:rsidRPr="005C2E62">
        <w:rPr>
          <w:bCs/>
        </w:rPr>
        <w:t xml:space="preserve">. </w:t>
      </w:r>
      <w:r w:rsidR="00123810" w:rsidRPr="005C2E62">
        <w:rPr>
          <w:bCs/>
        </w:rPr>
        <w:t xml:space="preserve">Unfortunately, DILI is often not detected until drugs have reached the clinical stages of the drug development process. </w:t>
      </w:r>
      <w:r w:rsidR="00683721" w:rsidRPr="005C2E62">
        <w:rPr>
          <w:bCs/>
        </w:rPr>
        <w:t>Drug-</w:t>
      </w:r>
      <w:r w:rsidR="00726FDB" w:rsidRPr="005C2E62">
        <w:rPr>
          <w:bCs/>
        </w:rPr>
        <w:t xml:space="preserve">induced liver injury rank </w:t>
      </w:r>
      <w:r w:rsidR="00683721" w:rsidRPr="005C2E62">
        <w:rPr>
          <w:bCs/>
        </w:rPr>
        <w:t xml:space="preserve">(or DILIrank) consists of more than a thousand FDA-approved </w:t>
      </w:r>
      <w:r w:rsidR="00BD5390">
        <w:rPr>
          <w:bCs/>
        </w:rPr>
        <w:t>medicines</w:t>
      </w:r>
      <w:r w:rsidR="00683721" w:rsidRPr="005C2E62">
        <w:rPr>
          <w:bCs/>
        </w:rPr>
        <w:t xml:space="preserve"> that are divided into four classes according to their potential for causing DILI</w:t>
      </w:r>
      <w:r w:rsidR="00726FDB">
        <w:rPr>
          <w:bCs/>
        </w:rPr>
        <w:t>,</w:t>
      </w:r>
      <w:r w:rsidR="00CF58E9">
        <w:rPr>
          <w:bCs/>
        </w:rPr>
        <w:t xml:space="preserve"> </w:t>
      </w:r>
      <w:r w:rsidR="00BD5390">
        <w:rPr>
          <w:bCs/>
        </w:rPr>
        <w:t>and their use in patients must be closely monitored</w:t>
      </w:r>
      <w:r w:rsidR="00683721" w:rsidRPr="005C2E62">
        <w:rPr>
          <w:bCs/>
        </w:rPr>
        <w:fldChar w:fldCharType="begin" w:fldLock="1"/>
      </w:r>
      <w:r w:rsidR="00FF1EA1">
        <w:rPr>
          <w:bCs/>
        </w:rPr>
        <w:instrText>ADDIN CSL_CITATION {"citationItems":[{"id":"ITEM-1","itemData":{"DOI":"10.1038/S41598-021-85708-2","abstract":"Drug-induced liver injury (DILI) causes one in three market withdrawals due to adverse drug reactions, causing preventable human suffering and massive financial loss. We applied evidence-based methods to investigate the role of preclinical studies in predicting human DILI using two anti-diabetic drugs from the same class, but with different toxicological profiles: troglitazone (withdrawn from US market due to DILI) and rosiglitazone (remains on US market). Evidence Stream 1: A systematic literature review of in vivo studies on rosiglitazone or troglitazone was conducted (PROSPERO registration CRD42018112353). Evidence Stream 2: in vitro data on troglitazone and rosiglitazone were retrieved from the US EPA ToxCast database. Evidence Stream 3: troglitazone- and rosiglitazone-related DILI cases were retrieved from WHO Vigibase. All three evidence stream analyses were conducted according to evidence-based methodologies and performed according to pre-registered protocols. Evidence Stream 1: 9288 references were identified, with 42 studies included in analysis. No reported biomarker for either drug indicated a strong hazard signal in either preclinical animal or human studies. All included studies had substantial limitations, resulting in “low” or “very low” certainty in findings. Evidence Stream 2: Troglitazone was active in twice as many in vitro assays (129) as rosiglitazone (60), indicating a strong signal for more off-target effects. Evidence Stream 3: We observed a fivefold difference in both all adverse events and liver-related adverse events reported, and an eightfold difference in fatalities for troglitazone, compared to rosiglitazone. In summary, published animal and human trials failed to predict troglitazone’s potential to cause severe liver injury in a wider patient population, while in vitro data showed marked differences in the two drugs’ off-target activities, offering a new paradigm for reducing drug attrition in late development and in the market. This investigation concludes that death and disability due to adverse drug reactions may be prevented if mechanistic information is deployed at early stages of drug development by pharmaceutical companies and is considered by regulators as a part of regulatory submissions.","author":[{"dropping-particle":"","family":"Dirven","given":"Hubert","non-dropping-particle":"","parse-names":false,"suffix":""},{"dropping-particle":"","family":"Vist","given":"Gunn E.","non-dropping-particle":"","parse-names":false,"suffix":""},{"dropping-particle":"","family":"Bandhakavi","given":"Sricharan","non-dropping-particle":"","parse-names":false,"suffix":""},{"dropping-particle":"","family":"Mehta","given":"Jyotsna","non-dropping-particle":"","parse-names":false,"suffix":""},{"dropping-particle":"","family":"Fitch","given":"Seneca E.","non-dropping-particle":"","parse-names":false,"suffix":""},{"dropping-particle":"","family":"Pound","given":"Pandora","non-dropping-particle":"","parse-names":false,"suffix":""},{"dropping-particle":"","family":"Ram","given":"Rebecca","non-dropping-particle":"","parse-names":false,"suffix":""},{"dropping-particle":"","family":"Kincaid","given":"Breanne","non-dropping-particle":"","parse-names":false,"suffix":""},{"dropping-particle":"","family":"Leenaars","given":"Cathalijn H.C.","non-dropping-particle":"","parse-names":false,"suffix":""},{"dropping-particle":"","family":"Chen","given":"Minjun","non-dropping-particle":"","parse-names":false,"suffix":""},{"dropping-particle":"","family":"Wright","given":"Robert A.","non-dropping-particle":"","parse-names":false,"suffix":""},{"dropping-particle":"","family":"Tsaioun","given":"Katya","non-dropping-particle":"","parse-names":false,"suffix":""}],"container-title":"Scientific Reports","id":"ITEM-1","issue":"1","issued":{"date-parts":[["2021","12","1"]]},"publisher":"Nature Research","title":"Performance of preclinical models in predicting drug-induced liver injury in humans: a systematic review","type":"article-journal","volume":"11"},"uris":["http://www.mendeley.com/documents/?uuid=ecfe58f1-e9c2-3730-b794-43665e425901"]}],"mendeley":{"formattedCitation":"&lt;sup&gt;5&lt;/sup&gt;","plainTextFormattedCitation":"5","previouslyFormattedCitation":"&lt;sup&gt;5&lt;/sup&gt;"},"properties":{"noteIndex":0},"schema":"https://github.com/citation-style-language/schema/raw/master/csl-citation.json"}</w:instrText>
      </w:r>
      <w:r w:rsidR="00683721" w:rsidRPr="005C2E62">
        <w:rPr>
          <w:bCs/>
        </w:rPr>
        <w:fldChar w:fldCharType="separate"/>
      </w:r>
      <w:r w:rsidR="00D71661" w:rsidRPr="00D71661">
        <w:rPr>
          <w:bCs/>
          <w:noProof/>
          <w:vertAlign w:val="superscript"/>
        </w:rPr>
        <w:t>5</w:t>
      </w:r>
      <w:r w:rsidR="00683721" w:rsidRPr="005C2E62">
        <w:rPr>
          <w:bCs/>
        </w:rPr>
        <w:fldChar w:fldCharType="end"/>
      </w:r>
      <w:r w:rsidR="00683721" w:rsidRPr="005C2E62">
        <w:rPr>
          <w:bCs/>
        </w:rPr>
        <w:t>.</w:t>
      </w:r>
    </w:p>
    <w:p w14:paraId="1E810254" w14:textId="77777777" w:rsidR="003C7D99" w:rsidRPr="005C2E62" w:rsidRDefault="003C7D99" w:rsidP="003C7D99">
      <w:pPr>
        <w:rPr>
          <w:bCs/>
        </w:rPr>
      </w:pPr>
    </w:p>
    <w:p w14:paraId="4E06E59C" w14:textId="4C7E9CD3" w:rsidR="009B7DCB" w:rsidRPr="00514E59" w:rsidRDefault="00F333F6" w:rsidP="00A01275">
      <w:pPr>
        <w:rPr>
          <w:rFonts w:asciiTheme="majorHAnsi" w:hAnsiTheme="majorHAnsi" w:cstheme="majorHAnsi"/>
          <w:color w:val="000000"/>
        </w:rPr>
      </w:pPr>
      <w:r>
        <w:rPr>
          <w:bCs/>
        </w:rPr>
        <w:t xml:space="preserve">Studying mechanisms of </w:t>
      </w:r>
      <w:r w:rsidR="00DC65C2">
        <w:rPr>
          <w:bCs/>
        </w:rPr>
        <w:t>drug hepatotoxicity re</w:t>
      </w:r>
      <w:r w:rsidR="00D318B2">
        <w:rPr>
          <w:bCs/>
        </w:rPr>
        <w:t>m</w:t>
      </w:r>
      <w:r w:rsidR="00BD2D88">
        <w:rPr>
          <w:bCs/>
        </w:rPr>
        <w:t>ain</w:t>
      </w:r>
      <w:r w:rsidR="00FA23E9">
        <w:rPr>
          <w:bCs/>
        </w:rPr>
        <w:t>s</w:t>
      </w:r>
      <w:r w:rsidR="00BD2D88">
        <w:rPr>
          <w:bCs/>
        </w:rPr>
        <w:t xml:space="preserve"> very challenging</w:t>
      </w:r>
      <w:r w:rsidR="00726FDB">
        <w:rPr>
          <w:bCs/>
        </w:rPr>
        <w:t>,</w:t>
      </w:r>
      <w:r w:rsidR="003C7D99" w:rsidRPr="005C2E62">
        <w:rPr>
          <w:bCs/>
        </w:rPr>
        <w:t xml:space="preserve"> and </w:t>
      </w:r>
      <w:r w:rsidR="00891DFF">
        <w:rPr>
          <w:bCs/>
        </w:rPr>
        <w:t>therefore</w:t>
      </w:r>
      <w:r w:rsidR="00726FDB">
        <w:rPr>
          <w:bCs/>
        </w:rPr>
        <w:t>,</w:t>
      </w:r>
      <w:r w:rsidR="00891DFF">
        <w:rPr>
          <w:bCs/>
        </w:rPr>
        <w:t xml:space="preserve"> many</w:t>
      </w:r>
      <w:r w:rsidR="003C7D99" w:rsidRPr="005C2E62">
        <w:rPr>
          <w:bCs/>
        </w:rPr>
        <w:t xml:space="preserve"> preclinical </w:t>
      </w:r>
      <w:r w:rsidR="00891DFF">
        <w:rPr>
          <w:bCs/>
        </w:rPr>
        <w:t xml:space="preserve">models </w:t>
      </w:r>
      <w:r w:rsidR="003C7D99" w:rsidRPr="005C2E62">
        <w:rPr>
          <w:bCs/>
        </w:rPr>
        <w:t xml:space="preserve">have </w:t>
      </w:r>
      <w:r w:rsidR="00891DFF">
        <w:rPr>
          <w:bCs/>
        </w:rPr>
        <w:t xml:space="preserve">been developed to </w:t>
      </w:r>
      <w:r w:rsidR="004F09BA">
        <w:rPr>
          <w:bCs/>
        </w:rPr>
        <w:t>explore mechanisms of DILI.</w:t>
      </w:r>
      <w:r w:rsidR="00891DFF">
        <w:rPr>
          <w:bCs/>
        </w:rPr>
        <w:t xml:space="preserve"> </w:t>
      </w:r>
      <w:r w:rsidR="003C7D99" w:rsidRPr="005C2E62">
        <w:rPr>
          <w:bCs/>
        </w:rPr>
        <w:t xml:space="preserve">Current </w:t>
      </w:r>
      <w:r w:rsidR="003C7D99" w:rsidRPr="00964850">
        <w:rPr>
          <w:bCs/>
          <w:i/>
          <w:iCs/>
        </w:rPr>
        <w:t>in vitro</w:t>
      </w:r>
      <w:r w:rsidR="003C7D99" w:rsidRPr="005C2E62">
        <w:rPr>
          <w:bCs/>
        </w:rPr>
        <w:t xml:space="preserve"> and </w:t>
      </w:r>
      <w:r w:rsidR="003C7D99" w:rsidRPr="00964850">
        <w:rPr>
          <w:bCs/>
          <w:i/>
          <w:iCs/>
        </w:rPr>
        <w:t>in vivo</w:t>
      </w:r>
      <w:r w:rsidR="003C7D99" w:rsidRPr="005C2E62">
        <w:rPr>
          <w:bCs/>
        </w:rPr>
        <w:t xml:space="preserve"> models used to predict DILI in preclinical development have </w:t>
      </w:r>
      <w:r w:rsidR="00BE2A89">
        <w:rPr>
          <w:bCs/>
        </w:rPr>
        <w:t xml:space="preserve">several limitations </w:t>
      </w:r>
      <w:r w:rsidR="00C426F4">
        <w:rPr>
          <w:bCs/>
        </w:rPr>
        <w:t xml:space="preserve">to providing insights </w:t>
      </w:r>
      <w:r w:rsidR="00726FDB">
        <w:rPr>
          <w:bCs/>
        </w:rPr>
        <w:t>in</w:t>
      </w:r>
      <w:r w:rsidR="00C426F4" w:rsidRPr="00C426F4">
        <w:rPr>
          <w:bCs/>
        </w:rPr>
        <w:t xml:space="preserve">to the complex, multifaceted interactions in a living </w:t>
      </w:r>
      <w:r w:rsidR="00C426F4">
        <w:rPr>
          <w:bCs/>
        </w:rPr>
        <w:t xml:space="preserve">human </w:t>
      </w:r>
      <w:r w:rsidR="00C426F4" w:rsidRPr="00C426F4">
        <w:rPr>
          <w:bCs/>
        </w:rPr>
        <w:t xml:space="preserve">body.  </w:t>
      </w:r>
      <w:r w:rsidR="00C426F4" w:rsidRPr="00101909">
        <w:rPr>
          <w:rFonts w:asciiTheme="majorHAnsi" w:hAnsiTheme="majorHAnsi" w:cstheme="majorHAnsi"/>
          <w:color w:val="000000"/>
        </w:rPr>
        <w:t xml:space="preserve">Cancerous hepatic cell lines (i.e., HepG2, HepaRG) </w:t>
      </w:r>
      <w:r w:rsidR="00403332" w:rsidRPr="005204C8">
        <w:rPr>
          <w:rFonts w:asciiTheme="majorHAnsi" w:hAnsiTheme="majorHAnsi" w:cstheme="majorHAnsi"/>
          <w:color w:val="000000"/>
        </w:rPr>
        <w:t>cultured in</w:t>
      </w:r>
      <w:r w:rsidR="00C426F4" w:rsidRPr="00101909">
        <w:rPr>
          <w:rFonts w:asciiTheme="majorHAnsi" w:hAnsiTheme="majorHAnsi" w:cstheme="majorHAnsi"/>
          <w:color w:val="000000"/>
        </w:rPr>
        <w:t xml:space="preserve"> 2</w:t>
      </w:r>
      <w:r w:rsidR="00403332" w:rsidRPr="005204C8">
        <w:rPr>
          <w:rFonts w:asciiTheme="majorHAnsi" w:hAnsiTheme="majorHAnsi" w:cstheme="majorHAnsi"/>
          <w:color w:val="000000"/>
        </w:rPr>
        <w:t>D</w:t>
      </w:r>
      <w:r w:rsidR="00C426F4" w:rsidRPr="00101909">
        <w:rPr>
          <w:rFonts w:asciiTheme="majorHAnsi" w:hAnsiTheme="majorHAnsi" w:cstheme="majorHAnsi"/>
          <w:color w:val="000000"/>
        </w:rPr>
        <w:t xml:space="preserve"> are still used </w:t>
      </w:r>
      <w:r w:rsidR="00101909" w:rsidRPr="005204C8">
        <w:rPr>
          <w:rFonts w:asciiTheme="majorHAnsi" w:hAnsiTheme="majorHAnsi" w:cstheme="majorHAnsi"/>
          <w:color w:val="000000"/>
        </w:rPr>
        <w:t>in the early stages of drug development</w:t>
      </w:r>
      <w:r w:rsidR="00101909" w:rsidRPr="00101909">
        <w:rPr>
          <w:rFonts w:asciiTheme="majorHAnsi" w:hAnsiTheme="majorHAnsi" w:cstheme="majorHAnsi"/>
          <w:color w:val="000000"/>
        </w:rPr>
        <w:t xml:space="preserve"> </w:t>
      </w:r>
      <w:r w:rsidR="00C426F4" w:rsidRPr="00101909">
        <w:rPr>
          <w:rFonts w:asciiTheme="majorHAnsi" w:hAnsiTheme="majorHAnsi" w:cstheme="majorHAnsi"/>
          <w:color w:val="000000"/>
        </w:rPr>
        <w:t>for evaluating the toxicit</w:t>
      </w:r>
      <w:r w:rsidR="00B72866">
        <w:rPr>
          <w:rFonts w:asciiTheme="majorHAnsi" w:hAnsiTheme="majorHAnsi" w:cstheme="majorHAnsi"/>
          <w:color w:val="000000"/>
        </w:rPr>
        <w:t>y</w:t>
      </w:r>
      <w:r w:rsidR="00C426F4" w:rsidRPr="00101909">
        <w:rPr>
          <w:rFonts w:asciiTheme="majorHAnsi" w:hAnsiTheme="majorHAnsi" w:cstheme="majorHAnsi"/>
          <w:color w:val="000000"/>
        </w:rPr>
        <w:t xml:space="preserve"> of candidate compounds</w:t>
      </w:r>
      <w:r w:rsidR="00575B34" w:rsidRPr="00101909">
        <w:rPr>
          <w:rFonts w:asciiTheme="majorHAnsi" w:hAnsiTheme="majorHAnsi" w:cstheme="majorHAnsi"/>
          <w:color w:val="000000"/>
        </w:rPr>
        <w:fldChar w:fldCharType="begin" w:fldLock="1"/>
      </w:r>
      <w:r w:rsidR="003654D6" w:rsidRPr="00101909">
        <w:rPr>
          <w:rFonts w:asciiTheme="majorHAnsi" w:hAnsiTheme="majorHAnsi" w:cstheme="majorHAnsi"/>
          <w:color w:val="000000"/>
        </w:rPr>
        <w:instrText>ADDIN CSL_CITATION {"citationItems":[{"id":"ITEM-1","itemData":{"author":[{"dropping-particle":"","family":"M. T. Donato, A. Lahoz, J. V. Castell","given":"and M. J. Gómez-Lechón","non-dropping-particle":"","parse-names":false,"suffix":""}],"container-title":"Current Drug Metabolism","id":"ITEM-1","issue":"1","issued":{"date-parts":[["2008"]]},"page":"1–11","title":"Cell lines: a tool for in vitro drug metabolism studies","type":"article-journal","volume":"9"},"uris":["http://www.mendeley.com/documents/?uuid=8bb9ff12-2f7d-403e-b5fc-934515ed62d8"]}],"mendeley":{"formattedCitation":"&lt;sup&gt;6&lt;/sup&gt;","plainTextFormattedCitation":"6","previouslyFormattedCitation":"&lt;sup&gt;6&lt;/sup&gt;"},"properties":{"noteIndex":0},"schema":"https://github.com/citation-style-language/schema/raw/master/csl-citation.json"}</w:instrText>
      </w:r>
      <w:r w:rsidR="00575B34" w:rsidRPr="00101909">
        <w:rPr>
          <w:rFonts w:asciiTheme="majorHAnsi" w:hAnsiTheme="majorHAnsi" w:cstheme="majorHAnsi"/>
          <w:color w:val="000000"/>
        </w:rPr>
        <w:fldChar w:fldCharType="separate"/>
      </w:r>
      <w:r w:rsidR="00575B34" w:rsidRPr="00101909">
        <w:rPr>
          <w:rFonts w:asciiTheme="majorHAnsi" w:hAnsiTheme="majorHAnsi" w:cstheme="majorHAnsi"/>
          <w:noProof/>
          <w:color w:val="000000"/>
          <w:vertAlign w:val="superscript"/>
        </w:rPr>
        <w:t>6</w:t>
      </w:r>
      <w:r w:rsidR="00575B34" w:rsidRPr="00101909">
        <w:rPr>
          <w:rFonts w:asciiTheme="majorHAnsi" w:hAnsiTheme="majorHAnsi" w:cstheme="majorHAnsi"/>
          <w:color w:val="000000"/>
        </w:rPr>
        <w:fldChar w:fldCharType="end"/>
      </w:r>
      <w:r w:rsidR="00575B34" w:rsidRPr="00101909">
        <w:rPr>
          <w:rFonts w:asciiTheme="majorHAnsi" w:hAnsiTheme="majorHAnsi" w:cstheme="majorHAnsi"/>
          <w:color w:val="000000"/>
        </w:rPr>
        <w:t>.</w:t>
      </w:r>
      <w:r w:rsidR="00575B34">
        <w:rPr>
          <w:rFonts w:asciiTheme="majorHAnsi" w:hAnsiTheme="majorHAnsi" w:cstheme="majorHAnsi"/>
          <w:color w:val="000000"/>
        </w:rPr>
        <w:t xml:space="preserve"> </w:t>
      </w:r>
      <w:r w:rsidR="00F57888">
        <w:rPr>
          <w:rFonts w:asciiTheme="majorHAnsi" w:hAnsiTheme="majorHAnsi" w:cstheme="majorHAnsi"/>
          <w:color w:val="000000"/>
        </w:rPr>
        <w:t>Even so, the</w:t>
      </w:r>
      <w:r w:rsidR="003F40EC">
        <w:rPr>
          <w:rFonts w:asciiTheme="majorHAnsi" w:hAnsiTheme="majorHAnsi" w:cstheme="majorHAnsi"/>
          <w:color w:val="000000"/>
        </w:rPr>
        <w:t>se cell lines come from single donors</w:t>
      </w:r>
      <w:r w:rsidR="00FD061C">
        <w:rPr>
          <w:rFonts w:asciiTheme="majorHAnsi" w:hAnsiTheme="majorHAnsi" w:cstheme="majorHAnsi"/>
          <w:color w:val="000000"/>
        </w:rPr>
        <w:t xml:space="preserve"> </w:t>
      </w:r>
      <w:r w:rsidR="004E50EE">
        <w:rPr>
          <w:rFonts w:asciiTheme="majorHAnsi" w:hAnsiTheme="majorHAnsi" w:cstheme="majorHAnsi"/>
          <w:color w:val="000000"/>
        </w:rPr>
        <w:t xml:space="preserve">and </w:t>
      </w:r>
      <w:r w:rsidR="002475F6">
        <w:rPr>
          <w:rFonts w:asciiTheme="majorHAnsi" w:hAnsiTheme="majorHAnsi" w:cstheme="majorHAnsi"/>
          <w:color w:val="000000"/>
        </w:rPr>
        <w:t xml:space="preserve">show abnormal levels </w:t>
      </w:r>
      <w:r w:rsidR="00254E74">
        <w:rPr>
          <w:rFonts w:asciiTheme="majorHAnsi" w:hAnsiTheme="majorHAnsi" w:cstheme="majorHAnsi"/>
          <w:color w:val="000000"/>
        </w:rPr>
        <w:t>of</w:t>
      </w:r>
      <w:r w:rsidR="002475F6">
        <w:rPr>
          <w:rFonts w:asciiTheme="majorHAnsi" w:hAnsiTheme="majorHAnsi" w:cstheme="majorHAnsi"/>
          <w:color w:val="000000"/>
        </w:rPr>
        <w:t xml:space="preserve"> liver function</w:t>
      </w:r>
      <w:r w:rsidR="009C51BA">
        <w:rPr>
          <w:rFonts w:asciiTheme="majorHAnsi" w:hAnsiTheme="majorHAnsi" w:cstheme="majorHAnsi"/>
          <w:color w:val="000000"/>
        </w:rPr>
        <w:t xml:space="preserve">, and </w:t>
      </w:r>
      <w:r w:rsidR="00FE112B">
        <w:rPr>
          <w:rFonts w:asciiTheme="majorHAnsi" w:hAnsiTheme="majorHAnsi" w:cstheme="majorHAnsi"/>
          <w:color w:val="000000"/>
        </w:rPr>
        <w:t xml:space="preserve">do not </w:t>
      </w:r>
      <w:r w:rsidR="003654D6">
        <w:rPr>
          <w:rFonts w:asciiTheme="majorHAnsi" w:hAnsiTheme="majorHAnsi" w:cstheme="majorHAnsi"/>
          <w:color w:val="000000"/>
        </w:rPr>
        <w:t xml:space="preserve">always </w:t>
      </w:r>
      <w:r w:rsidR="00FE112B">
        <w:rPr>
          <w:rFonts w:asciiTheme="majorHAnsi" w:hAnsiTheme="majorHAnsi" w:cstheme="majorHAnsi"/>
          <w:color w:val="000000"/>
        </w:rPr>
        <w:t>exhibit high sensitivity for detection of DILI</w:t>
      </w:r>
      <w:r w:rsidR="00CB267A">
        <w:rPr>
          <w:rFonts w:asciiTheme="majorHAnsi" w:hAnsiTheme="majorHAnsi" w:cstheme="majorHAnsi"/>
          <w:color w:val="000000"/>
        </w:rPr>
        <w:fldChar w:fldCharType="begin" w:fldLock="1"/>
      </w:r>
      <w:r w:rsidR="007E03BB">
        <w:rPr>
          <w:rFonts w:asciiTheme="majorHAnsi" w:hAnsiTheme="majorHAnsi" w:cstheme="majorHAnsi"/>
          <w:color w:val="000000"/>
        </w:rPr>
        <w:instrText>ADDIN CSL_CITATION {"citationItems":[{"id":"ITEM-1","itemData":{"author":[{"dropping-particle":"","family":"S. Wilkening, F. Stahl","given":"and A. Bader","non-dropping-particle":"","parse-names":false,"suffix":""}],"container-title":"Drug Metabolism and Disposition","id":"ITEM-1","issue":"8","issued":{"date-parts":[["2003"]]},"page":"1035–1042","title":"Comparison of primary human hepatocytes and hepatoma cell line HepG2 with regard to their biotransformation properties","type":"article-journal","volume":"31"},"uris":["http://www.mendeley.com/documents/?uuid=56e520d6-575b-426d-98c6-d14cf9fefa45"]},{"id":"ITEM-2","itemData":{"author":[{"dropping-particle":"","family":"H. H. J. Gerets, K. Tilmant","given":"B. Gerin et al.","non-dropping-particle":"","parse-names":false,"suffix":""}],"container-title":"Cell Biology and Toxicology,","id":"ITEM-2","issue":"2","issued":{"date-parts":[["2012"]]},"page":"69-87","title":"Characterization of primary human hepatocytes, HepG2 cells, and HepaRG cells at the mRNA level and CYP activity in response to inducers and their predictivity for the detection of human hepatotoxins","type":"article-journal","volume":"28"},"uris":["http://www.mendeley.com/documents/?uuid=76b81cdc-2588-47ac-a0ab-70f90ebf39d5"]}],"mendeley":{"formattedCitation":"&lt;sup&gt;7, 8&lt;/sup&gt;","plainTextFormattedCitation":"7, 8","previouslyFormattedCitation":"&lt;sup&gt;7, 8&lt;/sup&gt;"},"properties":{"noteIndex":0},"schema":"https://github.com/citation-style-language/schema/raw/master/csl-citation.json"}</w:instrText>
      </w:r>
      <w:r w:rsidR="00CB267A">
        <w:rPr>
          <w:rFonts w:asciiTheme="majorHAnsi" w:hAnsiTheme="majorHAnsi" w:cstheme="majorHAnsi"/>
          <w:color w:val="000000"/>
        </w:rPr>
        <w:fldChar w:fldCharType="separate"/>
      </w:r>
      <w:r w:rsidR="00730E00" w:rsidRPr="00730E00">
        <w:rPr>
          <w:rFonts w:asciiTheme="majorHAnsi" w:hAnsiTheme="majorHAnsi" w:cstheme="majorHAnsi"/>
          <w:noProof/>
          <w:color w:val="000000"/>
          <w:vertAlign w:val="superscript"/>
        </w:rPr>
        <w:t>7, 8</w:t>
      </w:r>
      <w:r w:rsidR="00CB267A">
        <w:rPr>
          <w:rFonts w:asciiTheme="majorHAnsi" w:hAnsiTheme="majorHAnsi" w:cstheme="majorHAnsi"/>
          <w:color w:val="000000"/>
        </w:rPr>
        <w:fldChar w:fldCharType="end"/>
      </w:r>
      <w:r w:rsidR="00CB267A">
        <w:rPr>
          <w:rFonts w:asciiTheme="majorHAnsi" w:hAnsiTheme="majorHAnsi" w:cstheme="majorHAnsi"/>
          <w:color w:val="000000"/>
        </w:rPr>
        <w:t xml:space="preserve">. </w:t>
      </w:r>
      <w:r w:rsidR="00790124">
        <w:rPr>
          <w:rFonts w:asciiTheme="majorHAnsi" w:hAnsiTheme="majorHAnsi" w:cstheme="majorHAnsi"/>
          <w:color w:val="000000"/>
        </w:rPr>
        <w:t>As an alternative</w:t>
      </w:r>
      <w:r w:rsidR="007A1F30">
        <w:rPr>
          <w:rFonts w:asciiTheme="majorHAnsi" w:hAnsiTheme="majorHAnsi" w:cstheme="majorHAnsi"/>
          <w:color w:val="000000"/>
        </w:rPr>
        <w:t xml:space="preserve"> to cancerous hepatic cell lines</w:t>
      </w:r>
      <w:r w:rsidR="00790124">
        <w:rPr>
          <w:rFonts w:asciiTheme="majorHAnsi" w:hAnsiTheme="majorHAnsi" w:cstheme="majorHAnsi"/>
          <w:color w:val="000000"/>
        </w:rPr>
        <w:t xml:space="preserve">, </w:t>
      </w:r>
      <w:r w:rsidR="009B7DCB">
        <w:rPr>
          <w:rFonts w:asciiTheme="majorHAnsi" w:hAnsiTheme="majorHAnsi" w:cstheme="majorHAnsi"/>
          <w:color w:val="000000"/>
        </w:rPr>
        <w:t>PHHs</w:t>
      </w:r>
      <w:r w:rsidR="00542B45">
        <w:rPr>
          <w:rFonts w:asciiTheme="majorHAnsi" w:hAnsiTheme="majorHAnsi" w:cstheme="majorHAnsi"/>
          <w:color w:val="000000"/>
        </w:rPr>
        <w:t xml:space="preserve"> </w:t>
      </w:r>
      <w:r w:rsidR="00660ED4">
        <w:rPr>
          <w:rFonts w:asciiTheme="majorHAnsi" w:hAnsiTheme="majorHAnsi" w:cstheme="majorHAnsi"/>
          <w:color w:val="000000"/>
        </w:rPr>
        <w:t xml:space="preserve">better represent human liver physiology if cultured appropriately </w:t>
      </w:r>
      <w:r w:rsidR="00660ED4" w:rsidRPr="00964850">
        <w:rPr>
          <w:rFonts w:asciiTheme="majorHAnsi" w:hAnsiTheme="majorHAnsi" w:cstheme="majorHAnsi"/>
          <w:i/>
          <w:iCs/>
          <w:color w:val="000000"/>
        </w:rPr>
        <w:t>in vitro</w:t>
      </w:r>
      <w:r w:rsidR="007A1F30">
        <w:rPr>
          <w:rFonts w:asciiTheme="majorHAnsi" w:hAnsiTheme="majorHAnsi" w:cstheme="majorHAnsi"/>
          <w:color w:val="000000"/>
        </w:rPr>
        <w:t>,</w:t>
      </w:r>
      <w:r w:rsidR="00660ED4">
        <w:rPr>
          <w:rFonts w:asciiTheme="majorHAnsi" w:hAnsiTheme="majorHAnsi" w:cstheme="majorHAnsi"/>
          <w:color w:val="000000"/>
        </w:rPr>
        <w:t xml:space="preserve"> </w:t>
      </w:r>
      <w:r w:rsidR="003E1945">
        <w:rPr>
          <w:rFonts w:asciiTheme="majorHAnsi" w:hAnsiTheme="majorHAnsi" w:cstheme="majorHAnsi"/>
          <w:color w:val="000000"/>
        </w:rPr>
        <w:t>although</w:t>
      </w:r>
      <w:r w:rsidR="00660ED4">
        <w:rPr>
          <w:rFonts w:asciiTheme="majorHAnsi" w:hAnsiTheme="majorHAnsi" w:cstheme="majorHAnsi"/>
          <w:color w:val="000000"/>
        </w:rPr>
        <w:t xml:space="preserve"> </w:t>
      </w:r>
      <w:r w:rsidR="00F62145">
        <w:rPr>
          <w:rFonts w:asciiTheme="majorHAnsi" w:hAnsiTheme="majorHAnsi" w:cstheme="majorHAnsi"/>
          <w:color w:val="000000"/>
        </w:rPr>
        <w:t xml:space="preserve">several limitations </w:t>
      </w:r>
      <w:r w:rsidR="00A05F2B">
        <w:rPr>
          <w:bCs/>
        </w:rPr>
        <w:t>exist with their culture,</w:t>
      </w:r>
      <w:r w:rsidR="00E446DE">
        <w:rPr>
          <w:rFonts w:asciiTheme="majorHAnsi" w:hAnsiTheme="majorHAnsi" w:cstheme="majorHAnsi"/>
          <w:color w:val="000000"/>
        </w:rPr>
        <w:t xml:space="preserve"> </w:t>
      </w:r>
      <w:r w:rsidR="008D1A21">
        <w:rPr>
          <w:rFonts w:asciiTheme="majorHAnsi" w:hAnsiTheme="majorHAnsi" w:cstheme="majorHAnsi"/>
          <w:color w:val="000000"/>
        </w:rPr>
        <w:t xml:space="preserve">like </w:t>
      </w:r>
      <w:r w:rsidR="008C1DBA">
        <w:rPr>
          <w:rFonts w:asciiTheme="majorHAnsi" w:hAnsiTheme="majorHAnsi" w:cstheme="majorHAnsi"/>
          <w:color w:val="000000"/>
        </w:rPr>
        <w:t>short</w:t>
      </w:r>
      <w:r w:rsidR="008D1A21">
        <w:rPr>
          <w:rFonts w:asciiTheme="majorHAnsi" w:hAnsiTheme="majorHAnsi" w:cstheme="majorHAnsi"/>
          <w:color w:val="000000"/>
        </w:rPr>
        <w:t xml:space="preserve"> incubation time </w:t>
      </w:r>
      <w:r w:rsidR="008C1DBA">
        <w:rPr>
          <w:rFonts w:asciiTheme="majorHAnsi" w:hAnsiTheme="majorHAnsi" w:cstheme="majorHAnsi"/>
          <w:color w:val="000000"/>
        </w:rPr>
        <w:t>with drugs, relatively short life span</w:t>
      </w:r>
      <w:r w:rsidR="00514E59">
        <w:rPr>
          <w:rFonts w:asciiTheme="majorHAnsi" w:hAnsiTheme="majorHAnsi" w:cstheme="majorHAnsi"/>
          <w:color w:val="000000"/>
        </w:rPr>
        <w:t xml:space="preserve">, </w:t>
      </w:r>
      <w:r w:rsidR="00E3280B" w:rsidRPr="005C2E62">
        <w:rPr>
          <w:bCs/>
        </w:rPr>
        <w:t>loss of hepatic gene expression</w:t>
      </w:r>
      <w:r w:rsidR="00726FDB">
        <w:rPr>
          <w:bCs/>
        </w:rPr>
        <w:t>,</w:t>
      </w:r>
      <w:r w:rsidR="00E3280B" w:rsidRPr="005C2E62">
        <w:rPr>
          <w:bCs/>
        </w:rPr>
        <w:t xml:space="preserve"> </w:t>
      </w:r>
      <w:r w:rsidR="0058420F" w:rsidRPr="005C2E62">
        <w:rPr>
          <w:bCs/>
        </w:rPr>
        <w:t>and</w:t>
      </w:r>
      <w:r w:rsidR="00E3280B" w:rsidRPr="005C2E62">
        <w:rPr>
          <w:bCs/>
        </w:rPr>
        <w:t xml:space="preserve"> changes of </w:t>
      </w:r>
      <w:r w:rsidR="0058420F" w:rsidRPr="005C2E62">
        <w:rPr>
          <w:bCs/>
        </w:rPr>
        <w:t xml:space="preserve">drug </w:t>
      </w:r>
      <w:r w:rsidR="00E3280B" w:rsidRPr="005C2E62">
        <w:rPr>
          <w:bCs/>
        </w:rPr>
        <w:t>metabolic functions</w:t>
      </w:r>
      <w:r w:rsidR="00801C73" w:rsidRPr="005C2E62">
        <w:rPr>
          <w:bCs/>
        </w:rPr>
        <w:fldChar w:fldCharType="begin" w:fldLock="1"/>
      </w:r>
      <w:r w:rsidR="00CB267A">
        <w:rPr>
          <w:bCs/>
        </w:rPr>
        <w:instrText>ADDIN CSL_CITATION {"citationItems":[{"id":"ITEM-1","itemData":{"DOI":"10.1007/s11095-006-0255-0","ISBN":"1109500602550","ISSN":"07248741","abstract":"Purpose. The aim of this study was to compare the effect of liquid-covered culture (LCC) and air-interfaced culture (AIC) on Calu-3 cell layer morphology and permeability, thus assessing the fitness of these culture systems as models of airway epithelium barrier function. Methods. Cell layers were grown on 0.33 cm2 Transwell polyester cell culture supports. Cell layers grown using LCC and AIC were evaluated by using light and electron microscopy, transepithelial electrical resistance (TER), and permeability to the transepithelial flux of fluorescein sodium (flu-Na), and by varying molecular weight dextrans labeled with fluorescein isothiocyanate (FITC-dex). The tight junction protein, zona occludens protein-1 (ZO-1), was visualized by confocal microscopy and apical glycoprotein secretions were identified by using alcian blue. Results. Cells grown via AIC produced a more columnar epithelium with a more rugged apical topography and greater glycoprotein secretion compared to cells grown via LCC. Apical protrusions appearing to be cilia-like structures were observed on occasional cells using AIC, but typical airway ciliated cell phenotypes were not produced under either condition. Secretory granules were observed in cells cultured under both conditions. Cells cultured using LCC exhibited higher levels of ZO-1 protein than the AIC counterpart. The maximal TER of cells using LCC, 1,086 ± 113 Ω cm2 at 11-16 days, was significantly greater than the TER of cells cultured using AIC, 306 ± 53 Ω cm2 at 11-13 days. Apparent permeability (P app ) values for the transport of flu-Na using LCC and AIC were 1.48 ± 0.19×10-7 and 3.36 ± 0.47×10-7 cm s-1, respectively. Transport rates of flu-Na and FITC-dex were inversely proportional to molecular weight, and were significantly lower (p &lt; 0.05) in cell layers grown using LCC than AIC. Renkin analysis fitted the data to single pore populations of radii 7.7 and 11.0 nm for LCC and AIC, respectively. Conclusion. Distinct differences in morphology and permeability result when Calu-3 cells are grown using AIC or LCC. Cells cultured using AIC generate a model more morphologically representative of the airway epithelium than cells cultured using LCC. © 2006 Springer Science + Business Media, Inc.","author":[{"dropping-particle":"","family":"Grainger","given":"Christopher I","non-dropping-particle":"","parse-names":false,"suffix":""},{"dropping-particle":"","family":"Greenwell","given":"Leona L","non-dropping-particle":"","parse-names":false,"suffix":""},{"dropping-particle":"","family":"Lockley","given":"David J","non-dropping-particle":"","parse-names":false,"suffix":""},{"dropping-particle":"","family":"Martin","given":"Gary P","non-dropping-particle":"","parse-names":false,"suffix":""},{"dropping-particle":"","family":"Forbes","given":"Ben","non-dropping-particle":"","parse-names":false,"suffix":""}],"container-title":"Pharmaceutical Research","id":"ITEM-1","issue":"7","issued":{"date-parts":[["2006"]]},"page":"1482-1490","title":"Culture of Calu-3 cells at the air interface provides a representative model of the airway epithelial barrier","type":"article-journal","volume":"23"},"uris":["http://www.mendeley.com/documents/?uuid=7390c2b5-08ec-4e32-a90e-9fe945aa0ace"]},{"id":"ITEM-2","itemData":{"DOI":"10.1016/j.xphs.2020.02.021","ISSN":"15206017","PMID":"32145211","abstract":"Drug-induced liver injury (DILI) remains a challenge and a leading risk for drug discovery. Three-dimensional liver spheroids made from primary human hepatocytes (PHHs) with, or without, other liver cell types can provide more physiological relevance. In comparison to conventional 2-dimensional monolayer culture, our tests with 100 drugs of known DILI status indicate that PHH spheroids are significantly more sensitive in detecting drug-induced hepatotoxicity. To evaluate the role of Kupffer cells (KCs) in drug-induced liver toxicity, we have established conditions for generating co-culture spheroids with PHH and KCs. Inflammatory responses as shown by interleukin 6 secretion can be recapitulated in co-culture spheroids when treated with endotoxin lipopolysaccharides. KCs potentiated the cytotoxicity induced by trovafloxacin in co-culture spheroids at 48 h, but the differences between PHH spheroids and co-culture spheroids became less obvious after a 5-day treatment. Interestingly, a protective role of KCs was shown in co-culture spheroids treated with both acetaminophen and lipopolysaccharides. Additional tests with 14 DILI compounds comparing PHH spheroids and co-culture spheroids showed differential roles of KCs that were compound dependent. In summary, these 3-dimensional liver spheroid models are useful tools to understand the complex mechanisms underlying DILI.","author":[{"dropping-particle":"","family":"Li","given":"Feng","non-dropping-particle":"","parse-names":false,"suffix":""},{"dropping-particle":"","family":"Cao","given":"Li","non-dropping-particle":"","parse-names":false,"suffix":""},{"dropping-particle":"","family":"Parikh","given":"Sweta","non-dropping-particle":"","parse-names":false,"suffix":""},{"dropping-particle":"","family":"Zuo","given":"Rongjun","non-dropping-particle":"","parse-names":false,"suffix":""}],"container-title":"Journal of Pharmaceutical Sciences","id":"ITEM-2","issue":"6","issued":{"date-parts":[["2020"]]},"page":"1912-1923","publisher":"Elsevier Ltd","title":"Three-Dimensional Spheroids With Primary Human Liver Cells and Differential Roles of Kupffer Cells in Drug-Induced Liver Injury","type":"article-journal","volume":"109"},"uris":["http://www.mendeley.com/documents/?uuid=0757227e-9657-4bf6-a192-e4ff4952c8ec"]},{"id":"ITEM-3","itemData":{"DOI":"10.1007/s00204-017-2002-1","ISSN":"14320738","PMID":"28612260","abstract":"Drug-induced liver injury (DILI) continues to be a major source of clinical attrition, precautionary warnings, and post-market withdrawal of drugs. Accordingly, there is a need for more predictive tools to assess hepatotoxicity risk in drug discovery. Three-dimensional (3D) spheroid hepatic cultures have emerged as promising tools to assess mechanisms of hepatotoxicity, as they demonstrate enhanced liver phenotype, metabolic activity, and stability in culture not attainable with conventional two-dimensional hepatic models. Increased sensitivity of these models to drug-induced cytotoxicity has been demonstrated with relatively small panels of hepatotoxicants. However, a comprehensive evaluation of these models is lacking. Here, the predictive value of 3D human liver microtissues (hLiMT) to identify known hepatotoxicants using a panel of 110 drugs with and without clinical DILI has been assessed in comparison to plated two-dimensional primary human hepatocytes (PHH). Compounds were treated long-term (14 days) in hLiMT and acutely (2 days) in PHH to assess drug-induced cytotoxicity over an 8-point concentration range to generate IC50 values. Regardless of comparing IC50 values or exposure-corrected margin of safety values, hLiMT demonstrated increased sensitivity in identifying known hepatotoxicants than PHH, while specificity was consistent across both assays. In addition, hLiMT out performed PHH in correctly classifying hepatotoxicants from different pharmacological classes of molecules. The hLiMT demonstrated sufficient capability to warrant exploratory liver injury biomarker investigation (miR-122, HMGB1, α-GST) in the cell-culture media. Taken together, this study represents the most comprehensive evaluation of 3D spheroid hepatic cultures up to now and supports their utility for hepatotoxicity risk assessment in drug discovery.","author":[{"dropping-particle":"","family":"Proctor","given":"William R.","non-dropping-particle":"","parse-names":false,"suffix":""},{"dropping-particle":"","family":"Foster","given":"Alison J.","non-dropping-particle":"","parse-names":false,"suffix":""},{"dropping-particle":"","family":"Vogt","given":"Jennifer","non-dropping-particle":"","parse-names":false,"suffix":""},{"dropping-particle":"","family":"Summers","given":"Claire","non-dropping-particle":"","parse-names":false,"suffix":""},{"dropping-particle":"","family":"Middleton","given":"Brian","non-dropping-particle":"","parse-names":false,"suffix":""},{"dropping-particle":"","family":"Pilling","given":"Mark A.","non-dropping-particle":"","parse-names":false,"suffix":""},{"dropping-particle":"","family":"Shienson","given":"Daniel","non-dropping-particle":"","parse-names":false,"suffix":""},{"dropping-particle":"","family":"Kijanska","given":"Monika","non-dropping-particle":"","parse-names":false,"suffix":""},{"dropping-particle":"","family":"Ströbel","given":"Simon","non-dropping-particle":"","parse-names":false,"suffix":""},{"dropping-particle":"","family":"Kelm","given":"Jens M.","non-dropping-particle":"","parse-names":false,"suffix":""},{"dropping-particle":"","family":"Morgan","given":"Paul","non-dropping-particle":"","parse-names":false,"suffix":""},{"dropping-particle":"","family":"Messner","given":"Simon","non-dropping-particle":"","parse-names":false,"suffix":""},{"dropping-particle":"","family":"Williams","given":"Dominic","non-dropping-particle":"","parse-names":false,"suffix":""}],"container-title":"Archives of Toxicology","id":"ITEM-3","issue":"8","issued":{"date-parts":[["2017"]]},"page":"2849-2863","publisher":"Springer Berlin Heidelberg","title":"Utility of spherical human liver microtissues for prediction of clinical drug-induced liver injury","type":"article-journal","volume":"91"},"uris":["http://www.mendeley.com/documents/?uuid=13cdc372-fc18-46b4-8de2-15d00991a406"]}],"mendeley":{"formattedCitation":"&lt;sup&gt;9–11&lt;/sup&gt;","plainTextFormattedCitation":"9–11","previouslyFormattedCitation":"&lt;sup&gt;9–11&lt;/sup&gt;"},"properties":{"noteIndex":0},"schema":"https://github.com/citation-style-language/schema/raw/master/csl-citation.json"}</w:instrText>
      </w:r>
      <w:r w:rsidR="00801C73" w:rsidRPr="005C2E62">
        <w:rPr>
          <w:bCs/>
        </w:rPr>
        <w:fldChar w:fldCharType="separate"/>
      </w:r>
      <w:r w:rsidR="00AB41E7" w:rsidRPr="00AB41E7">
        <w:rPr>
          <w:bCs/>
          <w:noProof/>
          <w:vertAlign w:val="superscript"/>
        </w:rPr>
        <w:t>9–11</w:t>
      </w:r>
      <w:r w:rsidR="00801C73" w:rsidRPr="005C2E62">
        <w:rPr>
          <w:bCs/>
        </w:rPr>
        <w:fldChar w:fldCharType="end"/>
      </w:r>
      <w:r w:rsidR="00E35287">
        <w:rPr>
          <w:bCs/>
        </w:rPr>
        <w:t xml:space="preserve">. </w:t>
      </w:r>
      <w:r w:rsidR="00F716F7" w:rsidRPr="005204C8">
        <w:rPr>
          <w:bCs/>
        </w:rPr>
        <w:t>PHHs</w:t>
      </w:r>
      <w:r w:rsidR="009B7DCB" w:rsidRPr="00F716F7">
        <w:rPr>
          <w:bCs/>
        </w:rPr>
        <w:t xml:space="preserve"> can be cultured on extracellular matrix proteins</w:t>
      </w:r>
      <w:r w:rsidR="00EB04A1">
        <w:rPr>
          <w:bCs/>
        </w:rPr>
        <w:t xml:space="preserve"> in standard 2D cell culture plates,</w:t>
      </w:r>
      <w:r w:rsidR="00C711E2" w:rsidRPr="005204C8">
        <w:rPr>
          <w:bCs/>
        </w:rPr>
        <w:t xml:space="preserve"> but</w:t>
      </w:r>
      <w:r w:rsidR="009B7DCB" w:rsidRPr="00F716F7">
        <w:rPr>
          <w:bCs/>
        </w:rPr>
        <w:t xml:space="preserve"> </w:t>
      </w:r>
      <w:r w:rsidR="00536CD7">
        <w:rPr>
          <w:bCs/>
        </w:rPr>
        <w:t>as a downside</w:t>
      </w:r>
      <w:r w:rsidR="00726FDB">
        <w:rPr>
          <w:bCs/>
        </w:rPr>
        <w:t>,</w:t>
      </w:r>
      <w:r w:rsidR="00536CD7">
        <w:rPr>
          <w:bCs/>
        </w:rPr>
        <w:t xml:space="preserve"> the </w:t>
      </w:r>
      <w:r w:rsidR="009B7DCB" w:rsidRPr="00F716F7">
        <w:rPr>
          <w:bCs/>
        </w:rPr>
        <w:t xml:space="preserve">rapid decline in </w:t>
      </w:r>
      <w:r w:rsidR="005179B4" w:rsidRPr="005204C8">
        <w:rPr>
          <w:bCs/>
        </w:rPr>
        <w:t>their function</w:t>
      </w:r>
      <w:r w:rsidR="009B7DCB" w:rsidRPr="00F716F7">
        <w:rPr>
          <w:bCs/>
        </w:rPr>
        <w:t xml:space="preserve"> </w:t>
      </w:r>
      <w:r w:rsidR="00CE48EA">
        <w:rPr>
          <w:bCs/>
        </w:rPr>
        <w:t>means they have</w:t>
      </w:r>
      <w:r w:rsidR="00EC2B6C" w:rsidRPr="005204C8">
        <w:rPr>
          <w:bCs/>
        </w:rPr>
        <w:t xml:space="preserve"> </w:t>
      </w:r>
      <w:r w:rsidR="009B7DCB" w:rsidRPr="00F716F7">
        <w:rPr>
          <w:bCs/>
        </w:rPr>
        <w:t xml:space="preserve">low sensitivity (&lt;50%) </w:t>
      </w:r>
      <w:r w:rsidR="00CE48EA">
        <w:rPr>
          <w:bCs/>
        </w:rPr>
        <w:t>for</w:t>
      </w:r>
      <w:r w:rsidR="00CE48EA" w:rsidRPr="00F716F7">
        <w:rPr>
          <w:bCs/>
        </w:rPr>
        <w:t xml:space="preserve"> </w:t>
      </w:r>
      <w:r w:rsidR="009B7DCB" w:rsidRPr="00F716F7">
        <w:rPr>
          <w:bCs/>
        </w:rPr>
        <w:t>DILI prediction</w:t>
      </w:r>
      <w:r w:rsidR="00476492" w:rsidRPr="00F716F7">
        <w:rPr>
          <w:bCs/>
        </w:rPr>
        <w:fldChar w:fldCharType="begin" w:fldLock="1"/>
      </w:r>
      <w:r w:rsidR="007452C2" w:rsidRPr="00F716F7">
        <w:rPr>
          <w:bCs/>
        </w:rPr>
        <w:instrText>ADDIN CSL_CITATION {"citationItems":[{"id":"ITEM-1","itemData":{"DOI":"10.1155/2016/1829148","ISSN":"23146141","PMID":"27725933","abstract":"Drug-induced liver injury (Dili) is a major cause of drug attrition. Testing drugs on human liver models is essential to mitigate the risk of clinical Dili since animal studies do not always suffice due to species-specific differences in liver pathways. While primary human hepatocytes (PHHs) can be cultured on extracellular matrix proteins, a rapid decline in functions leads to low sensitivity (&lt;50%) in Dili prediction. Semiconductor-driven engineering tools now allow precise control over the hepatocyte microenvironment to enhance and stabilize phenotypic functions. The latest platforms coculture PHHs with stromal cells to achieve hepatic stability and enable crosstalk between the various liver cell types towards capturing complex cellular mechanisms in Dili. The recent introduction of induced pluripotent stem cell-derived human hepatocyte-like cells can potentially allow a better understanding of interindividual differences in idiosyncratic Dili. Liver models are also being coupled to other tissue models via microfluidic perfusion to study the intertissue crosstalk upon drug exposure as in a live organism. Here, we review the major advances being made in the engineering of liver models and readouts as they pertain to Dili investigations. We anticipate that engineered human liver models will reduce drug attrition, animal usage, and cases of Dili in humans.","author":[{"dropping-particle":"","family":"Lin","given":"Christine","non-dropping-particle":"","parse-names":false,"suffix":""},{"dropping-particle":"","family":"Khetani","given":"Salman R.","non-dropping-particle":"","parse-names":false,"suffix":""}],"container-title":"BioMed Research International","id":"ITEM-1","issued":{"date-parts":[["2016"]]},"title":"Advances in Engineered Liver Models for Investigating Drug-Induced Liver Injury","type":"article-journal","volume":"2016"},"uris":["http://www.mendeley.com/documents/?uuid=31c89b7f-d694-448d-adf5-856edbd9c4ed"]}],"mendeley":{"formattedCitation":"&lt;sup&gt;12&lt;/sup&gt;","plainTextFormattedCitation":"12","previouslyFormattedCitation":"&lt;sup&gt;12&lt;/sup&gt;"},"properties":{"noteIndex":0},"schema":"https://github.com/citation-style-language/schema/raw/master/csl-citation.json"}</w:instrText>
      </w:r>
      <w:r w:rsidR="00476492" w:rsidRPr="00F716F7">
        <w:rPr>
          <w:bCs/>
        </w:rPr>
        <w:fldChar w:fldCharType="separate"/>
      </w:r>
      <w:r w:rsidR="00476492" w:rsidRPr="00F716F7">
        <w:rPr>
          <w:bCs/>
          <w:noProof/>
          <w:vertAlign w:val="superscript"/>
        </w:rPr>
        <w:t>12</w:t>
      </w:r>
      <w:r w:rsidR="00476492" w:rsidRPr="00F716F7">
        <w:rPr>
          <w:bCs/>
        </w:rPr>
        <w:fldChar w:fldCharType="end"/>
      </w:r>
      <w:r w:rsidR="00476492" w:rsidRPr="00F716F7">
        <w:rPr>
          <w:bCs/>
        </w:rPr>
        <w:t>.</w:t>
      </w:r>
      <w:r w:rsidR="00476492">
        <w:rPr>
          <w:bCs/>
        </w:rPr>
        <w:t xml:space="preserve"> </w:t>
      </w:r>
    </w:p>
    <w:p w14:paraId="1EA1F0ED" w14:textId="77777777" w:rsidR="00720522" w:rsidRDefault="00720522" w:rsidP="00A01275">
      <w:pPr>
        <w:rPr>
          <w:bCs/>
        </w:rPr>
      </w:pPr>
    </w:p>
    <w:p w14:paraId="7097BD1E" w14:textId="30531B20" w:rsidR="003A1F28" w:rsidRDefault="007F7CC4" w:rsidP="00A01275">
      <w:pPr>
        <w:rPr>
          <w:bCs/>
        </w:rPr>
      </w:pPr>
      <w:r>
        <w:rPr>
          <w:bCs/>
        </w:rPr>
        <w:t xml:space="preserve">On the other hand, </w:t>
      </w:r>
      <w:r w:rsidR="003116F6">
        <w:rPr>
          <w:bCs/>
        </w:rPr>
        <w:t xml:space="preserve">testing on </w:t>
      </w:r>
      <w:r>
        <w:rPr>
          <w:bCs/>
        </w:rPr>
        <w:t>a</w:t>
      </w:r>
      <w:r w:rsidR="003A1F28" w:rsidRPr="003A1F28">
        <w:rPr>
          <w:bCs/>
        </w:rPr>
        <w:t xml:space="preserve">nimal models </w:t>
      </w:r>
      <w:r w:rsidR="003116F6">
        <w:rPr>
          <w:bCs/>
        </w:rPr>
        <w:t>is</w:t>
      </w:r>
      <w:r w:rsidR="003A1F28" w:rsidRPr="003A1F28">
        <w:rPr>
          <w:bCs/>
        </w:rPr>
        <w:t xml:space="preserve"> slow, expensive</w:t>
      </w:r>
      <w:r w:rsidR="00726FDB">
        <w:rPr>
          <w:bCs/>
        </w:rPr>
        <w:t>,</w:t>
      </w:r>
      <w:r w:rsidR="003A1F28" w:rsidRPr="003A1F28">
        <w:rPr>
          <w:bCs/>
        </w:rPr>
        <w:t xml:space="preserve"> and </w:t>
      </w:r>
      <w:r w:rsidR="00233A98">
        <w:rPr>
          <w:bCs/>
        </w:rPr>
        <w:t>need</w:t>
      </w:r>
      <w:r w:rsidR="003116F6">
        <w:rPr>
          <w:bCs/>
        </w:rPr>
        <w:t>s</w:t>
      </w:r>
      <w:r w:rsidR="003A1F28" w:rsidRPr="003A1F28">
        <w:rPr>
          <w:bCs/>
        </w:rPr>
        <w:t xml:space="preserve"> </w:t>
      </w:r>
      <w:r w:rsidR="00726FDB">
        <w:rPr>
          <w:bCs/>
        </w:rPr>
        <w:t xml:space="preserve">a </w:t>
      </w:r>
      <w:r w:rsidR="003A1F28" w:rsidRPr="003A1F28">
        <w:rPr>
          <w:bCs/>
        </w:rPr>
        <w:t>cross-species translation to extrapolate prediction to humans​</w:t>
      </w:r>
      <w:r w:rsidR="007F44E9">
        <w:rPr>
          <w:bCs/>
        </w:rPr>
        <w:t xml:space="preserve">. </w:t>
      </w:r>
      <w:r w:rsidR="00726FDB">
        <w:rPr>
          <w:bCs/>
        </w:rPr>
        <w:t>Most</w:t>
      </w:r>
      <w:r w:rsidR="008B70F6">
        <w:rPr>
          <w:bCs/>
        </w:rPr>
        <w:t xml:space="preserve"> </w:t>
      </w:r>
      <w:r w:rsidR="00B94896">
        <w:rPr>
          <w:bCs/>
        </w:rPr>
        <w:t>newly developed drugs fail to gain approval</w:t>
      </w:r>
      <w:r w:rsidR="00B56B69">
        <w:rPr>
          <w:bCs/>
        </w:rPr>
        <w:t xml:space="preserve"> making this </w:t>
      </w:r>
      <w:r w:rsidR="00E91346">
        <w:rPr>
          <w:bCs/>
        </w:rPr>
        <w:t>process costly and risky</w:t>
      </w:r>
      <w:r w:rsidR="00730E00">
        <w:rPr>
          <w:bCs/>
        </w:rPr>
        <w:fldChar w:fldCharType="begin" w:fldLock="1"/>
      </w:r>
      <w:r w:rsidR="007E03BB">
        <w:rPr>
          <w:bCs/>
        </w:rPr>
        <w:instrText>ADDIN CSL_CITATION {"citationItems":[{"id":"ITEM-1","itemData":{"DOI":"10.1038/S41598-021-85708-2","abstract":"Drug-induced liver injury (DILI) causes one in three market withdrawals due to adverse drug reactions, causing preventable human suffering and massive financial loss. We applied evidence-based methods to investigate the role of preclinical studies in predicting human DILI using two anti-diabetic drugs from the same class, but with different toxicological profiles: troglitazone (withdrawn from US market due to DILI) and rosiglitazone (remains on US market). Evidence Stream 1: A systematic literature review of in vivo studies on rosiglitazone or troglitazone was conducted (PROSPERO registration CRD42018112353). Evidence Stream 2: in vitro data on troglitazone and rosiglitazone were retrieved from the US EPA ToxCast database. Evidence Stream 3: troglitazone- and rosiglitazone-related DILI cases were retrieved from WHO Vigibase. All three evidence stream analyses were conducted according to evidence-based methodologies and performed according to pre-registered protocols. Evidence Stream 1: 9288 references were identified, with 42 studies included in analysis. No reported biomarker for either drug indicated a strong hazard signal in either preclinical animal or human studies. All included studies had substantial limitations, resulting in “low” or “very low” certainty in findings. Evidence Stream 2: Troglitazone was active in twice as many in vitro assays (129) as rosiglitazone (60), indicating a strong signal for more off-target effects. Evidence Stream 3: We observed a fivefold difference in both all adverse events and liver-related adverse events reported, and an eightfold difference in fatalities for troglitazone, compared to rosiglitazone. In summary, published animal and human trials failed to predict troglitazone’s potential to cause severe liver injury in a wider patient population, while in vitro data showed marked differences in the two drugs’ off-target activities, offering a new paradigm for reducing drug attrition in late development and in the market. This investigation concludes that death and disability due to adverse drug reactions may be prevented if mechanistic information is deployed at early stages of drug development by pharmaceutical companies and is considered by regulators as a part of regulatory submissions.","author":[{"dropping-particle":"","family":"Dirven","given":"Hubert","non-dropping-particle":"","parse-names":false,"suffix":""},{"dropping-particle":"","family":"Vist","given":"Gunn E.","non-dropping-particle":"","parse-names":false,"suffix":""},{"dropping-particle":"","family":"Bandhakavi","given":"Sricharan","non-dropping-particle":"","parse-names":false,"suffix":""},{"dropping-particle":"","family":"Mehta","given":"Jyotsna","non-dropping-particle":"","parse-names":false,"suffix":""},{"dropping-particle":"","family":"Fitch","given":"Seneca E.","non-dropping-particle":"","parse-names":false,"suffix":""},{"dropping-particle":"","family":"Pound","given":"Pandora","non-dropping-particle":"","parse-names":false,"suffix":""},{"dropping-particle":"","family":"Ram","given":"Rebecca","non-dropping-particle":"","parse-names":false,"suffix":""},{"dropping-particle":"","family":"Kincaid","given":"Breanne","non-dropping-particle":"","parse-names":false,"suffix":""},{"dropping-particle":"","family":"Leenaars","given":"Cathalijn H.C.","non-dropping-particle":"","parse-names":false,"suffix":""},{"dropping-particle":"","family":"Chen","given":"Minjun","non-dropping-particle":"","parse-names":false,"suffix":""},{"dropping-particle":"","family":"Wright","given":"Robert A.","non-dropping-particle":"","parse-names":false,"suffix":""},{"dropping-particle":"","family":"Tsaioun","given":"Katya","non-dropping-particle":"","parse-names":false,"suffix":""}],"container-title":"Scientific Reports","id":"ITEM-1","issue":"1","issued":{"date-parts":[["2021","12","1"]]},"publisher":"Nature Research","title":"Performance of preclinical models in predicting drug-induced liver injury in humans: a systematic review","type":"article-journal","volume":"11"},"uris":["http://www.mendeley.com/documents/?uuid=ecfe58f1-e9c2-3730-b794-43665e425901"]}],"mendeley":{"formattedCitation":"&lt;sup&gt;5&lt;/sup&gt;","plainTextFormattedCitation":"5","previouslyFormattedCitation":"&lt;sup&gt;5&lt;/sup&gt;"},"properties":{"noteIndex":0},"schema":"https://github.com/citation-style-language/schema/raw/master/csl-citation.json"}</w:instrText>
      </w:r>
      <w:r w:rsidR="00730E00">
        <w:rPr>
          <w:bCs/>
        </w:rPr>
        <w:fldChar w:fldCharType="separate"/>
      </w:r>
      <w:r w:rsidR="00730E00" w:rsidRPr="00730E00">
        <w:rPr>
          <w:bCs/>
          <w:noProof/>
          <w:vertAlign w:val="superscript"/>
        </w:rPr>
        <w:t>5</w:t>
      </w:r>
      <w:r w:rsidR="00730E00">
        <w:rPr>
          <w:bCs/>
        </w:rPr>
        <w:fldChar w:fldCharType="end"/>
      </w:r>
      <w:r w:rsidR="007452C2">
        <w:rPr>
          <w:bCs/>
        </w:rPr>
        <w:t xml:space="preserve">. </w:t>
      </w:r>
      <w:r w:rsidR="001B1656">
        <w:rPr>
          <w:bCs/>
        </w:rPr>
        <w:t>Furthermore, f</w:t>
      </w:r>
      <w:r w:rsidR="003A1F28" w:rsidRPr="003A1F28">
        <w:rPr>
          <w:bCs/>
        </w:rPr>
        <w:t>or testing new human-specific modalities, animal models are less suitable due to gene sequence or immunological response differences versus humans</w:t>
      </w:r>
      <w:r w:rsidR="00D52CC3">
        <w:rPr>
          <w:bCs/>
        </w:rPr>
        <w:fldChar w:fldCharType="begin" w:fldLock="1"/>
      </w:r>
      <w:r w:rsidR="001D260F">
        <w:rPr>
          <w:bCs/>
        </w:rPr>
        <w:instrText>ADDIN CSL_CITATION {"citationItems":[{"id":"ITEM-1","itemData":{"author":[{"dropping-particle":"","family":"Olson","given":"H. et al.","non-dropping-particle":"","parse-names":false,"suffix":""}],"container-title":"Regul. Toxicol. Pharmacol.","id":"ITEM-1","issued":{"date-parts":[["2000"]]},"page":"56–67","title":"Concordance of the toxicity of pharmaceuticals in humans and in animals.","type":"article-journal","volume":"32(1)"},"uris":["http://www.mendeley.com/documents/?uuid=735416cb-6c0c-4773-a01a-f56193b4c6c1"]}],"mendeley":{"formattedCitation":"&lt;sup&gt;13&lt;/sup&gt;","plainTextFormattedCitation":"13","previouslyFormattedCitation":"&lt;sup&gt;13&lt;/sup&gt;"},"properties":{"noteIndex":0},"schema":"https://github.com/citation-style-language/schema/raw/master/csl-citation.json"}</w:instrText>
      </w:r>
      <w:r w:rsidR="00D52CC3">
        <w:rPr>
          <w:bCs/>
        </w:rPr>
        <w:fldChar w:fldCharType="separate"/>
      </w:r>
      <w:r w:rsidR="007E03BB" w:rsidRPr="007E03BB">
        <w:rPr>
          <w:bCs/>
          <w:noProof/>
          <w:vertAlign w:val="superscript"/>
        </w:rPr>
        <w:t>13</w:t>
      </w:r>
      <w:r w:rsidR="00D52CC3">
        <w:rPr>
          <w:bCs/>
        </w:rPr>
        <w:fldChar w:fldCharType="end"/>
      </w:r>
      <w:r w:rsidR="00D52CC3">
        <w:rPr>
          <w:bCs/>
        </w:rPr>
        <w:t xml:space="preserve">. </w:t>
      </w:r>
    </w:p>
    <w:p w14:paraId="3CA896AF" w14:textId="77777777" w:rsidR="004F09BA" w:rsidRDefault="004F09BA" w:rsidP="003C7D99">
      <w:pPr>
        <w:rPr>
          <w:bCs/>
        </w:rPr>
      </w:pPr>
    </w:p>
    <w:p w14:paraId="415CB141" w14:textId="7F44779C" w:rsidR="007B48E6" w:rsidRPr="005204C8" w:rsidRDefault="00D52CC3" w:rsidP="004533F1">
      <w:pPr>
        <w:rPr>
          <w:bCs/>
          <w:highlight w:val="yellow"/>
        </w:rPr>
      </w:pPr>
      <w:r w:rsidRPr="005C2E62">
        <w:rPr>
          <w:bCs/>
        </w:rPr>
        <w:t>Consequently</w:t>
      </w:r>
      <w:r w:rsidR="00767330" w:rsidRPr="005C2E62">
        <w:rPr>
          <w:bCs/>
        </w:rPr>
        <w:t>,</w:t>
      </w:r>
      <w:r w:rsidR="003C7D99" w:rsidRPr="005C2E62">
        <w:rPr>
          <w:bCs/>
        </w:rPr>
        <w:t xml:space="preserve"> interest </w:t>
      </w:r>
      <w:r w:rsidR="00726FDB">
        <w:rPr>
          <w:bCs/>
        </w:rPr>
        <w:t>in</w:t>
      </w:r>
      <w:r w:rsidR="00726FDB" w:rsidRPr="005C2E62">
        <w:rPr>
          <w:bCs/>
        </w:rPr>
        <w:t xml:space="preserve"> </w:t>
      </w:r>
      <w:r w:rsidR="00205F57">
        <w:rPr>
          <w:bCs/>
        </w:rPr>
        <w:t>more advanced</w:t>
      </w:r>
      <w:r w:rsidR="003C7D99" w:rsidRPr="005C2E62">
        <w:rPr>
          <w:bCs/>
        </w:rPr>
        <w:t xml:space="preserve"> </w:t>
      </w:r>
      <w:r w:rsidR="00290F7A">
        <w:rPr>
          <w:bCs/>
        </w:rPr>
        <w:t>three-dimensional (</w:t>
      </w:r>
      <w:r w:rsidR="003C7D99" w:rsidRPr="005C2E62">
        <w:rPr>
          <w:bCs/>
        </w:rPr>
        <w:t>3D</w:t>
      </w:r>
      <w:r w:rsidR="00290F7A">
        <w:rPr>
          <w:bCs/>
        </w:rPr>
        <w:t>)</w:t>
      </w:r>
      <w:r w:rsidR="003C7D99" w:rsidRPr="005C2E62">
        <w:rPr>
          <w:bCs/>
        </w:rPr>
        <w:t xml:space="preserve"> </w:t>
      </w:r>
      <w:r w:rsidR="00205F57" w:rsidRPr="004B4273">
        <w:rPr>
          <w:bCs/>
          <w:i/>
          <w:iCs/>
        </w:rPr>
        <w:t>in vitro</w:t>
      </w:r>
      <w:r w:rsidR="003C7D99" w:rsidRPr="005C2E62">
        <w:rPr>
          <w:bCs/>
        </w:rPr>
        <w:t xml:space="preserve"> liver models </w:t>
      </w:r>
      <w:r w:rsidR="007D3F3C" w:rsidRPr="005C2E62">
        <w:rPr>
          <w:bCs/>
        </w:rPr>
        <w:t>has exponentially grown</w:t>
      </w:r>
      <w:r w:rsidR="00205F57">
        <w:rPr>
          <w:bCs/>
        </w:rPr>
        <w:t xml:space="preserve">. </w:t>
      </w:r>
      <w:r w:rsidR="00CB3740">
        <w:rPr>
          <w:bCs/>
        </w:rPr>
        <w:t xml:space="preserve">Culturing </w:t>
      </w:r>
      <w:r w:rsidR="000F4AFB" w:rsidRPr="000F4AFB">
        <w:rPr>
          <w:bCs/>
        </w:rPr>
        <w:t>PHH</w:t>
      </w:r>
      <w:r w:rsidR="000F7745">
        <w:rPr>
          <w:bCs/>
        </w:rPr>
        <w:t>s</w:t>
      </w:r>
      <w:r w:rsidR="000F4AFB" w:rsidRPr="000F4AFB">
        <w:rPr>
          <w:bCs/>
        </w:rPr>
        <w:t xml:space="preserve"> as spheroidal structures generated by gravitationa</w:t>
      </w:r>
      <w:r w:rsidR="00845EF6">
        <w:rPr>
          <w:bCs/>
        </w:rPr>
        <w:t xml:space="preserve">l </w:t>
      </w:r>
      <w:r w:rsidR="000F4AFB" w:rsidRPr="000F4AFB">
        <w:rPr>
          <w:bCs/>
        </w:rPr>
        <w:t>aggregation in hanging</w:t>
      </w:r>
      <w:r w:rsidR="00726FDB">
        <w:rPr>
          <w:bCs/>
        </w:rPr>
        <w:t xml:space="preserve"> </w:t>
      </w:r>
      <w:r w:rsidR="000F4AFB" w:rsidRPr="000F4AFB">
        <w:rPr>
          <w:bCs/>
        </w:rPr>
        <w:t xml:space="preserve">drops or on ultralow attachment surfaces represents </w:t>
      </w:r>
      <w:r w:rsidR="00041FD7">
        <w:rPr>
          <w:bCs/>
        </w:rPr>
        <w:t xml:space="preserve">a </w:t>
      </w:r>
      <w:r w:rsidR="000F4AFB" w:rsidRPr="000F4AFB">
        <w:rPr>
          <w:bCs/>
        </w:rPr>
        <w:t>high-throughput method for assessing compound liabilities</w:t>
      </w:r>
      <w:r w:rsidR="00282320">
        <w:rPr>
          <w:bCs/>
        </w:rPr>
        <w:fldChar w:fldCharType="begin" w:fldLock="1"/>
      </w:r>
      <w:r w:rsidR="001D260F">
        <w:rPr>
          <w:bCs/>
        </w:rPr>
        <w:instrText>ADDIN CSL_CITATION {"citationItems":[{"id":"ITEM-1","itemData":{"DOI":"10.1093/toxsci/kfx289","abstract":"Primary human hepatocytes (PHHs) are commonly used for in vitro studies of drug-induced liver injury. However, when cultured as 2D monolayers, PHH lose crucial hepatic functions within hours. This dedifferentiation can be ameliorated when PHHs are cultured in sandwich configuration (2Dsw), particularly when cultures are regularly re-overlaid with extracellular matrix, or as 3D spheroids. In this study, the 6 participating laboratories evaluated the robustness of these 2 model systems made from cryopreserved PHH from the same donors considering both inter-donor and inter-laboratory variability and compared their suitability for use in repeated-dose toxicity studies using 5 different hepatotoxins with different toxicity mechanisms. We found that expression levels of proteins involved in drug absorption, distribution, metabolism, and excretion, as well as catalytic activities of 5 different CYPs, were significantly higher in 3D spheroid cultures, potentially affecting the exposure of the cells to drugs and their metabolites. Furthermore, global proteomic analyses revealed that PHH in 3D spheroid configuration were temporally stable whereas proteomes from the same donors in 2Dsw cultures showed substantial alterations in protein expression patterns over the 14 days in culture. Overall, spheroid cultures were more sensitive to the hepatotoxic compounds investigated, particularly upon long-term exposures, across testing sites with little inter-laboratory or inter-donor variability. The data presented here suggest that repeated-dosing regimens improve the predictivity of in vitro toxicity assays, and that PHH spheroids provide a sensitive and robust system V C The Author(s)","author":[{"dropping-particle":"","family":"Bell","given":"Catherine C","non-dropping-particle":"","parse-names":false,"suffix":""},{"dropping-particle":"","family":"A Dankers","given":"Anita C","non-dropping-particle":"","parse-names":false,"suffix":""},{"dropping-particle":"","family":"Lauschke","given":"Volker M","non-dropping-particle":"","parse-names":false,"suffix":""},{"dropping-particle":"","family":"Sison-Young","given":"Rowena","non-dropping-particle":"","parse-names":false,"suffix":""},{"dropping-particle":"","family":"Jenkins","given":"Roz","non-dropping-particle":"","parse-names":false,"suffix":""},{"dropping-particle":"","family":"Rowe","given":"Cliff","non-dropping-particle":"","parse-names":false,"suffix":""},{"dropping-particle":"","family":"Goldring","given":"Chris E","non-dropping-particle":"","parse-names":false,"suffix":""},{"dropping-particle":"","family":"Park","given":"Kevin","non-dropping-particle":"","parse-names":false,"suffix":""},{"dropping-particle":"","family":"Regan","given":"Sophie L","non-dropping-particle":"","parse-names":false,"suffix":""},{"dropping-particle":"","family":"Walker","given":"Tracy","non-dropping-particle":"","parse-names":false,"suffix":""},{"dropping-particle":"","family":"Schofield","given":"Chris","non-dropping-particle":"","parse-names":false,"suffix":""},{"dropping-particle":"","family":"Audrey Baze","given":"jk","non-dropping-particle":"","parse-names":false,"suffix":""},{"dropping-particle":"","family":"Foster","given":"Alison J","non-dropping-particle":"","parse-names":false,"suffix":""},{"dropping-particle":"","family":"Williams","given":"Dominic P","non-dropping-particle":"","parse-names":false,"suffix":""},{"dropping-particle":"","family":"M van de Ven","given":"Amy W","non-dropping-particle":"","parse-names":false,"suffix":""},{"dropping-particle":"","family":"Jacobs","given":"Frank","non-dropping-particle":"","parse-names":false,"suffix":""},{"dropping-particle":"","family":"Houdt","given":"Jos","non-dropping-particle":"van","parse-names":false,"suffix":""},{"dropping-particle":"","family":"Snoeys","given":"Jan","non-dropping-particle":"","parse-names":false,"suffix":""},{"dropping-particle":"","family":"Juhila","given":"Satu","non-dropping-particle":"","parse-names":false,"suffix":""},{"dropping-particle":"","family":"Richert","given":"Lysiane","non-dropping-particle":"","parse-names":false,"suffix":""},{"dropping-particle":"","family":"Ingelman-Sundberg","given":"Magnus","non-dropping-particle":"","parse-names":false,"suffix":""}],"container-title":"TOXICOLOGICAL SCIENCES","id":"ITEM-1","issue":"2","issued":{"date-parts":[["2018"]]},"page":"655-666","title":"Comparison of Hepatic 2D Sandwich Cultures and 3D Spheroids for Long-term Toxicity Applications: A Multicenter Study","type":"article-journal","volume":"162"},"uris":["http://www.mendeley.com/documents/?uuid=a932d242-b778-3be9-8dcf-8726a05e55c7"]}],"mendeley":{"formattedCitation":"&lt;sup&gt;14&lt;/sup&gt;","plainTextFormattedCitation":"14","previouslyFormattedCitation":"&lt;sup&gt;14&lt;/sup&gt;"},"properties":{"noteIndex":0},"schema":"https://github.com/citation-style-language/schema/raw/master/csl-citation.json"}</w:instrText>
      </w:r>
      <w:r w:rsidR="00282320">
        <w:rPr>
          <w:bCs/>
        </w:rPr>
        <w:fldChar w:fldCharType="separate"/>
      </w:r>
      <w:r w:rsidR="007E03BB" w:rsidRPr="007E03BB">
        <w:rPr>
          <w:bCs/>
          <w:noProof/>
          <w:vertAlign w:val="superscript"/>
        </w:rPr>
        <w:t>14</w:t>
      </w:r>
      <w:r w:rsidR="00282320">
        <w:rPr>
          <w:bCs/>
        </w:rPr>
        <w:fldChar w:fldCharType="end"/>
      </w:r>
      <w:r w:rsidR="00282320">
        <w:rPr>
          <w:bCs/>
        </w:rPr>
        <w:t xml:space="preserve">. </w:t>
      </w:r>
      <w:r w:rsidR="004961BE" w:rsidRPr="002D0B8A">
        <w:rPr>
          <w:bCs/>
        </w:rPr>
        <w:t xml:space="preserve">PHH spheroids have been </w:t>
      </w:r>
      <w:r w:rsidR="00741A84" w:rsidRPr="005204C8">
        <w:rPr>
          <w:bCs/>
        </w:rPr>
        <w:t xml:space="preserve">used to assess DILI in a </w:t>
      </w:r>
      <w:r w:rsidR="00741A84" w:rsidRPr="005204C8">
        <w:rPr>
          <w:bCs/>
        </w:rPr>
        <w:lastRenderedPageBreak/>
        <w:t>disease</w:t>
      </w:r>
      <w:r w:rsidR="00222EF1" w:rsidRPr="005204C8">
        <w:rPr>
          <w:bCs/>
        </w:rPr>
        <w:t>d</w:t>
      </w:r>
      <w:r w:rsidR="00741A84" w:rsidRPr="005204C8">
        <w:rPr>
          <w:bCs/>
        </w:rPr>
        <w:t xml:space="preserve"> background </w:t>
      </w:r>
      <w:r w:rsidR="007C19E0" w:rsidRPr="005204C8">
        <w:rPr>
          <w:bCs/>
        </w:rPr>
        <w:t>(</w:t>
      </w:r>
      <w:r w:rsidR="00222EF1" w:rsidRPr="005204C8">
        <w:rPr>
          <w:bCs/>
        </w:rPr>
        <w:t xml:space="preserve">e.g., </w:t>
      </w:r>
      <w:r w:rsidR="007C19E0" w:rsidRPr="005204C8">
        <w:rPr>
          <w:bCs/>
        </w:rPr>
        <w:t xml:space="preserve">steatosis and </w:t>
      </w:r>
      <w:r w:rsidR="00222EF1" w:rsidRPr="005204C8">
        <w:rPr>
          <w:bCs/>
        </w:rPr>
        <w:t>cholestasis)</w:t>
      </w:r>
      <w:r w:rsidR="004961BE" w:rsidRPr="002D0B8A">
        <w:rPr>
          <w:bCs/>
        </w:rPr>
        <w:fldChar w:fldCharType="begin" w:fldLock="1"/>
      </w:r>
      <w:r w:rsidR="001D260F">
        <w:rPr>
          <w:bCs/>
        </w:rPr>
        <w:instrText>ADDIN CSL_CITATION {"citationItems":[{"id":"ITEM-1","itemData":{"DOI":"10.1038/srep25187","abstract":"Liver biology and function, drug-induced liver injury (DILI) and liver diseases are difficult to study using current in vitro models such as primary human hepatocyte (PHH) monolayer cultures, as their rapid de-differentiation restricts their usefulness substantially. Thus, we have developed and extensively characterized an easily scalable 3D PHH spheroid system in chemically-defined, serum-free conditions. Using whole proteome analyses, we found that PHH spheroids cultured this way were similar to the liver in vivo and even retained their inter-individual variability. Furthermore, PHH spheroids remained phenotypically stable and retained morphology, viability, and hepatocyte-specific functions for culture periods of at least 5 weeks. We show that under chronic exposure, the sensitivity of the hepatocytes drastically increased and toxicity of a set of hepatotoxins was detected at clinically relevant concentrations. An interesting example was the chronic toxicity of fialuridine for which hepatotoxicity was mimicked after repeated-dosing in the PHH spheroid model, not possible to detect using previous in vitro systems. Additionally, we provide proof-of-principle that PHH spheroids can reflect liver pathologies such as cholestasis, steatosis and viral hepatitis. Combined, our results demonstrate that the PHH spheroid system presented here constitutes a versatile and promising in vitro system to study liver function, liver diseases, drug targets and long-term DILI. The liver is a vital organ for synthesis, metabolism and detoxification, but liver diseases and drug-induced liver injury (DILI) can severely impair liver functionality. To study liver biology and function, drug-induced hepato-toxicity and liver diseases, primary human hepatocytes (PHH) are currently considered as the gold standard in vitro model system 1. However, when maintained in conventional 2D monolayer cultures, PHH de-differentiate and rapidly lose hepatocyte-specific functions 2-4. Thus, the utility of conventional 2D PHH cultures for the long-term study of liver biology and assays that require liver-specific functionalities is largely impaired. There is therefore a need for more faithful in vitro models which more accurately reflect in vivo liver biology. To this end, new systems are needed in which stable liver functionality can be maintained for several weeks to enable long-term studies of liver function under normal and diseased conditions. Normal cell physiology and function strongly…","author":[{"dropping-particle":"","family":"Bell","given":"Catherine C","non-dropping-particle":"","parse-names":false,"suffix":""},{"dropping-particle":"","family":"Hendriks","given":"Delilah F G","non-dropping-particle":"","parse-names":false,"suffix":""},{"dropping-particle":"","family":"Moro","given":"Sabrina M L","non-dropping-particle":"","parse-names":false,"suffix":""},{"dropping-particle":"","family":"Ellis","given":"Ewa","non-dropping-particle":"","parse-names":false,"suffix":""},{"dropping-particle":"","family":"Walsh","given":"Joanne","non-dropping-particle":"","parse-names":false,"suffix":""},{"dropping-particle":"","family":"Renblom","given":"Anna","non-dropping-particle":"","parse-names":false,"suffix":""},{"dropping-particle":"","family":"Puigvert","given":"Lisa Fredriksson","non-dropping-particle":"","parse-names":false,"suffix":""},{"dropping-particle":"","family":"Dankers","given":"Anita C A","non-dropping-particle":"","parse-names":false,"suffix":""},{"dropping-particle":"","family":"Jacobs","given":"Frank","non-dropping-particle":"","parse-names":false,"suffix":""},{"dropping-particle":"","family":"Snoeys","given":"Jan","non-dropping-particle":"","parse-names":false,"suffix":""},{"dropping-particle":"","family":"Sison-Young","given":"Rowena L","non-dropping-particle":"","parse-names":false,"suffix":""},{"dropping-particle":"","family":"Jenkins","given":"Rosalind E","non-dropping-particle":"","parse-names":false,"suffix":""},{"dropping-particle":"","family":"Nordling","given":"Åsa","non-dropping-particle":"","parse-names":false,"suffix":""},{"dropping-particle":"","family":"Mkrtchian","given":"Souren","non-dropping-particle":"","parse-names":false,"suffix":""},{"dropping-particle":"","family":"Park","given":"B Kevin","non-dropping-particle":"","parse-names":false,"suffix":""},{"dropping-particle":"","family":"Kitteringham","given":"Neil R","non-dropping-particle":"","parse-names":false,"suffix":""},{"dropping-particle":"","family":"Goldring","given":"Christopher E P","non-dropping-particle":"","parse-names":false,"suffix":""},{"dropping-particle":"","family":"Lauschke","given":"Volker M","non-dropping-particle":"","parse-names":false,"suffix":""},{"dropping-particle":"","family":"Ingelman-Sundberg","given":"Magnus","non-dropping-particle":"","parse-names":false,"suffix":""}],"container-title":"Nature Publishing Group","id":"ITEM-1","issued":{"date-parts":[["2016"]]},"title":"Characterization of primary human hepatocyte spheroids as a model system for drug-induced liver injury, liver function and disease OPEN","type":"article-journal"},"uris":["http://www.mendeley.com/documents/?uuid=1d436c5c-ecd7-3706-8196-fdc500bf2f24"]}],"mendeley":{"formattedCitation":"&lt;sup&gt;15&lt;/sup&gt;","plainTextFormattedCitation":"15","previouslyFormattedCitation":"&lt;sup&gt;15&lt;/sup&gt;"},"properties":{"noteIndex":0},"schema":"https://github.com/citation-style-language/schema/raw/master/csl-citation.json"}</w:instrText>
      </w:r>
      <w:r w:rsidR="004961BE" w:rsidRPr="002D0B8A">
        <w:rPr>
          <w:bCs/>
        </w:rPr>
        <w:fldChar w:fldCharType="separate"/>
      </w:r>
      <w:r w:rsidR="007E03BB" w:rsidRPr="007E03BB">
        <w:rPr>
          <w:bCs/>
          <w:noProof/>
          <w:vertAlign w:val="superscript"/>
        </w:rPr>
        <w:t>15</w:t>
      </w:r>
      <w:r w:rsidR="004961BE" w:rsidRPr="002D0B8A">
        <w:rPr>
          <w:bCs/>
        </w:rPr>
        <w:fldChar w:fldCharType="end"/>
      </w:r>
      <w:r w:rsidR="004961BE" w:rsidRPr="002D0B8A">
        <w:rPr>
          <w:bCs/>
        </w:rPr>
        <w:t>.</w:t>
      </w:r>
      <w:r w:rsidR="004961BE">
        <w:rPr>
          <w:bCs/>
        </w:rPr>
        <w:t xml:space="preserve"> A wide variety of models</w:t>
      </w:r>
      <w:r w:rsidR="00205F57">
        <w:rPr>
          <w:bCs/>
        </w:rPr>
        <w:t xml:space="preserve"> have been developed</w:t>
      </w:r>
      <w:r w:rsidR="004961BE">
        <w:rPr>
          <w:bCs/>
        </w:rPr>
        <w:t xml:space="preserve"> to</w:t>
      </w:r>
      <w:r w:rsidR="003C7D99" w:rsidRPr="005C2E62">
        <w:rPr>
          <w:bCs/>
        </w:rPr>
        <w:t xml:space="preserve"> </w:t>
      </w:r>
      <w:r w:rsidR="00205F57">
        <w:rPr>
          <w:bCs/>
        </w:rPr>
        <w:t>include</w:t>
      </w:r>
      <w:r w:rsidR="00E343E6">
        <w:rPr>
          <w:bCs/>
        </w:rPr>
        <w:t xml:space="preserve"> </w:t>
      </w:r>
      <w:r w:rsidR="000D5C87">
        <w:rPr>
          <w:bCs/>
        </w:rPr>
        <w:t>plated</w:t>
      </w:r>
      <w:r w:rsidR="00AA3A49">
        <w:rPr>
          <w:bCs/>
        </w:rPr>
        <w:t xml:space="preserve"> micro-patterned cocultures of hepatocytes with stromal fibroblasts</w:t>
      </w:r>
      <w:r w:rsidR="007A283B">
        <w:rPr>
          <w:bCs/>
        </w:rPr>
        <w:fldChar w:fldCharType="begin" w:fldLock="1"/>
      </w:r>
      <w:r w:rsidR="001D260F">
        <w:rPr>
          <w:bCs/>
        </w:rPr>
        <w:instrText>ADDIN CSL_CITATION {"citationItems":[{"id":"ITEM-1","itemData":{"DOI":"10.1093/toxsci/kfs326","ISSN":"10966080","PMID":"23152190","abstract":"Because drug-induced liver injury (DILI) remains a major reason for late-stage drug attrition, predictive assays are needed that can be deployed throughout the drug discovery process. Clinical DILI can be predicted with a sensitivity of ~50% and a false positive (FP) rate of ~5% using 24-h cultures of sandwich-cultured primary human hepatocytes and imaging of four cell injury endpoints (Xu et al., 2008). We hypothesized that long-term drug dosing in a functionally stable model of primary hepatocytes (micropatterned cocultures [MPCCs]) could provide for increased predictivity over short-term dosing paradigms. We used MPCCs with either primary human or rat hepatocytes to understand possible species differences along with standard endpoints (glutathione levels, ATP levels, albumin, and urea secretion) to test 45 drugs either known or not known to cause clinical DILI. Human MPCCs correctly detected 23 of 35 compounds known to cause DILI (65.7% sensitivity), with a FP rate of 10% for the 10 negative compounds tested. Rat MPCCs correctly detected 17 of 35 DILI compounds (48.6% sensitivity) and had a higher FP rate than human MPCCs (20 vs. 10%). For an additional 19 drugs with the most DILI concern, human MPCCs displayed a sensitivity of 100% when at least two hepatocyte donors were used for testing. Furthermore, MPCCs were able to detect relative clinical toxicities of structural drug analogs. In conclusion, MPCCs showed superiority over conventional short-term cultures for predictions of clinical DILI, and human MPCCs were more predictive for human liabilities than their rat counterparts. © The Author 2012. Published by Oxford University Press on behalf of the Society of Toxicology. All rights reserved.","author":[{"dropping-particle":"","family":"Khetani","given":"Salman R.","non-dropping-particle":"","parse-names":false,"suffix":""},{"dropping-particle":"","family":"Kanchagar","given":"Chitra","non-dropping-particle":"","parse-names":false,"suffix":""},{"dropping-particle":"","family":"Ukairo","given":"Okechukwu","non-dropping-particle":"","parse-names":false,"suffix":""},{"dropping-particle":"","family":"Krzyzewski","given":"Stacy","non-dropping-particle":"","parse-names":false,"suffix":""},{"dropping-particle":"","family":"Moore","given":"Amanda","non-dropping-particle":"","parse-names":false,"suffix":""},{"dropping-particle":"","family":"Shi","given":"Julianne","non-dropping-particle":"","parse-names":false,"suffix":""},{"dropping-particle":"","family":"Aoyama","given":"Simon","non-dropping-particle":"","parse-names":false,"suffix":""},{"dropping-particle":"","family":"Aleo","given":"Michael","non-dropping-particle":"","parse-names":false,"suffix":""},{"dropping-particle":"","family":"Will","given":"Yvonne","non-dropping-particle":"","parse-names":false,"suffix":""}],"container-title":"Toxicological Sciences","id":"ITEM-1","issue":"1","issued":{"date-parts":[["2013"]]},"page":"107-117","title":"Use of micropatterned cocultures to detect compounds that cause drug-induced liver injury in humans","type":"article-journal","volume":"132"},"uris":["http://www.mendeley.com/documents/?uuid=c5c8ff28-9100-337d-8e8b-8a0d76ffc4f4"]}],"mendeley":{"formattedCitation":"&lt;sup&gt;16&lt;/sup&gt;","plainTextFormattedCitation":"16","previouslyFormattedCitation":"&lt;sup&gt;16&lt;/sup&gt;"},"properties":{"noteIndex":0},"schema":"https://github.com/citation-style-language/schema/raw/master/csl-citation.json"}</w:instrText>
      </w:r>
      <w:r w:rsidR="007A283B">
        <w:rPr>
          <w:bCs/>
        </w:rPr>
        <w:fldChar w:fldCharType="separate"/>
      </w:r>
      <w:r w:rsidR="007E03BB" w:rsidRPr="007E03BB">
        <w:rPr>
          <w:bCs/>
          <w:noProof/>
          <w:vertAlign w:val="superscript"/>
        </w:rPr>
        <w:t>16</w:t>
      </w:r>
      <w:r w:rsidR="007A283B">
        <w:rPr>
          <w:bCs/>
        </w:rPr>
        <w:fldChar w:fldCharType="end"/>
      </w:r>
      <w:r w:rsidR="007A283B">
        <w:rPr>
          <w:bCs/>
        </w:rPr>
        <w:t xml:space="preserve">, </w:t>
      </w:r>
      <w:r w:rsidR="00B6777E">
        <w:rPr>
          <w:bCs/>
        </w:rPr>
        <w:t>3D bio</w:t>
      </w:r>
      <w:r w:rsidR="00697749">
        <w:rPr>
          <w:bCs/>
        </w:rPr>
        <w:t>-</w:t>
      </w:r>
      <w:r w:rsidR="00B6777E">
        <w:rPr>
          <w:bCs/>
        </w:rPr>
        <w:t>printed liver tissues</w:t>
      </w:r>
      <w:r w:rsidR="00F4524C">
        <w:rPr>
          <w:bCs/>
        </w:rPr>
        <w:fldChar w:fldCharType="begin" w:fldLock="1"/>
      </w:r>
      <w:r w:rsidR="001D260F">
        <w:rPr>
          <w:bCs/>
        </w:rPr>
        <w:instrText>ADDIN CSL_CITATION {"citationItems":[{"id":"ITEM-1","itemData":{"DOI":"10.1073/pnas.1524510113","author":[{"dropping-particle":"","family":"Ma","given":"Xuanyi","non-dropping-particle":"","parse-names":false,"suffix":""},{"dropping-particle":"","family":"Qu","given":"Xin","non-dropping-particle":"","parse-names":false,"suffix":""},{"dropping-particle":"","family":"Zhu","given":"Wei","non-dropping-particle":"","parse-names":false,"suffix":""},{"dropping-particle":"","family":"Li","given":"Yi-Shuan","non-dropping-particle":"","parse-names":false,"suffix":""},{"dropping-particle":"","family":"Yuan","given":"Suli","non-dropping-particle":"","parse-names":false,"suffix":""},{"dropping-particle":"","family":"Zhang","given":"Hong","non-dropping-particle":"","parse-names":false,"suffix":""},{"dropping-particle":"","family":"Liu","given":"Justin","non-dropping-particle":"","parse-names":false,"suffix":""},{"dropping-particle":"","family":"Wang","given":"Pengrui","non-dropping-particle":"","parse-names":false,"suffix":""},{"dropping-particle":"","family":"Sun Edwin Lai","given":"Cheuk","non-dropping-particle":"","parse-names":false,"suffix":""},{"dropping-particle":"","family":"Zanella","given":"Fabian","non-dropping-particle":"","parse-names":false,"suffix":""},{"dropping-particle":"","family":"Feng","given":"Gen-Sheng","non-dropping-particle":"","parse-names":false,"suffix":""},{"dropping-particle":"","family":"Sheikh","given":"Farah","non-dropping-particle":"","parse-names":false,"suffix":""},{"dropping-particle":"","family":"Chien","given":"Shu","non-dropping-particle":"","parse-names":false,"suffix":""},{"dropping-particle":"","family":"Chen","given":"Shaochen","non-dropping-particle":"","parse-names":false,"suffix":""}],"id":"ITEM-1","issued":{"date-parts":[["0"]]},"title":"Deterministically patterned biomimetic human iPSC-derived hepatic model via rapid 3D bioprinting","type":"article-journal"},"uris":["http://www.mendeley.com/documents/?uuid=f3008de8-d3cf-3b53-aefa-ad283dbaf25a"]}],"mendeley":{"formattedCitation":"&lt;sup&gt;17&lt;/sup&gt;","plainTextFormattedCitation":"17","previouslyFormattedCitation":"&lt;sup&gt;17&lt;/sup&gt;"},"properties":{"noteIndex":0},"schema":"https://github.com/citation-style-language/schema/raw/master/csl-citation.json"}</w:instrText>
      </w:r>
      <w:r w:rsidR="00F4524C">
        <w:rPr>
          <w:bCs/>
        </w:rPr>
        <w:fldChar w:fldCharType="separate"/>
      </w:r>
      <w:r w:rsidR="007E03BB" w:rsidRPr="007E03BB">
        <w:rPr>
          <w:bCs/>
          <w:noProof/>
          <w:vertAlign w:val="superscript"/>
        </w:rPr>
        <w:t>17</w:t>
      </w:r>
      <w:r w:rsidR="00F4524C">
        <w:rPr>
          <w:bCs/>
        </w:rPr>
        <w:fldChar w:fldCharType="end"/>
      </w:r>
      <w:r w:rsidR="007C3C64">
        <w:rPr>
          <w:bCs/>
        </w:rPr>
        <w:t>,</w:t>
      </w:r>
      <w:r w:rsidR="004961BE">
        <w:rPr>
          <w:bCs/>
        </w:rPr>
        <w:t xml:space="preserve"> </w:t>
      </w:r>
      <w:r w:rsidR="00AA372B">
        <w:rPr>
          <w:bCs/>
        </w:rPr>
        <w:t xml:space="preserve">3D spheroid cultures </w:t>
      </w:r>
      <w:r w:rsidR="00DA304A">
        <w:rPr>
          <w:bCs/>
        </w:rPr>
        <w:t xml:space="preserve">with </w:t>
      </w:r>
      <w:r w:rsidR="00A442F3">
        <w:rPr>
          <w:bCs/>
        </w:rPr>
        <w:t>or without</w:t>
      </w:r>
      <w:r w:rsidR="00DA304A">
        <w:rPr>
          <w:bCs/>
        </w:rPr>
        <w:t xml:space="preserve"> hepatic non-parenchymal cells</w:t>
      </w:r>
      <w:r w:rsidR="00EF45F4">
        <w:rPr>
          <w:bCs/>
        </w:rPr>
        <w:fldChar w:fldCharType="begin" w:fldLock="1"/>
      </w:r>
      <w:r w:rsidR="001D260F">
        <w:rPr>
          <w:bCs/>
        </w:rPr>
        <w:instrText>ADDIN CSL_CITATION {"citationItems":[{"id":"ITEM-1","itemData":{"DOI":"10.1038/srep25187","abstract":"Liver biology and function, drug-induced liver injury (DILI) and liver diseases are difficult to study using current in vitro models such as primary human hepatocyte (PHH) monolayer cultures, as their rapid de-differentiation restricts their usefulness substantially. Thus, we have developed and extensively characterized an easily scalable 3D PHH spheroid system in chemically-defined, serum-free conditions. Using whole proteome analyses, we found that PHH spheroids cultured this way were similar to the liver in vivo and even retained their inter-individual variability. Furthermore, PHH spheroids remained phenotypically stable and retained morphology, viability, and hepatocyte-specific functions for culture periods of at least 5 weeks. We show that under chronic exposure, the sensitivity of the hepatocytes drastically increased and toxicity of a set of hepatotoxins was detected at clinically relevant concentrations. An interesting example was the chronic toxicity of fialuridine for which hepatotoxicity was mimicked after repeated-dosing in the PHH spheroid model, not possible to detect using previous in vitro systems. Additionally, we provide proof-of-principle that PHH spheroids can reflect liver pathologies such as cholestasis, steatosis and viral hepatitis. Combined, our results demonstrate that the PHH spheroid system presented here constitutes a versatile and promising in vitro system to study liver function, liver diseases, drug targets and long-term DILI. The liver is a vital organ for synthesis, metabolism and detoxification, but liver diseases and drug-induced liver injury (DILI) can severely impair liver functionality. To study liver biology and function, drug-induced hepato-toxicity and liver diseases, primary human hepatocytes (PHH) are currently considered as the gold standard in vitro model system 1. However, when maintained in conventional 2D monolayer cultures, PHH de-differentiate and rapidly lose hepatocyte-specific functions 2-4. Thus, the utility of conventional 2D PHH cultures for the long-term study of liver biology and assays that require liver-specific functionalities is largely impaired. There is therefore a need for more faithful in vitro models which more accurately reflect in vivo liver biology. To this end, new systems are needed in which stable liver functionality can be maintained for several weeks to enable long-term studies of liver function under normal and diseased conditions. Normal cell physiology and function strongly…","author":[{"dropping-particle":"","family":"Bell","given":"Catherine C","non-dropping-particle":"","parse-names":false,"suffix":""},{"dropping-particle":"","family":"Hendriks","given":"Delilah F G","non-dropping-particle":"","parse-names":false,"suffix":""},{"dropping-particle":"","family":"Moro","given":"Sabrina M L","non-dropping-particle":"","parse-names":false,"suffix":""},{"dropping-particle":"","family":"Ellis","given":"Ewa","non-dropping-particle":"","parse-names":false,"suffix":""},{"dropping-particle":"","family":"Walsh","given":"Joanne","non-dropping-particle":"","parse-names":false,"suffix":""},{"dropping-particle":"","family":"Renblom","given":"Anna","non-dropping-particle":"","parse-names":false,"suffix":""},{"dropping-particle":"","family":"Puigvert","given":"Lisa Fredriksson","non-dropping-particle":"","parse-names":false,"suffix":""},{"dropping-particle":"","family":"Dankers","given":"Anita C A","non-dropping-particle":"","parse-names":false,"suffix":""},{"dropping-particle":"","family":"Jacobs","given":"Frank","non-dropping-particle":"","parse-names":false,"suffix":""},{"dropping-particle":"","family":"Snoeys","given":"Jan","non-dropping-particle":"","parse-names":false,"suffix":""},{"dropping-particle":"","family":"Sison-Young","given":"Rowena L","non-dropping-particle":"","parse-names":false,"suffix":""},{"dropping-particle":"","family":"Jenkins","given":"Rosalind E","non-dropping-particle":"","parse-names":false,"suffix":""},{"dropping-particle":"","family":"Nordling","given":"Åsa","non-dropping-particle":"","parse-names":false,"suffix":""},{"dropping-particle":"","family":"Mkrtchian","given":"Souren","non-dropping-particle":"","parse-names":false,"suffix":""},{"dropping-particle":"","family":"Park","given":"B Kevin","non-dropping-particle":"","parse-names":false,"suffix":""},{"dropping-particle":"","family":"Kitteringham","given":"Neil R","non-dropping-particle":"","parse-names":false,"suffix":""},{"dropping-particle":"","family":"Goldring","given":"Christopher E P","non-dropping-particle":"","parse-names":false,"suffix":""},{"dropping-particle":"","family":"Lauschke","given":"Volker M","non-dropping-particle":"","parse-names":false,"suffix":""},{"dropping-particle":"","family":"Ingelman-Sundberg","given":"Magnus","non-dropping-particle":"","parse-names":false,"suffix":""}],"container-title":"Nature Publishing Group","id":"ITEM-1","issued":{"date-parts":[["2016"]]},"title":"Characterization of primary human hepatocyte spheroids as a model system for drug-induced liver injury, liver function and disease OPEN","type":"article-journal"},"uris":["http://www.mendeley.com/documents/?uuid=1d436c5c-ecd7-3706-8196-fdc500bf2f24"]}],"mendeley":{"formattedCitation":"&lt;sup&gt;15&lt;/sup&gt;","plainTextFormattedCitation":"15","previouslyFormattedCitation":"&lt;sup&gt;15&lt;/sup&gt;"},"properties":{"noteIndex":0},"schema":"https://github.com/citation-style-language/schema/raw/master/csl-citation.json"}</w:instrText>
      </w:r>
      <w:r w:rsidR="00EF45F4">
        <w:rPr>
          <w:bCs/>
        </w:rPr>
        <w:fldChar w:fldCharType="separate"/>
      </w:r>
      <w:r w:rsidR="007E03BB" w:rsidRPr="007E03BB">
        <w:rPr>
          <w:bCs/>
          <w:noProof/>
          <w:vertAlign w:val="superscript"/>
        </w:rPr>
        <w:t>15</w:t>
      </w:r>
      <w:r w:rsidR="00EF45F4">
        <w:rPr>
          <w:bCs/>
        </w:rPr>
        <w:fldChar w:fldCharType="end"/>
      </w:r>
      <w:r w:rsidR="004961BE">
        <w:rPr>
          <w:bCs/>
        </w:rPr>
        <w:t>.</w:t>
      </w:r>
      <w:r w:rsidR="00EF45F4">
        <w:rPr>
          <w:bCs/>
        </w:rPr>
        <w:t xml:space="preserve"> </w:t>
      </w:r>
      <w:r w:rsidR="00A442F3">
        <w:rPr>
          <w:bCs/>
        </w:rPr>
        <w:t>However, all these methods still have drawbacks</w:t>
      </w:r>
      <w:r w:rsidR="00726FDB">
        <w:rPr>
          <w:bCs/>
        </w:rPr>
        <w:t>,</w:t>
      </w:r>
      <w:r w:rsidR="00A442F3">
        <w:rPr>
          <w:bCs/>
        </w:rPr>
        <w:t xml:space="preserve"> and c</w:t>
      </w:r>
      <w:r w:rsidR="001B3D82" w:rsidRPr="005C2E62">
        <w:rPr>
          <w:bCs/>
        </w:rPr>
        <w:t xml:space="preserve">ulturing </w:t>
      </w:r>
      <w:r w:rsidR="00BD0CAC">
        <w:rPr>
          <w:bCs/>
        </w:rPr>
        <w:t>PHHs</w:t>
      </w:r>
      <w:r w:rsidR="001B3D82" w:rsidRPr="005C2E62">
        <w:rPr>
          <w:bCs/>
        </w:rPr>
        <w:t xml:space="preserve"> </w:t>
      </w:r>
      <w:r w:rsidR="00A442F3">
        <w:rPr>
          <w:bCs/>
        </w:rPr>
        <w:t>in</w:t>
      </w:r>
      <w:r w:rsidR="001B3D82" w:rsidRPr="005C2E62">
        <w:rPr>
          <w:bCs/>
        </w:rPr>
        <w:t xml:space="preserve"> </w:t>
      </w:r>
      <w:r w:rsidR="00A555BE">
        <w:rPr>
          <w:bCs/>
        </w:rPr>
        <w:t xml:space="preserve">a </w:t>
      </w:r>
      <w:r w:rsidR="001B3D82" w:rsidRPr="005C2E62">
        <w:rPr>
          <w:bCs/>
        </w:rPr>
        <w:t xml:space="preserve">more physiologically relevant </w:t>
      </w:r>
      <w:r w:rsidR="00A555BE">
        <w:rPr>
          <w:bCs/>
        </w:rPr>
        <w:t>micro</w:t>
      </w:r>
      <w:r w:rsidR="001B3D82" w:rsidRPr="005C2E62">
        <w:rPr>
          <w:bCs/>
        </w:rPr>
        <w:t xml:space="preserve">environment </w:t>
      </w:r>
      <w:r w:rsidR="00BD0CAC">
        <w:rPr>
          <w:bCs/>
        </w:rPr>
        <w:t>could p</w:t>
      </w:r>
      <w:r w:rsidR="001B3D82" w:rsidRPr="005C2E62">
        <w:rPr>
          <w:bCs/>
        </w:rPr>
        <w:t xml:space="preserve">rovide them </w:t>
      </w:r>
      <w:r w:rsidR="009B7494">
        <w:rPr>
          <w:bCs/>
        </w:rPr>
        <w:t xml:space="preserve">with </w:t>
      </w:r>
      <w:r w:rsidR="001B3D82" w:rsidRPr="005C2E62">
        <w:rPr>
          <w:bCs/>
        </w:rPr>
        <w:t>high</w:t>
      </w:r>
      <w:r w:rsidR="00A40E46">
        <w:rPr>
          <w:bCs/>
        </w:rPr>
        <w:t>er</w:t>
      </w:r>
      <w:r w:rsidR="001B3D82" w:rsidRPr="005C2E62">
        <w:rPr>
          <w:bCs/>
        </w:rPr>
        <w:t xml:space="preserve"> levels of functionality for extended periods of time to enable the investigation of prolonged exposure to potential hepatotoxicants.</w:t>
      </w:r>
      <w:r w:rsidR="001B3D82">
        <w:rPr>
          <w:bCs/>
        </w:rPr>
        <w:t xml:space="preserve"> </w:t>
      </w:r>
      <w:r w:rsidR="00EE17A2">
        <w:rPr>
          <w:bCs/>
        </w:rPr>
        <w:t>Additionally</w:t>
      </w:r>
      <w:r w:rsidR="00A442F3">
        <w:rPr>
          <w:bCs/>
        </w:rPr>
        <w:t>,</w:t>
      </w:r>
      <w:r w:rsidR="00EE17A2">
        <w:rPr>
          <w:bCs/>
        </w:rPr>
        <w:t xml:space="preserve"> t</w:t>
      </w:r>
      <w:r w:rsidR="00C6198C">
        <w:rPr>
          <w:bCs/>
        </w:rPr>
        <w:t xml:space="preserve">o improve the translational relevance of </w:t>
      </w:r>
      <w:r w:rsidR="00EE17A2">
        <w:rPr>
          <w:bCs/>
        </w:rPr>
        <w:t xml:space="preserve">any </w:t>
      </w:r>
      <w:r w:rsidR="002E430E">
        <w:rPr>
          <w:bCs/>
        </w:rPr>
        <w:t>advanced</w:t>
      </w:r>
      <w:r w:rsidR="004533F1" w:rsidRPr="002A6CFD">
        <w:rPr>
          <w:bCs/>
        </w:rPr>
        <w:t xml:space="preserve"> </w:t>
      </w:r>
      <w:r w:rsidR="004533F1" w:rsidRPr="00E10F33">
        <w:rPr>
          <w:bCs/>
          <w:i/>
          <w:iCs/>
        </w:rPr>
        <w:t>in vitro</w:t>
      </w:r>
      <w:r w:rsidR="004533F1" w:rsidRPr="002A6CFD">
        <w:rPr>
          <w:bCs/>
        </w:rPr>
        <w:t xml:space="preserve"> </w:t>
      </w:r>
      <w:r w:rsidR="00935D79">
        <w:rPr>
          <w:bCs/>
        </w:rPr>
        <w:t>PHH culture</w:t>
      </w:r>
      <w:r w:rsidR="00726FDB">
        <w:rPr>
          <w:bCs/>
        </w:rPr>
        <w:t>,</w:t>
      </w:r>
      <w:r w:rsidR="00935D79">
        <w:rPr>
          <w:bCs/>
        </w:rPr>
        <w:t xml:space="preserve"> </w:t>
      </w:r>
      <w:r w:rsidR="002E430E">
        <w:rPr>
          <w:bCs/>
        </w:rPr>
        <w:t>clinically</w:t>
      </w:r>
      <w:r w:rsidR="004533F1" w:rsidRPr="002A6CFD">
        <w:rPr>
          <w:bCs/>
        </w:rPr>
        <w:t xml:space="preserve"> relevant functional endpoints or toxicity output biomarkers</w:t>
      </w:r>
      <w:r w:rsidR="00EE17A2">
        <w:rPr>
          <w:bCs/>
        </w:rPr>
        <w:t xml:space="preserve"> must be </w:t>
      </w:r>
      <w:r w:rsidR="00697749">
        <w:rPr>
          <w:bCs/>
        </w:rPr>
        <w:t>utilized to allow</w:t>
      </w:r>
      <w:r w:rsidR="004533F1" w:rsidRPr="002A6CFD">
        <w:rPr>
          <w:bCs/>
        </w:rPr>
        <w:t xml:space="preserve"> </w:t>
      </w:r>
      <w:r w:rsidR="00697749">
        <w:rPr>
          <w:bCs/>
        </w:rPr>
        <w:t>data to be compared</w:t>
      </w:r>
      <w:r w:rsidR="004533F1" w:rsidRPr="002A6CFD">
        <w:rPr>
          <w:bCs/>
        </w:rPr>
        <w:t xml:space="preserve"> </w:t>
      </w:r>
      <w:r w:rsidR="004533F1" w:rsidRPr="00BC7315">
        <w:rPr>
          <w:bCs/>
          <w:i/>
          <w:iCs/>
        </w:rPr>
        <w:t>in vivo</w:t>
      </w:r>
      <w:r w:rsidR="004533F1" w:rsidRPr="002A6CFD">
        <w:rPr>
          <w:bCs/>
        </w:rPr>
        <w:t xml:space="preserve"> or clinical scenarios</w:t>
      </w:r>
      <w:r w:rsidR="004533F1" w:rsidRPr="002A6CFD">
        <w:rPr>
          <w:bCs/>
        </w:rPr>
        <w:fldChar w:fldCharType="begin" w:fldLock="1"/>
      </w:r>
      <w:r w:rsidR="001D260F">
        <w:rPr>
          <w:bCs/>
        </w:rPr>
        <w:instrText>ADDIN CSL_CITATION {"citationItems":[{"id":"ITEM-1","itemData":{"author":[{"dropping-particle":"","family":"Dieterle","given":"Patrick Y Muller &amp; Frank","non-dropping-particle":"","parse-names":false,"suffix":""}],"container-title":"Expert Opinion on Drug Metabolism &amp; Toxicology","id":"ITEM-1","issue":"9","issued":{"date-parts":[["2009"]]},"page":"1023-1038","title":"Tissue-specific, non-invasive toxicity biomarkers: translation from preclinical safety assessment to clinical safety monitoring","type":"article-journal","volume":"5"},"uris":["http://www.mendeley.com/documents/?uuid=d2c03aa1-05d2-47b8-a31b-f2ec518506de"]}],"mendeley":{"formattedCitation":"&lt;sup&gt;18&lt;/sup&gt;","plainTextFormattedCitation":"18","previouslyFormattedCitation":"&lt;sup&gt;18&lt;/sup&gt;"},"properties":{"noteIndex":0},"schema":"https://github.com/citation-style-language/schema/raw/master/csl-citation.json"}</w:instrText>
      </w:r>
      <w:r w:rsidR="004533F1" w:rsidRPr="002A6CFD">
        <w:rPr>
          <w:bCs/>
        </w:rPr>
        <w:fldChar w:fldCharType="separate"/>
      </w:r>
      <w:r w:rsidR="007E03BB" w:rsidRPr="007E03BB">
        <w:rPr>
          <w:bCs/>
          <w:noProof/>
          <w:vertAlign w:val="superscript"/>
        </w:rPr>
        <w:t>18</w:t>
      </w:r>
      <w:r w:rsidR="004533F1" w:rsidRPr="002A6CFD">
        <w:rPr>
          <w:bCs/>
        </w:rPr>
        <w:fldChar w:fldCharType="end"/>
      </w:r>
      <w:r w:rsidR="004533F1" w:rsidRPr="002A6CFD">
        <w:rPr>
          <w:bCs/>
        </w:rPr>
        <w:t xml:space="preserve">. </w:t>
      </w:r>
    </w:p>
    <w:p w14:paraId="48357704" w14:textId="3E530ADD" w:rsidR="009E2575" w:rsidRDefault="009E2575" w:rsidP="003C7D99">
      <w:pPr>
        <w:rPr>
          <w:bCs/>
        </w:rPr>
      </w:pPr>
    </w:p>
    <w:p w14:paraId="1E41D20F" w14:textId="6A1AA271" w:rsidR="00E16108" w:rsidRDefault="008346B7" w:rsidP="003C7D99">
      <w:pPr>
        <w:rPr>
          <w:bCs/>
        </w:rPr>
      </w:pPr>
      <w:r>
        <w:rPr>
          <w:bCs/>
        </w:rPr>
        <w:t>In this study</w:t>
      </w:r>
      <w:r w:rsidR="00726FDB">
        <w:rPr>
          <w:bCs/>
        </w:rPr>
        <w:t>,</w:t>
      </w:r>
      <w:r>
        <w:rPr>
          <w:bCs/>
        </w:rPr>
        <w:t xml:space="preserve"> </w:t>
      </w:r>
      <w:r w:rsidR="00726FDB">
        <w:rPr>
          <w:bCs/>
        </w:rPr>
        <w:t>we</w:t>
      </w:r>
      <w:r w:rsidR="00833378" w:rsidRPr="00833378">
        <w:rPr>
          <w:bCs/>
        </w:rPr>
        <w:t xml:space="preserve"> assessed whether a MPS, also known as</w:t>
      </w:r>
      <w:r w:rsidR="003A62A7">
        <w:rPr>
          <w:bCs/>
        </w:rPr>
        <w:t xml:space="preserve"> an</w:t>
      </w:r>
      <w:r w:rsidR="00833378" w:rsidRPr="00833378">
        <w:rPr>
          <w:bCs/>
        </w:rPr>
        <w:t xml:space="preserve"> Organ-on-a-Chip (OOC), </w:t>
      </w:r>
      <w:r w:rsidR="00833378" w:rsidRPr="00BC7315">
        <w:rPr>
          <w:bCs/>
          <w:i/>
          <w:iCs/>
        </w:rPr>
        <w:t>in vitro</w:t>
      </w:r>
      <w:r w:rsidR="00833378" w:rsidRPr="00833378">
        <w:rPr>
          <w:bCs/>
        </w:rPr>
        <w:t xml:space="preserve"> liver model could be used to understand the detailed mechanistic aspects of liver toxicity.</w:t>
      </w:r>
      <w:r w:rsidR="00833378">
        <w:rPr>
          <w:bCs/>
        </w:rPr>
        <w:t xml:space="preserve"> </w:t>
      </w:r>
      <w:r w:rsidR="000759C6" w:rsidRPr="000759C6">
        <w:rPr>
          <w:bCs/>
        </w:rPr>
        <w:t>The MPS has previously been shown to maintain highly functional 3D liver microtissues, under flow, for up to 4 weeks</w:t>
      </w:r>
      <w:r w:rsidR="0031413E">
        <w:rPr>
          <w:bCs/>
        </w:rPr>
        <w:fldChar w:fldCharType="begin" w:fldLock="1"/>
      </w:r>
      <w:r w:rsidR="001D260F">
        <w:rPr>
          <w:bCs/>
        </w:rPr>
        <w:instrText>ADDIN CSL_CITATION {"citationItems":[{"id":"ITEM-1","itemData":{"DOI":"10.1016/j.tiv.2017.09.012","ISSN":"18793177","PMID":"28919358","abstract":"Hepatotoxins cause liver damage via many mechanisms but the formation of reactive metabolites and/or damage to liver mitochondria are commonly implicated. We assess 3D human primary hepatocyte microtissues as a platform for hepatotoxicity studies with reactive metabolite-forming and mitochondria-perturbing compounds. We show that microtissues formed from cryopreserved human hepatocytes had bile canaliculi, transcribed mRNA from genes associated with xenobiotic metabolism and expressed functional cytochrome P450 enzymes. Hierarchical clustering was used to distinguish dose-dependent hepatotoxicity elicited by clozapine, fialuridine and acetaminophen (APAP) from control cultures and less liver-damaging compounds, olanzapine and entecavir. The regio-isomer of acetaminophen, N-acetyl-meta-aminophenol (AMAP) clustered with the hepatotoxic compounds. The principal metabolites of APAP were formed and dose-dependent changes in metabolite profile similar to those seen in patient overdose was observed. The toxicological profile of APAP was indistinguishable from that of AMAP, confirming AMAP as a human hepatotoxin. Tissue oxygen consumption rate was significantly decreased within 2 h of exposure to APAP or AMAP, concomitant with glutathione depletion. These data highlight the potential utility of perfused metabolically functional human liver microtissues in drug development and mechanistic toxicology.","author":[{"dropping-particle":"","family":"Rowe","given":"Cliff","non-dropping-particle":"","parse-names":false,"suffix":""},{"dropping-particle":"","family":"Shaeri","given":"Mohsen","non-dropping-particle":"","parse-names":false,"suffix":""},{"dropping-particle":"","family":"Large","given":"Emma","non-dropping-particle":"","parse-names":false,"suffix":""},{"dropping-particle":"","family":"Cornforth","given":"Terri","non-dropping-particle":"","parse-names":false,"suffix":""},{"dropping-particle":"","family":"Robinson","given":"Angela","non-dropping-particle":"","parse-names":false,"suffix":""},{"dropping-particle":"","family":"Kostrzewski","given":"Tomasz","non-dropping-particle":"","parse-names":false,"suffix":""},{"dropping-particle":"","family":"Sison-Young","given":"Rowena","non-dropping-particle":"","parse-names":false,"suffix":""},{"dropping-particle":"","family":"Goldring","given":"Christopher","non-dropping-particle":"","parse-names":false,"suffix":""},{"dropping-particle":"","family":"Park","given":"Kevin","non-dropping-particle":"","parse-names":false,"suffix":""},{"dropping-particle":"","family":"Hughes","given":"David","non-dropping-particle":"","parse-names":false,"suffix":""}],"container-title":"Toxicology in Vitro","id":"ITEM-1","issued":{"date-parts":[["2018"]]},"page":"29-38","publisher":"Elsevier Ltd","title":"Perfused human hepatocyte microtissues identify reactive metabolite-forming and mitochondria-perturbing hepatotoxins","type":"article-journal","volume":"46"},"uris":["http://www.mendeley.com/documents/?uuid=778ef927-042d-4fa4-ada4-34718353f2e5"]}],"mendeley":{"formattedCitation":"&lt;sup&gt;19&lt;/sup&gt;","plainTextFormattedCitation":"19","previouslyFormattedCitation":"&lt;sup&gt;19&lt;/sup&gt;"},"properties":{"noteIndex":0},"schema":"https://github.com/citation-style-language/schema/raw/master/csl-citation.json"}</w:instrText>
      </w:r>
      <w:r w:rsidR="0031413E">
        <w:rPr>
          <w:bCs/>
        </w:rPr>
        <w:fldChar w:fldCharType="separate"/>
      </w:r>
      <w:r w:rsidR="007E03BB" w:rsidRPr="007E03BB">
        <w:rPr>
          <w:bCs/>
          <w:noProof/>
          <w:vertAlign w:val="superscript"/>
        </w:rPr>
        <w:t>19</w:t>
      </w:r>
      <w:r w:rsidR="0031413E">
        <w:rPr>
          <w:bCs/>
        </w:rPr>
        <w:fldChar w:fldCharType="end"/>
      </w:r>
      <w:r w:rsidR="00C53635">
        <w:rPr>
          <w:bCs/>
        </w:rPr>
        <w:t>.</w:t>
      </w:r>
      <w:r w:rsidR="000759C6" w:rsidRPr="000759C6">
        <w:rPr>
          <w:bCs/>
        </w:rPr>
        <w:t xml:space="preserve"> </w:t>
      </w:r>
      <w:r w:rsidR="00DC0E91">
        <w:rPr>
          <w:bCs/>
        </w:rPr>
        <w:t xml:space="preserve">The </w:t>
      </w:r>
      <w:r>
        <w:rPr>
          <w:bCs/>
        </w:rPr>
        <w:t>system</w:t>
      </w:r>
      <w:r w:rsidR="00DC0E91">
        <w:rPr>
          <w:bCs/>
        </w:rPr>
        <w:t xml:space="preserve"> has been</w:t>
      </w:r>
      <w:r w:rsidR="004C2A37">
        <w:rPr>
          <w:bCs/>
        </w:rPr>
        <w:t xml:space="preserve"> recently tested by FDA and</w:t>
      </w:r>
      <w:r w:rsidR="00DC0E91">
        <w:rPr>
          <w:bCs/>
        </w:rPr>
        <w:t xml:space="preserve"> </w:t>
      </w:r>
      <w:r w:rsidR="00DC1936">
        <w:rPr>
          <w:bCs/>
        </w:rPr>
        <w:t>shown t</w:t>
      </w:r>
      <w:r w:rsidR="008F23FA">
        <w:rPr>
          <w:bCs/>
        </w:rPr>
        <w:t xml:space="preserve">o </w:t>
      </w:r>
      <w:r w:rsidR="00286EDB">
        <w:rPr>
          <w:bCs/>
        </w:rPr>
        <w:t>have</w:t>
      </w:r>
      <w:r w:rsidR="008B1B26">
        <w:rPr>
          <w:bCs/>
        </w:rPr>
        <w:t xml:space="preserve"> high reproducibility </w:t>
      </w:r>
      <w:r w:rsidR="005B7F37">
        <w:rPr>
          <w:bCs/>
        </w:rPr>
        <w:t>when performing</w:t>
      </w:r>
      <w:r w:rsidR="008B1B26" w:rsidRPr="008B1B26">
        <w:rPr>
          <w:bCs/>
        </w:rPr>
        <w:t xml:space="preserve"> drug toxicity, metabolism, and intracellular accumulation</w:t>
      </w:r>
      <w:r w:rsidR="00274D6F">
        <w:rPr>
          <w:bCs/>
        </w:rPr>
        <w:fldChar w:fldCharType="begin" w:fldLock="1"/>
      </w:r>
      <w:r w:rsidR="00A126E6">
        <w:rPr>
          <w:bCs/>
        </w:rPr>
        <w:instrText>ADDIN CSL_CITATION {"citationItems":[{"id":"ITEM-1","itemData":{"DOI":"10.1111/cts.12969","ISSN":"17528062","PMID":"33382907","abstract":"Abstract: Liver microphysiological systems (MPSs) are promising models for predicting hepatic drug effects. Yet, after a decade since their introduction, MPSs are not routinely used in drug development due to lack of criteria for ensuring reproducibility of results. We characterized the feasibility of a liver MPS to yield reproducible outcomes of experiments assaying drug toxicity, metabolism, and intracellular accumulation. The ability of the liver MPS to reproduce hepatotoxic effects was assessed using trovafloxacin, which increased lactate dehydrogenase (LDH) release and reduced cytochrome P450 3A4 (CYP3A4) activity. These observations were made in two test sites and with different batches of Kupffer cells. Upon culturing equivalent hepatocytes in the MPS, spheroids, and sandwich cultures, differences between culture formats were detected in CYP3A4 activity and albumin production. Cells in all culture formats exhibited different sensitivities to hepatotoxicant exposure. Hepatocytes in the MPS were more functionally stable than those of other culture platforms, as CYP3A4 activity and albumin secretion remained prominent for greater than 18 days in culture, whereas functional decline occurred earlier in spheroids (12 days) and sandwich cultures (7 days). The MPS was also demonstrated to be suitable for metabolism studies, where CYP3A4 activity, troglitazone metabolites, diclofenac clearance, and intracellular accumulation of chloroquine were quantified. To ensure reproducibility between studies with the MPS, the combined use of LDH and CYP3A4 assays were implemented as quality control metrics. Overall results indicated that the liver MPS can be used reproducibly in general drug evaluation applications. Study outcomes led to general considerations and recommendations for using liver MPSs. Study Highlights WHAT IS THE CURRENT KNOWLEDGE ON THE TOPIC? Microphysiological systems (MPSs) have been designed to recreate organ- or tissue-specific characteristics of extracellular microenvironments that enhance the physiological relevance of cells in culture. Liver MPSs enable long-lasting and stable culture of hepatic cells by culturing them in three-dimensions and exposing them to fluid flow. WHAT QUESTION DID THIS STUDY ADDRESS? What is the functional performance relative to other cell culture platforms and the reproducibility of a liver MPS for assessing drug development and evaluation questions, such as toxicity, metabolism, and pharmacokinetics? WHAT DOES TH…","author":[{"dropping-particle":"","family":"Rubiano","given":"Andrés","non-dropping-particle":"","parse-names":false,"suffix":""},{"dropping-particle":"","family":"Indapurkar","given":"Amruta","non-dropping-particle":"","parse-names":false,"suffix":""},{"dropping-particle":"","family":"Yokosawa","given":"Ryosuke","non-dropping-particle":"","parse-names":false,"suffix":""},{"dropping-particle":"","family":"Miedzik","given":"Alina","non-dropping-particle":"","parse-names":false,"suffix":""},{"dropping-particle":"","family":"Rosenzweig","given":"Barry","non-dropping-particle":"","parse-names":false,"suffix":""},{"dropping-particle":"","family":"Arefin","given":"Ayesha","non-dropping-particle":"","parse-names":false,"suffix":""},{"dropping-particle":"","family":"Moulin","given":"Chloe M.","non-dropping-particle":"","parse-names":false,"suffix":""},{"dropping-particle":"","family":"Dame","given":"Keri","non-dropping-particle":"","parse-names":false,"suffix":""},{"dropping-particle":"","family":"Hartman","given":"Neil","non-dropping-particle":"","parse-names":false,"suffix":""},{"dropping-particle":"","family":"Volpe","given":"Donna A.","non-dropping-particle":"","parse-names":false,"suffix":""},{"dropping-particle":"","family":"Matta","given":"Murali K.","non-dropping-particle":"","parse-names":false,"suffix":""},{"dropping-particle":"","family":"Hughes","given":"David J.","non-dropping-particle":"","parse-names":false,"suffix":""},{"dropping-particle":"","family":"Strauss","given":"David G.","non-dropping-particle":"","parse-names":false,"suffix":""},{"dropping-particle":"","family":"Kostrzewski","given":"Tomasz","non-dropping-particle":"","parse-names":false,"suffix":""},{"dropping-particle":"","family":"Ribeiro","given":"Alexandre J.S.","non-dropping-particle":"","parse-names":false,"suffix":""}],"container-title":"Clinical and Translational Science","id":"ITEM-1","issue":"3","issued":{"date-parts":[["2021"]]},"page":"1049-1061","title":"Characterizing the reproducibility in using a liver microphysiological system for assaying drug toxicity, metabolism, and accumulation","type":"article-journal","volume":"14"},"uris":["http://www.mendeley.com/documents/?uuid=6ac83594-c143-4fc3-b0cc-a3131d85e4b2"]}],"mendeley":{"formattedCitation":"&lt;sup&gt;20&lt;/sup&gt;","plainTextFormattedCitation":"20","previouslyFormattedCitation":"&lt;sup&gt;20&lt;/sup&gt;"},"properties":{"noteIndex":0},"schema":"https://github.com/citation-style-language/schema/raw/master/csl-citation.json"}</w:instrText>
      </w:r>
      <w:r w:rsidR="00274D6F">
        <w:rPr>
          <w:bCs/>
        </w:rPr>
        <w:fldChar w:fldCharType="separate"/>
      </w:r>
      <w:r w:rsidR="00274D6F" w:rsidRPr="00274D6F">
        <w:rPr>
          <w:bCs/>
          <w:noProof/>
          <w:vertAlign w:val="superscript"/>
        </w:rPr>
        <w:t>20</w:t>
      </w:r>
      <w:r w:rsidR="00274D6F">
        <w:rPr>
          <w:bCs/>
        </w:rPr>
        <w:fldChar w:fldCharType="end"/>
      </w:r>
      <w:r w:rsidR="008B1B26" w:rsidRPr="008B1B26">
        <w:rPr>
          <w:bCs/>
        </w:rPr>
        <w:t>.</w:t>
      </w:r>
      <w:r w:rsidR="00FF0575">
        <w:rPr>
          <w:bCs/>
        </w:rPr>
        <w:t xml:space="preserve"> Moreover</w:t>
      </w:r>
      <w:r w:rsidR="004C2A37">
        <w:rPr>
          <w:bCs/>
        </w:rPr>
        <w:t>, w</w:t>
      </w:r>
      <w:r w:rsidR="00FF0575" w:rsidRPr="00FF0575">
        <w:rPr>
          <w:bCs/>
        </w:rPr>
        <w:t>hen compared with spheroids and sandwich cultures, th</w:t>
      </w:r>
      <w:r w:rsidR="004C2A37">
        <w:rPr>
          <w:bCs/>
        </w:rPr>
        <w:t>e</w:t>
      </w:r>
      <w:r w:rsidR="00FF0575" w:rsidRPr="00FF0575">
        <w:rPr>
          <w:bCs/>
        </w:rPr>
        <w:t xml:space="preserve"> system had a more stable function and </w:t>
      </w:r>
      <w:r w:rsidR="004C2A37">
        <w:rPr>
          <w:bCs/>
        </w:rPr>
        <w:t>higher</w:t>
      </w:r>
      <w:r w:rsidR="00FF0575" w:rsidRPr="00FF0575">
        <w:rPr>
          <w:bCs/>
        </w:rPr>
        <w:t xml:space="preserve"> sensitivity</w:t>
      </w:r>
      <w:r w:rsidR="004C2A37">
        <w:rPr>
          <w:bCs/>
        </w:rPr>
        <w:t xml:space="preserve"> in detecting </w:t>
      </w:r>
      <w:r w:rsidR="00726FDB">
        <w:rPr>
          <w:bCs/>
        </w:rPr>
        <w:t xml:space="preserve">the </w:t>
      </w:r>
      <w:r w:rsidR="004C2A37">
        <w:rPr>
          <w:bCs/>
        </w:rPr>
        <w:t>toxicity of several drugs</w:t>
      </w:r>
      <w:r w:rsidR="00A126E6">
        <w:rPr>
          <w:bCs/>
        </w:rPr>
        <w:fldChar w:fldCharType="begin" w:fldLock="1"/>
      </w:r>
      <w:r w:rsidR="00663F87">
        <w:rPr>
          <w:bCs/>
        </w:rPr>
        <w:instrText>ADDIN CSL_CITATION {"citationItems":[{"id":"ITEM-1","itemData":{"DOI":"10.1111/cts.12969","ISSN":"17528062","PMID":"33382907","abstract":"Abstract: Liver microphysiological systems (MPSs) are promising models for predicting hepatic drug effects. Yet, after a decade since their introduction, MPSs are not routinely used in drug development due to lack of criteria for ensuring reproducibility of results. We characterized the feasibility of a liver MPS to yield reproducible outcomes of experiments assaying drug toxicity, metabolism, and intracellular accumulation. The ability of the liver MPS to reproduce hepatotoxic effects was assessed using trovafloxacin, which increased lactate dehydrogenase (LDH) release and reduced cytochrome P450 3A4 (CYP3A4) activity. These observations were made in two test sites and with different batches of Kupffer cells. Upon culturing equivalent hepatocytes in the MPS, spheroids, and sandwich cultures, differences between culture formats were detected in CYP3A4 activity and albumin production. Cells in all culture formats exhibited different sensitivities to hepatotoxicant exposure. Hepatocytes in the MPS were more functionally stable than those of other culture platforms, as CYP3A4 activity and albumin secretion remained prominent for greater than 18 days in culture, whereas functional decline occurred earlier in spheroids (12 days) and sandwich cultures (7 days). The MPS was also demonstrated to be suitable for metabolism studies, where CYP3A4 activity, troglitazone metabolites, diclofenac clearance, and intracellular accumulation of chloroquine were quantified. To ensure reproducibility between studies with the MPS, the combined use of LDH and CYP3A4 assays were implemented as quality control metrics. Overall results indicated that the liver MPS can be used reproducibly in general drug evaluation applications. Study outcomes led to general considerations and recommendations for using liver MPSs. Study Highlights WHAT IS THE CURRENT KNOWLEDGE ON THE TOPIC? Microphysiological systems (MPSs) have been designed to recreate organ- or tissue-specific characteristics of extracellular microenvironments that enhance the physiological relevance of cells in culture. Liver MPSs enable long-lasting and stable culture of hepatic cells by culturing them in three-dimensions and exposing them to fluid flow. WHAT QUESTION DID THIS STUDY ADDRESS? What is the functional performance relative to other cell culture platforms and the reproducibility of a liver MPS for assessing drug development and evaluation questions, such as toxicity, metabolism, and pharmacokinetics? WHAT DOES TH…","author":[{"dropping-particle":"","family":"Rubiano","given":"Andrés","non-dropping-particle":"","parse-names":false,"suffix":""},{"dropping-particle":"","family":"Indapurkar","given":"Amruta","non-dropping-particle":"","parse-names":false,"suffix":""},{"dropping-particle":"","family":"Yokosawa","given":"Ryosuke","non-dropping-particle":"","parse-names":false,"suffix":""},{"dropping-particle":"","family":"Miedzik","given":"Alina","non-dropping-particle":"","parse-names":false,"suffix":""},{"dropping-particle":"","family":"Rosenzweig","given":"Barry","non-dropping-particle":"","parse-names":false,"suffix":""},{"dropping-particle":"","family":"Arefin","given":"Ayesha","non-dropping-particle":"","parse-names":false,"suffix":""},{"dropping-particle":"","family":"Moulin","given":"Chloe M.","non-dropping-particle":"","parse-names":false,"suffix":""},{"dropping-particle":"","family":"Dame","given":"Keri","non-dropping-particle":"","parse-names":false,"suffix":""},{"dropping-particle":"","family":"Hartman","given":"Neil","non-dropping-particle":"","parse-names":false,"suffix":""},{"dropping-particle":"","family":"Volpe","given":"Donna A.","non-dropping-particle":"","parse-names":false,"suffix":""},{"dropping-particle":"","family":"Matta","given":"Murali K.","non-dropping-particle":"","parse-names":false,"suffix":""},{"dropping-particle":"","family":"Hughes","given":"David J.","non-dropping-particle":"","parse-names":false,"suffix":""},{"dropping-particle":"","family":"Strauss","given":"David G.","non-dropping-particle":"","parse-names":false,"suffix":""},{"dropping-particle":"","family":"Kostrzewski","given":"Tomasz","non-dropping-particle":"","parse-names":false,"suffix":""},{"dropping-particle":"","family":"Ribeiro","given":"Alexandre J.S.","non-dropping-particle":"","parse-names":false,"suffix":""}],"container-title":"Clinical and Translational Science","id":"ITEM-1","issue":"3","issued":{"date-parts":[["2021"]]},"page":"1049-1061","title":"Characterizing the reproducibility in using a liver microphysiological system for assaying drug toxicity, metabolism, and accumulation","type":"article-journal","volume":"14"},"uris":["http://www.mendeley.com/documents/?uuid=6ac83594-c143-4fc3-b0cc-a3131d85e4b2"]}],"mendeley":{"formattedCitation":"&lt;sup&gt;20&lt;/sup&gt;","plainTextFormattedCitation":"20","previouslyFormattedCitation":"&lt;sup&gt;20&lt;/sup&gt;"},"properties":{"noteIndex":0},"schema":"https://github.com/citation-style-language/schema/raw/master/csl-citation.json"}</w:instrText>
      </w:r>
      <w:r w:rsidR="00A126E6">
        <w:rPr>
          <w:bCs/>
        </w:rPr>
        <w:fldChar w:fldCharType="separate"/>
      </w:r>
      <w:r w:rsidR="00A126E6" w:rsidRPr="00A126E6">
        <w:rPr>
          <w:bCs/>
          <w:noProof/>
          <w:vertAlign w:val="superscript"/>
        </w:rPr>
        <w:t>20</w:t>
      </w:r>
      <w:r w:rsidR="00A126E6">
        <w:rPr>
          <w:bCs/>
        </w:rPr>
        <w:fldChar w:fldCharType="end"/>
      </w:r>
      <w:r w:rsidR="00F7289A">
        <w:rPr>
          <w:bCs/>
        </w:rPr>
        <w:t>.</w:t>
      </w:r>
      <w:r w:rsidR="004C2A37">
        <w:rPr>
          <w:bCs/>
        </w:rPr>
        <w:t xml:space="preserve"> </w:t>
      </w:r>
      <w:r w:rsidR="007A14A6">
        <w:rPr>
          <w:bCs/>
        </w:rPr>
        <w:t>To date, t</w:t>
      </w:r>
      <w:r w:rsidR="00FD3AEC">
        <w:rPr>
          <w:bCs/>
        </w:rPr>
        <w:t xml:space="preserve">he MPS </w:t>
      </w:r>
      <w:r w:rsidR="00072FD6">
        <w:rPr>
          <w:bCs/>
        </w:rPr>
        <w:t xml:space="preserve">has been used in a wide range of applications </w:t>
      </w:r>
      <w:r w:rsidR="00CD1B25">
        <w:rPr>
          <w:bCs/>
        </w:rPr>
        <w:t>that cover ADME</w:t>
      </w:r>
      <w:r w:rsidR="00DA2097">
        <w:rPr>
          <w:bCs/>
        </w:rPr>
        <w:fldChar w:fldCharType="begin" w:fldLock="1"/>
      </w:r>
      <w:r w:rsidR="00663F87">
        <w:rPr>
          <w:bCs/>
        </w:rPr>
        <w:instrText>ADDIN CSL_CITATION {"citationItems":[{"id":"ITEM-1","itemData":{"DOI":"10.1124/jpet.116.237495","ISSN":"15210103","abstract":"In this work, we first describe the population variability in hepatic drug metabolism using cryopreserved hepatocytes from five different donors cultured in a perfused three-dimensional human liver microphysiological system, and then show how the resulting data can be integrated with a modeling and simulation framework to accomplish in vitro-in vivo translation. For each donor, metabolic depletion profiles of six compounds (phenacetin, diclofenac, lidocaine, ibuprofen, propranolol, and prednisolone) were measured, along with metabolite formation, mRNA levels of 90 metabolism-related genes, and markers of functional viability [lactate dehydrogenase (LDH) release, albumin, and urea production]. Drug depletion data were analyzed with mixed-effects modeling. Substantial interdonor variability was observed with respect to gene expression levels, drug metabolism, and other measured hepatocyte functions. Specifically, interdonor variability in intrinsic metabolic clearance ranged from 24.1% for phenacetin to 66.8% for propranolol (expressed as coefficient of variation). Albumin, urea, LDH, and cytochrome P450 mRNA levels were identified as significant predictors of in vitro metabolic clearance. Predicted clearance values from the liver microphysiological system were correlated with the observed in vivo values. A population physiologically based pharmacokinetic model was developed for lidocaine to illustrate the translation of the in vitro output to the observed pharmacokinetic variability in vivo. Stochastic simulations with this model successfully predicted the observed clinical concentration-time profiles and the associated population variability. This is the first study of population variability in drug metabolism in the context of a microphysiological system and has important implications for the use of these systems during the drug development process.","author":[{"dropping-particle":"","family":"Tsamandouras","given":"N.","non-dropping-particle":"","parse-names":false,"suffix":""},{"dropping-particle":"","family":"Kostrzewski","given":"T.","non-dropping-particle":"","parse-names":false,"suffix":""},{"dropping-particle":"","family":"Stokes","given":"C. L.","non-dropping-particle":"","parse-names":false,"suffix":""},{"dropping-particle":"","family":"Griffith","given":"L. G.","non-dropping-particle":"","parse-names":false,"suffix":""},{"dropping-particle":"","family":"Hughes","given":"D. J.","non-dropping-particle":"","parse-names":false,"suffix":""},{"dropping-particle":"","family":"Cirit","given":"Murat","non-dropping-particle":"","parse-names":false,"suffix":""}],"container-title":"Journal of Pharmacology and Experimental Therapeutics","id":"ITEM-1","issue":"1","issued":{"date-parts":[["2017"]]},"page":"95-105","title":"Quantitative assessment of population variability in hepatic drug metabolism using a perfused three-dimensional human liver microphysiological system","type":"article-journal","volume":"360"},"uris":["http://www.mendeley.com/documents/?uuid=070cf217-753c-4fef-8e28-3663601602df"]}],"mendeley":{"formattedCitation":"&lt;sup&gt;21&lt;/sup&gt;","plainTextFormattedCitation":"21","previouslyFormattedCitation":"&lt;sup&gt;21&lt;/sup&gt;"},"properties":{"noteIndex":0},"schema":"https://github.com/citation-style-language/schema/raw/master/csl-citation.json"}</w:instrText>
      </w:r>
      <w:r w:rsidR="00DA2097">
        <w:rPr>
          <w:bCs/>
        </w:rPr>
        <w:fldChar w:fldCharType="separate"/>
      </w:r>
      <w:r w:rsidR="00A126E6" w:rsidRPr="00A126E6">
        <w:rPr>
          <w:bCs/>
          <w:noProof/>
          <w:vertAlign w:val="superscript"/>
        </w:rPr>
        <w:t>21</w:t>
      </w:r>
      <w:r w:rsidR="00DA2097">
        <w:rPr>
          <w:bCs/>
        </w:rPr>
        <w:fldChar w:fldCharType="end"/>
      </w:r>
      <w:r w:rsidR="00DA2097">
        <w:rPr>
          <w:bCs/>
        </w:rPr>
        <w:t xml:space="preserve">, </w:t>
      </w:r>
      <w:r w:rsidR="002141A7">
        <w:rPr>
          <w:bCs/>
        </w:rPr>
        <w:t xml:space="preserve">disease modeling </w:t>
      </w:r>
      <w:r w:rsidR="001572E4">
        <w:rPr>
          <w:bCs/>
        </w:rPr>
        <w:t>(HBV</w:t>
      </w:r>
      <w:r w:rsidR="00115466">
        <w:rPr>
          <w:bCs/>
        </w:rPr>
        <w:fldChar w:fldCharType="begin" w:fldLock="1"/>
      </w:r>
      <w:r w:rsidR="00663F87">
        <w:rPr>
          <w:bCs/>
        </w:rPr>
        <w:instrText>ADDIN CSL_CITATION {"citationItems":[{"id":"ITEM-1","itemData":{"DOI":"10.1038/s41467-018-02969-8","ISBN":"2041-1723 (Electronic) 2041-1723 (Linking)","ISSN":"20411723","PMID":"29445209","abstract":"With more than 240 million people infected, hepatitis B virus (HBV) is a major health concern. The inability to mimic the complexity of the liver using cell lines and regular primary human hepatocyte (PHH) cultures pose significant limitations for studying host/pathogen interactions. Here, we describe a 3D microfluidic PHH system permissive to HBV infection, which can be maintained for at least 40 days. This system enables the recapitulation of all steps of the HBV life cycle, including the replication of patient-derived HBV and the maintenance of HBV cccDNA. We show that innate immune and cytokine responses following infection with HBV mimic those observed in HBV-infected patients, thus allowing the dissection of pathways important for immune evasion and validation of biomarkers. Additionally, we demonstrate that the co-culture of PHH with other non-parenchymal cells enables the identification of the cellular origin of immune effectors, thus providing a valuable preclinical platform for HBV research.","author":[{"dropping-particle":"","family":"Ortega-Prieto","given":"A. M.","non-dropping-particle":"","parse-names":false,"suffix":""},{"dropping-particle":"","family":"Skelton","given":"J. K.","non-dropping-particle":"","parse-names":false,"suffix":""},{"dropping-particle":"","family":"Wai","given":"S. N.","non-dropping-particle":"","parse-names":false,"suffix":""},{"dropping-particle":"","family":"Large","given":"E.","non-dropping-particle":"","parse-names":false,"suffix":""},{"dropping-particle":"","family":"Lussignol","given":"M.","non-dropping-particle":"","parse-names":false,"suffix":""},{"dropping-particle":"","family":"Vizcay-Barrena","given":"G.","non-dropping-particle":"","parse-names":false,"suffix":""},{"dropping-particle":"","family":"Hughes","given":"D.","non-dropping-particle":"","parse-names":false,"suffix":""},{"dropping-particle":"","family":"Fleck","given":"R. A.","non-dropping-particle":"","parse-names":false,"suffix":""},{"dropping-particle":"","family":"Thursz","given":"M.","non-dropping-particle":"","parse-names":false,"suffix":""},{"dropping-particle":"","family":"Catanese","given":"M. T.","non-dropping-particle":"","parse-names":false,"suffix":""},{"dropping-particle":"","family":"Dorner","given":"M.","non-dropping-particle":"","parse-names":false,"suffix":""}],"container-title":"Nature Communications","id":"ITEM-1","issue":"1","issued":{"date-parts":[["2018"]]},"note":"Ortega-Prieto, A M\nSkelton, J K\nWai, S N\nLarge, E\nLussignol, M\nVizcay-Barrena, G\nHughes, D\nFleck, R A\nThursz, M\nCatanese, M T\nDorner, M\neng\nWellcome Trust/United Kingdom\n637304/European Research Council/International\nResearch Support, Non-U.S. Gov't\nEngland\n2018/02/16 06:00\nNat Commun. 2018 Feb 14;9(1):682. doi: 10.1038/s41467-018-02969-8.","page":"1-15","title":"3D microfluidic liver cultures as a physiological preclinical tool for hepatitis B virus infection","type":"article-journal","volume":"9"},"uris":["http://www.mendeley.com/documents/?uuid=a82fa872-3671-431a-bae9-aaacfd35325f"]}],"mendeley":{"formattedCitation":"&lt;sup&gt;22&lt;/sup&gt;","plainTextFormattedCitation":"22","previouslyFormattedCitation":"&lt;sup&gt;22&lt;/sup&gt;"},"properties":{"noteIndex":0},"schema":"https://github.com/citation-style-language/schema/raw/master/csl-citation.json"}</w:instrText>
      </w:r>
      <w:r w:rsidR="00115466">
        <w:rPr>
          <w:bCs/>
        </w:rPr>
        <w:fldChar w:fldCharType="separate"/>
      </w:r>
      <w:r w:rsidR="00A126E6" w:rsidRPr="00A126E6">
        <w:rPr>
          <w:bCs/>
          <w:noProof/>
          <w:vertAlign w:val="superscript"/>
        </w:rPr>
        <w:t>22</w:t>
      </w:r>
      <w:r w:rsidR="00115466">
        <w:rPr>
          <w:bCs/>
        </w:rPr>
        <w:fldChar w:fldCharType="end"/>
      </w:r>
      <w:r w:rsidR="00115466">
        <w:rPr>
          <w:bCs/>
        </w:rPr>
        <w:t>, NA</w:t>
      </w:r>
      <w:r w:rsidR="00046395">
        <w:rPr>
          <w:bCs/>
        </w:rPr>
        <w:t>FLD</w:t>
      </w:r>
      <w:r w:rsidR="00A3134D">
        <w:rPr>
          <w:bCs/>
        </w:rPr>
        <w:fldChar w:fldCharType="begin" w:fldLock="1"/>
      </w:r>
      <w:r w:rsidR="00663F87">
        <w:rPr>
          <w:bCs/>
        </w:rPr>
        <w:instrText>ADDIN CSL_CITATION {"citationItems":[{"id":"ITEM-1","itemData":{"DOI":"10.3748/wjg.v23.i2.204","ISSN":"22192840","abstract":"Aim: To develop a human in vitro model of non-alcoholic fatty liver disease (NAFLD), utilising primary hepatocytes cultured in a three-dimensional (3D) perfused platform. Methods: Fat and lean culture media were developed to directly investigate the effects of fat loading on primary hepatocytes cultured in a 3D perfused culture system. Oil Red O staining was used to measure fat loading in the hepatocytes and the consumption of free fatty acids (FFA) from culture medium was monitored. Hepatic functions, gene expression profiles and adipokine release were compared for cells cultured in fat and lean conditions. To determine if fat loading in the system could be modulated hepatocytes were treated with known anti-steatotic compounds. Results: Hepatocytes cultured in fat medium were found to accumulate three times more fat than lean cells and fat uptake was continuous over a 14-d culture. Fat loading of hepatocytes did not cause any hepatotoxicity and significantly increased albumin production. Numerous adipokines were expressed by fatty cells and genes associated with NAFLD and liver disease were upregulated including: Insulin-like growth factorbinding protein 1, fatty acid-binding protein 3 and CYP7A1. The metabolic activity of hepatocytes cultured in fatty conditions was found to be impaired and the activities of CYP3A4 and CYP2C9 were significantly reduced, similar to observations made in NAFLD patients. The utility of the model for drug screening was demonstrated by measuring the effects of known antisteatotic compounds. Hepatocytes, cultured under fatty conditions and treated with metformin, had a reduced cellular fat content compared to untreated controls and consumed less FFA from cell culture medium. Conclusion: The 3D in vitro NAFLD model recapitulates many features of clinical NAFLD and is an ideal tool for analysing the efficacy of anti-steatotic compounds.","author":[{"dropping-particle":"","family":"Kostrzewski","given":"Tomasz","non-dropping-particle":"","parse-names":false,"suffix":""},{"dropping-particle":"","family":"Cornforth","given":"Terri","non-dropping-particle":"","parse-names":false,"suffix":""},{"dropping-particle":"","family":"Snow","given":"Sophie A.","non-dropping-particle":"","parse-names":false,"suffix":""},{"dropping-particle":"","family":"Ouro-Gnao","given":"Larissa","non-dropping-particle":"","parse-names":false,"suffix":""},{"dropping-particle":"","family":"Rowe","given":"Cliff","non-dropping-particle":"","parse-names":false,"suffix":""},{"dropping-particle":"","family":"Large","given":"Emma M.","non-dropping-particle":"","parse-names":false,"suffix":""},{"dropping-particle":"","family":"Hughes","given":"David J.","non-dropping-particle":"","parse-names":false,"suffix":""}],"container-title":"World Journal of Gastroenterology","id":"ITEM-1","issue":"2","issued":{"date-parts":[["2017"]]},"page":"204-215","title":"Three-dimensional perfused human in vitro model of non-alcoholic fatty liver disease","type":"article-journal","volume":"23"},"uris":["http://www.mendeley.com/documents/?uuid=a05e6daa-08b6-4235-8fe6-639c32fc51bc"]},{"id":"ITEM-2","itemData":{"DOI":"10.1002/hep4.1450","ISBN":"2471-254X (Electronic) 2471-254X (Linking)","PMID":"31909357","abstract":"Nonalcoholic steatohepatitis (NASH) is the most severe form of nonalcoholic fatty liver disease (NAFLD), which to date has no approved drug treatments. There is an urgent need for better understanding of the genetic and molecular pathways that underlie NAFLD/NASH, and currently available preclinical models, be they in vivo or in vitro, do not fully represent key aspects of the human disease state. We have developed a human in vitro co-culture NASH model using primary human hepatocytes, Kupffer cells and hepatic stellate cells, which are cultured together as microtissues in a perfused three-dimensional microphysiological system (MPS). The microtissues were cultured in medium containing free fatty acids for at least 2 weeks, to induce a NASH-like phenotype. The co-culture microtissues within the MPS display a NASH-like phenotype, showing key features of the disease including hepatic fat accumulation, the production of an inflammatory milieu, and the expression of profibrotic markers. Addition of lipopolysaccharide resulted in a more pro-inflammatory milieu. In the model, obeticholic acid ameliorated the NASH phenotype. Microtissues were formed from both wild-type and patatin-like phospholipase domain containing 3 (PNPLA3) I148M mutant hepatic stellate cells. Stellate cells carrying the mutation enhanced the overall disease state of the model and in particular produced a more pro-inflammatory milieu. Conclusion: The MPS model displays a phenotype akin to advanced NAFLD or NASH and has utility as a tool for exploring mechanisms underlying the disease. Furthermore, we demonstrate that in co-culture the PNPLA3 I148M mutation alone can cause hepatic stellate cells to enhance the overall NASH disease phenotype.","author":[{"dropping-particle":"","family":"Kostrzewski","given":"T","non-dropping-particle":"","parse-names":false,"suffix":""},{"dropping-particle":"","family":"Maraver","given":"P","non-dropping-particle":"","parse-names":false,"suffix":""},{"dropping-particle":"","family":"Ouro-Gnao","given":"L","non-dropping-particle":"","parse-names":false,"suffix":""},{"dropping-particle":"","family":"Levi","given":"A","non-dropping-particle":"","parse-names":false,"suffix":""},{"dropping-particle":"","family":"Snow","given":"S","non-dropping-particle":"","parse-names":false,"suffix":""},{"dropping-particle":"","family":"Miedzik","given":"A","non-dropping-particle":"","parse-names":false,"suffix":""},{"dropping-particle":"","family":"Rombouts","given":"K","non-dropping-particle":"","parse-names":false,"suffix":""},{"dropping-particle":"","family":"Hughes","given":"D","non-dropping-particle":"","parse-names":false,"suffix":""}],"container-title":"Hepatol Commun","id":"ITEM-2","issue":"1","issued":{"date-parts":[["2020"]]},"note":"Kostrzewski, Tomasz\nMaraver, Paloma\nOuro-Gnao, Larissa\nLevi, Ana\nSnow, Sophie\nMiedzik, Alina\nRombouts, Krista\nHughes, David\neng\n2020/01/08 06:00\nHepatol Commun. 2019 Nov 13;4(1):77-91. doi: 10.1002/hep4.1450. eCollection 2020 Jan.","page":"77-91","title":"A Microphysiological System for Studying Nonalcoholic Steatohepatitis","type":"article-journal","volume":"4"},"uris":["http://www.mendeley.com/documents/?uuid=20b97ccf-a6f4-4700-bf7b-24ac593e5edf"]},{"id":"ITEM-3","itemData":{"DOI":"10.1038/s42255-020-0214-9","ISSN":"2522-5812","abstract":"Non-alcoholic steatohepatitis (NASH) is characterized by lipotoxicity, inflammation and fibrosis, ultimately leading to end-stage liver disease. The molecular mechanisms promoting NASH are poorly understood, and treatment options are limited. Here, we demonstrate that hepatic expression of bone morphogenetic protein 8B (BMP8B), a member of the transforming growth factor beta (TGFβ)–BMP superfamily, increases proportionally to disease stage in people and animal models with NASH. BMP8B signals via both SMAD2/3 and SMAD1/5/9 branches of the TGFβ–BMP pathway in hepatic stellate cells (HSCs), promoting their proinflammatory phenotype. In vivo, the absence of BMP8B prevents HSC activation, reduces inflammation and affects the wound-healing responses, thereby limiting NASH progression. Evidence is featured in primary human 3D microtissues modelling NASH, when challenged with recombinant BMP8. Our data show that BMP8B is a major contributor to NASH progression. Owing to the near absence of BMP8B in healthy livers, inhibition of BMP8B may represent a promising new therapeutic avenue for NASH treatment.","author":[{"dropping-particle":"","family":"Vacca","given":"Michele","non-dropping-particle":"","parse-names":false,"suffix":""},{"dropping-particle":"","family":"Leslie","given":"Jack","non-dropping-particle":"","parse-names":false,"suffix":""},{"dropping-particle":"","family":"Virtue","given":"Samuel","non-dropping-particle":"","parse-names":false,"suffix":""},{"dropping-particle":"","family":"Lam","given":"Brian Y H","non-dropping-particle":"","parse-names":false,"suffix":""},{"dropping-particle":"","family":"Govaere","given":"Olivier","non-dropping-particle":"","parse-names":false,"suffix":""},{"dropping-particle":"","family":"Tiniakos","given":"Dina","non-dropping-particle":"","parse-names":false,"suffix":""},{"dropping-particle":"","family":"Snow","given":"Sophie","non-dropping-particle":"","parse-names":false,"suffix":""},{"dropping-particle":"","family":"Davies","given":"Susan","non-dropping-particle":"","parse-names":false,"suffix":""},{"dropping-particle":"","family":"Petkevicius","given":"Kasparas","non-dropping-particle":"","parse-names":false,"suffix":""},{"dropping-particle":"","family":"Tong","given":"Zhen","non-dropping-particle":"","parse-names":false,"suffix":""},{"dropping-particle":"","family":"Peirce","given":"Vivian","non-dropping-particle":"","parse-names":false,"suffix":""},{"dropping-particle":"","family":"Nielsen","given":"Mette Juul","non-dropping-particle":"","parse-names":false,"suffix":""},{"dropping-particle":"","family":"Ament","given":"Zsuzsanna","non-dropping-particle":"","parse-names":false,"suffix":""},{"dropping-particle":"","family":"Li","given":"Wei","non-dropping-particle":"","parse-names":false,"suffix":""},{"dropping-particle":"","family":"Kostrzewski","given":"Tomasz","non-dropping-particle":"","parse-names":false,"suffix":""},{"dropping-particle":"","family":"Leeming","given":"Diana Julie","non-dropping-particle":"","parse-names":false,"suffix":""},{"dropping-particle":"","family":"Ratziu","given":"Vlad","non-dropping-particle":"","parse-names":false,"suffix":""},{"dropping-particle":"","family":"Allison","given":"Michael E D","non-dropping-particle":"","parse-names":false,"suffix":""},{"dropping-particle":"","family":"Anstee","given":"Quentin M","non-dropping-particle":"","parse-names":false,"suffix":""},{"dropping-particle":"","family":"Griffin","given":"Julian L","non-dropping-particle":"","parse-names":false,"suffix":""},{"dropping-particle":"","family":"Oakley","given":"Fiona","non-dropping-particle":"","parse-names":false,"suffix":""}],"container-title":"Nature Metabolism","id":"ITEM-3","issued":{"date-parts":[["2020"]]},"publisher":"Springer US","title":"Bone morphogenetic protein 8B promotes the progression of non-alcoholic steatohepatitis","type":"article-journal"},"uris":["http://www.mendeley.com/documents/?uuid=09c0660e-fcef-4447-a3a4-d72f9f6b1d84"]}],"mendeley":{"formattedCitation":"&lt;sup&gt;23–25&lt;/sup&gt;","plainTextFormattedCitation":"23–25","previouslyFormattedCitation":"&lt;sup&gt;23–25&lt;/sup&gt;"},"properties":{"noteIndex":0},"schema":"https://github.com/citation-style-language/schema/raw/master/csl-citation.json"}</w:instrText>
      </w:r>
      <w:r w:rsidR="00A3134D">
        <w:rPr>
          <w:bCs/>
        </w:rPr>
        <w:fldChar w:fldCharType="separate"/>
      </w:r>
      <w:r w:rsidR="00A126E6" w:rsidRPr="00A126E6">
        <w:rPr>
          <w:bCs/>
          <w:noProof/>
          <w:vertAlign w:val="superscript"/>
        </w:rPr>
        <w:t>23–25</w:t>
      </w:r>
      <w:r w:rsidR="00A3134D">
        <w:rPr>
          <w:bCs/>
        </w:rPr>
        <w:fldChar w:fldCharType="end"/>
      </w:r>
      <w:r w:rsidR="00F12F74">
        <w:rPr>
          <w:bCs/>
        </w:rPr>
        <w:t>)</w:t>
      </w:r>
      <w:r w:rsidR="00726FDB">
        <w:rPr>
          <w:bCs/>
        </w:rPr>
        <w:t>,</w:t>
      </w:r>
      <w:r w:rsidR="00F7289A">
        <w:rPr>
          <w:bCs/>
        </w:rPr>
        <w:t xml:space="preserve"> and</w:t>
      </w:r>
      <w:r w:rsidR="00F12F74">
        <w:rPr>
          <w:bCs/>
        </w:rPr>
        <w:t xml:space="preserve"> </w:t>
      </w:r>
      <w:r w:rsidR="002B0487">
        <w:rPr>
          <w:bCs/>
        </w:rPr>
        <w:t>drug-drug interactions</w:t>
      </w:r>
      <w:r w:rsidR="00EA7CED">
        <w:rPr>
          <w:bCs/>
        </w:rPr>
        <w:fldChar w:fldCharType="begin" w:fldLock="1"/>
      </w:r>
      <w:r w:rsidR="00663F87">
        <w:rPr>
          <w:bCs/>
        </w:rPr>
        <w:instrText>ADDIN CSL_CITATION {"citationItems":[{"id":"ITEM-1","itemData":{"DOI":"10.1124/dmd.116.071456","abstract":"Traditional in vitro human liver cell culture models lose key hepatic functions such as metabolic activity during short-term culture. Advanced three-dimensional (3D) liver coculture platforms offer the potential for extended hepatocyte functionality and allow for the study of more complex biologic interactions, which can improve and refine human drug safety evaluations. Here, we use a perfusion flow 3D microreactor platform for the coculture of cryopreserved primary human hepatocytes and Kupffer cells to study the regulation of cytochrome P450 3A4 isoform (CYP3A4) activity by chronic in-terleukin 6 (IL-6)-mediated inflammation over 2 weeks. Hepatocyte cultures remained stable over 2 weeks, with consistent albumin production and basal IL-6 levels. Direct IL-6 stimulation that mimics an inflammatory state induced a dose-dependent suppression of CYP3A4 activity, an increase in C-reactive protein (CRP) secretion, and a decrease in shed soluble interleukin-6 receptor (IL-6R) levels, indicating expected hepatic IL-6 bioactivity. Tocilizumab, an anti-IL-6R monoclonal antibody used to treat rheumatoid arthritis, has been demonstrated clinically to impact small molecule drug pharmaco-kinetics by modulating cytochrome P450 enzyme activities, an effect not observed in traditional hepatic cultures. We have now recapit-ulated the clinical observation in a 3D bioreactor system. Tocilizu-mab was shown to desuppress CYP3A4 activity while reducing the CRP concentration after 72 hours in the continued presence of IL-6. This change in CYP3A4 activity decreased the half-life and area under the curve up to the last measurable concentration (AUC last) of the small molecule CYP3A4 substrate simvastatin hydroxy acid, measured before and after tocilizumab treatment. We conclude that next-generation in vitro liver culture platforms are well suited for these types of long-term treatment studies and show promise for improved drug safety assessment.","author":[{"dropping-particle":"","family":"Long","given":"Thomas J","non-dropping-particle":"","parse-names":false,"suffix":""},{"dropping-particle":"","family":"Cosgrove","given":"Patrick A","non-dropping-particle":"","parse-names":false,"suffix":""},{"dropping-particle":"","family":"Dunn","given":"Robert T","non-dropping-particle":"","parse-names":false,"suffix":""},{"dropping-particle":"","family":"Stolz","given":"Donna B","non-dropping-particle":"","parse-names":false,"suffix":""},{"dropping-particle":"","family":"Hamadeh","given":"Hisham","non-dropping-particle":"","parse-names":false,"suffix":""},{"dropping-particle":"","family":"Afshari","given":"Cynthia","non-dropping-particle":"","parse-names":false,"suffix":""},{"dropping-particle":"","family":"Mcbride","given":"Helen","non-dropping-particle":"","parse-names":false,"suffix":""},{"dropping-particle":"","family":"Griffith","given":"Linda G","non-dropping-particle":"","parse-names":false,"suffix":""}],"container-title":"DRUG METABOLISM AND DISPOSITION Drug Metab Dispos","id":"ITEM-1","issued":{"date-parts":[["2016"]]},"page":"1940-1948","title":"Modeling Therapeutic Antibody-Small Molecule Drug-Drug Interactions Using a Three-Dimensional Perfusable Human Liver Coculture Platform s","type":"article-journal","volume":"44"},"uris":["http://www.mendeley.com/documents/?uuid=802b37c4-5001-3c42-9ea3-bd317b915257"]}],"mendeley":{"formattedCitation":"&lt;sup&gt;26&lt;/sup&gt;","plainTextFormattedCitation":"26","previouslyFormattedCitation":"&lt;sup&gt;26&lt;/sup&gt;"},"properties":{"noteIndex":0},"schema":"https://github.com/citation-style-language/schema/raw/master/csl-citation.json"}</w:instrText>
      </w:r>
      <w:r w:rsidR="00EA7CED">
        <w:rPr>
          <w:bCs/>
        </w:rPr>
        <w:fldChar w:fldCharType="separate"/>
      </w:r>
      <w:r w:rsidR="00A126E6" w:rsidRPr="00A126E6">
        <w:rPr>
          <w:bCs/>
          <w:noProof/>
          <w:vertAlign w:val="superscript"/>
        </w:rPr>
        <w:t>26</w:t>
      </w:r>
      <w:r w:rsidR="00EA7CED">
        <w:rPr>
          <w:bCs/>
        </w:rPr>
        <w:fldChar w:fldCharType="end"/>
      </w:r>
      <w:r w:rsidR="00726FDB">
        <w:rPr>
          <w:bCs/>
        </w:rPr>
        <w:t>,</w:t>
      </w:r>
      <w:r w:rsidR="00EA7CED">
        <w:rPr>
          <w:bCs/>
        </w:rPr>
        <w:t xml:space="preserve"> </w:t>
      </w:r>
      <w:r w:rsidR="000759C6" w:rsidRPr="000759C6">
        <w:rPr>
          <w:bCs/>
        </w:rPr>
        <w:t xml:space="preserve">potentially making it highly suited to assessing </w:t>
      </w:r>
      <w:r w:rsidR="00EC1B19">
        <w:rPr>
          <w:bCs/>
        </w:rPr>
        <w:t xml:space="preserve">acute and chronic </w:t>
      </w:r>
      <w:r w:rsidR="000759C6" w:rsidRPr="000759C6">
        <w:rPr>
          <w:bCs/>
        </w:rPr>
        <w:t>DILI.</w:t>
      </w:r>
      <w:r w:rsidR="0031413E">
        <w:rPr>
          <w:bCs/>
        </w:rPr>
        <w:t xml:space="preserve"> </w:t>
      </w:r>
      <w:r w:rsidR="00E16108" w:rsidRPr="006157F3">
        <w:rPr>
          <w:bCs/>
        </w:rPr>
        <w:t xml:space="preserve">The technology presented here </w:t>
      </w:r>
      <w:r w:rsidR="00147483" w:rsidRPr="006157F3">
        <w:rPr>
          <w:bCs/>
        </w:rPr>
        <w:t>offers an alternative to</w:t>
      </w:r>
      <w:r w:rsidR="00482745" w:rsidRPr="006157F3">
        <w:rPr>
          <w:bCs/>
        </w:rPr>
        <w:t xml:space="preserve"> close the gap between more traditional cell cultures</w:t>
      </w:r>
      <w:r w:rsidR="008B744D">
        <w:rPr>
          <w:bCs/>
        </w:rPr>
        <w:t xml:space="preserve"> and animal models</w:t>
      </w:r>
      <w:r w:rsidR="00482745" w:rsidRPr="006157F3">
        <w:rPr>
          <w:bCs/>
        </w:rPr>
        <w:t xml:space="preserve"> </w:t>
      </w:r>
      <w:r w:rsidR="00147483" w:rsidRPr="006157F3">
        <w:rPr>
          <w:bCs/>
        </w:rPr>
        <w:t>and human clinical trials</w:t>
      </w:r>
      <w:r w:rsidR="00997DDE" w:rsidRPr="006157F3">
        <w:rPr>
          <w:bCs/>
        </w:rPr>
        <w:t>,</w:t>
      </w:r>
      <w:r w:rsidR="00070A4A" w:rsidRPr="006157F3">
        <w:rPr>
          <w:bCs/>
        </w:rPr>
        <w:t xml:space="preserve"> </w:t>
      </w:r>
      <w:r w:rsidR="00095911" w:rsidRPr="006157F3">
        <w:rPr>
          <w:bCs/>
        </w:rPr>
        <w:t>advancing</w:t>
      </w:r>
      <w:r w:rsidR="00997DDE" w:rsidRPr="006157F3">
        <w:rPr>
          <w:bCs/>
        </w:rPr>
        <w:t xml:space="preserve"> towards </w:t>
      </w:r>
      <w:r w:rsidR="002875D0" w:rsidRPr="005204C8">
        <w:rPr>
          <w:bCs/>
        </w:rPr>
        <w:t>the simulation of human biological conditions</w:t>
      </w:r>
      <w:r w:rsidR="002875D0" w:rsidRPr="006157F3">
        <w:rPr>
          <w:bCs/>
        </w:rPr>
        <w:t xml:space="preserve"> to support </w:t>
      </w:r>
      <w:r w:rsidR="006157F3" w:rsidRPr="006157F3">
        <w:rPr>
          <w:bCs/>
        </w:rPr>
        <w:t xml:space="preserve">the </w:t>
      </w:r>
      <w:r w:rsidR="006D4D75" w:rsidRPr="006157F3">
        <w:rPr>
          <w:bCs/>
        </w:rPr>
        <w:t>assessment</w:t>
      </w:r>
      <w:r w:rsidR="006157F3" w:rsidRPr="006157F3">
        <w:rPr>
          <w:bCs/>
        </w:rPr>
        <w:t xml:space="preserve"> of candidate compounds’ </w:t>
      </w:r>
      <w:r w:rsidR="006D4D75" w:rsidRPr="006157F3">
        <w:rPr>
          <w:bCs/>
        </w:rPr>
        <w:t>liver toxicity</w:t>
      </w:r>
      <w:r w:rsidR="006157F3" w:rsidRPr="006157F3">
        <w:rPr>
          <w:bCs/>
        </w:rPr>
        <w:t xml:space="preserve"> in preclinical stages of </w:t>
      </w:r>
      <w:r w:rsidR="00726FDB">
        <w:rPr>
          <w:bCs/>
        </w:rPr>
        <w:t xml:space="preserve">the </w:t>
      </w:r>
      <w:r w:rsidR="006157F3" w:rsidRPr="006157F3">
        <w:rPr>
          <w:bCs/>
        </w:rPr>
        <w:t>drug development process.</w:t>
      </w:r>
      <w:r w:rsidR="006157F3">
        <w:rPr>
          <w:bCs/>
        </w:rPr>
        <w:t xml:space="preserve"> </w:t>
      </w:r>
      <w:r w:rsidR="006D4D75">
        <w:rPr>
          <w:bCs/>
        </w:rPr>
        <w:t xml:space="preserve"> </w:t>
      </w:r>
    </w:p>
    <w:p w14:paraId="4C7056B8" w14:textId="77777777" w:rsidR="003E500F" w:rsidRDefault="003E500F">
      <w:pPr>
        <w:rPr>
          <w:b/>
        </w:rPr>
      </w:pPr>
      <w:bookmarkStart w:id="0" w:name="_Hlk91181776"/>
    </w:p>
    <w:p w14:paraId="32A92E82" w14:textId="16F69BC8" w:rsidR="006E4797" w:rsidRDefault="00551D82">
      <w:pPr>
        <w:rPr>
          <w:b/>
        </w:rPr>
      </w:pPr>
      <w:r>
        <w:rPr>
          <w:b/>
        </w:rPr>
        <w:t>PROTOCOL:</w:t>
      </w:r>
    </w:p>
    <w:p w14:paraId="0DC312D0" w14:textId="77777777" w:rsidR="00755A37" w:rsidRDefault="00755A37">
      <w:pPr>
        <w:rPr>
          <w:color w:val="808080"/>
        </w:rPr>
      </w:pPr>
    </w:p>
    <w:p w14:paraId="763C4291" w14:textId="2A148E7E" w:rsidR="000364A7" w:rsidRDefault="000B03DE" w:rsidP="002E2279">
      <w:r>
        <w:t>All the work</w:t>
      </w:r>
      <w:r w:rsidR="00611410">
        <w:t xml:space="preserve"> was </w:t>
      </w:r>
      <w:r>
        <w:t>conducted in the laboratory follow</w:t>
      </w:r>
      <w:r w:rsidR="00611410">
        <w:t>ing</w:t>
      </w:r>
      <w:r>
        <w:t xml:space="preserve"> strict H</w:t>
      </w:r>
      <w:r w:rsidR="00540EFD">
        <w:t xml:space="preserve">ealth </w:t>
      </w:r>
      <w:r>
        <w:t>&amp;</w:t>
      </w:r>
      <w:r w:rsidR="00540EFD">
        <w:t xml:space="preserve"> </w:t>
      </w:r>
      <w:r>
        <w:t>S</w:t>
      </w:r>
      <w:r w:rsidR="00540EFD">
        <w:t>afety</w:t>
      </w:r>
      <w:r>
        <w:t xml:space="preserve"> procedures and in accordance with </w:t>
      </w:r>
      <w:r w:rsidR="00726FDB">
        <w:t xml:space="preserve">its </w:t>
      </w:r>
      <w:r>
        <w:t xml:space="preserve">own laboratory risk assessments and SOPs. All equipment used is serviced according to the manufacture’s guidelines. </w:t>
      </w:r>
      <w:r w:rsidR="0F014407">
        <w:t>Microbiological safety cabinets (</w:t>
      </w:r>
      <w:r w:rsidR="002D3F89">
        <w:t>MBSCs</w:t>
      </w:r>
      <w:r w:rsidR="57863765">
        <w:t>)</w:t>
      </w:r>
      <w:r>
        <w:t xml:space="preserve"> are serviced </w:t>
      </w:r>
      <w:r w:rsidR="0085197C">
        <w:t>annually,</w:t>
      </w:r>
      <w:r>
        <w:t xml:space="preserve"> and K</w:t>
      </w:r>
      <w:r w:rsidR="00122BA3">
        <w:t>i</w:t>
      </w:r>
      <w:r w:rsidR="00281B3F">
        <w:t>-Discus</w:t>
      </w:r>
      <w:r>
        <w:t xml:space="preserve"> </w:t>
      </w:r>
      <w:r w:rsidR="00122BA3">
        <w:t xml:space="preserve">(potassium iodide) </w:t>
      </w:r>
      <w:r>
        <w:t>tested</w:t>
      </w:r>
      <w:r w:rsidR="00281B3F">
        <w:t xml:space="preserve"> </w:t>
      </w:r>
      <w:r w:rsidR="00E54270">
        <w:t>to</w:t>
      </w:r>
      <w:r w:rsidR="00281B3F">
        <w:t xml:space="preserve"> </w:t>
      </w:r>
      <w:r w:rsidR="00B65E0C" w:rsidRPr="00B65E0C">
        <w:t xml:space="preserve">British </w:t>
      </w:r>
      <w:r w:rsidR="00E54270">
        <w:t>s</w:t>
      </w:r>
      <w:r w:rsidR="00B65E0C" w:rsidRPr="00B65E0C">
        <w:t>tandard</w:t>
      </w:r>
      <w:r w:rsidR="00E54270">
        <w:t>s</w:t>
      </w:r>
      <w:r>
        <w:t>.</w:t>
      </w:r>
      <w:r w:rsidR="0085197C">
        <w:t xml:space="preserve"> </w:t>
      </w:r>
      <w:r w:rsidR="00483030">
        <w:t xml:space="preserve">The protocol follows the </w:t>
      </w:r>
      <w:r w:rsidR="00284231">
        <w:t xml:space="preserve">United Kingdom </w:t>
      </w:r>
      <w:r w:rsidR="00A777D1">
        <w:t>Human Tissue Authority</w:t>
      </w:r>
      <w:r w:rsidR="00EF6348">
        <w:t xml:space="preserve"> (HTA)</w:t>
      </w:r>
      <w:r w:rsidR="00A777D1">
        <w:t xml:space="preserve"> Code of Practice and directives </w:t>
      </w:r>
      <w:r w:rsidR="00284231">
        <w:t>and uses ethically-sourced primary human cells</w:t>
      </w:r>
      <w:r w:rsidR="006E3AC8">
        <w:t xml:space="preserve"> </w:t>
      </w:r>
      <w:r w:rsidR="00085D8C">
        <w:t xml:space="preserve">supplied by </w:t>
      </w:r>
      <w:r w:rsidR="00B77AAF">
        <w:t>vendors</w:t>
      </w:r>
      <w:r w:rsidR="00085D8C">
        <w:t xml:space="preserve"> that fully comply with</w:t>
      </w:r>
      <w:r w:rsidR="00B93D88">
        <w:t xml:space="preserve"> the g</w:t>
      </w:r>
      <w:r w:rsidR="00B93D88" w:rsidRPr="00B93D88">
        <w:t>eneral requirements for informed consent</w:t>
      </w:r>
      <w:r w:rsidR="00085D8C">
        <w:t xml:space="preserve"> </w:t>
      </w:r>
      <w:r w:rsidR="002764CF" w:rsidRPr="002764CF">
        <w:t>(45 CFR §46.116 and §46.117) and Good Clinical Practice (GLP), (ICH E6)</w:t>
      </w:r>
      <w:r w:rsidR="00F268A6">
        <w:t>,</w:t>
      </w:r>
      <w:r w:rsidR="002764CF">
        <w:t xml:space="preserve"> and regulatory and ethics committees</w:t>
      </w:r>
      <w:r w:rsidR="00284231">
        <w:t xml:space="preserve">. </w:t>
      </w:r>
    </w:p>
    <w:p w14:paraId="69CCFBA6" w14:textId="77777777" w:rsidR="00613FA2" w:rsidRPr="005C2E62" w:rsidRDefault="00613FA2" w:rsidP="002E2279"/>
    <w:p w14:paraId="40204FDE" w14:textId="72002216" w:rsidR="00AB424A" w:rsidRPr="001C7AC8" w:rsidRDefault="00AB424A" w:rsidP="001C7AC8">
      <w:pPr>
        <w:pStyle w:val="ListParagraph"/>
        <w:numPr>
          <w:ilvl w:val="0"/>
          <w:numId w:val="13"/>
        </w:numPr>
        <w:ind w:left="0" w:firstLine="0"/>
        <w:rPr>
          <w:b/>
          <w:bCs/>
        </w:rPr>
      </w:pPr>
      <w:r w:rsidRPr="001C7AC8">
        <w:rPr>
          <w:b/>
          <w:bCs/>
        </w:rPr>
        <w:t xml:space="preserve">Preparing cell culture media </w:t>
      </w:r>
    </w:p>
    <w:p w14:paraId="0A289856" w14:textId="77777777" w:rsidR="00755A37" w:rsidRPr="005C2E62" w:rsidRDefault="00755A37" w:rsidP="001C7AC8">
      <w:pPr>
        <w:pStyle w:val="ListParagraph"/>
        <w:ind w:left="0"/>
      </w:pPr>
    </w:p>
    <w:p w14:paraId="7941ABDA" w14:textId="4A456B46" w:rsidR="00AB424A" w:rsidRDefault="009D5A97" w:rsidP="00B3744F">
      <w:pPr>
        <w:pStyle w:val="ListParagraph"/>
        <w:ind w:left="0"/>
      </w:pPr>
      <w:r>
        <w:t xml:space="preserve">NOTE: </w:t>
      </w:r>
      <w:r w:rsidR="00206F5E">
        <w:t>P</w:t>
      </w:r>
      <w:r w:rsidR="00206F5E" w:rsidRPr="005C2E62">
        <w:t>repar</w:t>
      </w:r>
      <w:r w:rsidR="00206F5E">
        <w:t>e</w:t>
      </w:r>
      <w:r w:rsidR="00206F5E" w:rsidRPr="005C2E62">
        <w:t xml:space="preserve"> </w:t>
      </w:r>
      <w:r w:rsidR="00726FDB" w:rsidRPr="005C2E62">
        <w:t xml:space="preserve">Seeding Advanced </w:t>
      </w:r>
      <w:r w:rsidR="00AB424A" w:rsidRPr="005C2E62">
        <w:t>DMEM medium on Day -1 and store at 4</w:t>
      </w:r>
      <w:r w:rsidR="00726FDB">
        <w:t xml:space="preserve"> </w:t>
      </w:r>
      <w:r w:rsidR="00AB424A" w:rsidRPr="005C2E62">
        <w:t xml:space="preserve">˚C. </w:t>
      </w:r>
      <w:r w:rsidR="00206F5E">
        <w:t xml:space="preserve">Prepare </w:t>
      </w:r>
      <w:r w:rsidR="00726FDB" w:rsidRPr="005C2E62">
        <w:t>Maintenance</w:t>
      </w:r>
      <w:r w:rsidR="00726FDB">
        <w:t xml:space="preserve"> </w:t>
      </w:r>
      <w:r w:rsidR="00726FDB" w:rsidRPr="005C2E62">
        <w:t xml:space="preserve">Advanced </w:t>
      </w:r>
      <w:r w:rsidR="00AB424A" w:rsidRPr="005C2E62">
        <w:t xml:space="preserve">DMEM medium on Day 1 and store at 4 ˚C for up to </w:t>
      </w:r>
      <w:r w:rsidR="00726FDB">
        <w:t>1</w:t>
      </w:r>
      <w:r w:rsidR="00726FDB" w:rsidRPr="005C2E62">
        <w:t xml:space="preserve"> </w:t>
      </w:r>
      <w:r w:rsidR="00AB424A" w:rsidRPr="005C2E62">
        <w:t>week</w:t>
      </w:r>
      <w:r w:rsidR="00445887">
        <w:t>.</w:t>
      </w:r>
    </w:p>
    <w:p w14:paraId="57076E03" w14:textId="77777777" w:rsidR="000A2FDB" w:rsidRDefault="000A2FDB" w:rsidP="00B3744F">
      <w:pPr>
        <w:pStyle w:val="ListParagraph"/>
        <w:ind w:left="0"/>
      </w:pPr>
    </w:p>
    <w:p w14:paraId="1EBBE271" w14:textId="1AD6A5DA" w:rsidR="00500CCB" w:rsidRDefault="00AB424A" w:rsidP="001C7AC8">
      <w:pPr>
        <w:pStyle w:val="ListParagraph"/>
        <w:numPr>
          <w:ilvl w:val="1"/>
          <w:numId w:val="33"/>
        </w:numPr>
        <w:spacing w:before="240"/>
        <w:ind w:left="0" w:firstLine="0"/>
      </w:pPr>
      <w:r w:rsidRPr="005C2E62">
        <w:t xml:space="preserve">Seeding Advanced DMEM medium for PHHs and </w:t>
      </w:r>
      <w:r w:rsidR="00E64BF5">
        <w:t>HKC</w:t>
      </w:r>
      <w:r w:rsidR="001D2EF2">
        <w:t>s</w:t>
      </w:r>
      <w:r w:rsidRPr="005C2E62">
        <w:t xml:space="preserve"> coculture</w:t>
      </w:r>
      <w:r w:rsidR="00726FDB">
        <w:t xml:space="preserve">: </w:t>
      </w:r>
      <w:r w:rsidR="00FD75E2">
        <w:t xml:space="preserve">Supplement one bottle of </w:t>
      </w:r>
      <w:r w:rsidR="008131C5">
        <w:t xml:space="preserve">500 mL </w:t>
      </w:r>
      <w:r w:rsidR="00FD75E2">
        <w:t>Advanced DMEM medium (</w:t>
      </w:r>
      <w:r w:rsidR="00FD75E2" w:rsidRPr="00726FDB">
        <w:rPr>
          <w:b/>
          <w:bCs/>
        </w:rPr>
        <w:t>Table of Materials</w:t>
      </w:r>
      <w:r w:rsidR="00FD75E2">
        <w:t xml:space="preserve">) with </w:t>
      </w:r>
      <w:r w:rsidR="002350E2">
        <w:t xml:space="preserve">18 mL </w:t>
      </w:r>
      <w:r w:rsidR="00726FDB">
        <w:t xml:space="preserve">of </w:t>
      </w:r>
      <w:r w:rsidR="008131C5">
        <w:t>Cocktail A</w:t>
      </w:r>
      <w:r w:rsidR="007F0B81">
        <w:t xml:space="preserve"> (final concentration of 3.6%) and with 25 mL </w:t>
      </w:r>
      <w:r w:rsidR="00726FDB">
        <w:t xml:space="preserve">of </w:t>
      </w:r>
      <w:r w:rsidR="007F0B81">
        <w:t xml:space="preserve">FBS (final concentration </w:t>
      </w:r>
      <w:r w:rsidR="00D17B59">
        <w:t>5%).</w:t>
      </w:r>
    </w:p>
    <w:p w14:paraId="247FAD12" w14:textId="77777777" w:rsidR="00A82CDC" w:rsidRDefault="00A82CDC" w:rsidP="001C7AC8">
      <w:pPr>
        <w:pStyle w:val="ListParagraph"/>
        <w:ind w:left="0"/>
      </w:pPr>
    </w:p>
    <w:p w14:paraId="2B6074AD" w14:textId="37A5616E" w:rsidR="00AB424A" w:rsidRDefault="00AB424A" w:rsidP="001C7AC8">
      <w:pPr>
        <w:pStyle w:val="ListParagraph"/>
        <w:numPr>
          <w:ilvl w:val="1"/>
          <w:numId w:val="33"/>
        </w:numPr>
        <w:spacing w:before="240"/>
        <w:ind w:left="0" w:firstLine="0"/>
      </w:pPr>
      <w:r w:rsidRPr="005C2E62">
        <w:lastRenderedPageBreak/>
        <w:t xml:space="preserve">Maintenance Advanced DMEM medium for PHHs and </w:t>
      </w:r>
      <w:r w:rsidR="00E64BF5">
        <w:t>HKC</w:t>
      </w:r>
      <w:r w:rsidR="001D2EF2">
        <w:t>s</w:t>
      </w:r>
      <w:r w:rsidRPr="005C2E62">
        <w:t xml:space="preserve"> coculture</w:t>
      </w:r>
      <w:r w:rsidR="00726FDB">
        <w:t xml:space="preserve">: </w:t>
      </w:r>
      <w:r w:rsidR="00D17B59">
        <w:t xml:space="preserve">Supplement one </w:t>
      </w:r>
      <w:r w:rsidR="00726FDB">
        <w:t xml:space="preserve">bottle of </w:t>
      </w:r>
      <w:r w:rsidR="00D17B59">
        <w:t>500 mL Advanced DMEM medium (</w:t>
      </w:r>
      <w:r w:rsidR="00D17B59" w:rsidRPr="00726FDB">
        <w:rPr>
          <w:b/>
          <w:bCs/>
        </w:rPr>
        <w:t>Table of Materials</w:t>
      </w:r>
      <w:r w:rsidR="00D17B59">
        <w:t xml:space="preserve">) with 20 mL </w:t>
      </w:r>
      <w:r w:rsidR="00726FDB">
        <w:t xml:space="preserve">of </w:t>
      </w:r>
      <w:r w:rsidR="00D17B59">
        <w:t>Cocktail B (final concentration of 4%) and</w:t>
      </w:r>
      <w:r w:rsidR="0009741F">
        <w:t xml:space="preserve"> 500 nM hydrocortisone.</w:t>
      </w:r>
      <w:r w:rsidR="00D17B59">
        <w:t xml:space="preserve"> </w:t>
      </w:r>
    </w:p>
    <w:p w14:paraId="2A71CE16" w14:textId="77777777" w:rsidR="006C6D43" w:rsidRPr="002B5B9C" w:rsidRDefault="006C6D43" w:rsidP="001C7AC8">
      <w:pPr>
        <w:pStyle w:val="ListParagraph"/>
        <w:ind w:left="0"/>
      </w:pPr>
    </w:p>
    <w:p w14:paraId="7D9FFA18" w14:textId="70D3A97D" w:rsidR="00500CCB" w:rsidRDefault="00AB424A" w:rsidP="00B3744F">
      <w:pPr>
        <w:pBdr>
          <w:top w:val="nil"/>
          <w:left w:val="nil"/>
          <w:bottom w:val="nil"/>
          <w:right w:val="nil"/>
          <w:between w:val="nil"/>
        </w:pBdr>
        <w:rPr>
          <w:bCs/>
        </w:rPr>
      </w:pPr>
      <w:r w:rsidRPr="00820B5F">
        <w:t>NOTE:</w:t>
      </w:r>
      <w:r w:rsidRPr="005C2E62">
        <w:rPr>
          <w:b/>
        </w:rPr>
        <w:t xml:space="preserve"> </w:t>
      </w:r>
      <w:r w:rsidRPr="005C2E62">
        <w:rPr>
          <w:bCs/>
        </w:rPr>
        <w:t>Hydrocortisone will be made fresh on the day of use</w:t>
      </w:r>
      <w:r w:rsidR="00726FDB">
        <w:rPr>
          <w:bCs/>
        </w:rPr>
        <w:t>,</w:t>
      </w:r>
      <w:r w:rsidRPr="005C2E62">
        <w:rPr>
          <w:bCs/>
        </w:rPr>
        <w:t xml:space="preserve"> and the steps on how to prepare </w:t>
      </w:r>
      <w:r w:rsidR="00726FDB">
        <w:rPr>
          <w:bCs/>
        </w:rPr>
        <w:t xml:space="preserve">the </w:t>
      </w:r>
      <w:r w:rsidRPr="005C2E62">
        <w:rPr>
          <w:bCs/>
        </w:rPr>
        <w:t>stock solution and required dilutions are mentioned below.</w:t>
      </w:r>
    </w:p>
    <w:p w14:paraId="7133C8C8" w14:textId="77777777" w:rsidR="00500CCB" w:rsidRDefault="00500CCB" w:rsidP="00B3744F">
      <w:pPr>
        <w:pBdr>
          <w:top w:val="nil"/>
          <w:left w:val="nil"/>
          <w:bottom w:val="nil"/>
          <w:right w:val="nil"/>
          <w:between w:val="nil"/>
        </w:pBdr>
        <w:rPr>
          <w:bCs/>
        </w:rPr>
      </w:pPr>
    </w:p>
    <w:p w14:paraId="01DD239F" w14:textId="6C3C525C" w:rsidR="00AB424A" w:rsidRDefault="00AB424A" w:rsidP="001C7AC8">
      <w:pPr>
        <w:pStyle w:val="ListParagraph"/>
        <w:numPr>
          <w:ilvl w:val="1"/>
          <w:numId w:val="33"/>
        </w:numPr>
        <w:ind w:left="0" w:firstLine="0"/>
        <w:rPr>
          <w:bCs/>
        </w:rPr>
      </w:pPr>
      <w:r w:rsidRPr="00500CCB">
        <w:rPr>
          <w:bCs/>
        </w:rPr>
        <w:t>Preparation of 500 nM hydrocortisone</w:t>
      </w:r>
      <w:r w:rsidR="002B4A42">
        <w:rPr>
          <w:bCs/>
        </w:rPr>
        <w:t xml:space="preserve"> in Maintenance </w:t>
      </w:r>
      <w:r w:rsidR="009512C2">
        <w:rPr>
          <w:bCs/>
        </w:rPr>
        <w:t>Advanced DMEM Medi</w:t>
      </w:r>
      <w:r w:rsidR="002E18BA">
        <w:rPr>
          <w:bCs/>
        </w:rPr>
        <w:t>um</w:t>
      </w:r>
    </w:p>
    <w:p w14:paraId="6130816A" w14:textId="77777777" w:rsidR="00B3744F" w:rsidRPr="00500CCB" w:rsidRDefault="00B3744F" w:rsidP="001C7AC8">
      <w:pPr>
        <w:pStyle w:val="ListParagraph"/>
        <w:spacing w:before="240"/>
        <w:ind w:left="0"/>
        <w:rPr>
          <w:bCs/>
        </w:rPr>
      </w:pPr>
    </w:p>
    <w:p w14:paraId="6E08E7D6" w14:textId="7E2E9BFA" w:rsidR="00AB424A" w:rsidRPr="00726FDB" w:rsidRDefault="00AB424A" w:rsidP="001C7AC8">
      <w:pPr>
        <w:pStyle w:val="ListParagraph"/>
        <w:numPr>
          <w:ilvl w:val="2"/>
          <w:numId w:val="33"/>
        </w:numPr>
        <w:pBdr>
          <w:top w:val="nil"/>
          <w:left w:val="nil"/>
          <w:bottom w:val="nil"/>
          <w:right w:val="nil"/>
          <w:between w:val="nil"/>
        </w:pBdr>
        <w:ind w:left="0" w:firstLine="0"/>
        <w:rPr>
          <w:bCs/>
        </w:rPr>
      </w:pPr>
      <w:r w:rsidRPr="00B3744F">
        <w:rPr>
          <w:bCs/>
        </w:rPr>
        <w:t>Preparation of the starting stock solution (20 mM)</w:t>
      </w:r>
      <w:r w:rsidR="00726FDB">
        <w:rPr>
          <w:bCs/>
        </w:rPr>
        <w:t xml:space="preserve">: </w:t>
      </w:r>
      <w:r w:rsidR="00A63E52" w:rsidRPr="00726FDB">
        <w:rPr>
          <w:bCs/>
        </w:rPr>
        <w:t>W</w:t>
      </w:r>
      <w:r w:rsidR="00676938" w:rsidRPr="00726FDB">
        <w:rPr>
          <w:bCs/>
        </w:rPr>
        <w:t>eigh</w:t>
      </w:r>
      <w:r w:rsidRPr="00726FDB">
        <w:rPr>
          <w:bCs/>
        </w:rPr>
        <w:t xml:space="preserve"> 7.24 mg</w:t>
      </w:r>
      <w:r w:rsidR="00726FDB">
        <w:rPr>
          <w:bCs/>
        </w:rPr>
        <w:t xml:space="preserve"> of</w:t>
      </w:r>
      <w:r w:rsidRPr="00726FDB">
        <w:rPr>
          <w:bCs/>
        </w:rPr>
        <w:t xml:space="preserve"> hydrocortisone </w:t>
      </w:r>
      <w:r w:rsidR="00DB0495" w:rsidRPr="00726FDB">
        <w:rPr>
          <w:bCs/>
        </w:rPr>
        <w:t>(</w:t>
      </w:r>
      <w:r w:rsidR="00DB0495" w:rsidRPr="00726FDB">
        <w:rPr>
          <w:b/>
        </w:rPr>
        <w:t xml:space="preserve">Table of </w:t>
      </w:r>
      <w:r w:rsidR="00726FDB">
        <w:rPr>
          <w:b/>
        </w:rPr>
        <w:t>M</w:t>
      </w:r>
      <w:r w:rsidR="00726FDB" w:rsidRPr="00726FDB">
        <w:rPr>
          <w:b/>
        </w:rPr>
        <w:t>aterials</w:t>
      </w:r>
      <w:r w:rsidR="00DB0495" w:rsidRPr="00726FDB">
        <w:rPr>
          <w:bCs/>
        </w:rPr>
        <w:t xml:space="preserve">) </w:t>
      </w:r>
      <w:r w:rsidRPr="00726FDB">
        <w:rPr>
          <w:bCs/>
        </w:rPr>
        <w:t>into a 1 mL glass vial</w:t>
      </w:r>
      <w:r w:rsidR="000822B8" w:rsidRPr="00726FDB">
        <w:rPr>
          <w:bCs/>
        </w:rPr>
        <w:t xml:space="preserve">. </w:t>
      </w:r>
      <w:r w:rsidR="001F5D7D" w:rsidRPr="00726FDB">
        <w:rPr>
          <w:bCs/>
        </w:rPr>
        <w:t>R</w:t>
      </w:r>
      <w:r w:rsidR="00676938" w:rsidRPr="00726FDB">
        <w:rPr>
          <w:bCs/>
        </w:rPr>
        <w:t xml:space="preserve">ecord </w:t>
      </w:r>
      <w:r w:rsidRPr="00726FDB">
        <w:rPr>
          <w:bCs/>
        </w:rPr>
        <w:t xml:space="preserve">the </w:t>
      </w:r>
      <w:r w:rsidR="00A6465D" w:rsidRPr="00726FDB">
        <w:rPr>
          <w:bCs/>
        </w:rPr>
        <w:t>exact a</w:t>
      </w:r>
      <w:r w:rsidRPr="00726FDB">
        <w:rPr>
          <w:bCs/>
        </w:rPr>
        <w:t xml:space="preserve">mount of hydrocortisone weighed out and </w:t>
      </w:r>
      <w:r w:rsidR="004E48C4" w:rsidRPr="00726FDB">
        <w:rPr>
          <w:bCs/>
        </w:rPr>
        <w:t xml:space="preserve">determine the </w:t>
      </w:r>
      <w:r w:rsidRPr="00726FDB">
        <w:rPr>
          <w:bCs/>
        </w:rPr>
        <w:t xml:space="preserve">volume of </w:t>
      </w:r>
      <w:r w:rsidR="0039437D">
        <w:rPr>
          <w:bCs/>
        </w:rPr>
        <w:t>dimethyl sulfoxide (</w:t>
      </w:r>
      <w:r w:rsidRPr="00726FDB">
        <w:rPr>
          <w:bCs/>
        </w:rPr>
        <w:t>DMSO</w:t>
      </w:r>
      <w:r w:rsidR="0039437D">
        <w:rPr>
          <w:bCs/>
        </w:rPr>
        <w:t>)</w:t>
      </w:r>
      <w:r w:rsidRPr="00726FDB">
        <w:rPr>
          <w:bCs/>
        </w:rPr>
        <w:t xml:space="preserve"> using the following calculation:</w:t>
      </w:r>
    </w:p>
    <w:p w14:paraId="66B2E75D" w14:textId="77777777" w:rsidR="00AB424A" w:rsidRPr="005C2E62" w:rsidRDefault="00AB424A" w:rsidP="00B3744F">
      <w:pPr>
        <w:pBdr>
          <w:top w:val="nil"/>
          <w:left w:val="nil"/>
          <w:bottom w:val="nil"/>
          <w:right w:val="nil"/>
          <w:between w:val="nil"/>
        </w:pBdr>
        <w:rPr>
          <w:bCs/>
        </w:rPr>
      </w:pPr>
    </w:p>
    <w:p w14:paraId="7862C6E7" w14:textId="77777777" w:rsidR="00AB424A" w:rsidRPr="005C2E62" w:rsidRDefault="00AB424A" w:rsidP="001C7AC8">
      <w:pPr>
        <w:pBdr>
          <w:top w:val="nil"/>
          <w:left w:val="nil"/>
          <w:bottom w:val="nil"/>
          <w:right w:val="nil"/>
          <w:between w:val="nil"/>
        </w:pBdr>
        <w:rPr>
          <w:bCs/>
        </w:rPr>
      </w:pPr>
      <m:oMathPara>
        <m:oMath>
          <m:r>
            <w:rPr>
              <w:rFonts w:ascii="Cambria Math" w:hAnsi="Cambria Math"/>
            </w:rPr>
            <m:t xml:space="preserve">Volume DMSO </m:t>
          </m:r>
          <m:d>
            <m:dPr>
              <m:ctrlPr>
                <w:rPr>
                  <w:rFonts w:ascii="Cambria Math" w:hAnsi="Cambria Math"/>
                  <w:bCs/>
                  <w:i/>
                </w:rPr>
              </m:ctrlPr>
            </m:dPr>
            <m:e>
              <m:r>
                <w:rPr>
                  <w:rFonts w:ascii="Cambria Math" w:hAnsi="Cambria Math"/>
                </w:rPr>
                <m:t>mL</m:t>
              </m:r>
            </m:e>
          </m:d>
          <m:r>
            <w:rPr>
              <w:rFonts w:ascii="Cambria Math" w:hAnsi="Cambria Math"/>
            </w:rPr>
            <m:t>=</m:t>
          </m:r>
          <m:f>
            <m:fPr>
              <m:ctrlPr>
                <w:rPr>
                  <w:rFonts w:ascii="Cambria Math" w:hAnsi="Cambria Math"/>
                  <w:bCs/>
                  <w:i/>
                </w:rPr>
              </m:ctrlPr>
            </m:fPr>
            <m:num>
              <m:r>
                <w:rPr>
                  <w:rFonts w:ascii="Cambria Math" w:hAnsi="Cambria Math"/>
                </w:rPr>
                <m:t>mg of hydrocortisone weighed out ×1000 μL</m:t>
              </m:r>
            </m:num>
            <m:den>
              <m:r>
                <w:rPr>
                  <w:rFonts w:ascii="Cambria Math" w:hAnsi="Cambria Math"/>
                </w:rPr>
                <m:t>7.24 mg</m:t>
              </m:r>
            </m:den>
          </m:f>
        </m:oMath>
      </m:oMathPara>
    </w:p>
    <w:p w14:paraId="392B6BF9" w14:textId="77777777" w:rsidR="00AB424A" w:rsidRPr="005C2E62" w:rsidRDefault="00AB424A" w:rsidP="00B3744F">
      <w:pPr>
        <w:pBdr>
          <w:top w:val="nil"/>
          <w:left w:val="nil"/>
          <w:bottom w:val="nil"/>
          <w:right w:val="nil"/>
          <w:between w:val="nil"/>
        </w:pBdr>
        <w:rPr>
          <w:bCs/>
        </w:rPr>
      </w:pPr>
    </w:p>
    <w:p w14:paraId="3C76C991" w14:textId="5E978C81" w:rsidR="00AB424A" w:rsidRPr="00726FDB" w:rsidRDefault="00AB424A" w:rsidP="001C7AC8">
      <w:pPr>
        <w:pStyle w:val="ListParagraph"/>
        <w:numPr>
          <w:ilvl w:val="2"/>
          <w:numId w:val="33"/>
        </w:numPr>
        <w:pBdr>
          <w:top w:val="nil"/>
          <w:left w:val="nil"/>
          <w:bottom w:val="nil"/>
          <w:right w:val="nil"/>
          <w:between w:val="nil"/>
        </w:pBdr>
        <w:ind w:left="0" w:firstLine="0"/>
        <w:rPr>
          <w:bCs/>
        </w:rPr>
      </w:pPr>
      <w:r w:rsidRPr="005C2E62">
        <w:rPr>
          <w:bCs/>
        </w:rPr>
        <w:t xml:space="preserve">Preparation of the working </w:t>
      </w:r>
      <w:r w:rsidR="00726FDB" w:rsidRPr="005C2E62">
        <w:rPr>
          <w:bCs/>
        </w:rPr>
        <w:t xml:space="preserve">100 </w:t>
      </w:r>
      <w:r w:rsidR="00726FDB" w:rsidRPr="005C2E62">
        <w:rPr>
          <w:rFonts w:ascii="Symbol" w:hAnsi="Symbol"/>
          <w:bCs/>
        </w:rPr>
        <w:t></w:t>
      </w:r>
      <w:r w:rsidR="00726FDB" w:rsidRPr="005C2E62">
        <w:rPr>
          <w:bCs/>
        </w:rPr>
        <w:t>M</w:t>
      </w:r>
      <w:r w:rsidR="00726FDB" w:rsidRPr="005C2E62" w:rsidDel="00726FDB">
        <w:rPr>
          <w:bCs/>
        </w:rPr>
        <w:t xml:space="preserve"> </w:t>
      </w:r>
      <w:r w:rsidR="00726FDB" w:rsidRPr="005C2E62">
        <w:rPr>
          <w:bCs/>
        </w:rPr>
        <w:t>hydrocortisone</w:t>
      </w:r>
      <w:r w:rsidR="00726FDB" w:rsidRPr="005C2E62" w:rsidDel="00726FDB">
        <w:rPr>
          <w:bCs/>
        </w:rPr>
        <w:t xml:space="preserve"> </w:t>
      </w:r>
      <w:r w:rsidRPr="005C2E62">
        <w:rPr>
          <w:bCs/>
        </w:rPr>
        <w:t>stock solution</w:t>
      </w:r>
      <w:r w:rsidR="00726FDB">
        <w:rPr>
          <w:bCs/>
        </w:rPr>
        <w:t xml:space="preserve">: </w:t>
      </w:r>
      <w:r w:rsidRPr="00726FDB">
        <w:rPr>
          <w:bCs/>
        </w:rPr>
        <w:t xml:space="preserve">Add 5 μL of the starting 20 mM stock solution to </w:t>
      </w:r>
      <w:r w:rsidR="004B37F6">
        <w:rPr>
          <w:bCs/>
        </w:rPr>
        <w:t>995</w:t>
      </w:r>
      <w:r w:rsidRPr="00726FDB">
        <w:rPr>
          <w:bCs/>
        </w:rPr>
        <w:t xml:space="preserve"> </w:t>
      </w:r>
      <w:r w:rsidRPr="002772FC">
        <w:rPr>
          <w:rFonts w:ascii="Symbol" w:hAnsi="Symbol"/>
          <w:bCs/>
        </w:rPr>
        <w:t>m</w:t>
      </w:r>
      <w:r w:rsidRPr="00726FDB">
        <w:rPr>
          <w:bCs/>
        </w:rPr>
        <w:t xml:space="preserve">L </w:t>
      </w:r>
      <w:r w:rsidR="00726FDB">
        <w:rPr>
          <w:bCs/>
        </w:rPr>
        <w:t xml:space="preserve">of </w:t>
      </w:r>
      <w:r w:rsidR="00F474AD" w:rsidRPr="00726FDB">
        <w:rPr>
          <w:bCs/>
        </w:rPr>
        <w:t xml:space="preserve">Advanced </w:t>
      </w:r>
      <w:r w:rsidRPr="00726FDB">
        <w:rPr>
          <w:bCs/>
        </w:rPr>
        <w:t>DMEM.</w:t>
      </w:r>
    </w:p>
    <w:p w14:paraId="4C27FF74" w14:textId="77777777" w:rsidR="00BE25AA" w:rsidRPr="005C2E62" w:rsidRDefault="00BE25AA" w:rsidP="001C7AC8">
      <w:pPr>
        <w:pBdr>
          <w:top w:val="nil"/>
          <w:left w:val="nil"/>
          <w:bottom w:val="nil"/>
          <w:right w:val="nil"/>
          <w:between w:val="nil"/>
        </w:pBdr>
        <w:rPr>
          <w:bCs/>
        </w:rPr>
      </w:pPr>
    </w:p>
    <w:p w14:paraId="752BC154" w14:textId="3D64CB1C" w:rsidR="00AB424A" w:rsidRDefault="00AB424A" w:rsidP="001C7AC8">
      <w:pPr>
        <w:pBdr>
          <w:top w:val="nil"/>
          <w:left w:val="nil"/>
          <w:bottom w:val="nil"/>
          <w:right w:val="nil"/>
          <w:between w:val="nil"/>
        </w:pBdr>
        <w:rPr>
          <w:bCs/>
        </w:rPr>
      </w:pPr>
      <w:r w:rsidRPr="005C2E62">
        <w:rPr>
          <w:bCs/>
        </w:rPr>
        <w:t xml:space="preserve">NOTE: </w:t>
      </w:r>
      <w:r w:rsidR="00726FDB">
        <w:rPr>
          <w:bCs/>
        </w:rPr>
        <w:t>D</w:t>
      </w:r>
      <w:r w:rsidR="00726FDB" w:rsidRPr="005C2E62">
        <w:rPr>
          <w:bCs/>
        </w:rPr>
        <w:t xml:space="preserve">iluting </w:t>
      </w:r>
      <w:r w:rsidRPr="005C2E62">
        <w:rPr>
          <w:bCs/>
        </w:rPr>
        <w:t>25 μL of the DMSO solution from step 1 in water or media results in 0.5%</w:t>
      </w:r>
      <w:r w:rsidR="00726FDB">
        <w:rPr>
          <w:bCs/>
        </w:rPr>
        <w:t xml:space="preserve"> </w:t>
      </w:r>
      <w:r w:rsidR="00726FDB" w:rsidRPr="005C2E62">
        <w:rPr>
          <w:bCs/>
        </w:rPr>
        <w:t>DMSO concentration</w:t>
      </w:r>
      <w:r w:rsidRPr="005C2E62">
        <w:rPr>
          <w:bCs/>
        </w:rPr>
        <w:t>. In the final solution</w:t>
      </w:r>
      <w:r w:rsidR="00726FDB">
        <w:rPr>
          <w:bCs/>
        </w:rPr>
        <w:t>,</w:t>
      </w:r>
      <w:r w:rsidRPr="005C2E62">
        <w:rPr>
          <w:bCs/>
        </w:rPr>
        <w:t xml:space="preserve"> </w:t>
      </w:r>
      <w:r w:rsidR="00726FDB">
        <w:rPr>
          <w:bCs/>
        </w:rPr>
        <w:t xml:space="preserve">the </w:t>
      </w:r>
      <w:r w:rsidRPr="005C2E62">
        <w:rPr>
          <w:bCs/>
        </w:rPr>
        <w:t>DMSO concentration will be 0.0025%. In this case, the additional volume of 5 μL results in an insignificant change in the total volume.</w:t>
      </w:r>
    </w:p>
    <w:p w14:paraId="58AF24A0" w14:textId="77777777" w:rsidR="006C6D43" w:rsidRPr="005C2E62" w:rsidRDefault="006C6D43" w:rsidP="001C7AC8">
      <w:pPr>
        <w:pBdr>
          <w:top w:val="nil"/>
          <w:left w:val="nil"/>
          <w:bottom w:val="nil"/>
          <w:right w:val="nil"/>
          <w:between w:val="nil"/>
        </w:pBdr>
        <w:rPr>
          <w:bCs/>
        </w:rPr>
      </w:pPr>
    </w:p>
    <w:p w14:paraId="712E10EA" w14:textId="015182CA" w:rsidR="000705D3" w:rsidRPr="00726FDB" w:rsidRDefault="00AB424A" w:rsidP="001C7AC8">
      <w:pPr>
        <w:pStyle w:val="ListParagraph"/>
        <w:numPr>
          <w:ilvl w:val="2"/>
          <w:numId w:val="33"/>
        </w:numPr>
        <w:pBdr>
          <w:top w:val="nil"/>
          <w:left w:val="nil"/>
          <w:bottom w:val="nil"/>
          <w:right w:val="nil"/>
          <w:between w:val="nil"/>
        </w:pBdr>
        <w:ind w:left="0" w:firstLine="0"/>
        <w:rPr>
          <w:bCs/>
        </w:rPr>
      </w:pPr>
      <w:r w:rsidRPr="005C2E62">
        <w:rPr>
          <w:bCs/>
        </w:rPr>
        <w:t>Preparation of the working 500 nM hydrocortisone solution in Advanced</w:t>
      </w:r>
      <w:r>
        <w:rPr>
          <w:bCs/>
        </w:rPr>
        <w:t xml:space="preserve"> </w:t>
      </w:r>
      <w:r w:rsidRPr="005C2E62">
        <w:rPr>
          <w:bCs/>
        </w:rPr>
        <w:t>DMEM</w:t>
      </w:r>
      <w:r w:rsidR="00726FDB">
        <w:rPr>
          <w:bCs/>
        </w:rPr>
        <w:t xml:space="preserve">: </w:t>
      </w:r>
      <w:r w:rsidR="00581B1E" w:rsidRPr="00726FDB">
        <w:rPr>
          <w:bCs/>
        </w:rPr>
        <w:t>To prepare 1</w:t>
      </w:r>
      <w:r w:rsidR="00F13938" w:rsidRPr="00726FDB">
        <w:rPr>
          <w:bCs/>
        </w:rPr>
        <w:t xml:space="preserve"> mL</w:t>
      </w:r>
      <w:r w:rsidR="00726FDB">
        <w:rPr>
          <w:bCs/>
        </w:rPr>
        <w:t xml:space="preserve"> of</w:t>
      </w:r>
      <w:r w:rsidR="00F13938" w:rsidRPr="00726FDB">
        <w:rPr>
          <w:bCs/>
        </w:rPr>
        <w:t xml:space="preserve"> </w:t>
      </w:r>
      <w:r w:rsidR="00752952" w:rsidRPr="00726FDB">
        <w:rPr>
          <w:bCs/>
        </w:rPr>
        <w:t>500 nM hydrocortisone solution in Advanced DMEM</w:t>
      </w:r>
      <w:r w:rsidR="00726FDB">
        <w:rPr>
          <w:bCs/>
        </w:rPr>
        <w:t>,</w:t>
      </w:r>
      <w:r w:rsidR="00752952" w:rsidRPr="00726FDB">
        <w:rPr>
          <w:bCs/>
        </w:rPr>
        <w:t xml:space="preserve"> add 5 </w:t>
      </w:r>
      <w:r w:rsidR="00752952" w:rsidRPr="00726FDB">
        <w:rPr>
          <w:rFonts w:ascii="Symbol" w:hAnsi="Symbol"/>
          <w:bCs/>
        </w:rPr>
        <w:t></w:t>
      </w:r>
      <w:r w:rsidR="00752952" w:rsidRPr="00726FDB">
        <w:rPr>
          <w:bCs/>
        </w:rPr>
        <w:t xml:space="preserve">L of </w:t>
      </w:r>
      <w:r w:rsidR="00726FDB">
        <w:rPr>
          <w:bCs/>
        </w:rPr>
        <w:t xml:space="preserve">the </w:t>
      </w:r>
      <w:r w:rsidR="00752952" w:rsidRPr="00726FDB">
        <w:rPr>
          <w:bCs/>
        </w:rPr>
        <w:t xml:space="preserve">stock </w:t>
      </w:r>
      <w:r w:rsidR="00784740" w:rsidRPr="00726FDB">
        <w:rPr>
          <w:bCs/>
        </w:rPr>
        <w:t xml:space="preserve">solution of 100 </w:t>
      </w:r>
      <w:r w:rsidR="00784740" w:rsidRPr="00726FDB">
        <w:rPr>
          <w:rFonts w:ascii="Symbol" w:hAnsi="Symbol"/>
          <w:bCs/>
        </w:rPr>
        <w:t></w:t>
      </w:r>
      <w:r w:rsidR="00784740" w:rsidRPr="00726FDB">
        <w:rPr>
          <w:bCs/>
        </w:rPr>
        <w:t xml:space="preserve">M hydrocortisone to </w:t>
      </w:r>
      <w:r w:rsidR="00726639" w:rsidRPr="00726FDB">
        <w:rPr>
          <w:bCs/>
        </w:rPr>
        <w:t xml:space="preserve">995 </w:t>
      </w:r>
      <w:r w:rsidR="00726639" w:rsidRPr="00726FDB">
        <w:rPr>
          <w:rFonts w:ascii="Symbol" w:hAnsi="Symbol"/>
          <w:bCs/>
        </w:rPr>
        <w:t></w:t>
      </w:r>
      <w:r w:rsidR="00726639" w:rsidRPr="00726FDB">
        <w:rPr>
          <w:bCs/>
        </w:rPr>
        <w:t>L</w:t>
      </w:r>
      <w:r w:rsidR="00726FDB">
        <w:rPr>
          <w:bCs/>
        </w:rPr>
        <w:t xml:space="preserve"> of</w:t>
      </w:r>
      <w:r w:rsidR="00726639" w:rsidRPr="00726FDB">
        <w:rPr>
          <w:bCs/>
        </w:rPr>
        <w:t xml:space="preserve"> </w:t>
      </w:r>
      <w:r w:rsidR="00726FDB">
        <w:rPr>
          <w:bCs/>
        </w:rPr>
        <w:t>the M</w:t>
      </w:r>
      <w:r w:rsidR="00726FDB" w:rsidRPr="00726FDB">
        <w:rPr>
          <w:bCs/>
        </w:rPr>
        <w:t xml:space="preserve">aintenance </w:t>
      </w:r>
      <w:r w:rsidR="002E18BA" w:rsidRPr="00726FDB">
        <w:rPr>
          <w:bCs/>
        </w:rPr>
        <w:t>Advanced DMEM medium</w:t>
      </w:r>
      <w:r w:rsidR="00726639" w:rsidRPr="00726FDB">
        <w:rPr>
          <w:bCs/>
        </w:rPr>
        <w:t xml:space="preserve">. </w:t>
      </w:r>
    </w:p>
    <w:p w14:paraId="146AC173" w14:textId="77777777" w:rsidR="00AB424A" w:rsidRPr="001C7AC8" w:rsidRDefault="00AB424A" w:rsidP="001C7AC8">
      <w:pPr>
        <w:rPr>
          <w:b/>
          <w:bCs/>
        </w:rPr>
      </w:pPr>
    </w:p>
    <w:p w14:paraId="5D8B9D22" w14:textId="71AB3177" w:rsidR="00BC6933" w:rsidRPr="001C7AC8" w:rsidRDefault="00346F1E" w:rsidP="001C7AC8">
      <w:pPr>
        <w:pStyle w:val="ListParagraph"/>
        <w:numPr>
          <w:ilvl w:val="0"/>
          <w:numId w:val="13"/>
        </w:numPr>
        <w:ind w:left="0" w:firstLine="0"/>
        <w:rPr>
          <w:b/>
          <w:bCs/>
        </w:rPr>
      </w:pPr>
      <w:r w:rsidRPr="001C7AC8">
        <w:rPr>
          <w:b/>
          <w:bCs/>
        </w:rPr>
        <w:t>MPS set</w:t>
      </w:r>
      <w:r w:rsidR="0085197C">
        <w:rPr>
          <w:b/>
          <w:bCs/>
        </w:rPr>
        <w:t>-</w:t>
      </w:r>
      <w:r w:rsidRPr="001C7AC8">
        <w:rPr>
          <w:b/>
          <w:bCs/>
        </w:rPr>
        <w:t xml:space="preserve">up </w:t>
      </w:r>
      <w:r w:rsidR="00146385" w:rsidRPr="001C7AC8">
        <w:rPr>
          <w:b/>
          <w:bCs/>
        </w:rPr>
        <w:t>and priming</w:t>
      </w:r>
      <w:r w:rsidR="002E2279" w:rsidRPr="001C7AC8">
        <w:rPr>
          <w:b/>
          <w:bCs/>
        </w:rPr>
        <w:t xml:space="preserve"> (Day -1) </w:t>
      </w:r>
    </w:p>
    <w:p w14:paraId="7E990A2F" w14:textId="77777777" w:rsidR="009D5A97" w:rsidRPr="005C2E62" w:rsidRDefault="009D5A97" w:rsidP="001C7AC8">
      <w:pPr>
        <w:pStyle w:val="ListParagraph"/>
        <w:ind w:left="0"/>
      </w:pPr>
    </w:p>
    <w:p w14:paraId="3E1DBA4C" w14:textId="2F132094" w:rsidR="00726FDB" w:rsidRDefault="0020571D">
      <w:pPr>
        <w:pStyle w:val="ListParagraph"/>
        <w:numPr>
          <w:ilvl w:val="1"/>
          <w:numId w:val="34"/>
        </w:numPr>
        <w:spacing w:before="240"/>
        <w:ind w:left="0" w:firstLine="0"/>
      </w:pPr>
      <w:r>
        <w:t>Connect the</w:t>
      </w:r>
      <w:r w:rsidR="00942CFD" w:rsidRPr="005C2E62">
        <w:t xml:space="preserve"> </w:t>
      </w:r>
      <w:r>
        <w:t>controller to its docking station house in a cell culture incubator and ensure</w:t>
      </w:r>
      <w:r w:rsidR="00942CFD" w:rsidRPr="005C2E62">
        <w:t xml:space="preserve"> fresh desiccant </w:t>
      </w:r>
      <w:r w:rsidR="00256105" w:rsidRPr="009D5A97">
        <w:rPr>
          <w:bCs/>
        </w:rPr>
        <w:t>(</w:t>
      </w:r>
      <w:r w:rsidR="00256105" w:rsidRPr="009D5A97">
        <w:rPr>
          <w:b/>
        </w:rPr>
        <w:t xml:space="preserve">Table of </w:t>
      </w:r>
      <w:r w:rsidR="00726FDB">
        <w:rPr>
          <w:b/>
        </w:rPr>
        <w:t>M</w:t>
      </w:r>
      <w:r w:rsidR="00726FDB" w:rsidRPr="009D5A97">
        <w:rPr>
          <w:b/>
        </w:rPr>
        <w:t>aterials</w:t>
      </w:r>
      <w:r w:rsidR="00256105" w:rsidRPr="009D5A97">
        <w:rPr>
          <w:bCs/>
        </w:rPr>
        <w:t xml:space="preserve">) </w:t>
      </w:r>
      <w:r w:rsidR="00650954">
        <w:t>is</w:t>
      </w:r>
      <w:r w:rsidR="00942CFD" w:rsidRPr="005C2E62">
        <w:t xml:space="preserve"> added into the desiccant jar located at the back of the controller.</w:t>
      </w:r>
      <w:r w:rsidR="00826EC3">
        <w:t xml:space="preserve"> </w:t>
      </w:r>
    </w:p>
    <w:p w14:paraId="253C3E29" w14:textId="77777777" w:rsidR="00726FDB" w:rsidRDefault="00726FDB" w:rsidP="00726FDB">
      <w:pPr>
        <w:pStyle w:val="ListParagraph"/>
        <w:spacing w:before="240"/>
        <w:ind w:left="0"/>
      </w:pPr>
    </w:p>
    <w:p w14:paraId="015D9803" w14:textId="188BF5E5" w:rsidR="00A82CDC" w:rsidRDefault="00726FDB" w:rsidP="001C7AC8">
      <w:pPr>
        <w:pStyle w:val="ListParagraph"/>
        <w:spacing w:before="240"/>
        <w:ind w:left="0"/>
      </w:pPr>
      <w:r>
        <w:t xml:space="preserve">NOTE: </w:t>
      </w:r>
      <w:r w:rsidR="00826EC3">
        <w:t>T</w:t>
      </w:r>
      <w:r w:rsidR="00AA4714">
        <w:t xml:space="preserve">he controller </w:t>
      </w:r>
      <w:r w:rsidR="007A1F29">
        <w:t xml:space="preserve">unit draws moisture from the incubator </w:t>
      </w:r>
      <w:r w:rsidR="00134A7A">
        <w:t>over time</w:t>
      </w:r>
      <w:r w:rsidR="00F624D5">
        <w:t xml:space="preserve"> and is kept dry using fresh desiccant</w:t>
      </w:r>
      <w:r w:rsidR="00245F9F">
        <w:t xml:space="preserve">. </w:t>
      </w:r>
    </w:p>
    <w:p w14:paraId="7BBEC6C5" w14:textId="77777777" w:rsidR="00A82CDC" w:rsidRDefault="00A82CDC" w:rsidP="001C7AC8">
      <w:pPr>
        <w:pStyle w:val="ListParagraph"/>
        <w:ind w:left="0"/>
      </w:pPr>
    </w:p>
    <w:p w14:paraId="091922ED" w14:textId="76F61F01" w:rsidR="00A71428" w:rsidRDefault="002901A5" w:rsidP="001C7AC8">
      <w:pPr>
        <w:pStyle w:val="ListParagraph"/>
        <w:numPr>
          <w:ilvl w:val="1"/>
          <w:numId w:val="34"/>
        </w:numPr>
        <w:spacing w:before="240"/>
        <w:ind w:left="0" w:firstLine="0"/>
      </w:pPr>
      <w:r>
        <w:t xml:space="preserve">Switch </w:t>
      </w:r>
      <w:r w:rsidR="620006B1">
        <w:t xml:space="preserve">the </w:t>
      </w:r>
      <w:r>
        <w:t xml:space="preserve">controller </w:t>
      </w:r>
      <w:r w:rsidR="00D61054" w:rsidRPr="00D61054">
        <w:rPr>
          <w:b/>
          <w:bCs/>
        </w:rPr>
        <w:t>ON</w:t>
      </w:r>
      <w:r>
        <w:t xml:space="preserve"> </w:t>
      </w:r>
      <w:r w:rsidR="0080092B">
        <w:t>by</w:t>
      </w:r>
      <w:r w:rsidR="00CB4677">
        <w:t xml:space="preserve"> </w:t>
      </w:r>
      <w:r w:rsidR="0080216E">
        <w:t xml:space="preserve">pressing </w:t>
      </w:r>
      <w:r w:rsidR="0080092B">
        <w:t>the</w:t>
      </w:r>
      <w:r w:rsidR="0080216E">
        <w:t xml:space="preserve"> b</w:t>
      </w:r>
      <w:r w:rsidR="0080216E" w:rsidRPr="0080216E">
        <w:t xml:space="preserve">oat </w:t>
      </w:r>
      <w:r w:rsidR="0080216E">
        <w:t>r</w:t>
      </w:r>
      <w:r w:rsidR="0080216E" w:rsidRPr="0080216E">
        <w:t xml:space="preserve">ocker </w:t>
      </w:r>
      <w:r w:rsidR="0080216E">
        <w:t>s</w:t>
      </w:r>
      <w:r w:rsidR="0080216E" w:rsidRPr="0080216E">
        <w:t>witch</w:t>
      </w:r>
      <w:r w:rsidR="0080216E">
        <w:t xml:space="preserve"> located </w:t>
      </w:r>
      <w:r w:rsidR="00A155B1">
        <w:t>behind it</w:t>
      </w:r>
      <w:r w:rsidR="0080092B">
        <w:t xml:space="preserve"> </w:t>
      </w:r>
      <w:r>
        <w:t xml:space="preserve">and </w:t>
      </w:r>
      <w:r w:rsidR="0062281B">
        <w:t xml:space="preserve">wait </w:t>
      </w:r>
      <w:r w:rsidR="00726FDB">
        <w:t xml:space="preserve">for </w:t>
      </w:r>
      <w:r w:rsidR="0062281B">
        <w:t>5 min for the system to stabilize and reach pressure</w:t>
      </w:r>
      <w:r w:rsidR="00726FDB">
        <w:t>.</w:t>
      </w:r>
      <w:r w:rsidR="0062281B">
        <w:t xml:space="preserve"> </w:t>
      </w:r>
      <w:r w:rsidR="00726FDB">
        <w:t>T</w:t>
      </w:r>
      <w:r w:rsidR="0062281B">
        <w:t>hen check the</w:t>
      </w:r>
      <w:r w:rsidR="00F7623A">
        <w:t xml:space="preserve"> </w:t>
      </w:r>
      <w:r w:rsidR="009D15EB">
        <w:t xml:space="preserve">screen for </w:t>
      </w:r>
      <w:r w:rsidR="00726FDB">
        <w:t xml:space="preserve">the </w:t>
      </w:r>
      <w:r w:rsidR="00F7623A">
        <w:t>pneumatic report to ensure</w:t>
      </w:r>
      <w:r w:rsidR="00C23A5F">
        <w:t>:</w:t>
      </w:r>
      <w:r w:rsidR="00F7623A">
        <w:t xml:space="preserve"> </w:t>
      </w:r>
      <w:r w:rsidR="00726FDB">
        <w:t xml:space="preserve">(i) </w:t>
      </w:r>
      <w:r w:rsidRPr="005C2E62">
        <w:t>The Pressure Reservoir Output reach</w:t>
      </w:r>
      <w:r w:rsidR="00D96592">
        <w:t>ed</w:t>
      </w:r>
      <w:r w:rsidRPr="005C2E62">
        <w:t xml:space="preserve"> </w:t>
      </w:r>
      <w:r w:rsidR="00726FDB">
        <w:t>~</w:t>
      </w:r>
      <w:r w:rsidRPr="005C2E62">
        <w:t>2000 mBar</w:t>
      </w:r>
      <w:r w:rsidR="00726FDB">
        <w:t xml:space="preserve"> and (ii) </w:t>
      </w:r>
      <w:r w:rsidRPr="005C2E62">
        <w:t xml:space="preserve">The Vacuum Reservoir Output </w:t>
      </w:r>
      <w:r w:rsidR="00D96592">
        <w:t>reached</w:t>
      </w:r>
      <w:r w:rsidRPr="005C2E62">
        <w:t xml:space="preserve"> </w:t>
      </w:r>
      <w:r w:rsidR="00726FDB">
        <w:t>~</w:t>
      </w:r>
      <w:r w:rsidR="00187E08">
        <w:t>8</w:t>
      </w:r>
      <w:r w:rsidRPr="005C2E62">
        <w:t>5</w:t>
      </w:r>
      <w:r w:rsidR="00187E08">
        <w:t>0</w:t>
      </w:r>
      <w:r w:rsidRPr="005C2E62">
        <w:t xml:space="preserve"> mBar</w:t>
      </w:r>
      <w:r w:rsidR="00F72B3D" w:rsidRPr="005C2E62">
        <w:t>.</w:t>
      </w:r>
    </w:p>
    <w:p w14:paraId="02A47F88" w14:textId="77777777" w:rsidR="006C6D43" w:rsidRDefault="006C6D43" w:rsidP="001C7AC8">
      <w:pPr>
        <w:pStyle w:val="ListParagraph"/>
        <w:ind w:left="0"/>
      </w:pPr>
    </w:p>
    <w:p w14:paraId="4640B472" w14:textId="4BA1BFBB" w:rsidR="00A71428" w:rsidRDefault="00191A34" w:rsidP="001C7AC8">
      <w:pPr>
        <w:pStyle w:val="ListParagraph"/>
        <w:numPr>
          <w:ilvl w:val="1"/>
          <w:numId w:val="34"/>
        </w:numPr>
        <w:spacing w:before="240"/>
        <w:ind w:left="0" w:firstLine="0"/>
      </w:pPr>
      <w:r>
        <w:t xml:space="preserve">Remove </w:t>
      </w:r>
      <w:r w:rsidR="002F4203">
        <w:t xml:space="preserve">each </w:t>
      </w:r>
      <w:r w:rsidRPr="005C2E62">
        <w:t xml:space="preserve">plate from packaging </w:t>
      </w:r>
      <w:r>
        <w:t xml:space="preserve">and </w:t>
      </w:r>
      <w:r w:rsidRPr="005C2E62">
        <w:t xml:space="preserve">visually inspect every well to </w:t>
      </w:r>
      <w:r w:rsidR="00986F1F">
        <w:t>check for possible defects</w:t>
      </w:r>
      <w:r w:rsidRPr="005C2E62">
        <w:t xml:space="preserve"> (</w:t>
      </w:r>
      <w:r w:rsidR="00726FDB">
        <w:t>missing scaffolds</w:t>
      </w:r>
      <w:r w:rsidRPr="005C2E62">
        <w:t>, cracks etc.).</w:t>
      </w:r>
    </w:p>
    <w:p w14:paraId="6D549598" w14:textId="77777777" w:rsidR="006C6D43" w:rsidRDefault="006C6D43" w:rsidP="001C7AC8">
      <w:pPr>
        <w:pStyle w:val="ListParagraph"/>
        <w:ind w:left="0"/>
      </w:pPr>
    </w:p>
    <w:p w14:paraId="2F6E40DC" w14:textId="56CEFB39" w:rsidR="00A71428" w:rsidRDefault="00530B82" w:rsidP="001C7AC8">
      <w:pPr>
        <w:pStyle w:val="ListParagraph"/>
        <w:numPr>
          <w:ilvl w:val="1"/>
          <w:numId w:val="34"/>
        </w:numPr>
        <w:spacing w:before="240"/>
        <w:ind w:left="0" w:firstLine="0"/>
      </w:pPr>
      <w:r>
        <w:lastRenderedPageBreak/>
        <w:t>I</w:t>
      </w:r>
      <w:r w:rsidR="002901A5" w:rsidRPr="005C2E62">
        <w:t>nsert a</w:t>
      </w:r>
      <w:r>
        <w:t xml:space="preserve"> </w:t>
      </w:r>
      <w:r w:rsidR="002901A5" w:rsidRPr="005C2E62">
        <w:t xml:space="preserve">driver (with a plate on) onto the </w:t>
      </w:r>
      <w:r w:rsidR="003C4A1B">
        <w:t>docking station</w:t>
      </w:r>
      <w:r w:rsidR="002901A5" w:rsidRPr="005C2E62">
        <w:t xml:space="preserve"> to check that </w:t>
      </w:r>
      <w:r w:rsidR="00726FDB">
        <w:t xml:space="preserve">the </w:t>
      </w:r>
      <w:r w:rsidR="002901A5" w:rsidRPr="005C2E62">
        <w:t xml:space="preserve">driver is </w:t>
      </w:r>
      <w:r w:rsidR="002E44D5" w:rsidRPr="005C2E62">
        <w:t>recognized</w:t>
      </w:r>
      <w:r w:rsidR="002901A5" w:rsidRPr="005C2E62">
        <w:t xml:space="preserve"> by the </w:t>
      </w:r>
      <w:r w:rsidR="003C4A1B">
        <w:t>docking station</w:t>
      </w:r>
      <w:r w:rsidR="002901A5" w:rsidRPr="005C2E62">
        <w:t xml:space="preserve"> and controlle</w:t>
      </w:r>
      <w:r w:rsidR="00D068D7" w:rsidRPr="005C2E62">
        <w:t xml:space="preserve">r. </w:t>
      </w:r>
      <w:r w:rsidR="002901A5" w:rsidRPr="005C2E62">
        <w:t xml:space="preserve">Check the Pressure Reservoir </w:t>
      </w:r>
      <w:r w:rsidR="00726FDB">
        <w:t>O</w:t>
      </w:r>
      <w:r w:rsidR="00726FDB" w:rsidRPr="005C2E62">
        <w:t xml:space="preserve">utput </w:t>
      </w:r>
      <w:r w:rsidR="002901A5" w:rsidRPr="005C2E62">
        <w:t>has dropped by less than 100 mBar</w:t>
      </w:r>
      <w:r w:rsidR="00726FDB">
        <w:t>,</w:t>
      </w:r>
      <w:r w:rsidR="002901A5" w:rsidRPr="005C2E62">
        <w:t xml:space="preserve"> </w:t>
      </w:r>
      <w:r w:rsidR="00E0504A">
        <w:t>and</w:t>
      </w:r>
      <w:r w:rsidR="002901A5" w:rsidRPr="005C2E62">
        <w:t xml:space="preserve"> the Vacuum Reservoir Output has increased by less than 500 mBar</w:t>
      </w:r>
      <w:r w:rsidR="00E0504A">
        <w:t>.</w:t>
      </w:r>
    </w:p>
    <w:p w14:paraId="3AA6244B" w14:textId="77777777" w:rsidR="006C6D43" w:rsidRDefault="006C6D43" w:rsidP="00B3744F"/>
    <w:p w14:paraId="69D95038" w14:textId="5D889365" w:rsidR="00A71428" w:rsidRDefault="00DE4456" w:rsidP="001C7AC8">
      <w:pPr>
        <w:pStyle w:val="ListParagraph"/>
        <w:numPr>
          <w:ilvl w:val="1"/>
          <w:numId w:val="34"/>
        </w:numPr>
        <w:ind w:left="0" w:firstLine="0"/>
      </w:pPr>
      <w:r>
        <w:t>P</w:t>
      </w:r>
      <w:r w:rsidR="002E2279" w:rsidRPr="005C2E62">
        <w:t xml:space="preserve">rime each </w:t>
      </w:r>
      <w:r w:rsidR="001945A5">
        <w:t>well</w:t>
      </w:r>
      <w:r w:rsidR="002E2279" w:rsidRPr="005C2E62">
        <w:t xml:space="preserve"> by adding 500 µ</w:t>
      </w:r>
      <w:r w:rsidR="00276865">
        <w:t>L</w:t>
      </w:r>
      <w:r w:rsidR="00726FDB">
        <w:t xml:space="preserve"> of</w:t>
      </w:r>
      <w:r w:rsidR="002E2279" w:rsidRPr="005C2E62">
        <w:t xml:space="preserve"> </w:t>
      </w:r>
      <w:r w:rsidR="00726FDB">
        <w:t xml:space="preserve">Seeding </w:t>
      </w:r>
      <w:r w:rsidR="00B249BB">
        <w:t>Advanced DMEM medium</w:t>
      </w:r>
      <w:r w:rsidR="0068564B" w:rsidRPr="005C2E62">
        <w:t xml:space="preserve"> </w:t>
      </w:r>
      <w:r w:rsidR="004A3B52">
        <w:t>(pre-warmed to 37</w:t>
      </w:r>
      <w:r w:rsidR="001945A5">
        <w:t xml:space="preserve"> °C</w:t>
      </w:r>
      <w:r w:rsidR="004A3B52">
        <w:t>)</w:t>
      </w:r>
      <w:r w:rsidR="0068564B" w:rsidRPr="005C2E62">
        <w:t xml:space="preserve"> </w:t>
      </w:r>
      <w:r w:rsidR="002E2279" w:rsidRPr="005C2E62">
        <w:t xml:space="preserve">to the reservoir side. </w:t>
      </w:r>
    </w:p>
    <w:p w14:paraId="738E777B" w14:textId="77777777" w:rsidR="006C6D43" w:rsidRDefault="006C6D43" w:rsidP="00B3744F"/>
    <w:p w14:paraId="7F3A3279" w14:textId="5B8B73CA" w:rsidR="00726FDB" w:rsidRDefault="00E01732">
      <w:pPr>
        <w:pStyle w:val="ListParagraph"/>
        <w:numPr>
          <w:ilvl w:val="1"/>
          <w:numId w:val="34"/>
        </w:numPr>
        <w:ind w:left="0" w:firstLine="0"/>
      </w:pPr>
      <w:r>
        <w:t xml:space="preserve">Select the </w:t>
      </w:r>
      <w:r w:rsidRPr="002772FC">
        <w:rPr>
          <w:b/>
          <w:bCs/>
        </w:rPr>
        <w:t>Prime</w:t>
      </w:r>
      <w:r w:rsidRPr="005C2E62">
        <w:t xml:space="preserve"> program</w:t>
      </w:r>
      <w:r>
        <w:t xml:space="preserve"> on the controller</w:t>
      </w:r>
      <w:r w:rsidRPr="005C2E62">
        <w:t xml:space="preserve"> </w:t>
      </w:r>
      <w:r w:rsidR="00970DEF">
        <w:t xml:space="preserve">screen </w:t>
      </w:r>
      <w:r>
        <w:t>(</w:t>
      </w:r>
      <w:r w:rsidR="002E2279" w:rsidRPr="005C2E62">
        <w:t xml:space="preserve">up </w:t>
      </w:r>
      <w:r w:rsidR="009A7049">
        <w:t>flow</w:t>
      </w:r>
      <w:r w:rsidR="002E2279" w:rsidRPr="005C2E62">
        <w:t xml:space="preserve"> for 3 min at 2.5 µ</w:t>
      </w:r>
      <w:r w:rsidR="00276865">
        <w:t>L</w:t>
      </w:r>
      <w:r w:rsidR="002E2279" w:rsidRPr="005C2E62">
        <w:t xml:space="preserve">/s) until </w:t>
      </w:r>
      <w:r>
        <w:t xml:space="preserve">the </w:t>
      </w:r>
      <w:r w:rsidR="002E2279" w:rsidRPr="005C2E62">
        <w:t>fluid comes through the filter support</w:t>
      </w:r>
      <w:r w:rsidR="00EC09E9">
        <w:t>s</w:t>
      </w:r>
      <w:r w:rsidR="002E2279" w:rsidRPr="005C2E62">
        <w:t>.</w:t>
      </w:r>
      <w:r w:rsidR="00355159">
        <w:t xml:space="preserve"> </w:t>
      </w:r>
    </w:p>
    <w:p w14:paraId="6E0FFFA5" w14:textId="77777777" w:rsidR="00726FDB" w:rsidRDefault="00726FDB" w:rsidP="001C7AC8">
      <w:pPr>
        <w:pStyle w:val="ListParagraph"/>
      </w:pPr>
    </w:p>
    <w:p w14:paraId="19657DAD" w14:textId="2E857C45" w:rsidR="00A71428" w:rsidRDefault="00726FDB" w:rsidP="001C7AC8">
      <w:pPr>
        <w:pStyle w:val="ListParagraph"/>
        <w:ind w:left="0"/>
      </w:pPr>
      <w:r>
        <w:t xml:space="preserve">NOTE: </w:t>
      </w:r>
      <w:r w:rsidR="00355159">
        <w:t xml:space="preserve">‘Up flow’ is a setting </w:t>
      </w:r>
      <w:r w:rsidR="00D44068">
        <w:t xml:space="preserve">on the controller that allows media to flow from the reservoir </w:t>
      </w:r>
      <w:r w:rsidR="0008720F">
        <w:t xml:space="preserve">upwards </w:t>
      </w:r>
      <w:r w:rsidR="00D44068">
        <w:t>through the scaffolds</w:t>
      </w:r>
      <w:r w:rsidR="0008720F">
        <w:t xml:space="preserve"> in the LC12 plate. </w:t>
      </w:r>
      <w:r w:rsidR="002E2279" w:rsidRPr="005C2E62">
        <w:t xml:space="preserve"> </w:t>
      </w:r>
    </w:p>
    <w:p w14:paraId="0266969B" w14:textId="77777777" w:rsidR="006C6D43" w:rsidRDefault="006C6D43" w:rsidP="00B3744F"/>
    <w:p w14:paraId="65C0DEE2" w14:textId="0FE5EE05" w:rsidR="00A71428" w:rsidRDefault="002E2279" w:rsidP="001C7AC8">
      <w:pPr>
        <w:pStyle w:val="ListParagraph"/>
        <w:numPr>
          <w:ilvl w:val="1"/>
          <w:numId w:val="34"/>
        </w:numPr>
        <w:ind w:left="0" w:firstLine="0"/>
      </w:pPr>
      <w:r w:rsidRPr="005C2E62">
        <w:t xml:space="preserve">Fill </w:t>
      </w:r>
      <w:r w:rsidR="008B4638">
        <w:t>all</w:t>
      </w:r>
      <w:r w:rsidRPr="005C2E62">
        <w:t xml:space="preserve"> </w:t>
      </w:r>
      <w:r w:rsidR="00BA508A">
        <w:t>wells</w:t>
      </w:r>
      <w:r w:rsidRPr="005C2E62">
        <w:t xml:space="preserve"> with a further 1.1 </w:t>
      </w:r>
      <w:r w:rsidR="004109DC" w:rsidRPr="005204C8">
        <w:rPr>
          <w:rFonts w:asciiTheme="majorHAnsi" w:hAnsiTheme="majorHAnsi" w:cstheme="majorHAnsi"/>
        </w:rPr>
        <w:t>m</w:t>
      </w:r>
      <w:r w:rsidR="00276865" w:rsidRPr="00A71428">
        <w:rPr>
          <w:rFonts w:asciiTheme="majorHAnsi" w:hAnsiTheme="majorHAnsi" w:cstheme="majorHAnsi"/>
        </w:rPr>
        <w:t>L</w:t>
      </w:r>
      <w:r w:rsidRPr="005C2E62">
        <w:t xml:space="preserve"> </w:t>
      </w:r>
      <w:r w:rsidR="00726FDB">
        <w:t>of S</w:t>
      </w:r>
      <w:r w:rsidR="00B249BB">
        <w:t>eeding Advanced DMEM medium</w:t>
      </w:r>
      <w:r w:rsidRPr="005C2E62">
        <w:t xml:space="preserve"> to cover the surface channel. All wells will then be at their full working volume of 1.6 m</w:t>
      </w:r>
      <w:r w:rsidR="00276865">
        <w:t>L</w:t>
      </w:r>
      <w:r w:rsidRPr="005C2E62">
        <w:t>.</w:t>
      </w:r>
    </w:p>
    <w:p w14:paraId="1C90C715" w14:textId="77777777" w:rsidR="006C6D43" w:rsidRDefault="006C6D43" w:rsidP="00B3744F"/>
    <w:p w14:paraId="56F75BB9" w14:textId="77777777" w:rsidR="004D16D1" w:rsidRDefault="002E2279" w:rsidP="001C7AC8">
      <w:pPr>
        <w:pStyle w:val="ListParagraph"/>
        <w:numPr>
          <w:ilvl w:val="1"/>
          <w:numId w:val="34"/>
        </w:numPr>
        <w:ind w:left="0" w:firstLine="0"/>
      </w:pPr>
      <w:r w:rsidRPr="005C2E62">
        <w:t xml:space="preserve">Place </w:t>
      </w:r>
      <w:r w:rsidR="008B5B99">
        <w:t xml:space="preserve">the drivers with </w:t>
      </w:r>
      <w:r w:rsidRPr="005C2E62">
        <w:t xml:space="preserve">plates in </w:t>
      </w:r>
      <w:r w:rsidR="0078274F">
        <w:t xml:space="preserve">a 37 </w:t>
      </w:r>
      <w:r w:rsidR="00BA508A">
        <w:t>°C</w:t>
      </w:r>
      <w:r w:rsidR="0078274F">
        <w:t xml:space="preserve"> and 5% CO</w:t>
      </w:r>
      <w:r w:rsidR="0078274F" w:rsidRPr="00A71428">
        <w:rPr>
          <w:vertAlign w:val="subscript"/>
        </w:rPr>
        <w:t>2</w:t>
      </w:r>
      <w:r w:rsidRPr="005C2E62">
        <w:t xml:space="preserve"> incubator</w:t>
      </w:r>
      <w:r w:rsidR="00726FDB">
        <w:t>,</w:t>
      </w:r>
      <w:r w:rsidR="007409C8">
        <w:t xml:space="preserve"> connect to the docking station</w:t>
      </w:r>
      <w:r w:rsidR="00A72F2A">
        <w:t xml:space="preserve"> </w:t>
      </w:r>
      <w:r w:rsidRPr="005C2E62">
        <w:t xml:space="preserve">and run </w:t>
      </w:r>
      <w:r w:rsidR="005D6093">
        <w:t xml:space="preserve">the </w:t>
      </w:r>
      <w:r w:rsidRPr="001C7AC8">
        <w:rPr>
          <w:b/>
          <w:bCs/>
        </w:rPr>
        <w:t>Incubate</w:t>
      </w:r>
      <w:r w:rsidRPr="005C2E62">
        <w:t xml:space="preserve"> program. </w:t>
      </w:r>
    </w:p>
    <w:p w14:paraId="54F63C73" w14:textId="77777777" w:rsidR="004D16D1" w:rsidRDefault="004D16D1" w:rsidP="002772FC">
      <w:pPr>
        <w:pStyle w:val="ListParagraph"/>
      </w:pPr>
    </w:p>
    <w:p w14:paraId="14033913" w14:textId="5B106A04" w:rsidR="002E2279" w:rsidRPr="005C2E62" w:rsidRDefault="004D16D1" w:rsidP="002772FC">
      <w:pPr>
        <w:pStyle w:val="ListParagraph"/>
        <w:ind w:left="0"/>
      </w:pPr>
      <w:r>
        <w:t xml:space="preserve">NOTE: </w:t>
      </w:r>
      <w:r w:rsidR="0065347F">
        <w:t xml:space="preserve">All programs </w:t>
      </w:r>
      <w:r w:rsidR="0099372C">
        <w:t xml:space="preserve">used </w:t>
      </w:r>
      <w:r w:rsidR="00BF5A41">
        <w:t>in th</w:t>
      </w:r>
      <w:r w:rsidR="00C54AE9">
        <w:t>e experiment</w:t>
      </w:r>
      <w:r w:rsidR="00BF5A41">
        <w:t xml:space="preserve"> </w:t>
      </w:r>
      <w:r w:rsidR="0065347F">
        <w:t>(</w:t>
      </w:r>
      <w:r w:rsidR="004166D9" w:rsidRPr="002772FC">
        <w:rPr>
          <w:b/>
          <w:bCs/>
        </w:rPr>
        <w:t>P</w:t>
      </w:r>
      <w:r w:rsidR="0065347F" w:rsidRPr="002772FC">
        <w:rPr>
          <w:b/>
          <w:bCs/>
        </w:rPr>
        <w:t>rime</w:t>
      </w:r>
      <w:r w:rsidR="0065347F">
        <w:t xml:space="preserve">, </w:t>
      </w:r>
      <w:r w:rsidR="004166D9" w:rsidRPr="002772FC">
        <w:rPr>
          <w:b/>
          <w:bCs/>
        </w:rPr>
        <w:t>I</w:t>
      </w:r>
      <w:r w:rsidR="0065347F" w:rsidRPr="002772FC">
        <w:rPr>
          <w:b/>
          <w:bCs/>
        </w:rPr>
        <w:t>ncubate</w:t>
      </w:r>
      <w:r w:rsidR="0065347F">
        <w:t xml:space="preserve">, </w:t>
      </w:r>
      <w:r w:rsidR="004166D9" w:rsidRPr="002772FC">
        <w:rPr>
          <w:b/>
          <w:bCs/>
        </w:rPr>
        <w:t>S</w:t>
      </w:r>
      <w:r w:rsidR="0065347F" w:rsidRPr="002772FC">
        <w:rPr>
          <w:b/>
          <w:bCs/>
        </w:rPr>
        <w:t>eed</w:t>
      </w:r>
      <w:r w:rsidR="0065347F">
        <w:t>,</w:t>
      </w:r>
      <w:r w:rsidR="00B27F9C">
        <w:t xml:space="preserve"> </w:t>
      </w:r>
      <w:r w:rsidR="004166D9" w:rsidRPr="002772FC">
        <w:rPr>
          <w:b/>
          <w:bCs/>
        </w:rPr>
        <w:t>M</w:t>
      </w:r>
      <w:r w:rsidR="0065347F" w:rsidRPr="002772FC">
        <w:rPr>
          <w:b/>
          <w:bCs/>
        </w:rPr>
        <w:t xml:space="preserve">edia </w:t>
      </w:r>
      <w:r>
        <w:rPr>
          <w:b/>
          <w:bCs/>
        </w:rPr>
        <w:t>C</w:t>
      </w:r>
      <w:r w:rsidR="0065347F" w:rsidRPr="002772FC">
        <w:rPr>
          <w:b/>
          <w:bCs/>
        </w:rPr>
        <w:t>hange</w:t>
      </w:r>
      <w:r w:rsidR="0065347F">
        <w:t xml:space="preserve">) are </w:t>
      </w:r>
      <w:r w:rsidR="00C320F1">
        <w:t>pre-set</w:t>
      </w:r>
      <w:r w:rsidR="00B4574C">
        <w:t xml:space="preserve"> in the MPS system. </w:t>
      </w:r>
      <w:r w:rsidR="00A72F2A">
        <w:t>Prime the</w:t>
      </w:r>
      <w:r w:rsidR="002E2279" w:rsidRPr="005C2E62">
        <w:t xml:space="preserve"> plates in the incubator until ready to seed.</w:t>
      </w:r>
    </w:p>
    <w:p w14:paraId="5AB1595B" w14:textId="77777777" w:rsidR="002E2279" w:rsidRPr="001C7AC8" w:rsidRDefault="002E2279" w:rsidP="00B3744F">
      <w:pPr>
        <w:rPr>
          <w:b/>
          <w:bCs/>
        </w:rPr>
      </w:pPr>
      <w:bookmarkStart w:id="1" w:name="_Hlk91068527"/>
    </w:p>
    <w:p w14:paraId="3A0C55F2" w14:textId="17A3E9BF" w:rsidR="00BC6933" w:rsidRPr="001C7AC8" w:rsidRDefault="001D6A3E" w:rsidP="001C7AC8">
      <w:pPr>
        <w:pStyle w:val="ListParagraph"/>
        <w:numPr>
          <w:ilvl w:val="0"/>
          <w:numId w:val="13"/>
        </w:numPr>
        <w:ind w:left="0" w:firstLine="0"/>
        <w:rPr>
          <w:b/>
          <w:bCs/>
          <w:highlight w:val="yellow"/>
        </w:rPr>
      </w:pPr>
      <w:r w:rsidRPr="001C7AC8">
        <w:rPr>
          <w:b/>
          <w:bCs/>
          <w:highlight w:val="yellow"/>
        </w:rPr>
        <w:t>Seeding liver cells into MPS</w:t>
      </w:r>
      <w:r w:rsidR="002E2279" w:rsidRPr="001C7AC8">
        <w:rPr>
          <w:b/>
          <w:bCs/>
          <w:highlight w:val="yellow"/>
        </w:rPr>
        <w:t xml:space="preserve"> (Day </w:t>
      </w:r>
      <w:r w:rsidR="00BC6933" w:rsidRPr="001C7AC8">
        <w:rPr>
          <w:b/>
          <w:bCs/>
          <w:highlight w:val="yellow"/>
        </w:rPr>
        <w:t>0</w:t>
      </w:r>
      <w:r w:rsidR="002E2279" w:rsidRPr="001C7AC8">
        <w:rPr>
          <w:b/>
          <w:bCs/>
          <w:highlight w:val="yellow"/>
        </w:rPr>
        <w:t>)</w:t>
      </w:r>
    </w:p>
    <w:p w14:paraId="064B0CC5" w14:textId="77777777" w:rsidR="009D5A97" w:rsidRPr="00357CBE" w:rsidRDefault="009D5A97" w:rsidP="001C7AC8">
      <w:pPr>
        <w:pStyle w:val="ListParagraph"/>
        <w:ind w:left="0"/>
        <w:rPr>
          <w:highlight w:val="yellow"/>
        </w:rPr>
      </w:pPr>
    </w:p>
    <w:p w14:paraId="72661381" w14:textId="50E5317E" w:rsidR="00422B6B" w:rsidRPr="009D5A97" w:rsidRDefault="005D6093" w:rsidP="001C7AC8">
      <w:pPr>
        <w:pStyle w:val="ListParagraph"/>
        <w:numPr>
          <w:ilvl w:val="1"/>
          <w:numId w:val="35"/>
        </w:numPr>
        <w:ind w:left="0" w:firstLine="0"/>
        <w:rPr>
          <w:highlight w:val="yellow"/>
        </w:rPr>
      </w:pPr>
      <w:r>
        <w:rPr>
          <w:highlight w:val="yellow"/>
        </w:rPr>
        <w:t>Prevalidate all PHHS and HKCs</w:t>
      </w:r>
      <w:r w:rsidRPr="005D6093">
        <w:rPr>
          <w:highlight w:val="yellow"/>
        </w:rPr>
        <w:t xml:space="preserve">. </w:t>
      </w:r>
      <w:r w:rsidR="00422B6B" w:rsidRPr="001C7AC8">
        <w:t xml:space="preserve">All </w:t>
      </w:r>
      <w:r w:rsidR="00422B6B" w:rsidRPr="005D6093">
        <w:t>PHHs</w:t>
      </w:r>
      <w:r w:rsidR="00422B6B" w:rsidRPr="00422B6B">
        <w:t xml:space="preserve"> and HKCs </w:t>
      </w:r>
      <w:r w:rsidR="00422B6B">
        <w:t xml:space="preserve">Lots </w:t>
      </w:r>
      <w:r w:rsidR="00422B6B" w:rsidRPr="00422B6B">
        <w:t xml:space="preserve">are pre-validated in-house prior to performing </w:t>
      </w:r>
      <w:r w:rsidR="004D16D1">
        <w:t xml:space="preserve">the </w:t>
      </w:r>
      <w:r w:rsidR="00422B6B" w:rsidRPr="00422B6B">
        <w:t>cell culture experiment</w:t>
      </w:r>
      <w:r w:rsidR="00422B6B">
        <w:t xml:space="preserve"> (see </w:t>
      </w:r>
      <w:r w:rsidR="00422B6B" w:rsidRPr="009D5A97">
        <w:rPr>
          <w:b/>
          <w:bCs/>
        </w:rPr>
        <w:t>Supplementary Material</w:t>
      </w:r>
      <w:r w:rsidR="00DA4607">
        <w:t xml:space="preserve">). </w:t>
      </w:r>
    </w:p>
    <w:p w14:paraId="7A22EF1E" w14:textId="26284830" w:rsidR="00422B6B" w:rsidRDefault="00422B6B" w:rsidP="001C7AC8">
      <w:pPr>
        <w:pStyle w:val="ListParagraph"/>
        <w:ind w:left="0"/>
        <w:rPr>
          <w:highlight w:val="yellow"/>
        </w:rPr>
      </w:pPr>
      <w:r>
        <w:t xml:space="preserve"> </w:t>
      </w:r>
    </w:p>
    <w:p w14:paraId="4F34A413" w14:textId="0582D7CF" w:rsidR="007A4A28" w:rsidRPr="00357CBE" w:rsidRDefault="002E2279" w:rsidP="001C7AC8">
      <w:pPr>
        <w:pStyle w:val="ListParagraph"/>
        <w:numPr>
          <w:ilvl w:val="1"/>
          <w:numId w:val="35"/>
        </w:numPr>
        <w:ind w:left="0" w:firstLine="0"/>
        <w:rPr>
          <w:highlight w:val="yellow"/>
        </w:rPr>
      </w:pPr>
      <w:r w:rsidRPr="54A6C1A2">
        <w:rPr>
          <w:highlight w:val="yellow"/>
        </w:rPr>
        <w:t xml:space="preserve">Thaw </w:t>
      </w:r>
      <w:r w:rsidR="000C70FD" w:rsidRPr="54A6C1A2">
        <w:rPr>
          <w:highlight w:val="yellow"/>
        </w:rPr>
        <w:t>vials of</w:t>
      </w:r>
      <w:r w:rsidRPr="54A6C1A2">
        <w:rPr>
          <w:highlight w:val="yellow"/>
        </w:rPr>
        <w:t xml:space="preserve"> PHHs and </w:t>
      </w:r>
      <w:r w:rsidR="00E64BF5" w:rsidRPr="54A6C1A2">
        <w:rPr>
          <w:highlight w:val="yellow"/>
        </w:rPr>
        <w:t>HKC</w:t>
      </w:r>
      <w:r w:rsidR="0023415D" w:rsidRPr="54A6C1A2">
        <w:rPr>
          <w:highlight w:val="yellow"/>
        </w:rPr>
        <w:t>s</w:t>
      </w:r>
      <w:r w:rsidRPr="54A6C1A2">
        <w:rPr>
          <w:highlight w:val="yellow"/>
        </w:rPr>
        <w:t xml:space="preserve"> cells </w:t>
      </w:r>
      <w:r w:rsidR="00B562D2" w:rsidRPr="54A6C1A2">
        <w:rPr>
          <w:highlight w:val="yellow"/>
        </w:rPr>
        <w:t>(</w:t>
      </w:r>
      <w:r w:rsidR="00B562D2" w:rsidRPr="54A6C1A2">
        <w:rPr>
          <w:b/>
          <w:bCs/>
        </w:rPr>
        <w:t xml:space="preserve">Table of </w:t>
      </w:r>
      <w:r w:rsidR="005D6093">
        <w:rPr>
          <w:b/>
          <w:bCs/>
        </w:rPr>
        <w:t>M</w:t>
      </w:r>
      <w:r w:rsidR="005D6093" w:rsidRPr="54A6C1A2">
        <w:rPr>
          <w:b/>
          <w:bCs/>
        </w:rPr>
        <w:t>aterials</w:t>
      </w:r>
      <w:r w:rsidR="00B562D2" w:rsidRPr="54A6C1A2">
        <w:rPr>
          <w:highlight w:val="yellow"/>
        </w:rPr>
        <w:t xml:space="preserve">) </w:t>
      </w:r>
      <w:r w:rsidRPr="54A6C1A2">
        <w:rPr>
          <w:highlight w:val="yellow"/>
        </w:rPr>
        <w:t>by holding the vial</w:t>
      </w:r>
      <w:r w:rsidR="000C70FD" w:rsidRPr="54A6C1A2">
        <w:rPr>
          <w:highlight w:val="yellow"/>
        </w:rPr>
        <w:t>s</w:t>
      </w:r>
      <w:r w:rsidRPr="54A6C1A2">
        <w:rPr>
          <w:highlight w:val="yellow"/>
        </w:rPr>
        <w:t xml:space="preserve"> steadily in </w:t>
      </w:r>
      <w:r w:rsidR="00454FAF" w:rsidRPr="54A6C1A2">
        <w:rPr>
          <w:highlight w:val="yellow"/>
        </w:rPr>
        <w:t>a 37</w:t>
      </w:r>
      <w:r w:rsidR="00D21A48" w:rsidRPr="54A6C1A2">
        <w:rPr>
          <w:highlight w:val="yellow"/>
        </w:rPr>
        <w:t xml:space="preserve"> °</w:t>
      </w:r>
      <w:r w:rsidR="00454FAF" w:rsidRPr="54A6C1A2">
        <w:rPr>
          <w:highlight w:val="yellow"/>
        </w:rPr>
        <w:t xml:space="preserve">C </w:t>
      </w:r>
      <w:r w:rsidR="003750D2" w:rsidRPr="54A6C1A2">
        <w:rPr>
          <w:highlight w:val="yellow"/>
        </w:rPr>
        <w:t>water bath</w:t>
      </w:r>
      <w:r w:rsidRPr="54A6C1A2">
        <w:rPr>
          <w:highlight w:val="yellow"/>
        </w:rPr>
        <w:t xml:space="preserve"> until only a small sliver of ice remains.</w:t>
      </w:r>
      <w:r w:rsidR="0095449E" w:rsidRPr="54A6C1A2">
        <w:rPr>
          <w:highlight w:val="yellow"/>
        </w:rPr>
        <w:t xml:space="preserve"> </w:t>
      </w:r>
    </w:p>
    <w:p w14:paraId="7B145CEF" w14:textId="77777777" w:rsidR="006C6D43" w:rsidRPr="00357CBE" w:rsidRDefault="006C6D43" w:rsidP="001C7AC8">
      <w:pPr>
        <w:pStyle w:val="ListParagraph"/>
        <w:ind w:left="0"/>
        <w:rPr>
          <w:highlight w:val="yellow"/>
        </w:rPr>
      </w:pPr>
    </w:p>
    <w:p w14:paraId="041E40AB" w14:textId="34CEEFD6" w:rsidR="007A4A28" w:rsidRPr="00357CBE" w:rsidRDefault="009D15EB" w:rsidP="001C7AC8">
      <w:pPr>
        <w:pStyle w:val="ListParagraph"/>
        <w:numPr>
          <w:ilvl w:val="1"/>
          <w:numId w:val="35"/>
        </w:numPr>
        <w:ind w:left="0" w:firstLine="0"/>
        <w:rPr>
          <w:highlight w:val="yellow"/>
        </w:rPr>
      </w:pPr>
      <w:r w:rsidRPr="54A6C1A2">
        <w:rPr>
          <w:highlight w:val="yellow"/>
        </w:rPr>
        <w:t xml:space="preserve">Pipette </w:t>
      </w:r>
      <w:r w:rsidR="002E2279" w:rsidRPr="54A6C1A2">
        <w:rPr>
          <w:highlight w:val="yellow"/>
        </w:rPr>
        <w:t xml:space="preserve">PHHs directly into </w:t>
      </w:r>
      <w:r w:rsidR="00FC0EC0" w:rsidRPr="54A6C1A2">
        <w:rPr>
          <w:highlight w:val="yellow"/>
        </w:rPr>
        <w:t>a</w:t>
      </w:r>
      <w:r w:rsidR="002E2279" w:rsidRPr="54A6C1A2">
        <w:rPr>
          <w:highlight w:val="yellow"/>
        </w:rPr>
        <w:t xml:space="preserve"> tube of </w:t>
      </w:r>
      <w:r w:rsidR="00DE076C" w:rsidRPr="54A6C1A2">
        <w:rPr>
          <w:highlight w:val="yellow"/>
        </w:rPr>
        <w:t>pre-warmed (37</w:t>
      </w:r>
      <w:r w:rsidR="00234681" w:rsidRPr="54A6C1A2">
        <w:rPr>
          <w:highlight w:val="yellow"/>
        </w:rPr>
        <w:t xml:space="preserve"> °C</w:t>
      </w:r>
      <w:r w:rsidR="00DE076C" w:rsidRPr="54A6C1A2">
        <w:rPr>
          <w:highlight w:val="yellow"/>
        </w:rPr>
        <w:t xml:space="preserve">) </w:t>
      </w:r>
      <w:r w:rsidR="008F24BD" w:rsidRPr="002772FC">
        <w:rPr>
          <w:highlight w:val="yellow"/>
        </w:rPr>
        <w:t>Cryopreserved Hepatocyte Recovery Medium</w:t>
      </w:r>
      <w:r w:rsidR="008F24BD" w:rsidRPr="00DC5211">
        <w:rPr>
          <w:highlight w:val="yellow"/>
        </w:rPr>
        <w:t xml:space="preserve"> </w:t>
      </w:r>
      <w:r w:rsidR="002E2279" w:rsidRPr="002968EA">
        <w:rPr>
          <w:highlight w:val="yellow"/>
        </w:rPr>
        <w:t xml:space="preserve">CHRM </w:t>
      </w:r>
      <w:r w:rsidR="00DE076C" w:rsidRPr="002968EA">
        <w:rPr>
          <w:highlight w:val="yellow"/>
        </w:rPr>
        <w:t>media</w:t>
      </w:r>
      <w:r w:rsidR="002E2279" w:rsidRPr="002968EA">
        <w:rPr>
          <w:highlight w:val="yellow"/>
        </w:rPr>
        <w:t xml:space="preserve"> (</w:t>
      </w:r>
      <w:r w:rsidR="002E2279" w:rsidRPr="54A6C1A2">
        <w:rPr>
          <w:highlight w:val="yellow"/>
        </w:rPr>
        <w:t>two vials max per tube)</w:t>
      </w:r>
      <w:r w:rsidR="00085ABF" w:rsidRPr="54A6C1A2">
        <w:rPr>
          <w:highlight w:val="yellow"/>
        </w:rPr>
        <w:t>.</w:t>
      </w:r>
    </w:p>
    <w:p w14:paraId="5375B329" w14:textId="77777777" w:rsidR="006C6D43" w:rsidRPr="00357CBE" w:rsidRDefault="006C6D43" w:rsidP="00B3744F">
      <w:pPr>
        <w:rPr>
          <w:highlight w:val="yellow"/>
        </w:rPr>
      </w:pPr>
    </w:p>
    <w:p w14:paraId="68A615A6" w14:textId="2AD64D42" w:rsidR="00024475" w:rsidRPr="00357CBE" w:rsidRDefault="002E2279" w:rsidP="001C7AC8">
      <w:pPr>
        <w:pStyle w:val="ListParagraph"/>
        <w:numPr>
          <w:ilvl w:val="1"/>
          <w:numId w:val="35"/>
        </w:numPr>
        <w:ind w:left="0" w:firstLine="0"/>
        <w:rPr>
          <w:highlight w:val="yellow"/>
        </w:rPr>
      </w:pPr>
      <w:r w:rsidRPr="54A6C1A2">
        <w:rPr>
          <w:highlight w:val="yellow"/>
        </w:rPr>
        <w:t>Pipette</w:t>
      </w:r>
      <w:r w:rsidR="005D6093">
        <w:rPr>
          <w:highlight w:val="yellow"/>
        </w:rPr>
        <w:t xml:space="preserve"> the</w:t>
      </w:r>
      <w:r w:rsidRPr="54A6C1A2">
        <w:rPr>
          <w:highlight w:val="yellow"/>
        </w:rPr>
        <w:t xml:space="preserve"> cells gently, then use 1</w:t>
      </w:r>
      <w:r w:rsidR="00916414" w:rsidRPr="54A6C1A2">
        <w:rPr>
          <w:highlight w:val="yellow"/>
        </w:rPr>
        <w:t xml:space="preserve"> </w:t>
      </w:r>
      <w:r w:rsidR="005D6093" w:rsidRPr="54A6C1A2">
        <w:rPr>
          <w:highlight w:val="yellow"/>
        </w:rPr>
        <w:t>m</w:t>
      </w:r>
      <w:r w:rsidR="005D6093">
        <w:rPr>
          <w:highlight w:val="yellow"/>
        </w:rPr>
        <w:t>L</w:t>
      </w:r>
      <w:r w:rsidR="005D6093" w:rsidRPr="54A6C1A2">
        <w:rPr>
          <w:highlight w:val="yellow"/>
        </w:rPr>
        <w:t xml:space="preserve"> </w:t>
      </w:r>
      <w:r w:rsidRPr="54A6C1A2">
        <w:rPr>
          <w:highlight w:val="yellow"/>
        </w:rPr>
        <w:t xml:space="preserve">of CHRM to wash any remaining cells from </w:t>
      </w:r>
      <w:r w:rsidR="004D16D1">
        <w:rPr>
          <w:highlight w:val="yellow"/>
        </w:rPr>
        <w:t xml:space="preserve">the </w:t>
      </w:r>
      <w:r w:rsidRPr="54A6C1A2">
        <w:rPr>
          <w:highlight w:val="yellow"/>
        </w:rPr>
        <w:t xml:space="preserve">cryotube. Be very gentle with cells when thawing and transferring into </w:t>
      </w:r>
      <w:r w:rsidR="004D16D1">
        <w:rPr>
          <w:highlight w:val="yellow"/>
        </w:rPr>
        <w:t xml:space="preserve">a </w:t>
      </w:r>
      <w:r w:rsidRPr="54A6C1A2">
        <w:rPr>
          <w:highlight w:val="yellow"/>
        </w:rPr>
        <w:t xml:space="preserve">conical tube. </w:t>
      </w:r>
    </w:p>
    <w:p w14:paraId="46997585" w14:textId="77777777" w:rsidR="00024475" w:rsidRPr="001C7AC8" w:rsidRDefault="00024475" w:rsidP="001C7AC8">
      <w:pPr>
        <w:pStyle w:val="ListParagraph"/>
        <w:ind w:left="0"/>
        <w:rPr>
          <w:b/>
        </w:rPr>
      </w:pPr>
    </w:p>
    <w:p w14:paraId="59211DAD" w14:textId="42C74F81" w:rsidR="007A4A28" w:rsidRPr="001C7AC8" w:rsidRDefault="005D6093" w:rsidP="001C7AC8">
      <w:pPr>
        <w:pStyle w:val="ListParagraph"/>
        <w:ind w:left="0"/>
      </w:pPr>
      <w:r w:rsidRPr="001C7AC8">
        <w:rPr>
          <w:bCs/>
        </w:rPr>
        <w:t>CAUTION</w:t>
      </w:r>
      <w:r w:rsidR="002E2279" w:rsidRPr="001C7AC8">
        <w:rPr>
          <w:b/>
        </w:rPr>
        <w:t>:</w:t>
      </w:r>
      <w:r w:rsidR="002E2279" w:rsidRPr="001C7AC8">
        <w:t xml:space="preserve"> </w:t>
      </w:r>
      <w:r w:rsidR="00E653ED" w:rsidRPr="001C7AC8">
        <w:t xml:space="preserve">Do not agitate </w:t>
      </w:r>
      <w:r w:rsidR="0054745D" w:rsidRPr="001C7AC8">
        <w:t xml:space="preserve">the </w:t>
      </w:r>
      <w:r w:rsidR="00E653ED" w:rsidRPr="001C7AC8">
        <w:t>vial</w:t>
      </w:r>
      <w:r w:rsidR="0054745D" w:rsidRPr="001C7AC8">
        <w:t>s</w:t>
      </w:r>
      <w:r w:rsidR="00E653ED" w:rsidRPr="001C7AC8">
        <w:t xml:space="preserve"> during thawing</w:t>
      </w:r>
      <w:r w:rsidR="004D16D1">
        <w:t>,</w:t>
      </w:r>
      <w:r w:rsidR="00E653ED" w:rsidRPr="001C7AC8">
        <w:t xml:space="preserve"> and do not pipette </w:t>
      </w:r>
      <w:r w:rsidR="0054745D" w:rsidRPr="001C7AC8">
        <w:t xml:space="preserve">their content </w:t>
      </w:r>
      <w:r w:rsidR="00E653ED" w:rsidRPr="001C7AC8">
        <w:t xml:space="preserve">up and down. </w:t>
      </w:r>
    </w:p>
    <w:p w14:paraId="5AC8FABF" w14:textId="77777777" w:rsidR="006C6D43" w:rsidRPr="00357CBE" w:rsidRDefault="006C6D43" w:rsidP="001C7AC8">
      <w:pPr>
        <w:pStyle w:val="ListParagraph"/>
        <w:ind w:left="0"/>
        <w:rPr>
          <w:highlight w:val="yellow"/>
        </w:rPr>
      </w:pPr>
    </w:p>
    <w:p w14:paraId="31A09C5C" w14:textId="4AD0E04F" w:rsidR="005D6093" w:rsidRDefault="00E653ED">
      <w:pPr>
        <w:pStyle w:val="ListParagraph"/>
        <w:numPr>
          <w:ilvl w:val="1"/>
          <w:numId w:val="35"/>
        </w:numPr>
        <w:ind w:left="0" w:firstLine="0"/>
        <w:rPr>
          <w:highlight w:val="yellow"/>
        </w:rPr>
      </w:pPr>
      <w:r w:rsidRPr="54A6C1A2">
        <w:rPr>
          <w:highlight w:val="yellow"/>
        </w:rPr>
        <w:t>P</w:t>
      </w:r>
      <w:r w:rsidR="002E2279" w:rsidRPr="54A6C1A2">
        <w:rPr>
          <w:highlight w:val="yellow"/>
        </w:rPr>
        <w:t xml:space="preserve">ipette </w:t>
      </w:r>
      <w:r w:rsidR="00E64BF5" w:rsidRPr="54A6C1A2">
        <w:rPr>
          <w:highlight w:val="yellow"/>
        </w:rPr>
        <w:t>HKC</w:t>
      </w:r>
      <w:r w:rsidR="00D84EF6" w:rsidRPr="54A6C1A2">
        <w:rPr>
          <w:highlight w:val="yellow"/>
        </w:rPr>
        <w:t>s</w:t>
      </w:r>
      <w:r w:rsidR="002E2279" w:rsidRPr="54A6C1A2">
        <w:rPr>
          <w:highlight w:val="yellow"/>
        </w:rPr>
        <w:t xml:space="preserve"> cells </w:t>
      </w:r>
      <w:r w:rsidR="00626DA7" w:rsidRPr="54A6C1A2">
        <w:rPr>
          <w:highlight w:val="yellow"/>
        </w:rPr>
        <w:t xml:space="preserve">gently </w:t>
      </w:r>
      <w:r w:rsidR="00C43C81" w:rsidRPr="54A6C1A2">
        <w:rPr>
          <w:highlight w:val="yellow"/>
        </w:rPr>
        <w:t>from the cryotube</w:t>
      </w:r>
      <w:r w:rsidR="002E2279" w:rsidRPr="54A6C1A2">
        <w:rPr>
          <w:highlight w:val="yellow"/>
        </w:rPr>
        <w:t xml:space="preserve"> into 10 m</w:t>
      </w:r>
      <w:r w:rsidR="00276865" w:rsidRPr="54A6C1A2">
        <w:rPr>
          <w:highlight w:val="yellow"/>
        </w:rPr>
        <w:t>L</w:t>
      </w:r>
      <w:r w:rsidR="002E2279" w:rsidRPr="54A6C1A2">
        <w:rPr>
          <w:highlight w:val="yellow"/>
        </w:rPr>
        <w:t xml:space="preserve"> of ice-cold </w:t>
      </w:r>
      <w:r w:rsidR="005D6093">
        <w:rPr>
          <w:highlight w:val="yellow"/>
        </w:rPr>
        <w:t>S</w:t>
      </w:r>
      <w:r w:rsidR="005D6093" w:rsidRPr="54A6C1A2">
        <w:rPr>
          <w:highlight w:val="yellow"/>
        </w:rPr>
        <w:t xml:space="preserve">eeding </w:t>
      </w:r>
      <w:r w:rsidR="00F84862" w:rsidRPr="54A6C1A2">
        <w:rPr>
          <w:highlight w:val="yellow"/>
        </w:rPr>
        <w:t>Advanced DMEM medium</w:t>
      </w:r>
      <w:r w:rsidR="002E2279" w:rsidRPr="54A6C1A2">
        <w:rPr>
          <w:highlight w:val="yellow"/>
        </w:rPr>
        <w:t xml:space="preserve"> in a 15 m</w:t>
      </w:r>
      <w:r w:rsidR="00276865" w:rsidRPr="54A6C1A2">
        <w:rPr>
          <w:highlight w:val="yellow"/>
        </w:rPr>
        <w:t>L</w:t>
      </w:r>
      <w:r w:rsidR="002E2279" w:rsidRPr="54A6C1A2">
        <w:rPr>
          <w:highlight w:val="yellow"/>
        </w:rPr>
        <w:t xml:space="preserve"> </w:t>
      </w:r>
      <w:r w:rsidR="005D6093">
        <w:rPr>
          <w:highlight w:val="yellow"/>
        </w:rPr>
        <w:t>centrifuge</w:t>
      </w:r>
      <w:r w:rsidR="005D6093" w:rsidRPr="54A6C1A2">
        <w:rPr>
          <w:highlight w:val="yellow"/>
        </w:rPr>
        <w:t xml:space="preserve"> </w:t>
      </w:r>
      <w:r w:rsidR="002E2279" w:rsidRPr="54A6C1A2">
        <w:rPr>
          <w:highlight w:val="yellow"/>
        </w:rPr>
        <w:t>tube</w:t>
      </w:r>
      <w:r w:rsidR="00B97000" w:rsidRPr="54A6C1A2">
        <w:rPr>
          <w:highlight w:val="yellow"/>
        </w:rPr>
        <w:t xml:space="preserve">. </w:t>
      </w:r>
    </w:p>
    <w:p w14:paraId="3D048035" w14:textId="77777777" w:rsidR="005D6093" w:rsidRDefault="005D6093" w:rsidP="005D6093">
      <w:pPr>
        <w:pStyle w:val="ListParagraph"/>
        <w:ind w:left="0"/>
        <w:rPr>
          <w:highlight w:val="yellow"/>
        </w:rPr>
      </w:pPr>
    </w:p>
    <w:p w14:paraId="0E705DD5" w14:textId="4A3A1555" w:rsidR="007A4A28" w:rsidRPr="001C7AC8" w:rsidRDefault="005D7024" w:rsidP="001C7AC8">
      <w:pPr>
        <w:pStyle w:val="ListParagraph"/>
        <w:ind w:left="0"/>
      </w:pPr>
      <w:r w:rsidRPr="001C7AC8">
        <w:t>NOTE</w:t>
      </w:r>
      <w:r w:rsidR="002E2279" w:rsidRPr="001C7AC8">
        <w:t xml:space="preserve">: </w:t>
      </w:r>
      <w:r w:rsidR="005D6093" w:rsidRPr="001C7AC8">
        <w:t xml:space="preserve">Up </w:t>
      </w:r>
      <w:r w:rsidR="002E2279" w:rsidRPr="001C7AC8">
        <w:t xml:space="preserve">to 2 vials of </w:t>
      </w:r>
      <w:r w:rsidR="00E64BF5" w:rsidRPr="001C7AC8">
        <w:t>HKC</w:t>
      </w:r>
      <w:r w:rsidR="00085ABF" w:rsidRPr="001C7AC8">
        <w:t>s</w:t>
      </w:r>
      <w:r w:rsidR="00550046" w:rsidRPr="001C7AC8">
        <w:t xml:space="preserve"> can be combined</w:t>
      </w:r>
      <w:r w:rsidR="00B97000" w:rsidRPr="001C7AC8">
        <w:t>.</w:t>
      </w:r>
    </w:p>
    <w:p w14:paraId="137A350B" w14:textId="77777777" w:rsidR="006C6D43" w:rsidRPr="00357CBE" w:rsidRDefault="006C6D43" w:rsidP="001C7AC8">
      <w:pPr>
        <w:pStyle w:val="ListParagraph"/>
        <w:ind w:left="0"/>
        <w:rPr>
          <w:highlight w:val="yellow"/>
        </w:rPr>
      </w:pPr>
    </w:p>
    <w:p w14:paraId="020A2215" w14:textId="1631E43B" w:rsidR="007A4A28" w:rsidRPr="00357CBE" w:rsidRDefault="002E2279" w:rsidP="001C7AC8">
      <w:pPr>
        <w:pStyle w:val="ListParagraph"/>
        <w:numPr>
          <w:ilvl w:val="1"/>
          <w:numId w:val="35"/>
        </w:numPr>
        <w:ind w:left="0" w:firstLine="0"/>
        <w:rPr>
          <w:highlight w:val="yellow"/>
        </w:rPr>
      </w:pPr>
      <w:r w:rsidRPr="54A6C1A2">
        <w:rPr>
          <w:highlight w:val="yellow"/>
        </w:rPr>
        <w:lastRenderedPageBreak/>
        <w:t>Centrifuge both cell types at room temperature</w:t>
      </w:r>
      <w:r w:rsidR="005D6093">
        <w:rPr>
          <w:highlight w:val="yellow"/>
        </w:rPr>
        <w:t xml:space="preserve"> (RT)</w:t>
      </w:r>
      <w:r w:rsidRPr="54A6C1A2">
        <w:rPr>
          <w:highlight w:val="yellow"/>
        </w:rPr>
        <w:t xml:space="preserve"> at 100 </w:t>
      </w:r>
      <w:r w:rsidR="005D6093">
        <w:rPr>
          <w:highlight w:val="yellow"/>
        </w:rPr>
        <w:t>x</w:t>
      </w:r>
      <w:r w:rsidR="005D6093" w:rsidRPr="54A6C1A2">
        <w:rPr>
          <w:highlight w:val="yellow"/>
        </w:rPr>
        <w:t xml:space="preserve"> </w:t>
      </w:r>
      <w:r w:rsidRPr="001C7AC8">
        <w:rPr>
          <w:i/>
          <w:iCs/>
          <w:highlight w:val="yellow"/>
        </w:rPr>
        <w:t>g</w:t>
      </w:r>
      <w:r w:rsidRPr="54A6C1A2">
        <w:rPr>
          <w:highlight w:val="yellow"/>
        </w:rPr>
        <w:t xml:space="preserve"> for 10 </w:t>
      </w:r>
      <w:r w:rsidR="00E6483A" w:rsidRPr="54A6C1A2">
        <w:rPr>
          <w:highlight w:val="yellow"/>
        </w:rPr>
        <w:t>min</w:t>
      </w:r>
      <w:r w:rsidRPr="54A6C1A2">
        <w:rPr>
          <w:highlight w:val="yellow"/>
        </w:rPr>
        <w:t>. Remove</w:t>
      </w:r>
      <w:r w:rsidR="005D6093">
        <w:rPr>
          <w:highlight w:val="yellow"/>
        </w:rPr>
        <w:t xml:space="preserve"> the</w:t>
      </w:r>
      <w:r w:rsidRPr="54A6C1A2">
        <w:rPr>
          <w:highlight w:val="yellow"/>
        </w:rPr>
        <w:t xml:space="preserve"> supernatant.</w:t>
      </w:r>
    </w:p>
    <w:p w14:paraId="13042402" w14:textId="77777777" w:rsidR="006C6D43" w:rsidRPr="00357CBE" w:rsidRDefault="006C6D43" w:rsidP="00B3744F">
      <w:pPr>
        <w:rPr>
          <w:highlight w:val="yellow"/>
        </w:rPr>
      </w:pPr>
    </w:p>
    <w:p w14:paraId="48B695FA" w14:textId="7A0D4642" w:rsidR="00024475" w:rsidRPr="00357CBE" w:rsidRDefault="002E2279" w:rsidP="001C7AC8">
      <w:pPr>
        <w:pStyle w:val="ListParagraph"/>
        <w:numPr>
          <w:ilvl w:val="1"/>
          <w:numId w:val="35"/>
        </w:numPr>
        <w:ind w:left="0" w:firstLine="0"/>
        <w:rPr>
          <w:highlight w:val="yellow"/>
        </w:rPr>
      </w:pPr>
      <w:r w:rsidRPr="54A6C1A2">
        <w:rPr>
          <w:highlight w:val="yellow"/>
        </w:rPr>
        <w:t xml:space="preserve">Resuspend </w:t>
      </w:r>
      <w:r w:rsidR="009B4C93" w:rsidRPr="54A6C1A2">
        <w:rPr>
          <w:highlight w:val="yellow"/>
        </w:rPr>
        <w:t>the</w:t>
      </w:r>
      <w:r w:rsidRPr="54A6C1A2">
        <w:rPr>
          <w:highlight w:val="yellow"/>
        </w:rPr>
        <w:t xml:space="preserve"> PHHs in warm </w:t>
      </w:r>
      <w:r w:rsidR="005D6093">
        <w:rPr>
          <w:highlight w:val="yellow"/>
        </w:rPr>
        <w:t>S</w:t>
      </w:r>
      <w:r w:rsidR="005D6093" w:rsidRPr="54A6C1A2">
        <w:rPr>
          <w:highlight w:val="yellow"/>
        </w:rPr>
        <w:t xml:space="preserve">eeding </w:t>
      </w:r>
      <w:r w:rsidR="00B249BB" w:rsidRPr="54A6C1A2">
        <w:rPr>
          <w:highlight w:val="yellow"/>
        </w:rPr>
        <w:t>Advanced DMEM medium</w:t>
      </w:r>
      <w:r w:rsidRPr="54A6C1A2">
        <w:rPr>
          <w:highlight w:val="yellow"/>
        </w:rPr>
        <w:t xml:space="preserve"> and </w:t>
      </w:r>
      <w:r w:rsidR="00E64BF5" w:rsidRPr="54A6C1A2">
        <w:rPr>
          <w:highlight w:val="yellow"/>
        </w:rPr>
        <w:t>HKC</w:t>
      </w:r>
      <w:r w:rsidRPr="54A6C1A2">
        <w:rPr>
          <w:highlight w:val="yellow"/>
        </w:rPr>
        <w:t xml:space="preserve">s in ice-cold </w:t>
      </w:r>
      <w:r w:rsidR="005D6093">
        <w:rPr>
          <w:highlight w:val="yellow"/>
        </w:rPr>
        <w:t>S</w:t>
      </w:r>
      <w:r w:rsidR="005D6093" w:rsidRPr="54A6C1A2">
        <w:rPr>
          <w:highlight w:val="yellow"/>
        </w:rPr>
        <w:t xml:space="preserve">eeding </w:t>
      </w:r>
      <w:r w:rsidR="00B249BB" w:rsidRPr="54A6C1A2">
        <w:rPr>
          <w:highlight w:val="yellow"/>
        </w:rPr>
        <w:t>Advanced DMEM medium</w:t>
      </w:r>
      <w:r w:rsidR="00CE4EC1" w:rsidRPr="54A6C1A2">
        <w:rPr>
          <w:highlight w:val="yellow"/>
        </w:rPr>
        <w:t xml:space="preserve"> (to help </w:t>
      </w:r>
      <w:r w:rsidR="00357987" w:rsidRPr="54A6C1A2">
        <w:rPr>
          <w:highlight w:val="yellow"/>
        </w:rPr>
        <w:t>reduce</w:t>
      </w:r>
      <w:r w:rsidR="00CE4EC1" w:rsidRPr="54A6C1A2">
        <w:rPr>
          <w:highlight w:val="yellow"/>
        </w:rPr>
        <w:t xml:space="preserve"> cell clumping)</w:t>
      </w:r>
      <w:r w:rsidRPr="54A6C1A2">
        <w:rPr>
          <w:highlight w:val="yellow"/>
        </w:rPr>
        <w:t>, using 1</w:t>
      </w:r>
      <w:r w:rsidR="009E7EF6" w:rsidRPr="54A6C1A2">
        <w:rPr>
          <w:highlight w:val="yellow"/>
        </w:rPr>
        <w:t xml:space="preserve"> </w:t>
      </w:r>
      <w:r w:rsidR="005D6093" w:rsidRPr="54A6C1A2">
        <w:rPr>
          <w:highlight w:val="yellow"/>
        </w:rPr>
        <w:t>m</w:t>
      </w:r>
      <w:r w:rsidR="005D6093">
        <w:rPr>
          <w:highlight w:val="yellow"/>
        </w:rPr>
        <w:t>L</w:t>
      </w:r>
      <w:r w:rsidR="005D6093" w:rsidRPr="54A6C1A2">
        <w:rPr>
          <w:highlight w:val="yellow"/>
        </w:rPr>
        <w:t xml:space="preserve"> </w:t>
      </w:r>
      <w:r w:rsidRPr="54A6C1A2">
        <w:rPr>
          <w:highlight w:val="yellow"/>
        </w:rPr>
        <w:t xml:space="preserve">per vial of cells added to the tube and place </w:t>
      </w:r>
      <w:r w:rsidR="005D6093">
        <w:rPr>
          <w:highlight w:val="yellow"/>
        </w:rPr>
        <w:t xml:space="preserve">the </w:t>
      </w:r>
      <w:r w:rsidRPr="54A6C1A2">
        <w:rPr>
          <w:highlight w:val="yellow"/>
        </w:rPr>
        <w:t>cells on ice.</w:t>
      </w:r>
      <w:r w:rsidR="00B97000" w:rsidRPr="54A6C1A2">
        <w:rPr>
          <w:highlight w:val="yellow"/>
        </w:rPr>
        <w:t xml:space="preserve"> </w:t>
      </w:r>
      <w:r w:rsidR="008C292B" w:rsidRPr="54A6C1A2">
        <w:rPr>
          <w:highlight w:val="yellow"/>
        </w:rPr>
        <w:t xml:space="preserve">Use a gentle rocking action to resuspend </w:t>
      </w:r>
      <w:r w:rsidR="004D16D1">
        <w:rPr>
          <w:highlight w:val="yellow"/>
        </w:rPr>
        <w:t xml:space="preserve">the </w:t>
      </w:r>
      <w:r w:rsidR="008C292B" w:rsidRPr="54A6C1A2">
        <w:rPr>
          <w:highlight w:val="yellow"/>
        </w:rPr>
        <w:t>cells.</w:t>
      </w:r>
      <w:r w:rsidR="00701F04" w:rsidRPr="54A6C1A2">
        <w:rPr>
          <w:highlight w:val="yellow"/>
        </w:rPr>
        <w:t xml:space="preserve"> </w:t>
      </w:r>
    </w:p>
    <w:p w14:paraId="1FA470B0" w14:textId="77777777" w:rsidR="00024475" w:rsidRPr="00357CBE" w:rsidRDefault="00024475" w:rsidP="001C7AC8">
      <w:pPr>
        <w:pStyle w:val="ListParagraph"/>
        <w:ind w:left="0"/>
        <w:rPr>
          <w:b/>
          <w:bCs/>
          <w:highlight w:val="yellow"/>
        </w:rPr>
      </w:pPr>
    </w:p>
    <w:p w14:paraId="11A9B470" w14:textId="171A49E8" w:rsidR="007A4A28" w:rsidRPr="001C7AC8" w:rsidRDefault="005D6093" w:rsidP="001C7AC8">
      <w:pPr>
        <w:pStyle w:val="ListParagraph"/>
        <w:ind w:left="0"/>
      </w:pPr>
      <w:r w:rsidRPr="001C7AC8">
        <w:t>CAUTION</w:t>
      </w:r>
      <w:r w:rsidR="002E2279" w:rsidRPr="001C7AC8">
        <w:t xml:space="preserve">: </w:t>
      </w:r>
      <w:r w:rsidR="00E653ED" w:rsidRPr="001C7AC8">
        <w:t xml:space="preserve">Do not resuspend </w:t>
      </w:r>
      <w:r w:rsidR="00EA2F7A" w:rsidRPr="001C7AC8">
        <w:t>PHHs</w:t>
      </w:r>
      <w:r w:rsidR="00E653ED" w:rsidRPr="001C7AC8">
        <w:t xml:space="preserve"> by pipette acti</w:t>
      </w:r>
      <w:r w:rsidR="00C961F2" w:rsidRPr="001C7AC8">
        <w:t>on</w:t>
      </w:r>
      <w:r w:rsidR="00DE3CA4" w:rsidRPr="001C7AC8">
        <w:t xml:space="preserve">, as it can lead to cell death. </w:t>
      </w:r>
    </w:p>
    <w:p w14:paraId="2CE2736B" w14:textId="77777777" w:rsidR="006C6D43" w:rsidRPr="00357CBE" w:rsidRDefault="006C6D43" w:rsidP="00B3744F">
      <w:pPr>
        <w:rPr>
          <w:highlight w:val="yellow"/>
        </w:rPr>
      </w:pPr>
    </w:p>
    <w:p w14:paraId="746CEFD0" w14:textId="28F389BD" w:rsidR="007A4A28" w:rsidRPr="00357CBE" w:rsidRDefault="002E2279" w:rsidP="001C7AC8">
      <w:pPr>
        <w:pStyle w:val="ListParagraph"/>
        <w:numPr>
          <w:ilvl w:val="1"/>
          <w:numId w:val="35"/>
        </w:numPr>
        <w:ind w:left="0" w:firstLine="0"/>
        <w:rPr>
          <w:highlight w:val="yellow"/>
        </w:rPr>
      </w:pPr>
      <w:r w:rsidRPr="54A6C1A2">
        <w:rPr>
          <w:highlight w:val="yellow"/>
        </w:rPr>
        <w:t xml:space="preserve">Combine </w:t>
      </w:r>
      <w:r w:rsidR="005D6093">
        <w:rPr>
          <w:highlight w:val="yellow"/>
        </w:rPr>
        <w:t xml:space="preserve">the </w:t>
      </w:r>
      <w:r w:rsidRPr="54A6C1A2">
        <w:rPr>
          <w:highlight w:val="yellow"/>
        </w:rPr>
        <w:t xml:space="preserve">cell suspensions from multiple tubes (if applicable – </w:t>
      </w:r>
      <w:r w:rsidR="00276865" w:rsidRPr="54A6C1A2">
        <w:rPr>
          <w:highlight w:val="yellow"/>
        </w:rPr>
        <w:t>i.e.,</w:t>
      </w:r>
      <w:r w:rsidRPr="54A6C1A2">
        <w:rPr>
          <w:highlight w:val="yellow"/>
        </w:rPr>
        <w:t xml:space="preserve"> if all </w:t>
      </w:r>
      <w:r w:rsidR="00364177" w:rsidRPr="54A6C1A2">
        <w:rPr>
          <w:highlight w:val="yellow"/>
        </w:rPr>
        <w:t>PHH</w:t>
      </w:r>
      <w:r w:rsidR="0026225B" w:rsidRPr="54A6C1A2">
        <w:rPr>
          <w:highlight w:val="yellow"/>
        </w:rPr>
        <w:t>s</w:t>
      </w:r>
      <w:r w:rsidRPr="54A6C1A2">
        <w:rPr>
          <w:highlight w:val="yellow"/>
        </w:rPr>
        <w:t xml:space="preserve"> are from the same donor)</w:t>
      </w:r>
      <w:r w:rsidR="001C55A8" w:rsidRPr="54A6C1A2">
        <w:rPr>
          <w:highlight w:val="yellow"/>
        </w:rPr>
        <w:t>, but do not mix cell types.</w:t>
      </w:r>
    </w:p>
    <w:p w14:paraId="53D013D3" w14:textId="77777777" w:rsidR="006C6D43" w:rsidRPr="00357CBE" w:rsidRDefault="006C6D43" w:rsidP="001C7AC8">
      <w:pPr>
        <w:pStyle w:val="ListParagraph"/>
        <w:ind w:left="0"/>
        <w:rPr>
          <w:highlight w:val="yellow"/>
        </w:rPr>
      </w:pPr>
    </w:p>
    <w:p w14:paraId="0EC4B5F1" w14:textId="34AB7690" w:rsidR="007A4A28" w:rsidRPr="000B4D16" w:rsidRDefault="002E2279" w:rsidP="001C7AC8">
      <w:pPr>
        <w:pStyle w:val="ListParagraph"/>
        <w:numPr>
          <w:ilvl w:val="1"/>
          <w:numId w:val="35"/>
        </w:numPr>
        <w:ind w:left="0" w:firstLine="0"/>
        <w:rPr>
          <w:highlight w:val="yellow"/>
        </w:rPr>
      </w:pPr>
      <w:r w:rsidRPr="54A6C1A2">
        <w:rPr>
          <w:highlight w:val="yellow"/>
        </w:rPr>
        <w:t>Count cells</w:t>
      </w:r>
      <w:r w:rsidR="00B676D8" w:rsidRPr="54A6C1A2">
        <w:rPr>
          <w:highlight w:val="yellow"/>
        </w:rPr>
        <w:t xml:space="preserve">. </w:t>
      </w:r>
      <w:r w:rsidRPr="54A6C1A2">
        <w:rPr>
          <w:highlight w:val="yellow"/>
        </w:rPr>
        <w:t xml:space="preserve">Record the viability </w:t>
      </w:r>
      <w:r w:rsidR="00170728" w:rsidRPr="54A6C1A2">
        <w:rPr>
          <w:highlight w:val="yellow"/>
        </w:rPr>
        <w:t>(</w:t>
      </w:r>
      <w:r w:rsidR="005D6093">
        <w:rPr>
          <w:highlight w:val="yellow"/>
        </w:rPr>
        <w:t xml:space="preserve">must </w:t>
      </w:r>
      <w:r w:rsidR="00170728" w:rsidRPr="54A6C1A2">
        <w:rPr>
          <w:highlight w:val="yellow"/>
        </w:rPr>
        <w:t>be above 85%</w:t>
      </w:r>
      <w:r w:rsidR="001C011E" w:rsidRPr="54A6C1A2">
        <w:rPr>
          <w:highlight w:val="yellow"/>
        </w:rPr>
        <w:t xml:space="preserve"> for both cell types, PHHs and HK</w:t>
      </w:r>
      <w:r w:rsidR="00FE69CF" w:rsidRPr="54A6C1A2">
        <w:rPr>
          <w:highlight w:val="yellow"/>
        </w:rPr>
        <w:t>Cs</w:t>
      </w:r>
      <w:r w:rsidR="00170728" w:rsidRPr="54A6C1A2">
        <w:rPr>
          <w:highlight w:val="yellow"/>
        </w:rPr>
        <w:t>)</w:t>
      </w:r>
      <w:r w:rsidRPr="54A6C1A2">
        <w:rPr>
          <w:highlight w:val="yellow"/>
        </w:rPr>
        <w:t xml:space="preserve"> and </w:t>
      </w:r>
      <w:r w:rsidR="00BE0B3F" w:rsidRPr="54A6C1A2">
        <w:rPr>
          <w:highlight w:val="yellow"/>
        </w:rPr>
        <w:t xml:space="preserve">the </w:t>
      </w:r>
      <w:r w:rsidR="00CE76F9" w:rsidRPr="54A6C1A2">
        <w:rPr>
          <w:highlight w:val="yellow"/>
        </w:rPr>
        <w:t>total</w:t>
      </w:r>
      <w:r w:rsidRPr="54A6C1A2">
        <w:rPr>
          <w:highlight w:val="yellow"/>
        </w:rPr>
        <w:t xml:space="preserve"> number of cells.</w:t>
      </w:r>
      <w:r w:rsidRPr="007658B6">
        <w:rPr>
          <w:highlight w:val="yellow"/>
        </w:rPr>
        <w:t xml:space="preserve"> </w:t>
      </w:r>
      <w:r w:rsidR="00E45E95" w:rsidRPr="005204C8">
        <w:rPr>
          <w:highlight w:val="yellow"/>
        </w:rPr>
        <w:t xml:space="preserve">If cell viability falls below 85%, </w:t>
      </w:r>
      <w:r w:rsidR="005D6093">
        <w:rPr>
          <w:highlight w:val="yellow"/>
        </w:rPr>
        <w:t xml:space="preserve">thaw </w:t>
      </w:r>
      <w:r w:rsidR="00E45E95" w:rsidRPr="005204C8">
        <w:rPr>
          <w:highlight w:val="yellow"/>
        </w:rPr>
        <w:t xml:space="preserve">a new vial of </w:t>
      </w:r>
      <w:r w:rsidR="000B4D16" w:rsidRPr="005204C8">
        <w:rPr>
          <w:highlight w:val="yellow"/>
        </w:rPr>
        <w:t>cells</w:t>
      </w:r>
      <w:r w:rsidR="00E31E9A" w:rsidRPr="005204C8">
        <w:rPr>
          <w:highlight w:val="yellow"/>
        </w:rPr>
        <w:t>,</w:t>
      </w:r>
      <w:r w:rsidR="00E45E95" w:rsidRPr="005204C8">
        <w:rPr>
          <w:highlight w:val="yellow"/>
        </w:rPr>
        <w:t xml:space="preserve"> and </w:t>
      </w:r>
      <w:r w:rsidR="005D6093">
        <w:rPr>
          <w:highlight w:val="yellow"/>
        </w:rPr>
        <w:t xml:space="preserve">reassess </w:t>
      </w:r>
      <w:r w:rsidR="00E45E95" w:rsidRPr="005204C8">
        <w:rPr>
          <w:highlight w:val="yellow"/>
        </w:rPr>
        <w:t xml:space="preserve">cell viability. </w:t>
      </w:r>
      <w:r w:rsidR="00B97000" w:rsidRPr="007658B6">
        <w:rPr>
          <w:highlight w:val="yellow"/>
        </w:rPr>
        <w:t xml:space="preserve"> </w:t>
      </w:r>
    </w:p>
    <w:p w14:paraId="3094126C" w14:textId="77777777" w:rsidR="006C6D43" w:rsidRPr="00357CBE" w:rsidRDefault="006C6D43" w:rsidP="00B3744F">
      <w:pPr>
        <w:rPr>
          <w:highlight w:val="yellow"/>
        </w:rPr>
      </w:pPr>
    </w:p>
    <w:p w14:paraId="06233E59" w14:textId="09AF937F" w:rsidR="003D3772" w:rsidRPr="001C7AC8" w:rsidRDefault="005D6093" w:rsidP="001C7AC8">
      <w:pPr>
        <w:pStyle w:val="ListParagraph"/>
        <w:numPr>
          <w:ilvl w:val="1"/>
          <w:numId w:val="35"/>
        </w:numPr>
        <w:ind w:left="0" w:firstLine="0"/>
      </w:pPr>
      <w:r w:rsidRPr="001C7AC8">
        <w:t>Calculate c</w:t>
      </w:r>
      <w:r w:rsidR="002E2279" w:rsidRPr="001C7AC8">
        <w:t>ell viability using the following formula:</w:t>
      </w:r>
      <w:r w:rsidR="00B97000" w:rsidRPr="001C7AC8">
        <w:t xml:space="preserve"> </w:t>
      </w:r>
    </w:p>
    <w:p w14:paraId="798A914C" w14:textId="77777777" w:rsidR="003D3772" w:rsidRPr="001C7AC8" w:rsidRDefault="003D3772" w:rsidP="001C7AC8">
      <w:pPr>
        <w:pStyle w:val="ListParagraph"/>
        <w:ind w:left="0"/>
      </w:pPr>
    </w:p>
    <w:p w14:paraId="559AD281" w14:textId="77777777" w:rsidR="007A4A28" w:rsidRPr="001C7AC8" w:rsidRDefault="001E3D5A" w:rsidP="001C7AC8">
      <w:pPr>
        <w:pStyle w:val="ListParagraph"/>
        <w:ind w:left="0"/>
      </w:pPr>
      <m:oMathPara>
        <m:oMath>
          <m:f>
            <m:fPr>
              <m:ctrlPr>
                <w:rPr>
                  <w:rFonts w:ascii="Cambria Math" w:hAnsi="Cambria Math"/>
                  <w:i/>
                </w:rPr>
              </m:ctrlPr>
            </m:fPr>
            <m:num>
              <m:r>
                <w:rPr>
                  <w:rFonts w:ascii="Cambria Math" w:hAnsi="Cambria Math"/>
                </w:rPr>
                <m:t>Number of viable cells counted</m:t>
              </m:r>
            </m:num>
            <m:den>
              <m:r>
                <w:rPr>
                  <w:rFonts w:ascii="Cambria Math" w:hAnsi="Cambria Math"/>
                </w:rPr>
                <m:t>Total number of cells counted</m:t>
              </m:r>
            </m:den>
          </m:f>
          <m:r>
            <w:rPr>
              <w:rFonts w:ascii="Cambria Math" w:hAnsi="Cambria Math"/>
            </w:rPr>
            <m:t xml:space="preserve">×100=Percentage of viable cells </m:t>
          </m:r>
          <m:d>
            <m:dPr>
              <m:ctrlPr>
                <w:rPr>
                  <w:rFonts w:ascii="Cambria Math" w:hAnsi="Cambria Math"/>
                  <w:i/>
                </w:rPr>
              </m:ctrlPr>
            </m:dPr>
            <m:e>
              <m:r>
                <w:rPr>
                  <w:rFonts w:ascii="Cambria Math" w:hAnsi="Cambria Math"/>
                </w:rPr>
                <m:t>%</m:t>
              </m:r>
            </m:e>
          </m:d>
        </m:oMath>
      </m:oMathPara>
    </w:p>
    <w:p w14:paraId="56AAF102" w14:textId="77777777" w:rsidR="00024475" w:rsidRPr="00357CBE" w:rsidRDefault="00024475" w:rsidP="00B3744F">
      <w:pPr>
        <w:tabs>
          <w:tab w:val="left" w:pos="0"/>
        </w:tabs>
        <w:rPr>
          <w:highlight w:val="yellow"/>
        </w:rPr>
      </w:pPr>
    </w:p>
    <w:p w14:paraId="3CE01392" w14:textId="1DD03189" w:rsidR="002B120B" w:rsidRPr="00357CBE" w:rsidRDefault="002E2279" w:rsidP="001C7AC8">
      <w:pPr>
        <w:pStyle w:val="ListParagraph"/>
        <w:numPr>
          <w:ilvl w:val="1"/>
          <w:numId w:val="35"/>
        </w:numPr>
        <w:ind w:left="0" w:firstLine="0"/>
        <w:rPr>
          <w:highlight w:val="yellow"/>
        </w:rPr>
      </w:pPr>
      <w:r w:rsidRPr="54A6C1A2">
        <w:rPr>
          <w:highlight w:val="yellow"/>
        </w:rPr>
        <w:t xml:space="preserve">Calculate the desired volume of </w:t>
      </w:r>
      <w:r w:rsidR="005D6093">
        <w:rPr>
          <w:highlight w:val="yellow"/>
        </w:rPr>
        <w:t xml:space="preserve">the </w:t>
      </w:r>
      <w:r w:rsidRPr="54A6C1A2">
        <w:rPr>
          <w:highlight w:val="yellow"/>
        </w:rPr>
        <w:t>cell</w:t>
      </w:r>
      <w:r w:rsidR="00257F74" w:rsidRPr="54A6C1A2">
        <w:rPr>
          <w:highlight w:val="yellow"/>
        </w:rPr>
        <w:t xml:space="preserve"> </w:t>
      </w:r>
      <w:r w:rsidRPr="54A6C1A2">
        <w:rPr>
          <w:highlight w:val="yellow"/>
        </w:rPr>
        <w:t>s</w:t>
      </w:r>
      <w:r w:rsidR="00257F74" w:rsidRPr="54A6C1A2">
        <w:rPr>
          <w:highlight w:val="yellow"/>
        </w:rPr>
        <w:t>uspension to seed into each well</w:t>
      </w:r>
      <w:r w:rsidRPr="54A6C1A2">
        <w:rPr>
          <w:highlight w:val="yellow"/>
        </w:rPr>
        <w:t xml:space="preserve"> and </w:t>
      </w:r>
      <w:r w:rsidR="00257F74" w:rsidRPr="54A6C1A2">
        <w:rPr>
          <w:highlight w:val="yellow"/>
        </w:rPr>
        <w:t xml:space="preserve">additional volume of </w:t>
      </w:r>
      <w:r w:rsidR="005D6093">
        <w:rPr>
          <w:highlight w:val="yellow"/>
        </w:rPr>
        <w:t>S</w:t>
      </w:r>
      <w:r w:rsidR="005D6093" w:rsidRPr="54A6C1A2">
        <w:rPr>
          <w:highlight w:val="yellow"/>
        </w:rPr>
        <w:t xml:space="preserve">eeding </w:t>
      </w:r>
      <w:r w:rsidR="00F84862" w:rsidRPr="54A6C1A2">
        <w:rPr>
          <w:highlight w:val="yellow"/>
        </w:rPr>
        <w:t>Advanced DMEM medium</w:t>
      </w:r>
      <w:r w:rsidRPr="54A6C1A2">
        <w:rPr>
          <w:highlight w:val="yellow"/>
        </w:rPr>
        <w:t xml:space="preserve"> </w:t>
      </w:r>
      <w:r w:rsidR="00257F74" w:rsidRPr="54A6C1A2">
        <w:rPr>
          <w:highlight w:val="yellow"/>
        </w:rPr>
        <w:t xml:space="preserve">needed </w:t>
      </w:r>
      <w:r w:rsidR="005737E4" w:rsidRPr="54A6C1A2">
        <w:rPr>
          <w:highlight w:val="yellow"/>
        </w:rPr>
        <w:t>to take total seeding volume to 400 μL. Ce</w:t>
      </w:r>
      <w:r w:rsidR="00C07A92" w:rsidRPr="54A6C1A2">
        <w:rPr>
          <w:highlight w:val="yellow"/>
        </w:rPr>
        <w:t>ll numbers</w:t>
      </w:r>
      <w:r w:rsidRPr="54A6C1A2">
        <w:rPr>
          <w:highlight w:val="yellow"/>
        </w:rPr>
        <w:t xml:space="preserve"> per well</w:t>
      </w:r>
      <w:r w:rsidR="005737E4" w:rsidRPr="54A6C1A2">
        <w:rPr>
          <w:highlight w:val="yellow"/>
        </w:rPr>
        <w:t xml:space="preserve">: </w:t>
      </w:r>
      <w:r w:rsidR="00023953" w:rsidRPr="54A6C1A2">
        <w:rPr>
          <w:highlight w:val="yellow"/>
        </w:rPr>
        <w:t>0.</w:t>
      </w:r>
      <w:r w:rsidRPr="54A6C1A2">
        <w:rPr>
          <w:highlight w:val="yellow"/>
        </w:rPr>
        <w:t>4</w:t>
      </w:r>
      <w:r w:rsidR="00F44E9A" w:rsidRPr="54A6C1A2">
        <w:rPr>
          <w:highlight w:val="yellow"/>
        </w:rPr>
        <w:t xml:space="preserve"> </w:t>
      </w:r>
      <w:r w:rsidR="005D6093">
        <w:rPr>
          <w:highlight w:val="yellow"/>
        </w:rPr>
        <w:t>x</w:t>
      </w:r>
      <w:r w:rsidR="005D6093" w:rsidRPr="54A6C1A2">
        <w:rPr>
          <w:highlight w:val="yellow"/>
        </w:rPr>
        <w:t xml:space="preserve"> </w:t>
      </w:r>
      <w:r w:rsidRPr="54A6C1A2">
        <w:rPr>
          <w:highlight w:val="yellow"/>
        </w:rPr>
        <w:t>10</w:t>
      </w:r>
      <w:r w:rsidR="00023953" w:rsidRPr="54A6C1A2">
        <w:rPr>
          <w:highlight w:val="yellow"/>
          <w:vertAlign w:val="superscript"/>
        </w:rPr>
        <w:t>6</w:t>
      </w:r>
      <w:r w:rsidRPr="54A6C1A2">
        <w:rPr>
          <w:highlight w:val="yellow"/>
        </w:rPr>
        <w:t xml:space="preserve"> PHHs and </w:t>
      </w:r>
      <w:r w:rsidR="00023953" w:rsidRPr="54A6C1A2">
        <w:rPr>
          <w:highlight w:val="yellow"/>
        </w:rPr>
        <w:t>0.0</w:t>
      </w:r>
      <w:r w:rsidRPr="54A6C1A2">
        <w:rPr>
          <w:highlight w:val="yellow"/>
        </w:rPr>
        <w:t>4</w:t>
      </w:r>
      <w:r w:rsidR="00F44E9A" w:rsidRPr="54A6C1A2">
        <w:rPr>
          <w:highlight w:val="yellow"/>
        </w:rPr>
        <w:t xml:space="preserve"> </w:t>
      </w:r>
      <w:r w:rsidR="005D6093">
        <w:rPr>
          <w:highlight w:val="yellow"/>
        </w:rPr>
        <w:t>x</w:t>
      </w:r>
      <w:r w:rsidR="005D6093" w:rsidRPr="54A6C1A2">
        <w:rPr>
          <w:highlight w:val="yellow"/>
        </w:rPr>
        <w:t xml:space="preserve"> </w:t>
      </w:r>
      <w:r w:rsidRPr="54A6C1A2">
        <w:rPr>
          <w:highlight w:val="yellow"/>
        </w:rPr>
        <w:t>10</w:t>
      </w:r>
      <w:r w:rsidR="00023953" w:rsidRPr="54A6C1A2">
        <w:rPr>
          <w:highlight w:val="yellow"/>
          <w:vertAlign w:val="superscript"/>
        </w:rPr>
        <w:t>6</w:t>
      </w:r>
      <w:r w:rsidRPr="54A6C1A2">
        <w:rPr>
          <w:highlight w:val="yellow"/>
        </w:rPr>
        <w:t xml:space="preserve"> </w:t>
      </w:r>
      <w:r w:rsidR="00E64BF5" w:rsidRPr="54A6C1A2">
        <w:rPr>
          <w:highlight w:val="yellow"/>
        </w:rPr>
        <w:t>HKC</w:t>
      </w:r>
      <w:r w:rsidRPr="54A6C1A2">
        <w:rPr>
          <w:highlight w:val="yellow"/>
        </w:rPr>
        <w:t>s per well</w:t>
      </w:r>
      <w:r w:rsidR="00C07A92" w:rsidRPr="54A6C1A2">
        <w:rPr>
          <w:highlight w:val="yellow"/>
        </w:rPr>
        <w:t xml:space="preserve">, and cell density of </w:t>
      </w:r>
      <w:r w:rsidR="004B1923" w:rsidRPr="54A6C1A2">
        <w:rPr>
          <w:highlight w:val="yellow"/>
        </w:rPr>
        <w:t xml:space="preserve">0.25 </w:t>
      </w:r>
      <w:r w:rsidR="005D6093">
        <w:rPr>
          <w:highlight w:val="yellow"/>
        </w:rPr>
        <w:t>x</w:t>
      </w:r>
      <w:r w:rsidR="005D6093" w:rsidRPr="005204C8">
        <w:rPr>
          <w:highlight w:val="yellow"/>
        </w:rPr>
        <w:t xml:space="preserve"> </w:t>
      </w:r>
      <w:r w:rsidR="004B1923" w:rsidRPr="005204C8">
        <w:rPr>
          <w:highlight w:val="yellow"/>
        </w:rPr>
        <w:t>10</w:t>
      </w:r>
      <w:r w:rsidR="004B1923" w:rsidRPr="005204C8">
        <w:rPr>
          <w:highlight w:val="yellow"/>
          <w:vertAlign w:val="superscript"/>
        </w:rPr>
        <w:t xml:space="preserve">6 </w:t>
      </w:r>
      <w:r w:rsidR="004B1923" w:rsidRPr="005204C8">
        <w:rPr>
          <w:highlight w:val="yellow"/>
        </w:rPr>
        <w:t xml:space="preserve">PHHs/mL, respectively </w:t>
      </w:r>
      <w:r w:rsidR="00BC1EFF" w:rsidRPr="005204C8">
        <w:rPr>
          <w:highlight w:val="yellow"/>
        </w:rPr>
        <w:t xml:space="preserve">0.025 </w:t>
      </w:r>
      <w:r w:rsidR="005D6093">
        <w:rPr>
          <w:highlight w:val="yellow"/>
        </w:rPr>
        <w:t>x</w:t>
      </w:r>
      <w:r w:rsidR="005D6093" w:rsidRPr="005204C8">
        <w:rPr>
          <w:highlight w:val="yellow"/>
        </w:rPr>
        <w:t xml:space="preserve"> </w:t>
      </w:r>
      <w:r w:rsidR="00BC1EFF" w:rsidRPr="005204C8">
        <w:rPr>
          <w:highlight w:val="yellow"/>
        </w:rPr>
        <w:t>10</w:t>
      </w:r>
      <w:r w:rsidR="00BC1EFF" w:rsidRPr="005204C8">
        <w:rPr>
          <w:highlight w:val="yellow"/>
          <w:vertAlign w:val="superscript"/>
        </w:rPr>
        <w:t>6</w:t>
      </w:r>
      <w:r w:rsidR="00BC1EFF" w:rsidRPr="005204C8">
        <w:rPr>
          <w:highlight w:val="yellow"/>
        </w:rPr>
        <w:t xml:space="preserve"> HKCs/mL.</w:t>
      </w:r>
      <w:r w:rsidR="00BC1EFF">
        <w:t xml:space="preserve"> </w:t>
      </w:r>
    </w:p>
    <w:p w14:paraId="0241B8DC" w14:textId="77777777" w:rsidR="006C6D43" w:rsidRPr="00357CBE" w:rsidRDefault="006C6D43" w:rsidP="001C7AC8">
      <w:pPr>
        <w:pStyle w:val="ListParagraph"/>
        <w:tabs>
          <w:tab w:val="left" w:pos="0"/>
        </w:tabs>
        <w:ind w:left="0"/>
        <w:rPr>
          <w:highlight w:val="yellow"/>
        </w:rPr>
      </w:pPr>
    </w:p>
    <w:p w14:paraId="12ACD2D7" w14:textId="0FE1B252" w:rsidR="002B120B" w:rsidRPr="005D6093" w:rsidRDefault="002B120B" w:rsidP="001C7AC8">
      <w:pPr>
        <w:pStyle w:val="ListParagraph"/>
        <w:numPr>
          <w:ilvl w:val="1"/>
          <w:numId w:val="35"/>
        </w:numPr>
        <w:ind w:left="0" w:firstLine="0"/>
        <w:rPr>
          <w:highlight w:val="yellow"/>
        </w:rPr>
      </w:pPr>
      <w:r w:rsidRPr="54A6C1A2">
        <w:rPr>
          <w:highlight w:val="yellow"/>
        </w:rPr>
        <w:t xml:space="preserve">Disconnect the driver from the </w:t>
      </w:r>
      <w:r w:rsidR="002109F6" w:rsidRPr="54A6C1A2">
        <w:rPr>
          <w:highlight w:val="yellow"/>
        </w:rPr>
        <w:t>d</w:t>
      </w:r>
      <w:r w:rsidRPr="54A6C1A2">
        <w:rPr>
          <w:highlight w:val="yellow"/>
        </w:rPr>
        <w:t xml:space="preserve">ocking </w:t>
      </w:r>
      <w:r w:rsidR="002109F6" w:rsidRPr="54A6C1A2">
        <w:rPr>
          <w:highlight w:val="yellow"/>
        </w:rPr>
        <w:t>s</w:t>
      </w:r>
      <w:r w:rsidRPr="54A6C1A2">
        <w:rPr>
          <w:highlight w:val="yellow"/>
        </w:rPr>
        <w:t>tation and</w:t>
      </w:r>
      <w:r w:rsidR="006E7F0F" w:rsidRPr="54A6C1A2">
        <w:rPr>
          <w:highlight w:val="yellow"/>
        </w:rPr>
        <w:t xml:space="preserve"> place</w:t>
      </w:r>
      <w:r w:rsidRPr="54A6C1A2">
        <w:rPr>
          <w:highlight w:val="yellow"/>
        </w:rPr>
        <w:t xml:space="preserve"> </w:t>
      </w:r>
      <w:r w:rsidR="005D6093">
        <w:rPr>
          <w:highlight w:val="yellow"/>
        </w:rPr>
        <w:t xml:space="preserve">it </w:t>
      </w:r>
      <w:r w:rsidRPr="54A6C1A2">
        <w:rPr>
          <w:highlight w:val="yellow"/>
        </w:rPr>
        <w:t>in the</w:t>
      </w:r>
      <w:r w:rsidR="005D6093">
        <w:rPr>
          <w:highlight w:val="yellow"/>
        </w:rPr>
        <w:t xml:space="preserve"> </w:t>
      </w:r>
      <w:r w:rsidR="43D1C229" w:rsidRPr="005D6093">
        <w:rPr>
          <w:highlight w:val="yellow"/>
        </w:rPr>
        <w:t>MBSC</w:t>
      </w:r>
      <w:r w:rsidR="006E7F0F" w:rsidRPr="005D6093">
        <w:rPr>
          <w:highlight w:val="yellow"/>
        </w:rPr>
        <w:t>.</w:t>
      </w:r>
    </w:p>
    <w:p w14:paraId="716FCE81" w14:textId="77777777" w:rsidR="006C6D43" w:rsidRPr="00357CBE" w:rsidRDefault="006C6D43" w:rsidP="00B3744F">
      <w:pPr>
        <w:tabs>
          <w:tab w:val="left" w:pos="0"/>
        </w:tabs>
        <w:rPr>
          <w:highlight w:val="yellow"/>
        </w:rPr>
      </w:pPr>
    </w:p>
    <w:p w14:paraId="2CB82BAF" w14:textId="11D5D0AB" w:rsidR="006E7F0F" w:rsidRPr="00357CBE" w:rsidRDefault="006E7F0F" w:rsidP="001C7AC8">
      <w:pPr>
        <w:pStyle w:val="ListParagraph"/>
        <w:numPr>
          <w:ilvl w:val="1"/>
          <w:numId w:val="35"/>
        </w:numPr>
        <w:ind w:left="0" w:firstLine="0"/>
        <w:rPr>
          <w:highlight w:val="yellow"/>
        </w:rPr>
      </w:pPr>
      <w:r w:rsidRPr="54A6C1A2">
        <w:rPr>
          <w:highlight w:val="yellow"/>
        </w:rPr>
        <w:t xml:space="preserve">Aspirate </w:t>
      </w:r>
      <w:r w:rsidR="009A7D2A" w:rsidRPr="54A6C1A2">
        <w:rPr>
          <w:highlight w:val="yellow"/>
        </w:rPr>
        <w:t xml:space="preserve">the </w:t>
      </w:r>
      <w:r w:rsidRPr="54A6C1A2">
        <w:rPr>
          <w:highlight w:val="yellow"/>
        </w:rPr>
        <w:t>medi</w:t>
      </w:r>
      <w:r w:rsidR="009A7D2A" w:rsidRPr="54A6C1A2">
        <w:rPr>
          <w:highlight w:val="yellow"/>
        </w:rPr>
        <w:t>a</w:t>
      </w:r>
      <w:r w:rsidRPr="54A6C1A2">
        <w:rPr>
          <w:highlight w:val="yellow"/>
        </w:rPr>
        <w:t xml:space="preserve"> from </w:t>
      </w:r>
      <w:r w:rsidR="005D6093">
        <w:rPr>
          <w:highlight w:val="yellow"/>
        </w:rPr>
        <w:t xml:space="preserve">the </w:t>
      </w:r>
      <w:r w:rsidRPr="54A6C1A2">
        <w:rPr>
          <w:highlight w:val="yellow"/>
        </w:rPr>
        <w:t xml:space="preserve">above scaffold </w:t>
      </w:r>
      <w:r w:rsidR="008B41BE" w:rsidRPr="54A6C1A2">
        <w:rPr>
          <w:highlight w:val="yellow"/>
        </w:rPr>
        <w:t>to the stopping point</w:t>
      </w:r>
      <w:r w:rsidRPr="54A6C1A2">
        <w:rPr>
          <w:highlight w:val="yellow"/>
        </w:rPr>
        <w:t xml:space="preserve"> (going down the deep notch on the retaining ring), channel and reservoir. </w:t>
      </w:r>
      <w:r w:rsidR="005D6093">
        <w:rPr>
          <w:highlight w:val="yellow"/>
        </w:rPr>
        <w:t>Leave a</w:t>
      </w:r>
      <w:r w:rsidRPr="54A6C1A2">
        <w:rPr>
          <w:highlight w:val="yellow"/>
        </w:rPr>
        <w:t xml:space="preserve"> “dead volume” of 0.2 mL in the culture well, reaching just above the scaffold. Care must be taken not to remove </w:t>
      </w:r>
      <w:r w:rsidR="005D6093">
        <w:rPr>
          <w:highlight w:val="yellow"/>
        </w:rPr>
        <w:t xml:space="preserve">the </w:t>
      </w:r>
      <w:r w:rsidRPr="54A6C1A2">
        <w:rPr>
          <w:highlight w:val="yellow"/>
        </w:rPr>
        <w:t xml:space="preserve">total medium from above the scaffold to avoid air bubbles forming. </w:t>
      </w:r>
    </w:p>
    <w:p w14:paraId="0DC9F88B" w14:textId="77777777" w:rsidR="006C6D43" w:rsidRPr="00357CBE" w:rsidRDefault="006C6D43" w:rsidP="00B3744F">
      <w:pPr>
        <w:tabs>
          <w:tab w:val="left" w:pos="0"/>
        </w:tabs>
        <w:rPr>
          <w:highlight w:val="yellow"/>
        </w:rPr>
      </w:pPr>
    </w:p>
    <w:p w14:paraId="7DE1F7D2" w14:textId="2C159067" w:rsidR="006E7F0F" w:rsidRPr="00357CBE" w:rsidRDefault="006E7F0F" w:rsidP="001C7AC8">
      <w:pPr>
        <w:pStyle w:val="ListParagraph"/>
        <w:numPr>
          <w:ilvl w:val="1"/>
          <w:numId w:val="35"/>
        </w:numPr>
        <w:ind w:left="0" w:firstLine="0"/>
        <w:rPr>
          <w:highlight w:val="yellow"/>
        </w:rPr>
      </w:pPr>
      <w:r w:rsidRPr="54A6C1A2">
        <w:rPr>
          <w:highlight w:val="yellow"/>
        </w:rPr>
        <w:t>Add 400 µ</w:t>
      </w:r>
      <w:r w:rsidR="00B96978" w:rsidRPr="54A6C1A2">
        <w:rPr>
          <w:highlight w:val="yellow"/>
        </w:rPr>
        <w:t>L</w:t>
      </w:r>
      <w:r w:rsidRPr="54A6C1A2">
        <w:rPr>
          <w:highlight w:val="yellow"/>
        </w:rPr>
        <w:t xml:space="preserve"> of </w:t>
      </w:r>
      <w:r w:rsidR="005D6093">
        <w:rPr>
          <w:highlight w:val="yellow"/>
        </w:rPr>
        <w:t>S</w:t>
      </w:r>
      <w:r w:rsidR="005D6093" w:rsidRPr="54A6C1A2">
        <w:rPr>
          <w:highlight w:val="yellow"/>
        </w:rPr>
        <w:t xml:space="preserve">eeding </w:t>
      </w:r>
      <w:r w:rsidR="00F84862" w:rsidRPr="54A6C1A2">
        <w:rPr>
          <w:highlight w:val="yellow"/>
        </w:rPr>
        <w:t>Advanced DMEM medium</w:t>
      </w:r>
      <w:r w:rsidRPr="54A6C1A2">
        <w:rPr>
          <w:highlight w:val="yellow"/>
        </w:rPr>
        <w:t xml:space="preserve"> into the well chamber, return the driver onto the docking station in the incubator and run the </w:t>
      </w:r>
      <w:r w:rsidRPr="001C7AC8">
        <w:rPr>
          <w:b/>
          <w:bCs/>
          <w:highlight w:val="yellow"/>
        </w:rPr>
        <w:t xml:space="preserve">Media </w:t>
      </w:r>
      <w:r w:rsidR="004D16D1">
        <w:rPr>
          <w:b/>
          <w:bCs/>
          <w:highlight w:val="yellow"/>
        </w:rPr>
        <w:t>C</w:t>
      </w:r>
      <w:r w:rsidR="002968EA">
        <w:rPr>
          <w:b/>
          <w:bCs/>
          <w:highlight w:val="yellow"/>
        </w:rPr>
        <w:t>hange</w:t>
      </w:r>
      <w:r w:rsidRPr="54A6C1A2">
        <w:rPr>
          <w:highlight w:val="yellow"/>
        </w:rPr>
        <w:t xml:space="preserve"> program for 3 min. </w:t>
      </w:r>
      <w:r w:rsidRPr="001C7AC8">
        <w:t xml:space="preserve">The program will automatically pause after 3 min. </w:t>
      </w:r>
    </w:p>
    <w:p w14:paraId="49D27ACD" w14:textId="77777777" w:rsidR="006C6D43" w:rsidRPr="00357CBE" w:rsidRDefault="006C6D43" w:rsidP="00B3744F">
      <w:pPr>
        <w:tabs>
          <w:tab w:val="left" w:pos="0"/>
        </w:tabs>
        <w:rPr>
          <w:highlight w:val="yellow"/>
        </w:rPr>
      </w:pPr>
    </w:p>
    <w:p w14:paraId="57B743FD" w14:textId="176F6D90" w:rsidR="006E7F0F" w:rsidRPr="00357CBE" w:rsidRDefault="00E517D9" w:rsidP="001C7AC8">
      <w:pPr>
        <w:pStyle w:val="ListParagraph"/>
        <w:numPr>
          <w:ilvl w:val="1"/>
          <w:numId w:val="35"/>
        </w:numPr>
        <w:ind w:left="0" w:firstLine="0"/>
        <w:rPr>
          <w:highlight w:val="yellow"/>
        </w:rPr>
      </w:pPr>
      <w:r w:rsidRPr="54A6C1A2">
        <w:rPr>
          <w:highlight w:val="yellow"/>
        </w:rPr>
        <w:t xml:space="preserve">Once </w:t>
      </w:r>
      <w:r w:rsidR="009C0C64" w:rsidRPr="54A6C1A2">
        <w:rPr>
          <w:highlight w:val="yellow"/>
        </w:rPr>
        <w:t xml:space="preserve">complete, disconnect the driver from the </w:t>
      </w:r>
      <w:r w:rsidR="000E6297" w:rsidRPr="54A6C1A2">
        <w:rPr>
          <w:highlight w:val="yellow"/>
        </w:rPr>
        <w:t>d</w:t>
      </w:r>
      <w:r w:rsidR="009C0C64" w:rsidRPr="54A6C1A2">
        <w:rPr>
          <w:highlight w:val="yellow"/>
        </w:rPr>
        <w:t xml:space="preserve">ocking </w:t>
      </w:r>
      <w:r w:rsidR="000E6297" w:rsidRPr="54A6C1A2">
        <w:rPr>
          <w:highlight w:val="yellow"/>
        </w:rPr>
        <w:t>s</w:t>
      </w:r>
      <w:r w:rsidR="009C0C64" w:rsidRPr="54A6C1A2">
        <w:rPr>
          <w:highlight w:val="yellow"/>
        </w:rPr>
        <w:t xml:space="preserve">tation and place </w:t>
      </w:r>
      <w:r w:rsidR="005D6093">
        <w:rPr>
          <w:highlight w:val="yellow"/>
        </w:rPr>
        <w:t xml:space="preserve">it </w:t>
      </w:r>
      <w:r w:rsidR="009C0C64" w:rsidRPr="54A6C1A2">
        <w:rPr>
          <w:highlight w:val="yellow"/>
        </w:rPr>
        <w:t xml:space="preserve">back in the </w:t>
      </w:r>
      <w:r w:rsidR="19F3E939" w:rsidRPr="54A6C1A2">
        <w:rPr>
          <w:highlight w:val="yellow"/>
        </w:rPr>
        <w:t xml:space="preserve"> MBSC</w:t>
      </w:r>
      <w:r w:rsidR="009C0C64" w:rsidRPr="54A6C1A2">
        <w:rPr>
          <w:highlight w:val="yellow"/>
        </w:rPr>
        <w:t>.</w:t>
      </w:r>
    </w:p>
    <w:p w14:paraId="6987D835" w14:textId="77777777" w:rsidR="006C6D43" w:rsidRPr="00357CBE" w:rsidRDefault="006C6D43" w:rsidP="00B3744F">
      <w:pPr>
        <w:rPr>
          <w:highlight w:val="yellow"/>
        </w:rPr>
      </w:pPr>
    </w:p>
    <w:p w14:paraId="05B6C5AC" w14:textId="2D103D56" w:rsidR="00024475" w:rsidRPr="00357CBE" w:rsidRDefault="0008366F" w:rsidP="001C7AC8">
      <w:pPr>
        <w:pStyle w:val="ListParagraph"/>
        <w:numPr>
          <w:ilvl w:val="1"/>
          <w:numId w:val="35"/>
        </w:numPr>
        <w:ind w:left="0" w:firstLine="0"/>
        <w:rPr>
          <w:highlight w:val="yellow"/>
        </w:rPr>
      </w:pPr>
      <w:r w:rsidRPr="54A6C1A2">
        <w:rPr>
          <w:highlight w:val="yellow"/>
        </w:rPr>
        <w:t>Aspirate the</w:t>
      </w:r>
      <w:r w:rsidR="002E2279" w:rsidRPr="54A6C1A2">
        <w:rPr>
          <w:highlight w:val="yellow"/>
        </w:rPr>
        <w:t xml:space="preserve"> medi</w:t>
      </w:r>
      <w:r w:rsidRPr="54A6C1A2">
        <w:rPr>
          <w:highlight w:val="yellow"/>
        </w:rPr>
        <w:t xml:space="preserve">a </w:t>
      </w:r>
      <w:r w:rsidR="009A7D2A" w:rsidRPr="54A6C1A2">
        <w:rPr>
          <w:highlight w:val="yellow"/>
        </w:rPr>
        <w:t xml:space="preserve">from </w:t>
      </w:r>
      <w:r w:rsidR="005D6093">
        <w:rPr>
          <w:highlight w:val="yellow"/>
        </w:rPr>
        <w:t xml:space="preserve">the </w:t>
      </w:r>
      <w:r w:rsidR="009A7D2A" w:rsidRPr="54A6C1A2">
        <w:rPr>
          <w:highlight w:val="yellow"/>
        </w:rPr>
        <w:t xml:space="preserve">above scaffold </w:t>
      </w:r>
      <w:r w:rsidR="00D0596A" w:rsidRPr="54A6C1A2">
        <w:rPr>
          <w:highlight w:val="yellow"/>
        </w:rPr>
        <w:t>down to the stopping point</w:t>
      </w:r>
      <w:r w:rsidR="009A7D2A" w:rsidRPr="54A6C1A2">
        <w:rPr>
          <w:highlight w:val="yellow"/>
        </w:rPr>
        <w:t xml:space="preserve"> </w:t>
      </w:r>
      <w:r w:rsidR="00BC4F46" w:rsidRPr="54A6C1A2">
        <w:rPr>
          <w:highlight w:val="yellow"/>
        </w:rPr>
        <w:t>and at the reservoir end of each well</w:t>
      </w:r>
      <w:r w:rsidR="002E2279" w:rsidRPr="54A6C1A2">
        <w:rPr>
          <w:highlight w:val="yellow"/>
        </w:rPr>
        <w:t xml:space="preserve">. </w:t>
      </w:r>
    </w:p>
    <w:p w14:paraId="0C339A4B" w14:textId="77777777" w:rsidR="00045000" w:rsidRPr="0076196A" w:rsidRDefault="00045000" w:rsidP="00B3744F">
      <w:pPr>
        <w:rPr>
          <w:highlight w:val="yellow"/>
        </w:rPr>
      </w:pPr>
    </w:p>
    <w:p w14:paraId="6F80C295" w14:textId="12CF402E" w:rsidR="005D6093" w:rsidRDefault="002E2279">
      <w:pPr>
        <w:pStyle w:val="ListParagraph"/>
        <w:numPr>
          <w:ilvl w:val="1"/>
          <w:numId w:val="35"/>
        </w:numPr>
        <w:ind w:left="0" w:firstLine="0"/>
        <w:rPr>
          <w:highlight w:val="yellow"/>
        </w:rPr>
      </w:pPr>
      <w:r w:rsidRPr="54A6C1A2">
        <w:rPr>
          <w:highlight w:val="yellow"/>
        </w:rPr>
        <w:t xml:space="preserve">Carefully resuspend </w:t>
      </w:r>
      <w:r w:rsidR="005D6093">
        <w:rPr>
          <w:highlight w:val="yellow"/>
        </w:rPr>
        <w:t xml:space="preserve">the </w:t>
      </w:r>
      <w:r w:rsidRPr="54A6C1A2">
        <w:rPr>
          <w:highlight w:val="yellow"/>
        </w:rPr>
        <w:t>PHH</w:t>
      </w:r>
      <w:r w:rsidR="007508CF" w:rsidRPr="54A6C1A2">
        <w:rPr>
          <w:highlight w:val="yellow"/>
        </w:rPr>
        <w:t>s</w:t>
      </w:r>
      <w:r w:rsidRPr="54A6C1A2">
        <w:rPr>
          <w:highlight w:val="yellow"/>
        </w:rPr>
        <w:t xml:space="preserve"> by gently rocking the tube</w:t>
      </w:r>
      <w:r w:rsidR="005D6093">
        <w:rPr>
          <w:highlight w:val="yellow"/>
        </w:rPr>
        <w:t>,</w:t>
      </w:r>
      <w:r w:rsidRPr="54A6C1A2">
        <w:rPr>
          <w:highlight w:val="yellow"/>
        </w:rPr>
        <w:t xml:space="preserve"> then add </w:t>
      </w:r>
      <w:r w:rsidR="005D6093">
        <w:rPr>
          <w:highlight w:val="yellow"/>
        </w:rPr>
        <w:t xml:space="preserve">the </w:t>
      </w:r>
      <w:r w:rsidR="00E65D57" w:rsidRPr="54A6C1A2">
        <w:rPr>
          <w:highlight w:val="yellow"/>
        </w:rPr>
        <w:t xml:space="preserve">required volume </w:t>
      </w:r>
      <w:r w:rsidR="00E65D57" w:rsidRPr="54A6C1A2">
        <w:rPr>
          <w:highlight w:val="yellow"/>
        </w:rPr>
        <w:lastRenderedPageBreak/>
        <w:t>of</w:t>
      </w:r>
      <w:r w:rsidR="00024475" w:rsidRPr="54A6C1A2">
        <w:rPr>
          <w:highlight w:val="yellow"/>
        </w:rPr>
        <w:t xml:space="preserve"> </w:t>
      </w:r>
      <w:r w:rsidR="005D6093">
        <w:rPr>
          <w:highlight w:val="yellow"/>
        </w:rPr>
        <w:t xml:space="preserve">the </w:t>
      </w:r>
      <w:r w:rsidRPr="54A6C1A2">
        <w:rPr>
          <w:highlight w:val="yellow"/>
        </w:rPr>
        <w:t>cel</w:t>
      </w:r>
      <w:r w:rsidR="00E65D57" w:rsidRPr="54A6C1A2">
        <w:rPr>
          <w:highlight w:val="yellow"/>
        </w:rPr>
        <w:t>l</w:t>
      </w:r>
      <w:r w:rsidRPr="54A6C1A2">
        <w:rPr>
          <w:highlight w:val="yellow"/>
        </w:rPr>
        <w:t xml:space="preserve"> suspension to each culture well. Carefully pipette </w:t>
      </w:r>
      <w:r w:rsidR="005D6093">
        <w:rPr>
          <w:highlight w:val="yellow"/>
        </w:rPr>
        <w:t xml:space="preserve">the </w:t>
      </w:r>
      <w:r w:rsidRPr="54A6C1A2">
        <w:rPr>
          <w:highlight w:val="yellow"/>
        </w:rPr>
        <w:t xml:space="preserve">cell suspension, ensure </w:t>
      </w:r>
      <w:r w:rsidR="005D6093">
        <w:rPr>
          <w:highlight w:val="yellow"/>
        </w:rPr>
        <w:t xml:space="preserve">tha the </w:t>
      </w:r>
      <w:r w:rsidRPr="54A6C1A2">
        <w:rPr>
          <w:highlight w:val="yellow"/>
        </w:rPr>
        <w:t xml:space="preserve">cells disperse evenly across </w:t>
      </w:r>
      <w:r w:rsidR="005D6093">
        <w:rPr>
          <w:highlight w:val="yellow"/>
        </w:rPr>
        <w:t>the</w:t>
      </w:r>
      <w:r w:rsidRPr="54A6C1A2">
        <w:rPr>
          <w:highlight w:val="yellow"/>
        </w:rPr>
        <w:t xml:space="preserve"> plate’s scaffold. </w:t>
      </w:r>
      <w:r w:rsidR="00A148AF" w:rsidRPr="54A6C1A2">
        <w:rPr>
          <w:highlight w:val="yellow"/>
        </w:rPr>
        <w:t xml:space="preserve"> </w:t>
      </w:r>
    </w:p>
    <w:p w14:paraId="2EC06719" w14:textId="77777777" w:rsidR="005D6093" w:rsidRPr="005D6093" w:rsidRDefault="005D6093" w:rsidP="001C7AC8">
      <w:pPr>
        <w:pStyle w:val="ListParagraph"/>
        <w:rPr>
          <w:highlight w:val="yellow"/>
        </w:rPr>
      </w:pPr>
    </w:p>
    <w:p w14:paraId="2A1A0833" w14:textId="3171A2D6" w:rsidR="00024475" w:rsidRPr="001C7AC8" w:rsidRDefault="005D7024" w:rsidP="001C7AC8">
      <w:pPr>
        <w:pStyle w:val="ListParagraph"/>
        <w:ind w:left="0"/>
      </w:pPr>
      <w:r w:rsidRPr="001C7AC8">
        <w:t>NOTE</w:t>
      </w:r>
      <w:r w:rsidR="002E2279" w:rsidRPr="001C7AC8">
        <w:t xml:space="preserve">: To ensure good coverage throughout scaffold, use a slow swirling motion to pipette cells down onto </w:t>
      </w:r>
      <w:r w:rsidR="005D201E" w:rsidRPr="001C7AC8">
        <w:t xml:space="preserve">the </w:t>
      </w:r>
      <w:r w:rsidR="002E2279" w:rsidRPr="001C7AC8">
        <w:t>scaffold.</w:t>
      </w:r>
    </w:p>
    <w:p w14:paraId="43B949AB" w14:textId="77777777" w:rsidR="00024475" w:rsidRPr="00357CBE" w:rsidRDefault="00024475" w:rsidP="001C7AC8">
      <w:pPr>
        <w:pStyle w:val="ListParagraph"/>
        <w:ind w:left="0"/>
        <w:rPr>
          <w:highlight w:val="yellow"/>
        </w:rPr>
      </w:pPr>
    </w:p>
    <w:p w14:paraId="1C7C786F" w14:textId="39238EF3" w:rsidR="00024475" w:rsidRPr="00357CBE" w:rsidRDefault="002E2279" w:rsidP="001C7AC8">
      <w:pPr>
        <w:pStyle w:val="ListParagraph"/>
        <w:numPr>
          <w:ilvl w:val="1"/>
          <w:numId w:val="35"/>
        </w:numPr>
        <w:ind w:left="0" w:firstLine="0"/>
        <w:rPr>
          <w:highlight w:val="yellow"/>
        </w:rPr>
      </w:pPr>
      <w:r w:rsidRPr="54A6C1A2">
        <w:rPr>
          <w:highlight w:val="yellow"/>
        </w:rPr>
        <w:t xml:space="preserve">Similarly, carefully resuspend </w:t>
      </w:r>
      <w:r w:rsidR="00E64BF5" w:rsidRPr="54A6C1A2">
        <w:rPr>
          <w:highlight w:val="yellow"/>
        </w:rPr>
        <w:t>HKC</w:t>
      </w:r>
      <w:r w:rsidR="007508CF" w:rsidRPr="54A6C1A2">
        <w:rPr>
          <w:highlight w:val="yellow"/>
        </w:rPr>
        <w:t>s</w:t>
      </w:r>
      <w:r w:rsidRPr="54A6C1A2">
        <w:rPr>
          <w:highlight w:val="yellow"/>
        </w:rPr>
        <w:t xml:space="preserve"> and add </w:t>
      </w:r>
      <w:r w:rsidR="005D6093">
        <w:rPr>
          <w:highlight w:val="yellow"/>
        </w:rPr>
        <w:t xml:space="preserve">the </w:t>
      </w:r>
      <w:r w:rsidRPr="54A6C1A2">
        <w:rPr>
          <w:highlight w:val="yellow"/>
        </w:rPr>
        <w:t>cell suspensions to each culture well.</w:t>
      </w:r>
    </w:p>
    <w:p w14:paraId="6E24F0A5" w14:textId="77777777" w:rsidR="00024475" w:rsidRPr="001C7AC8" w:rsidRDefault="00024475" w:rsidP="001C7AC8">
      <w:pPr>
        <w:pStyle w:val="ListParagraph"/>
        <w:ind w:left="0"/>
      </w:pPr>
    </w:p>
    <w:p w14:paraId="075E7FD9" w14:textId="40C1B26C" w:rsidR="0076196A" w:rsidRPr="001C7AC8" w:rsidRDefault="005D7024" w:rsidP="001C7AC8">
      <w:pPr>
        <w:pStyle w:val="ListParagraph"/>
        <w:tabs>
          <w:tab w:val="left" w:pos="0"/>
        </w:tabs>
        <w:ind w:left="0"/>
      </w:pPr>
      <w:r w:rsidRPr="001C7AC8">
        <w:t>NOTE</w:t>
      </w:r>
      <w:r w:rsidR="002E2279" w:rsidRPr="001C7AC8">
        <w:t xml:space="preserve">: </w:t>
      </w:r>
      <w:r w:rsidR="00AB55EF" w:rsidRPr="001C7AC8">
        <w:t>Use a</w:t>
      </w:r>
      <w:r w:rsidR="002E2279" w:rsidRPr="001C7AC8">
        <w:t xml:space="preserve"> slow swirling motion </w:t>
      </w:r>
      <w:r w:rsidR="00AB55EF" w:rsidRPr="001C7AC8">
        <w:t xml:space="preserve">to </w:t>
      </w:r>
      <w:r w:rsidR="002E2279" w:rsidRPr="001C7AC8">
        <w:t xml:space="preserve">seed </w:t>
      </w:r>
      <w:r w:rsidR="00E64BF5" w:rsidRPr="001C7AC8">
        <w:t>HKC</w:t>
      </w:r>
      <w:r w:rsidR="007508CF" w:rsidRPr="001C7AC8">
        <w:t>s</w:t>
      </w:r>
      <w:r w:rsidR="002E2279" w:rsidRPr="001C7AC8">
        <w:t xml:space="preserve"> to ensure good coverage throughout </w:t>
      </w:r>
      <w:r w:rsidR="005D6093" w:rsidRPr="001C7AC8">
        <w:t xml:space="preserve">the </w:t>
      </w:r>
      <w:r w:rsidR="002E2279" w:rsidRPr="001C7AC8">
        <w:t>scaffold.</w:t>
      </w:r>
      <w:r w:rsidR="00A148AF" w:rsidRPr="001C7AC8">
        <w:t xml:space="preserve"> </w:t>
      </w:r>
      <w:r w:rsidR="0076196A" w:rsidRPr="001C7AC8">
        <w:t xml:space="preserve">The two seeding sub-steps can be separated, or the two </w:t>
      </w:r>
      <w:r w:rsidR="005D10F3" w:rsidRPr="001C7AC8">
        <w:t xml:space="preserve">cell </w:t>
      </w:r>
      <w:r w:rsidR="0076196A" w:rsidRPr="001C7AC8">
        <w:t xml:space="preserve">types can be pre-mixed at </w:t>
      </w:r>
      <w:r w:rsidR="005D6093" w:rsidRPr="001C7AC8">
        <w:t xml:space="preserve">an </w:t>
      </w:r>
      <w:r w:rsidR="0076196A" w:rsidRPr="001C7AC8">
        <w:t>appropriate density and seeded concomitantly.</w:t>
      </w:r>
    </w:p>
    <w:p w14:paraId="52DCE50C" w14:textId="77777777" w:rsidR="00024475" w:rsidRPr="0076196A" w:rsidRDefault="00024475" w:rsidP="00B3744F">
      <w:pPr>
        <w:tabs>
          <w:tab w:val="left" w:pos="0"/>
        </w:tabs>
        <w:rPr>
          <w:highlight w:val="yellow"/>
        </w:rPr>
      </w:pPr>
    </w:p>
    <w:p w14:paraId="2ADB9AFD" w14:textId="2908E618" w:rsidR="00024475" w:rsidRPr="00357CBE" w:rsidRDefault="002E2279" w:rsidP="001C7AC8">
      <w:pPr>
        <w:pStyle w:val="ListParagraph"/>
        <w:numPr>
          <w:ilvl w:val="1"/>
          <w:numId w:val="35"/>
        </w:numPr>
        <w:ind w:left="0" w:firstLine="0"/>
        <w:rPr>
          <w:highlight w:val="yellow"/>
        </w:rPr>
      </w:pPr>
      <w:r w:rsidRPr="54A6C1A2">
        <w:rPr>
          <w:highlight w:val="yellow"/>
        </w:rPr>
        <w:t xml:space="preserve">Once all wells contain both cell types, place </w:t>
      </w:r>
      <w:r w:rsidR="005D6093">
        <w:rPr>
          <w:highlight w:val="yellow"/>
        </w:rPr>
        <w:t xml:space="preserve">the </w:t>
      </w:r>
      <w:r w:rsidRPr="54A6C1A2">
        <w:rPr>
          <w:highlight w:val="yellow"/>
        </w:rPr>
        <w:t xml:space="preserve">MPS driver onto the docking station in </w:t>
      </w:r>
      <w:r w:rsidR="00A47914" w:rsidRPr="54A6C1A2">
        <w:rPr>
          <w:highlight w:val="yellow"/>
        </w:rPr>
        <w:t>the</w:t>
      </w:r>
      <w:r w:rsidRPr="54A6C1A2">
        <w:rPr>
          <w:highlight w:val="yellow"/>
        </w:rPr>
        <w:t xml:space="preserve"> incubator without physically connecting it and leave </w:t>
      </w:r>
      <w:r w:rsidR="005D6093">
        <w:rPr>
          <w:highlight w:val="yellow"/>
        </w:rPr>
        <w:t xml:space="preserve">it </w:t>
      </w:r>
      <w:r w:rsidR="0044052E" w:rsidRPr="54A6C1A2">
        <w:rPr>
          <w:highlight w:val="yellow"/>
        </w:rPr>
        <w:t xml:space="preserve">to stand </w:t>
      </w:r>
      <w:r w:rsidRPr="54A6C1A2">
        <w:rPr>
          <w:highlight w:val="yellow"/>
        </w:rPr>
        <w:t xml:space="preserve">for 1 h. </w:t>
      </w:r>
    </w:p>
    <w:p w14:paraId="3D0582AC" w14:textId="77777777" w:rsidR="00024475" w:rsidRPr="00357CBE" w:rsidRDefault="00024475" w:rsidP="001C7AC8">
      <w:pPr>
        <w:pStyle w:val="ListParagraph"/>
        <w:tabs>
          <w:tab w:val="left" w:pos="0"/>
          <w:tab w:val="left" w:pos="709"/>
        </w:tabs>
        <w:ind w:left="0"/>
        <w:rPr>
          <w:highlight w:val="yellow"/>
        </w:rPr>
      </w:pPr>
    </w:p>
    <w:p w14:paraId="4CFEFBA6" w14:textId="61E6A117" w:rsidR="00024475" w:rsidRPr="00357CBE" w:rsidRDefault="002E2279" w:rsidP="001C7AC8">
      <w:pPr>
        <w:pStyle w:val="ListParagraph"/>
        <w:numPr>
          <w:ilvl w:val="1"/>
          <w:numId w:val="35"/>
        </w:numPr>
        <w:spacing w:before="240"/>
        <w:ind w:left="0" w:firstLine="0"/>
        <w:rPr>
          <w:highlight w:val="yellow"/>
        </w:rPr>
      </w:pPr>
      <w:r w:rsidRPr="54A6C1A2">
        <w:rPr>
          <w:highlight w:val="yellow"/>
        </w:rPr>
        <w:t>After 1 h</w:t>
      </w:r>
      <w:r w:rsidR="005D6093">
        <w:rPr>
          <w:highlight w:val="yellow"/>
        </w:rPr>
        <w:t>,</w:t>
      </w:r>
      <w:r w:rsidRPr="54A6C1A2">
        <w:rPr>
          <w:highlight w:val="yellow"/>
        </w:rPr>
        <w:t xml:space="preserve"> fill up each well with the </w:t>
      </w:r>
      <w:r w:rsidR="00F15A6C" w:rsidRPr="54A6C1A2">
        <w:rPr>
          <w:highlight w:val="yellow"/>
        </w:rPr>
        <w:t>required</w:t>
      </w:r>
      <w:r w:rsidRPr="54A6C1A2">
        <w:rPr>
          <w:highlight w:val="yellow"/>
        </w:rPr>
        <w:t xml:space="preserve"> volume of </w:t>
      </w:r>
      <w:r w:rsidR="00F15A6C" w:rsidRPr="54A6C1A2">
        <w:rPr>
          <w:highlight w:val="yellow"/>
        </w:rPr>
        <w:t xml:space="preserve">additional </w:t>
      </w:r>
      <w:r w:rsidR="005D6093">
        <w:rPr>
          <w:highlight w:val="yellow"/>
        </w:rPr>
        <w:t>S</w:t>
      </w:r>
      <w:r w:rsidR="005D6093" w:rsidRPr="54A6C1A2">
        <w:rPr>
          <w:highlight w:val="yellow"/>
        </w:rPr>
        <w:t xml:space="preserve">eeding </w:t>
      </w:r>
      <w:r w:rsidR="00F84862" w:rsidRPr="54A6C1A2">
        <w:rPr>
          <w:highlight w:val="yellow"/>
        </w:rPr>
        <w:t>Advanced DMEM medium</w:t>
      </w:r>
      <w:r w:rsidRPr="54A6C1A2">
        <w:rPr>
          <w:highlight w:val="yellow"/>
        </w:rPr>
        <w:t xml:space="preserve"> to reach 400 </w:t>
      </w:r>
      <w:r w:rsidRPr="54A6C1A2">
        <w:rPr>
          <w:rFonts w:ascii="Symbol" w:hAnsi="Symbol"/>
          <w:highlight w:val="yellow"/>
        </w:rPr>
        <w:t></w:t>
      </w:r>
      <w:r w:rsidRPr="54A6C1A2">
        <w:rPr>
          <w:highlight w:val="yellow"/>
        </w:rPr>
        <w:t xml:space="preserve">L and run </w:t>
      </w:r>
      <w:r w:rsidR="005D6093">
        <w:rPr>
          <w:highlight w:val="yellow"/>
        </w:rPr>
        <w:t xml:space="preserve">the </w:t>
      </w:r>
      <w:r w:rsidRPr="001C7AC8">
        <w:rPr>
          <w:b/>
          <w:bCs/>
          <w:highlight w:val="yellow"/>
        </w:rPr>
        <w:t xml:space="preserve">Seed </w:t>
      </w:r>
      <w:r w:rsidRPr="54A6C1A2">
        <w:rPr>
          <w:highlight w:val="yellow"/>
        </w:rPr>
        <w:t>program.</w:t>
      </w:r>
    </w:p>
    <w:p w14:paraId="6D09004B" w14:textId="77777777" w:rsidR="00024475" w:rsidRPr="00357CBE" w:rsidRDefault="00024475" w:rsidP="001C7AC8">
      <w:pPr>
        <w:pStyle w:val="ListParagraph"/>
        <w:ind w:left="0"/>
        <w:rPr>
          <w:highlight w:val="yellow"/>
        </w:rPr>
      </w:pPr>
    </w:p>
    <w:p w14:paraId="278FB3ED" w14:textId="67BED09C" w:rsidR="00024475" w:rsidRPr="00357CBE" w:rsidRDefault="002E2279" w:rsidP="001C7AC8">
      <w:pPr>
        <w:pStyle w:val="ListParagraph"/>
        <w:numPr>
          <w:ilvl w:val="1"/>
          <w:numId w:val="35"/>
        </w:numPr>
        <w:spacing w:before="240"/>
        <w:ind w:left="0" w:firstLine="0"/>
        <w:rPr>
          <w:highlight w:val="yellow"/>
        </w:rPr>
      </w:pPr>
      <w:r w:rsidRPr="54A6C1A2">
        <w:rPr>
          <w:highlight w:val="yellow"/>
        </w:rPr>
        <w:t xml:space="preserve">After 2 min, the </w:t>
      </w:r>
      <w:r w:rsidR="00E319E4" w:rsidRPr="54A6C1A2">
        <w:rPr>
          <w:highlight w:val="yellow"/>
        </w:rPr>
        <w:t>program</w:t>
      </w:r>
      <w:r w:rsidRPr="54A6C1A2">
        <w:rPr>
          <w:highlight w:val="yellow"/>
        </w:rPr>
        <w:t xml:space="preserve"> will automatically pause, remove </w:t>
      </w:r>
      <w:r w:rsidR="00692DBC" w:rsidRPr="54A6C1A2">
        <w:rPr>
          <w:highlight w:val="yellow"/>
        </w:rPr>
        <w:t xml:space="preserve">the </w:t>
      </w:r>
      <w:r w:rsidRPr="54A6C1A2">
        <w:rPr>
          <w:highlight w:val="yellow"/>
        </w:rPr>
        <w:t xml:space="preserve">driver from </w:t>
      </w:r>
      <w:r w:rsidR="005D6093">
        <w:rPr>
          <w:highlight w:val="yellow"/>
        </w:rPr>
        <w:t xml:space="preserve">the </w:t>
      </w:r>
      <w:r w:rsidRPr="54A6C1A2">
        <w:rPr>
          <w:highlight w:val="yellow"/>
        </w:rPr>
        <w:t>incubator and slowly add 1000 µ</w:t>
      </w:r>
      <w:r w:rsidR="00276865" w:rsidRPr="54A6C1A2">
        <w:rPr>
          <w:highlight w:val="yellow"/>
        </w:rPr>
        <w:t>L</w:t>
      </w:r>
      <w:r w:rsidRPr="54A6C1A2">
        <w:rPr>
          <w:highlight w:val="yellow"/>
        </w:rPr>
        <w:t xml:space="preserve"> of </w:t>
      </w:r>
      <w:r w:rsidR="005D6093">
        <w:rPr>
          <w:highlight w:val="yellow"/>
        </w:rPr>
        <w:t>the S</w:t>
      </w:r>
      <w:r w:rsidR="005D6093" w:rsidRPr="54A6C1A2">
        <w:rPr>
          <w:highlight w:val="yellow"/>
        </w:rPr>
        <w:t xml:space="preserve">eeding </w:t>
      </w:r>
      <w:r w:rsidR="00B249BB" w:rsidRPr="54A6C1A2">
        <w:rPr>
          <w:highlight w:val="yellow"/>
        </w:rPr>
        <w:t>Advanced DMEM medium</w:t>
      </w:r>
      <w:r w:rsidRPr="54A6C1A2">
        <w:rPr>
          <w:highlight w:val="yellow"/>
        </w:rPr>
        <w:t xml:space="preserve"> to the channel (closer to the reservoir end than the well chamber) to achieve a total volume of 1.4 m</w:t>
      </w:r>
      <w:r w:rsidR="00276865" w:rsidRPr="54A6C1A2">
        <w:rPr>
          <w:highlight w:val="yellow"/>
        </w:rPr>
        <w:t>L</w:t>
      </w:r>
      <w:r w:rsidRPr="54A6C1A2">
        <w:rPr>
          <w:highlight w:val="yellow"/>
        </w:rPr>
        <w:t xml:space="preserve"> (with a further 200 µ</w:t>
      </w:r>
      <w:r w:rsidR="00276865" w:rsidRPr="54A6C1A2">
        <w:rPr>
          <w:highlight w:val="yellow"/>
        </w:rPr>
        <w:t>L</w:t>
      </w:r>
      <w:r w:rsidRPr="54A6C1A2">
        <w:rPr>
          <w:highlight w:val="yellow"/>
        </w:rPr>
        <w:t xml:space="preserve"> dead volume in the channels). </w:t>
      </w:r>
    </w:p>
    <w:p w14:paraId="4EF6556D" w14:textId="77777777" w:rsidR="00024475" w:rsidRPr="00357CBE" w:rsidRDefault="00024475" w:rsidP="001C7AC8">
      <w:pPr>
        <w:pStyle w:val="ListParagraph"/>
        <w:ind w:left="0"/>
        <w:rPr>
          <w:highlight w:val="yellow"/>
        </w:rPr>
      </w:pPr>
    </w:p>
    <w:p w14:paraId="4D673A5A" w14:textId="472E4336" w:rsidR="00024475" w:rsidRPr="00357CBE" w:rsidRDefault="002E2279" w:rsidP="001C7AC8">
      <w:pPr>
        <w:pStyle w:val="ListParagraph"/>
        <w:numPr>
          <w:ilvl w:val="1"/>
          <w:numId w:val="35"/>
        </w:numPr>
        <w:spacing w:before="240"/>
        <w:ind w:left="0" w:firstLine="0"/>
        <w:rPr>
          <w:highlight w:val="yellow"/>
        </w:rPr>
      </w:pPr>
      <w:r w:rsidRPr="54A6C1A2">
        <w:rPr>
          <w:highlight w:val="yellow"/>
        </w:rPr>
        <w:t xml:space="preserve">Move </w:t>
      </w:r>
      <w:r w:rsidR="00D61D14">
        <w:rPr>
          <w:highlight w:val="yellow"/>
        </w:rPr>
        <w:t xml:space="preserve">the </w:t>
      </w:r>
      <w:r w:rsidRPr="54A6C1A2">
        <w:rPr>
          <w:highlight w:val="yellow"/>
        </w:rPr>
        <w:t xml:space="preserve">plates to </w:t>
      </w:r>
      <w:r w:rsidR="005D6093">
        <w:rPr>
          <w:highlight w:val="yellow"/>
        </w:rPr>
        <w:t xml:space="preserve">the </w:t>
      </w:r>
      <w:r w:rsidRPr="54A6C1A2">
        <w:rPr>
          <w:highlight w:val="yellow"/>
        </w:rPr>
        <w:t xml:space="preserve">incubator and run </w:t>
      </w:r>
      <w:r w:rsidR="00F2594F" w:rsidRPr="54A6C1A2">
        <w:rPr>
          <w:highlight w:val="yellow"/>
        </w:rPr>
        <w:t>the rest of the</w:t>
      </w:r>
      <w:r w:rsidRPr="54A6C1A2">
        <w:rPr>
          <w:highlight w:val="yellow"/>
        </w:rPr>
        <w:t xml:space="preserve"> </w:t>
      </w:r>
      <w:r w:rsidRPr="001C7AC8">
        <w:rPr>
          <w:b/>
          <w:bCs/>
          <w:highlight w:val="yellow"/>
        </w:rPr>
        <w:t>Seed</w:t>
      </w:r>
      <w:r w:rsidRPr="54A6C1A2">
        <w:rPr>
          <w:highlight w:val="yellow"/>
        </w:rPr>
        <w:t xml:space="preserve"> program for 8 </w:t>
      </w:r>
      <w:r w:rsidR="00B6701E" w:rsidRPr="54A6C1A2">
        <w:rPr>
          <w:highlight w:val="yellow"/>
        </w:rPr>
        <w:t>h</w:t>
      </w:r>
      <w:r w:rsidRPr="54A6C1A2">
        <w:rPr>
          <w:highlight w:val="yellow"/>
        </w:rPr>
        <w:t xml:space="preserve">. </w:t>
      </w:r>
    </w:p>
    <w:p w14:paraId="0C36708E" w14:textId="77777777" w:rsidR="00024475" w:rsidRPr="00357CBE" w:rsidRDefault="00024475" w:rsidP="001C7AC8">
      <w:pPr>
        <w:pStyle w:val="ListParagraph"/>
        <w:ind w:left="0"/>
        <w:rPr>
          <w:highlight w:val="yellow"/>
        </w:rPr>
      </w:pPr>
    </w:p>
    <w:p w14:paraId="579C548D" w14:textId="2D55BE03" w:rsidR="002E2279" w:rsidRPr="001C7AC8" w:rsidRDefault="005D7024" w:rsidP="001C7AC8">
      <w:pPr>
        <w:pStyle w:val="ListParagraph"/>
        <w:tabs>
          <w:tab w:val="left" w:pos="0"/>
          <w:tab w:val="left" w:pos="709"/>
        </w:tabs>
        <w:ind w:left="0"/>
      </w:pPr>
      <w:r w:rsidRPr="001C7AC8">
        <w:t>NOTE</w:t>
      </w:r>
      <w:r w:rsidR="002E2279" w:rsidRPr="001C7AC8">
        <w:t xml:space="preserve">: Flow will automatically switch to Incubate program after 8 </w:t>
      </w:r>
      <w:r w:rsidR="00B6701E" w:rsidRPr="001C7AC8">
        <w:t>h</w:t>
      </w:r>
      <w:r w:rsidR="002E2279" w:rsidRPr="001C7AC8">
        <w:t xml:space="preserve">. </w:t>
      </w:r>
    </w:p>
    <w:p w14:paraId="236480A3" w14:textId="77777777" w:rsidR="002E2279" w:rsidRPr="00357CBE" w:rsidRDefault="002E2279" w:rsidP="00B3744F">
      <w:pPr>
        <w:rPr>
          <w:highlight w:val="yellow"/>
        </w:rPr>
      </w:pPr>
    </w:p>
    <w:p w14:paraId="40D55005" w14:textId="647FDC4A" w:rsidR="00BC6933" w:rsidRPr="001C7AC8" w:rsidRDefault="00207E56" w:rsidP="001C7AC8">
      <w:pPr>
        <w:pStyle w:val="ListParagraph"/>
        <w:numPr>
          <w:ilvl w:val="0"/>
          <w:numId w:val="13"/>
        </w:numPr>
        <w:ind w:left="0" w:firstLine="0"/>
        <w:rPr>
          <w:b/>
          <w:bCs/>
          <w:highlight w:val="yellow"/>
        </w:rPr>
      </w:pPr>
      <w:r w:rsidRPr="001C7AC8">
        <w:rPr>
          <w:b/>
          <w:bCs/>
          <w:highlight w:val="yellow"/>
        </w:rPr>
        <w:t>Media change (Day 1)</w:t>
      </w:r>
    </w:p>
    <w:p w14:paraId="183301E4" w14:textId="77777777" w:rsidR="009D5A97" w:rsidRPr="00357CBE" w:rsidRDefault="009D5A97" w:rsidP="001C7AC8">
      <w:pPr>
        <w:pStyle w:val="ListParagraph"/>
        <w:ind w:left="0"/>
        <w:rPr>
          <w:highlight w:val="yellow"/>
        </w:rPr>
      </w:pPr>
    </w:p>
    <w:p w14:paraId="2493E524" w14:textId="374C4850" w:rsidR="00B65661" w:rsidRPr="00B3744F" w:rsidRDefault="000C0DAE" w:rsidP="001C7AC8">
      <w:pPr>
        <w:pStyle w:val="ListParagraph"/>
        <w:numPr>
          <w:ilvl w:val="1"/>
          <w:numId w:val="36"/>
        </w:numPr>
        <w:tabs>
          <w:tab w:val="left" w:pos="709"/>
        </w:tabs>
        <w:ind w:left="0" w:firstLine="0"/>
        <w:outlineLvl w:val="2"/>
        <w:rPr>
          <w:highlight w:val="yellow"/>
        </w:rPr>
      </w:pPr>
      <w:r>
        <w:rPr>
          <w:highlight w:val="yellow"/>
        </w:rPr>
        <w:t xml:space="preserve">Disconnect the driver </w:t>
      </w:r>
      <w:r w:rsidRPr="000C0DAE">
        <w:t>from the docking station and place it in the MBSC.</w:t>
      </w:r>
    </w:p>
    <w:p w14:paraId="6B825C04" w14:textId="77777777" w:rsidR="00B65661" w:rsidRPr="00357CBE" w:rsidRDefault="00B65661" w:rsidP="001C7AC8">
      <w:pPr>
        <w:pStyle w:val="ListParagraph"/>
        <w:tabs>
          <w:tab w:val="left" w:pos="709"/>
        </w:tabs>
        <w:ind w:left="0"/>
        <w:outlineLvl w:val="2"/>
        <w:rPr>
          <w:highlight w:val="yellow"/>
        </w:rPr>
      </w:pPr>
    </w:p>
    <w:p w14:paraId="60BF9899" w14:textId="2CCB48C9" w:rsidR="00B65661" w:rsidRPr="00357CBE" w:rsidRDefault="002E2279" w:rsidP="001C7AC8">
      <w:pPr>
        <w:pStyle w:val="ListParagraph"/>
        <w:numPr>
          <w:ilvl w:val="1"/>
          <w:numId w:val="36"/>
        </w:numPr>
        <w:tabs>
          <w:tab w:val="left" w:pos="709"/>
        </w:tabs>
        <w:ind w:left="0" w:firstLine="0"/>
        <w:outlineLvl w:val="2"/>
        <w:rPr>
          <w:highlight w:val="yellow"/>
        </w:rPr>
      </w:pPr>
      <w:r w:rsidRPr="54A6C1A2">
        <w:rPr>
          <w:highlight w:val="yellow"/>
        </w:rPr>
        <w:t xml:space="preserve">Perform </w:t>
      </w:r>
      <w:r w:rsidR="004D16D1" w:rsidRPr="004D16D1">
        <w:rPr>
          <w:b/>
          <w:bCs/>
          <w:highlight w:val="yellow"/>
        </w:rPr>
        <w:t>Media Change</w:t>
      </w:r>
      <w:r w:rsidR="004D16D1" w:rsidRPr="54A6C1A2">
        <w:rPr>
          <w:highlight w:val="yellow"/>
        </w:rPr>
        <w:t xml:space="preserve"> </w:t>
      </w:r>
      <w:r w:rsidR="000C0DAE">
        <w:rPr>
          <w:highlight w:val="yellow"/>
        </w:rPr>
        <w:t>by</w:t>
      </w:r>
      <w:r w:rsidRPr="54A6C1A2">
        <w:rPr>
          <w:highlight w:val="yellow"/>
        </w:rPr>
        <w:t xml:space="preserve"> removing the </w:t>
      </w:r>
      <w:r w:rsidR="005D6093">
        <w:rPr>
          <w:highlight w:val="yellow"/>
        </w:rPr>
        <w:t>S</w:t>
      </w:r>
      <w:r w:rsidR="005D6093" w:rsidRPr="54A6C1A2">
        <w:rPr>
          <w:highlight w:val="yellow"/>
        </w:rPr>
        <w:t xml:space="preserve">eeding </w:t>
      </w:r>
      <w:r w:rsidR="00F84862" w:rsidRPr="54A6C1A2">
        <w:rPr>
          <w:highlight w:val="yellow"/>
        </w:rPr>
        <w:t>Advanced DMEM medium</w:t>
      </w:r>
      <w:r w:rsidRPr="54A6C1A2">
        <w:rPr>
          <w:highlight w:val="yellow"/>
        </w:rPr>
        <w:t xml:space="preserve"> in the well chamber down to the stopping point.</w:t>
      </w:r>
      <w:bookmarkStart w:id="2" w:name="_Ref79049570"/>
      <w:bookmarkStart w:id="3" w:name="_Ref83215707"/>
    </w:p>
    <w:p w14:paraId="314E1A65" w14:textId="77777777" w:rsidR="00B65661" w:rsidRPr="00357CBE" w:rsidRDefault="00B65661" w:rsidP="001C7AC8">
      <w:pPr>
        <w:pStyle w:val="ListParagraph"/>
        <w:ind w:left="0"/>
        <w:rPr>
          <w:highlight w:val="yellow"/>
        </w:rPr>
      </w:pPr>
    </w:p>
    <w:p w14:paraId="0D0F57CE" w14:textId="5B07342E" w:rsidR="00B65661" w:rsidRPr="00357CBE" w:rsidRDefault="002E2279" w:rsidP="001C7AC8">
      <w:pPr>
        <w:pStyle w:val="ListParagraph"/>
        <w:numPr>
          <w:ilvl w:val="1"/>
          <w:numId w:val="36"/>
        </w:numPr>
        <w:tabs>
          <w:tab w:val="left" w:pos="709"/>
        </w:tabs>
        <w:ind w:left="0" w:firstLine="0"/>
        <w:outlineLvl w:val="2"/>
        <w:rPr>
          <w:highlight w:val="yellow"/>
        </w:rPr>
      </w:pPr>
      <w:r w:rsidRPr="00357CBE">
        <w:rPr>
          <w:highlight w:val="yellow"/>
        </w:rPr>
        <w:t>Add 400 µ</w:t>
      </w:r>
      <w:r w:rsidR="00C16699" w:rsidRPr="00357CBE">
        <w:rPr>
          <w:highlight w:val="yellow"/>
        </w:rPr>
        <w:t>L</w:t>
      </w:r>
      <w:r w:rsidRPr="00357CBE">
        <w:rPr>
          <w:highlight w:val="yellow"/>
        </w:rPr>
        <w:t xml:space="preserve"> of </w:t>
      </w:r>
      <w:r w:rsidR="005D6093">
        <w:rPr>
          <w:highlight w:val="yellow"/>
        </w:rPr>
        <w:t xml:space="preserve">the Maintenance </w:t>
      </w:r>
      <w:r w:rsidR="002E18BA">
        <w:rPr>
          <w:highlight w:val="yellow"/>
        </w:rPr>
        <w:t>Advanced DMEM medium</w:t>
      </w:r>
      <w:r w:rsidRPr="00357CBE">
        <w:rPr>
          <w:highlight w:val="yellow"/>
        </w:rPr>
        <w:t xml:space="preserve"> into the well chamber, return the driver onto the docking station in the incubator and run the </w:t>
      </w:r>
      <w:r w:rsidRPr="001C7AC8">
        <w:rPr>
          <w:b/>
          <w:bCs/>
          <w:highlight w:val="yellow"/>
        </w:rPr>
        <w:t xml:space="preserve">Media </w:t>
      </w:r>
      <w:r w:rsidR="004D16D1">
        <w:rPr>
          <w:b/>
          <w:bCs/>
          <w:highlight w:val="yellow"/>
        </w:rPr>
        <w:t>C</w:t>
      </w:r>
      <w:r w:rsidR="002968EA">
        <w:rPr>
          <w:b/>
          <w:bCs/>
          <w:highlight w:val="yellow"/>
        </w:rPr>
        <w:t>hange</w:t>
      </w:r>
      <w:r w:rsidR="005D6093" w:rsidRPr="00357CBE">
        <w:rPr>
          <w:highlight w:val="yellow"/>
        </w:rPr>
        <w:t xml:space="preserve"> </w:t>
      </w:r>
      <w:r w:rsidRPr="00357CBE">
        <w:rPr>
          <w:highlight w:val="yellow"/>
        </w:rPr>
        <w:t xml:space="preserve">program for 3 </w:t>
      </w:r>
      <w:r w:rsidR="00E6483A" w:rsidRPr="00357CBE">
        <w:rPr>
          <w:highlight w:val="yellow"/>
        </w:rPr>
        <w:t>min</w:t>
      </w:r>
      <w:r w:rsidRPr="00357CBE">
        <w:rPr>
          <w:highlight w:val="yellow"/>
        </w:rPr>
        <w:t xml:space="preserve">. </w:t>
      </w:r>
      <w:r w:rsidRPr="001C7AC8">
        <w:t xml:space="preserve">The program will automatically pause after 3 </w:t>
      </w:r>
      <w:r w:rsidR="00E6483A" w:rsidRPr="001C7AC8">
        <w:t>min</w:t>
      </w:r>
      <w:r w:rsidRPr="001C7AC8">
        <w:t>.</w:t>
      </w:r>
      <w:bookmarkEnd w:id="2"/>
      <w:bookmarkEnd w:id="3"/>
      <w:r w:rsidRPr="001C7AC8">
        <w:t xml:space="preserve"> </w:t>
      </w:r>
      <w:bookmarkStart w:id="4" w:name="_Ref79049576"/>
      <w:bookmarkStart w:id="5" w:name="_Ref83215709"/>
    </w:p>
    <w:p w14:paraId="20A8236C" w14:textId="77777777" w:rsidR="00B65661" w:rsidRPr="00357CBE" w:rsidRDefault="00B65661" w:rsidP="001C7AC8">
      <w:pPr>
        <w:pStyle w:val="ListParagraph"/>
        <w:ind w:left="0"/>
        <w:rPr>
          <w:highlight w:val="yellow"/>
        </w:rPr>
      </w:pPr>
    </w:p>
    <w:p w14:paraId="1C66259D" w14:textId="3DCBBDE2" w:rsidR="00B65661" w:rsidRPr="00357CBE" w:rsidRDefault="002E2279" w:rsidP="001C7AC8">
      <w:pPr>
        <w:pStyle w:val="ListParagraph"/>
        <w:numPr>
          <w:ilvl w:val="1"/>
          <w:numId w:val="36"/>
        </w:numPr>
        <w:tabs>
          <w:tab w:val="left" w:pos="709"/>
        </w:tabs>
        <w:ind w:left="0" w:firstLine="0"/>
        <w:outlineLvl w:val="2"/>
        <w:rPr>
          <w:highlight w:val="yellow"/>
        </w:rPr>
      </w:pPr>
      <w:r w:rsidRPr="54A6C1A2">
        <w:rPr>
          <w:highlight w:val="yellow"/>
        </w:rPr>
        <w:t xml:space="preserve">Disconnect the driver from the </w:t>
      </w:r>
      <w:r w:rsidR="00523306" w:rsidRPr="54A6C1A2">
        <w:rPr>
          <w:highlight w:val="yellow"/>
        </w:rPr>
        <w:t>d</w:t>
      </w:r>
      <w:r w:rsidRPr="54A6C1A2">
        <w:rPr>
          <w:highlight w:val="yellow"/>
        </w:rPr>
        <w:t xml:space="preserve">ocking </w:t>
      </w:r>
      <w:r w:rsidR="00523306" w:rsidRPr="54A6C1A2">
        <w:rPr>
          <w:highlight w:val="yellow"/>
        </w:rPr>
        <w:t>s</w:t>
      </w:r>
      <w:r w:rsidRPr="54A6C1A2">
        <w:rPr>
          <w:highlight w:val="yellow"/>
        </w:rPr>
        <w:t xml:space="preserve">tation and, in the </w:t>
      </w:r>
      <w:r w:rsidR="6C310D74" w:rsidRPr="54A6C1A2">
        <w:rPr>
          <w:highlight w:val="yellow"/>
        </w:rPr>
        <w:t xml:space="preserve"> MBSC</w:t>
      </w:r>
      <w:r w:rsidRPr="54A6C1A2">
        <w:rPr>
          <w:highlight w:val="yellow"/>
        </w:rPr>
        <w:t xml:space="preserve">, aspirate away media from </w:t>
      </w:r>
      <w:r w:rsidR="005D6093">
        <w:rPr>
          <w:highlight w:val="yellow"/>
        </w:rPr>
        <w:t xml:space="preserve">the </w:t>
      </w:r>
      <w:r w:rsidRPr="54A6C1A2">
        <w:rPr>
          <w:highlight w:val="yellow"/>
        </w:rPr>
        <w:t>reservoir chamber, channel</w:t>
      </w:r>
      <w:r w:rsidR="005D6093">
        <w:rPr>
          <w:highlight w:val="yellow"/>
        </w:rPr>
        <w:t>,</w:t>
      </w:r>
      <w:r w:rsidRPr="54A6C1A2">
        <w:rPr>
          <w:highlight w:val="yellow"/>
        </w:rPr>
        <w:t xml:space="preserve"> and stopping point </w:t>
      </w:r>
      <w:r w:rsidR="006B2613" w:rsidRPr="54A6C1A2">
        <w:rPr>
          <w:highlight w:val="yellow"/>
        </w:rPr>
        <w:t>above the scaffold</w:t>
      </w:r>
      <w:r w:rsidRPr="54A6C1A2">
        <w:rPr>
          <w:highlight w:val="yellow"/>
        </w:rPr>
        <w:t>.</w:t>
      </w:r>
      <w:r w:rsidRPr="001C7AC8">
        <w:t xml:space="preserve"> At this point</w:t>
      </w:r>
      <w:r w:rsidR="005D6093" w:rsidRPr="001C7AC8">
        <w:t>,</w:t>
      </w:r>
      <w:r w:rsidRPr="001C7AC8">
        <w:t xml:space="preserve"> the culture well will </w:t>
      </w:r>
      <w:r w:rsidR="00856462" w:rsidRPr="001C7AC8">
        <w:t>be</w:t>
      </w:r>
      <w:r w:rsidRPr="001C7AC8">
        <w:t xml:space="preserve"> return</w:t>
      </w:r>
      <w:r w:rsidR="00856462" w:rsidRPr="001C7AC8">
        <w:t>ed</w:t>
      </w:r>
      <w:r w:rsidRPr="001C7AC8">
        <w:t xml:space="preserve"> to the dead volume.</w:t>
      </w:r>
      <w:bookmarkEnd w:id="4"/>
      <w:bookmarkEnd w:id="5"/>
      <w:r w:rsidRPr="001C7AC8">
        <w:t xml:space="preserve"> </w:t>
      </w:r>
      <w:bookmarkStart w:id="6" w:name="_Ref79049631"/>
      <w:bookmarkStart w:id="7" w:name="_Ref83215711"/>
    </w:p>
    <w:p w14:paraId="15BDBFD2" w14:textId="77777777" w:rsidR="00B65661" w:rsidRPr="00357CBE" w:rsidRDefault="00B65661" w:rsidP="001C7AC8">
      <w:pPr>
        <w:pStyle w:val="ListParagraph"/>
        <w:ind w:left="0"/>
        <w:rPr>
          <w:highlight w:val="yellow"/>
        </w:rPr>
      </w:pPr>
    </w:p>
    <w:p w14:paraId="67E59C48" w14:textId="48ED9D6B" w:rsidR="00B65661" w:rsidRPr="00357CBE" w:rsidRDefault="00856462" w:rsidP="001C7AC8">
      <w:pPr>
        <w:pStyle w:val="ListParagraph"/>
        <w:numPr>
          <w:ilvl w:val="1"/>
          <w:numId w:val="36"/>
        </w:numPr>
        <w:tabs>
          <w:tab w:val="left" w:pos="709"/>
        </w:tabs>
        <w:ind w:left="0" w:firstLine="0"/>
        <w:outlineLvl w:val="2"/>
        <w:rPr>
          <w:highlight w:val="yellow"/>
        </w:rPr>
      </w:pPr>
      <w:r w:rsidRPr="00357CBE">
        <w:rPr>
          <w:highlight w:val="yellow"/>
        </w:rPr>
        <w:t>T</w:t>
      </w:r>
      <w:r w:rsidR="002E2279" w:rsidRPr="00357CBE">
        <w:rPr>
          <w:highlight w:val="yellow"/>
        </w:rPr>
        <w:t xml:space="preserve">op up the reservoir chamber </w:t>
      </w:r>
      <w:r w:rsidR="00F37C94" w:rsidRPr="00357CBE">
        <w:rPr>
          <w:highlight w:val="yellow"/>
        </w:rPr>
        <w:t>with</w:t>
      </w:r>
      <w:r w:rsidR="002E2279" w:rsidRPr="00357CBE">
        <w:rPr>
          <w:highlight w:val="yellow"/>
        </w:rPr>
        <w:t xml:space="preserve"> 1.4 m</w:t>
      </w:r>
      <w:r w:rsidR="00276865" w:rsidRPr="00357CBE">
        <w:rPr>
          <w:highlight w:val="yellow"/>
        </w:rPr>
        <w:t>L</w:t>
      </w:r>
      <w:r w:rsidR="002E2279" w:rsidRPr="00357CBE">
        <w:rPr>
          <w:highlight w:val="yellow"/>
        </w:rPr>
        <w:t xml:space="preserve"> of </w:t>
      </w:r>
      <w:r w:rsidR="00F37C94" w:rsidRPr="00357CBE">
        <w:rPr>
          <w:highlight w:val="yellow"/>
        </w:rPr>
        <w:t>fresh</w:t>
      </w:r>
      <w:r w:rsidR="008C6BD8" w:rsidRPr="00357CBE">
        <w:rPr>
          <w:highlight w:val="yellow"/>
        </w:rPr>
        <w:t xml:space="preserve"> pre-warmed (37</w:t>
      </w:r>
      <w:r w:rsidR="00C56CF7" w:rsidRPr="00357CBE">
        <w:rPr>
          <w:highlight w:val="yellow"/>
        </w:rPr>
        <w:t xml:space="preserve"> °</w:t>
      </w:r>
      <w:r w:rsidR="008C6BD8" w:rsidRPr="00357CBE">
        <w:rPr>
          <w:highlight w:val="yellow"/>
        </w:rPr>
        <w:t>C)</w:t>
      </w:r>
      <w:r w:rsidR="002E2279" w:rsidRPr="00357CBE">
        <w:rPr>
          <w:highlight w:val="yellow"/>
        </w:rPr>
        <w:t xml:space="preserve"> </w:t>
      </w:r>
      <w:r w:rsidR="005D6093">
        <w:rPr>
          <w:highlight w:val="yellow"/>
        </w:rPr>
        <w:t xml:space="preserve">Maintenance </w:t>
      </w:r>
      <w:r w:rsidR="002E18BA">
        <w:rPr>
          <w:highlight w:val="yellow"/>
        </w:rPr>
        <w:t>Advanced DMEM medium</w:t>
      </w:r>
      <w:r w:rsidR="002E2279" w:rsidRPr="00357CBE">
        <w:rPr>
          <w:highlight w:val="yellow"/>
        </w:rPr>
        <w:t>.</w:t>
      </w:r>
      <w:bookmarkStart w:id="8" w:name="_Ref79049693"/>
      <w:bookmarkStart w:id="9" w:name="_Ref83215752"/>
      <w:bookmarkEnd w:id="6"/>
      <w:bookmarkEnd w:id="7"/>
    </w:p>
    <w:p w14:paraId="6EA952D7" w14:textId="77777777" w:rsidR="00B65661" w:rsidRPr="00357CBE" w:rsidRDefault="00B65661" w:rsidP="001C7AC8">
      <w:pPr>
        <w:pStyle w:val="ListParagraph"/>
        <w:ind w:left="0"/>
        <w:rPr>
          <w:highlight w:val="yellow"/>
        </w:rPr>
      </w:pPr>
    </w:p>
    <w:p w14:paraId="1E43DE9D" w14:textId="28BFE8EF" w:rsidR="002E2279" w:rsidRPr="00357CBE" w:rsidRDefault="002E2279" w:rsidP="001C7AC8">
      <w:pPr>
        <w:pStyle w:val="ListParagraph"/>
        <w:numPr>
          <w:ilvl w:val="1"/>
          <w:numId w:val="36"/>
        </w:numPr>
        <w:tabs>
          <w:tab w:val="left" w:pos="709"/>
        </w:tabs>
        <w:ind w:left="0" w:firstLine="0"/>
        <w:outlineLvl w:val="2"/>
        <w:rPr>
          <w:highlight w:val="yellow"/>
        </w:rPr>
      </w:pPr>
      <w:r w:rsidRPr="00357CBE">
        <w:rPr>
          <w:highlight w:val="yellow"/>
        </w:rPr>
        <w:t>Return</w:t>
      </w:r>
      <w:r w:rsidR="00E60ACC" w:rsidRPr="00357CBE">
        <w:rPr>
          <w:highlight w:val="yellow"/>
        </w:rPr>
        <w:t xml:space="preserve"> the</w:t>
      </w:r>
      <w:r w:rsidRPr="00357CBE">
        <w:rPr>
          <w:highlight w:val="yellow"/>
        </w:rPr>
        <w:t xml:space="preserve"> driver onto the </w:t>
      </w:r>
      <w:r w:rsidR="00E60ACC" w:rsidRPr="00357CBE">
        <w:rPr>
          <w:highlight w:val="yellow"/>
        </w:rPr>
        <w:t>d</w:t>
      </w:r>
      <w:r w:rsidRPr="00357CBE">
        <w:rPr>
          <w:highlight w:val="yellow"/>
        </w:rPr>
        <w:t xml:space="preserve">ocking </w:t>
      </w:r>
      <w:r w:rsidR="00E60ACC" w:rsidRPr="00357CBE">
        <w:rPr>
          <w:highlight w:val="yellow"/>
        </w:rPr>
        <w:t>s</w:t>
      </w:r>
      <w:r w:rsidRPr="00357CBE">
        <w:rPr>
          <w:highlight w:val="yellow"/>
        </w:rPr>
        <w:t xml:space="preserve">tation in the incubator and run the </w:t>
      </w:r>
      <w:r w:rsidRPr="001C7AC8">
        <w:rPr>
          <w:b/>
          <w:bCs/>
          <w:highlight w:val="yellow"/>
        </w:rPr>
        <w:t>Incubate</w:t>
      </w:r>
      <w:r w:rsidRPr="00357CBE">
        <w:rPr>
          <w:highlight w:val="yellow"/>
        </w:rPr>
        <w:t xml:space="preserve"> program.</w:t>
      </w:r>
      <w:bookmarkEnd w:id="8"/>
      <w:bookmarkEnd w:id="9"/>
      <w:r w:rsidRPr="00357CBE">
        <w:rPr>
          <w:highlight w:val="yellow"/>
        </w:rPr>
        <w:t xml:space="preserve"> </w:t>
      </w:r>
    </w:p>
    <w:bookmarkEnd w:id="1"/>
    <w:p w14:paraId="5942A5AE" w14:textId="77777777" w:rsidR="002E2279" w:rsidRPr="001C7AC8" w:rsidRDefault="002E2279" w:rsidP="00B3744F">
      <w:pPr>
        <w:rPr>
          <w:b/>
          <w:bCs/>
        </w:rPr>
      </w:pPr>
    </w:p>
    <w:p w14:paraId="593D5DCB" w14:textId="044C21DD" w:rsidR="00CE1AA3" w:rsidRPr="001C7AC8" w:rsidRDefault="0035408B" w:rsidP="001C7AC8">
      <w:pPr>
        <w:pStyle w:val="ListParagraph"/>
        <w:numPr>
          <w:ilvl w:val="0"/>
          <w:numId w:val="13"/>
        </w:numPr>
        <w:ind w:left="0" w:firstLine="0"/>
        <w:rPr>
          <w:b/>
          <w:bCs/>
        </w:rPr>
      </w:pPr>
      <w:r w:rsidRPr="001C7AC8">
        <w:rPr>
          <w:b/>
          <w:bCs/>
        </w:rPr>
        <w:t xml:space="preserve">Liver microtissue </w:t>
      </w:r>
      <w:r w:rsidR="006B3751">
        <w:rPr>
          <w:b/>
          <w:bCs/>
        </w:rPr>
        <w:t>quality control (</w:t>
      </w:r>
      <w:r w:rsidR="00696147" w:rsidRPr="001C7AC8">
        <w:rPr>
          <w:b/>
          <w:bCs/>
        </w:rPr>
        <w:t>QC</w:t>
      </w:r>
      <w:r w:rsidR="006B3751">
        <w:rPr>
          <w:b/>
          <w:bCs/>
        </w:rPr>
        <w:t>)</w:t>
      </w:r>
      <w:r w:rsidR="00696147" w:rsidRPr="001C7AC8">
        <w:rPr>
          <w:b/>
          <w:bCs/>
        </w:rPr>
        <w:t xml:space="preserve">, </w:t>
      </w:r>
      <w:r w:rsidR="002E18BA" w:rsidRPr="001C7AC8">
        <w:rPr>
          <w:b/>
          <w:bCs/>
        </w:rPr>
        <w:t xml:space="preserve">media collection, </w:t>
      </w:r>
      <w:r w:rsidR="00696147" w:rsidRPr="001C7AC8">
        <w:rPr>
          <w:b/>
          <w:bCs/>
        </w:rPr>
        <w:t>media change</w:t>
      </w:r>
      <w:r w:rsidR="005D6093">
        <w:rPr>
          <w:b/>
          <w:bCs/>
        </w:rPr>
        <w:t>,</w:t>
      </w:r>
      <w:r w:rsidR="00207E56" w:rsidRPr="001C7AC8">
        <w:rPr>
          <w:b/>
          <w:bCs/>
        </w:rPr>
        <w:t xml:space="preserve"> and drug dosing (Day 4)</w:t>
      </w:r>
    </w:p>
    <w:p w14:paraId="2A9558FD" w14:textId="77777777" w:rsidR="009D5A97" w:rsidRPr="005C2E62" w:rsidRDefault="009D5A97" w:rsidP="001C7AC8">
      <w:pPr>
        <w:pStyle w:val="ListParagraph"/>
        <w:ind w:left="0"/>
      </w:pPr>
    </w:p>
    <w:p w14:paraId="02BC7B0F" w14:textId="3E69B894" w:rsidR="004D16D1" w:rsidRDefault="002E2279" w:rsidP="001C7AC8">
      <w:pPr>
        <w:pStyle w:val="ListParagraph"/>
        <w:numPr>
          <w:ilvl w:val="1"/>
          <w:numId w:val="37"/>
        </w:numPr>
        <w:tabs>
          <w:tab w:val="left" w:pos="709"/>
        </w:tabs>
        <w:ind w:left="0" w:firstLine="0"/>
        <w:outlineLvl w:val="2"/>
      </w:pPr>
      <w:r w:rsidRPr="005C2E62">
        <w:t xml:space="preserve">On day 4 </w:t>
      </w:r>
      <w:r w:rsidR="005D6093">
        <w:t xml:space="preserve">perform </w:t>
      </w:r>
      <w:r w:rsidRPr="005C2E62">
        <w:t xml:space="preserve">a </w:t>
      </w:r>
      <w:r w:rsidR="004D16D1" w:rsidRPr="004D16D1">
        <w:rPr>
          <w:b/>
          <w:bCs/>
        </w:rPr>
        <w:t>Media Change</w:t>
      </w:r>
      <w:r w:rsidR="004D16D1" w:rsidRPr="005C2E62">
        <w:t xml:space="preserve"> </w:t>
      </w:r>
      <w:r w:rsidRPr="005C2E62">
        <w:t xml:space="preserve">using </w:t>
      </w:r>
      <w:r w:rsidR="005D6093">
        <w:t>the M</w:t>
      </w:r>
      <w:r w:rsidR="002E18BA">
        <w:t>aintenance Advanced DMEM medium</w:t>
      </w:r>
      <w:r w:rsidRPr="005C2E62">
        <w:t xml:space="preserve"> and </w:t>
      </w:r>
      <w:r w:rsidRPr="002772FC">
        <w:t>QC</w:t>
      </w:r>
      <w:r w:rsidRPr="005C2E62">
        <w:t xml:space="preserve"> </w:t>
      </w:r>
      <w:r w:rsidR="00A73D40">
        <w:t>checks</w:t>
      </w:r>
      <w:r w:rsidRPr="005C2E62">
        <w:t xml:space="preserve"> to ensure seeding has been successful.</w:t>
      </w:r>
      <w:r w:rsidR="007423EC">
        <w:t xml:space="preserve"> </w:t>
      </w:r>
    </w:p>
    <w:p w14:paraId="1FCF6CBA" w14:textId="77777777" w:rsidR="004D16D1" w:rsidRDefault="004D16D1" w:rsidP="004D16D1">
      <w:pPr>
        <w:pStyle w:val="ListParagraph"/>
        <w:tabs>
          <w:tab w:val="left" w:pos="709"/>
        </w:tabs>
        <w:ind w:left="0"/>
        <w:outlineLvl w:val="2"/>
      </w:pPr>
    </w:p>
    <w:p w14:paraId="6BAA8212" w14:textId="78DAE6DF" w:rsidR="00AA3DE4" w:rsidRDefault="004D16D1" w:rsidP="002772FC">
      <w:pPr>
        <w:pStyle w:val="ListParagraph"/>
        <w:tabs>
          <w:tab w:val="left" w:pos="709"/>
        </w:tabs>
        <w:ind w:left="0"/>
        <w:outlineLvl w:val="2"/>
      </w:pPr>
      <w:r>
        <w:t xml:space="preserve">NOTE: </w:t>
      </w:r>
      <w:r w:rsidR="007423EC">
        <w:t>QC is a process</w:t>
      </w:r>
      <w:r w:rsidR="000623D9">
        <w:t xml:space="preserve"> used to check the health of the formed microtissues by measuring </w:t>
      </w:r>
      <w:r w:rsidR="000623D9" w:rsidRPr="000623D9">
        <w:t xml:space="preserve">Lactate dehydrogenase </w:t>
      </w:r>
      <w:r w:rsidR="000623D9">
        <w:t>(</w:t>
      </w:r>
      <w:r w:rsidR="001470D1">
        <w:t>LDH</w:t>
      </w:r>
      <w:r w:rsidR="000623D9">
        <w:t>)</w:t>
      </w:r>
      <w:r w:rsidR="001470D1">
        <w:t xml:space="preserve"> and urea</w:t>
      </w:r>
      <w:r w:rsidR="000623D9">
        <w:t xml:space="preserve">. </w:t>
      </w:r>
    </w:p>
    <w:p w14:paraId="010E6E81" w14:textId="77777777" w:rsidR="00AA3DE4" w:rsidRDefault="00AA3DE4" w:rsidP="001C7AC8">
      <w:pPr>
        <w:pStyle w:val="ListParagraph"/>
        <w:ind w:left="0"/>
      </w:pPr>
    </w:p>
    <w:p w14:paraId="52C51BFE" w14:textId="74DCAFFC" w:rsidR="00CD4724" w:rsidRDefault="002E2279" w:rsidP="001C7AC8">
      <w:pPr>
        <w:pStyle w:val="ListParagraph"/>
        <w:numPr>
          <w:ilvl w:val="1"/>
          <w:numId w:val="37"/>
        </w:numPr>
        <w:tabs>
          <w:tab w:val="left" w:pos="709"/>
        </w:tabs>
        <w:ind w:left="0" w:firstLine="0"/>
        <w:outlineLvl w:val="2"/>
      </w:pPr>
      <w:r>
        <w:t>Prior to running the QC</w:t>
      </w:r>
      <w:r w:rsidR="7E1BBAD2">
        <w:t>,</w:t>
      </w:r>
      <w:r>
        <w:t xml:space="preserve"> prepare fresh stock solutions for each compound to test (either in </w:t>
      </w:r>
      <w:r w:rsidR="005D6093">
        <w:t xml:space="preserve">Maintenance </w:t>
      </w:r>
      <w:r w:rsidR="002E18BA">
        <w:t>Advanced DMEM medium</w:t>
      </w:r>
      <w:r>
        <w:t xml:space="preserve"> or </w:t>
      </w:r>
      <w:r w:rsidR="005D6093">
        <w:t xml:space="preserve">Maintenance </w:t>
      </w:r>
      <w:r w:rsidR="002E18BA">
        <w:t>Advanced DMEM medium</w:t>
      </w:r>
      <w:r w:rsidR="00A022B3">
        <w:t xml:space="preserve"> containing 0.1% </w:t>
      </w:r>
      <w:r>
        <w:t xml:space="preserve">DMSO, depending on </w:t>
      </w:r>
      <w:r w:rsidR="003D37BF">
        <w:t>the solubility of</w:t>
      </w:r>
      <w:r w:rsidR="005C0259">
        <w:t xml:space="preserve"> each</w:t>
      </w:r>
      <w:r w:rsidR="003D37BF">
        <w:t xml:space="preserve"> </w:t>
      </w:r>
      <w:r>
        <w:t xml:space="preserve">compound). Prepare dilutions accordingly to yield test concentrations for each compound. </w:t>
      </w:r>
    </w:p>
    <w:p w14:paraId="6ECFCF10" w14:textId="77777777" w:rsidR="00CD4724" w:rsidRPr="00CD4724" w:rsidRDefault="00CD4724" w:rsidP="001C7AC8">
      <w:pPr>
        <w:pStyle w:val="ListParagraph"/>
        <w:ind w:left="0"/>
        <w:rPr>
          <w:highlight w:val="yellow"/>
        </w:rPr>
      </w:pPr>
    </w:p>
    <w:p w14:paraId="10975ED3" w14:textId="5158484A" w:rsidR="00CD4724" w:rsidRPr="005204C8" w:rsidRDefault="00CD4724" w:rsidP="001C7AC8">
      <w:pPr>
        <w:pStyle w:val="ListParagraph"/>
        <w:numPr>
          <w:ilvl w:val="1"/>
          <w:numId w:val="37"/>
        </w:numPr>
        <w:tabs>
          <w:tab w:val="left" w:pos="709"/>
        </w:tabs>
        <w:ind w:left="0" w:firstLine="0"/>
        <w:outlineLvl w:val="2"/>
      </w:pPr>
      <w:r w:rsidRPr="005204C8">
        <w:t xml:space="preserve">Disconnect the driver </w:t>
      </w:r>
      <w:r w:rsidR="00D85EFA" w:rsidRPr="005204C8">
        <w:t xml:space="preserve">and plate </w:t>
      </w:r>
      <w:r w:rsidRPr="005204C8">
        <w:t xml:space="preserve">from the docking station and </w:t>
      </w:r>
      <w:r w:rsidR="00CA1DD8">
        <w:t>transfer to a MBSC</w:t>
      </w:r>
      <w:r w:rsidRPr="005204C8">
        <w:t>.</w:t>
      </w:r>
    </w:p>
    <w:p w14:paraId="19FFD3C4" w14:textId="77777777" w:rsidR="00AA3DE4" w:rsidRDefault="00AA3DE4" w:rsidP="001C7AC8">
      <w:pPr>
        <w:pStyle w:val="ListParagraph"/>
        <w:ind w:left="0"/>
      </w:pPr>
    </w:p>
    <w:p w14:paraId="3B655B9A" w14:textId="54D05AB5" w:rsidR="005D6093" w:rsidRDefault="005D6093">
      <w:pPr>
        <w:pStyle w:val="ListParagraph"/>
        <w:numPr>
          <w:ilvl w:val="1"/>
          <w:numId w:val="37"/>
        </w:numPr>
        <w:tabs>
          <w:tab w:val="left" w:pos="709"/>
        </w:tabs>
        <w:ind w:left="0" w:firstLine="0"/>
        <w:outlineLvl w:val="2"/>
      </w:pPr>
      <w:r>
        <w:t xml:space="preserve">Transfer </w:t>
      </w:r>
      <w:r w:rsidR="002E2279" w:rsidRPr="005C2E62">
        <w:t>50 µ</w:t>
      </w:r>
      <w:r w:rsidR="00E051FD">
        <w:t>L</w:t>
      </w:r>
      <w:r w:rsidR="002E2279" w:rsidRPr="005C2E62">
        <w:t xml:space="preserve"> </w:t>
      </w:r>
      <w:r>
        <w:t xml:space="preserve">of </w:t>
      </w:r>
      <w:r w:rsidR="002E2279" w:rsidRPr="005C2E62">
        <w:t xml:space="preserve">media from each well </w:t>
      </w:r>
      <w:r w:rsidR="002E18BA">
        <w:t xml:space="preserve">using a pipette </w:t>
      </w:r>
      <w:r w:rsidR="002E2279" w:rsidRPr="005C2E62">
        <w:t>to a 96 well plate to perform an</w:t>
      </w:r>
      <w:r w:rsidR="005D307E">
        <w:t xml:space="preserve"> </w:t>
      </w:r>
      <w:r w:rsidR="002E2279" w:rsidRPr="005C2E62">
        <w:t xml:space="preserve">LDH assay </w:t>
      </w:r>
      <w:r w:rsidR="00767654">
        <w:t>(</w:t>
      </w:r>
      <w:r w:rsidR="00767654" w:rsidRPr="00AA3DE4">
        <w:rPr>
          <w:b/>
          <w:bCs/>
        </w:rPr>
        <w:t xml:space="preserve">Table of </w:t>
      </w:r>
      <w:r>
        <w:rPr>
          <w:b/>
          <w:bCs/>
        </w:rPr>
        <w:t>M</w:t>
      </w:r>
      <w:r w:rsidRPr="00AA3DE4">
        <w:rPr>
          <w:b/>
          <w:bCs/>
        </w:rPr>
        <w:t>aterials</w:t>
      </w:r>
      <w:r w:rsidR="00767654">
        <w:t xml:space="preserve">) </w:t>
      </w:r>
      <w:r w:rsidR="002E2279" w:rsidRPr="005C2E62">
        <w:t>before sampling and 25 µ</w:t>
      </w:r>
      <w:r w:rsidR="00276865">
        <w:t>L</w:t>
      </w:r>
      <w:r w:rsidR="002E2279" w:rsidRPr="005C2E62">
        <w:t xml:space="preserve"> for a </w:t>
      </w:r>
      <w:r w:rsidR="00E466AC">
        <w:t>U</w:t>
      </w:r>
      <w:r w:rsidR="002E2279" w:rsidRPr="005C2E62">
        <w:t>rea assay</w:t>
      </w:r>
      <w:r w:rsidR="00767654">
        <w:t xml:space="preserve"> (</w:t>
      </w:r>
      <w:r w:rsidR="00767654" w:rsidRPr="00AA3DE4">
        <w:rPr>
          <w:b/>
          <w:bCs/>
        </w:rPr>
        <w:t xml:space="preserve">Table of </w:t>
      </w:r>
      <w:r>
        <w:rPr>
          <w:b/>
          <w:bCs/>
        </w:rPr>
        <w:t>M</w:t>
      </w:r>
      <w:r w:rsidRPr="00AA3DE4">
        <w:rPr>
          <w:b/>
          <w:bCs/>
        </w:rPr>
        <w:t>aterials</w:t>
      </w:r>
      <w:r w:rsidR="00767654">
        <w:t>)</w:t>
      </w:r>
      <w:r w:rsidR="002E2279" w:rsidRPr="005C2E62">
        <w:t xml:space="preserve">. </w:t>
      </w:r>
    </w:p>
    <w:p w14:paraId="22FC046C" w14:textId="77777777" w:rsidR="005D6093" w:rsidRDefault="005D6093" w:rsidP="001C7AC8">
      <w:pPr>
        <w:pStyle w:val="ListParagraph"/>
      </w:pPr>
    </w:p>
    <w:p w14:paraId="14E94C98" w14:textId="5ECDB82F" w:rsidR="00AA3DE4" w:rsidRDefault="005D6093" w:rsidP="001C7AC8">
      <w:pPr>
        <w:pStyle w:val="ListParagraph"/>
        <w:tabs>
          <w:tab w:val="left" w:pos="709"/>
        </w:tabs>
        <w:ind w:left="0"/>
        <w:outlineLvl w:val="2"/>
      </w:pPr>
      <w:r>
        <w:t xml:space="preserve">NOTE: </w:t>
      </w:r>
      <w:r w:rsidR="00767654">
        <w:t xml:space="preserve">LDH and urea assays will be performed following </w:t>
      </w:r>
      <w:r>
        <w:t xml:space="preserve">the </w:t>
      </w:r>
      <w:r w:rsidR="00767654">
        <w:t>m</w:t>
      </w:r>
      <w:r w:rsidR="005A0514">
        <w:t>anufacturer’s instructions.</w:t>
      </w:r>
    </w:p>
    <w:p w14:paraId="552C2561" w14:textId="77777777" w:rsidR="00AA3DE4" w:rsidRDefault="00AA3DE4" w:rsidP="001C7AC8">
      <w:pPr>
        <w:pStyle w:val="ListParagraph"/>
        <w:ind w:left="0"/>
      </w:pPr>
    </w:p>
    <w:p w14:paraId="5F89677A" w14:textId="7516AC0A" w:rsidR="005D6093" w:rsidRDefault="005D6093">
      <w:pPr>
        <w:pStyle w:val="ListParagraph"/>
        <w:numPr>
          <w:ilvl w:val="1"/>
          <w:numId w:val="37"/>
        </w:numPr>
        <w:tabs>
          <w:tab w:val="left" w:pos="709"/>
        </w:tabs>
        <w:ind w:left="0" w:firstLine="0"/>
        <w:outlineLvl w:val="2"/>
      </w:pPr>
      <w:r>
        <w:t>Continue t</w:t>
      </w:r>
      <w:r w:rsidR="002E2279" w:rsidRPr="005C2E62">
        <w:t>he experiment after QC if</w:t>
      </w:r>
      <w:r w:rsidR="00574CCA" w:rsidRPr="005C2E62">
        <w:t xml:space="preserve"> </w:t>
      </w:r>
      <w:r w:rsidR="002E2279" w:rsidRPr="005C2E62">
        <w:t xml:space="preserve">LDH </w:t>
      </w:r>
      <w:r w:rsidR="00B81B2B">
        <w:t>readings are</w:t>
      </w:r>
      <w:r w:rsidR="002E2279" w:rsidRPr="005C2E62">
        <w:t xml:space="preserve"> lower than 2 AU/10</w:t>
      </w:r>
      <w:r w:rsidR="002E2279" w:rsidRPr="00AA3DE4">
        <w:rPr>
          <w:vertAlign w:val="superscript"/>
        </w:rPr>
        <w:t>6</w:t>
      </w:r>
      <w:r w:rsidR="002E2279" w:rsidRPr="005C2E62">
        <w:t xml:space="preserve"> cells</w:t>
      </w:r>
      <w:r w:rsidR="00574CCA" w:rsidRPr="005C2E62">
        <w:t xml:space="preserve"> and </w:t>
      </w:r>
      <w:r w:rsidR="004D16D1">
        <w:t>u</w:t>
      </w:r>
      <w:r w:rsidR="004D16D1" w:rsidRPr="005C2E62">
        <w:t xml:space="preserve">rea </w:t>
      </w:r>
      <w:r w:rsidR="002E2279" w:rsidRPr="005C2E62">
        <w:t xml:space="preserve">is </w:t>
      </w:r>
      <w:r w:rsidR="00A10C07">
        <w:t>above</w:t>
      </w:r>
      <w:r w:rsidR="002E2279" w:rsidRPr="00667DE1">
        <w:t xml:space="preserve"> </w:t>
      </w:r>
      <w:r w:rsidR="00E6310C">
        <w:t>4</w:t>
      </w:r>
      <w:r w:rsidR="002E2279" w:rsidRPr="00667DE1">
        <w:t>0 μg/day/10</w:t>
      </w:r>
      <w:r w:rsidR="002E2279" w:rsidRPr="00667DE1">
        <w:rPr>
          <w:vertAlign w:val="superscript"/>
        </w:rPr>
        <w:t>6</w:t>
      </w:r>
      <w:r w:rsidR="002E2279" w:rsidRPr="00667DE1">
        <w:t xml:space="preserve"> cells.</w:t>
      </w:r>
      <w:r w:rsidR="002E18BA">
        <w:t xml:space="preserve"> </w:t>
      </w:r>
    </w:p>
    <w:p w14:paraId="256D1C99" w14:textId="77777777" w:rsidR="005D6093" w:rsidRDefault="005D6093" w:rsidP="005D6093">
      <w:pPr>
        <w:pStyle w:val="ListParagraph"/>
        <w:tabs>
          <w:tab w:val="left" w:pos="709"/>
        </w:tabs>
        <w:ind w:left="0"/>
        <w:outlineLvl w:val="2"/>
      </w:pPr>
    </w:p>
    <w:p w14:paraId="610D5110" w14:textId="3CA449A4" w:rsidR="00AA3DE4" w:rsidRDefault="005D6093" w:rsidP="001C7AC8">
      <w:pPr>
        <w:pStyle w:val="ListParagraph"/>
        <w:tabs>
          <w:tab w:val="left" w:pos="709"/>
        </w:tabs>
        <w:ind w:left="0"/>
        <w:outlineLvl w:val="2"/>
      </w:pPr>
      <w:r>
        <w:t xml:space="preserve">NOTE: </w:t>
      </w:r>
      <w:r w:rsidR="002E18BA">
        <w:t xml:space="preserve">Albumin is not used as QC because it is a lengthy assay to run </w:t>
      </w:r>
      <w:r w:rsidR="00AB55EF">
        <w:t>on the day and</w:t>
      </w:r>
      <w:r w:rsidR="002E18BA">
        <w:t xml:space="preserve"> will be assayed </w:t>
      </w:r>
      <w:r w:rsidR="00EC43AD">
        <w:t xml:space="preserve">later </w:t>
      </w:r>
      <w:r w:rsidR="002E18BA">
        <w:t>once the experiment is complete from the samples withdrawn on Day 4</w:t>
      </w:r>
      <w:r w:rsidR="00AB55EF">
        <w:t>.</w:t>
      </w:r>
      <w:r w:rsidR="002E18BA">
        <w:t xml:space="preserve"> </w:t>
      </w:r>
    </w:p>
    <w:p w14:paraId="56EBAFCC" w14:textId="77777777" w:rsidR="00AA3DE4" w:rsidRDefault="00AA3DE4" w:rsidP="001C7AC8">
      <w:pPr>
        <w:pStyle w:val="ListParagraph"/>
        <w:ind w:left="0"/>
      </w:pPr>
    </w:p>
    <w:p w14:paraId="09799E2B" w14:textId="278F8528" w:rsidR="00AA3DE4" w:rsidRDefault="002E2279" w:rsidP="001C7AC8">
      <w:pPr>
        <w:pStyle w:val="ListParagraph"/>
        <w:numPr>
          <w:ilvl w:val="1"/>
          <w:numId w:val="37"/>
        </w:numPr>
        <w:tabs>
          <w:tab w:val="left" w:pos="709"/>
        </w:tabs>
        <w:ind w:left="0" w:firstLine="0"/>
        <w:outlineLvl w:val="2"/>
      </w:pPr>
      <w:r w:rsidRPr="005C2E62">
        <w:t xml:space="preserve">If any wells </w:t>
      </w:r>
      <w:r w:rsidR="005A0514" w:rsidRPr="005C2E62">
        <w:t>fail</w:t>
      </w:r>
      <w:r w:rsidR="00EE26B0">
        <w:t xml:space="preserve"> QC</w:t>
      </w:r>
      <w:r w:rsidRPr="005C2E62">
        <w:t xml:space="preserve">, </w:t>
      </w:r>
      <w:r w:rsidR="00AB55EF">
        <w:t>remove</w:t>
      </w:r>
      <w:r w:rsidR="00EE26B0">
        <w:t xml:space="preserve"> </w:t>
      </w:r>
      <w:r w:rsidR="005D6093">
        <w:t xml:space="preserve">them </w:t>
      </w:r>
      <w:r w:rsidR="00EE26B0">
        <w:t>from the experimental design</w:t>
      </w:r>
      <w:r w:rsidRPr="005C2E62">
        <w:t xml:space="preserve">. </w:t>
      </w:r>
    </w:p>
    <w:p w14:paraId="19B583AE" w14:textId="77777777" w:rsidR="00AA3DE4" w:rsidRDefault="00AA3DE4" w:rsidP="001C7AC8">
      <w:pPr>
        <w:pStyle w:val="ListParagraph"/>
        <w:ind w:left="0"/>
      </w:pPr>
    </w:p>
    <w:p w14:paraId="03E86A56" w14:textId="75271A9D" w:rsidR="00AA3DE4" w:rsidRDefault="002053EE" w:rsidP="001C7AC8">
      <w:pPr>
        <w:pStyle w:val="ListParagraph"/>
        <w:numPr>
          <w:ilvl w:val="1"/>
          <w:numId w:val="37"/>
        </w:numPr>
        <w:tabs>
          <w:tab w:val="left" w:pos="709"/>
        </w:tabs>
        <w:ind w:left="0" w:firstLine="0"/>
        <w:outlineLvl w:val="2"/>
      </w:pPr>
      <w:r>
        <w:t xml:space="preserve">Once </w:t>
      </w:r>
      <w:r w:rsidR="004D16D1">
        <w:t xml:space="preserve">the </w:t>
      </w:r>
      <w:r>
        <w:t>experimental layout is confirmed</w:t>
      </w:r>
      <w:r w:rsidR="005D6093">
        <w:t>,</w:t>
      </w:r>
      <w:r>
        <w:t xml:space="preserve"> </w:t>
      </w:r>
      <w:r w:rsidR="005D6093">
        <w:t xml:space="preserve">sample the </w:t>
      </w:r>
      <w:r>
        <w:t>r</w:t>
      </w:r>
      <w:r w:rsidR="00907970">
        <w:t>emaining m</w:t>
      </w:r>
      <w:r w:rsidR="00907970" w:rsidRPr="005C2E62">
        <w:t>edia from each</w:t>
      </w:r>
      <w:r w:rsidR="00907970">
        <w:t xml:space="preserve"> well,</w:t>
      </w:r>
      <w:r w:rsidR="00907970" w:rsidRPr="005C2E62">
        <w:t xml:space="preserve"> making sure not to disturb the cell culture by touching the scaffold</w:t>
      </w:r>
      <w:r w:rsidR="005D6093">
        <w:t>.</w:t>
      </w:r>
      <w:r w:rsidR="00907970">
        <w:t xml:space="preserve"> </w:t>
      </w:r>
      <w:r w:rsidR="005D6093">
        <w:t xml:space="preserve">Store the </w:t>
      </w:r>
      <w:r w:rsidR="00870918">
        <w:t xml:space="preserve">collected media </w:t>
      </w:r>
      <w:r w:rsidR="007771D8">
        <w:t xml:space="preserve">(labeled as pre-dose samples) </w:t>
      </w:r>
      <w:r w:rsidR="00907970" w:rsidRPr="005C2E62">
        <w:t>at -80</w:t>
      </w:r>
      <w:r w:rsidR="00907970">
        <w:t xml:space="preserve"> </w:t>
      </w:r>
      <w:r w:rsidR="00907970" w:rsidRPr="005C2E62">
        <w:t>˚C for later assays</w:t>
      </w:r>
      <w:r w:rsidR="002E18BA">
        <w:t>.</w:t>
      </w:r>
      <w:r w:rsidR="00FB7D1F">
        <w:t xml:space="preserve"> </w:t>
      </w:r>
    </w:p>
    <w:p w14:paraId="0644247C" w14:textId="77777777" w:rsidR="00AA3DE4" w:rsidRDefault="00AA3DE4" w:rsidP="001C7AC8">
      <w:pPr>
        <w:pStyle w:val="ListParagraph"/>
        <w:ind w:left="0"/>
      </w:pPr>
    </w:p>
    <w:p w14:paraId="4ACCA1A6" w14:textId="01D2F52C" w:rsidR="00AA3DE4" w:rsidRDefault="002E2279" w:rsidP="001C7AC8">
      <w:pPr>
        <w:pStyle w:val="ListParagraph"/>
        <w:numPr>
          <w:ilvl w:val="1"/>
          <w:numId w:val="37"/>
        </w:numPr>
        <w:tabs>
          <w:tab w:val="left" w:pos="709"/>
        </w:tabs>
        <w:ind w:left="0" w:firstLine="0"/>
        <w:outlineLvl w:val="2"/>
      </w:pPr>
      <w:r>
        <w:t xml:space="preserve">Perform </w:t>
      </w:r>
      <w:r w:rsidR="004D16D1" w:rsidRPr="004D16D1">
        <w:rPr>
          <w:b/>
          <w:bCs/>
        </w:rPr>
        <w:t>Media Change</w:t>
      </w:r>
      <w:r w:rsidR="004D16D1">
        <w:t xml:space="preserve"> </w:t>
      </w:r>
      <w:r>
        <w:t xml:space="preserve">in a </w:t>
      </w:r>
      <w:r w:rsidR="5A05AE8C">
        <w:t xml:space="preserve">MBSC </w:t>
      </w:r>
      <w:r w:rsidR="00783773">
        <w:t>follow</w:t>
      </w:r>
      <w:r w:rsidR="005D6093">
        <w:t>ing</w:t>
      </w:r>
      <w:r w:rsidR="00783773">
        <w:t xml:space="preserve"> steps </w:t>
      </w:r>
      <w:r>
        <w:fldChar w:fldCharType="begin"/>
      </w:r>
      <w:r>
        <w:instrText xml:space="preserve"> REF _Ref83215707 \r \h </w:instrText>
      </w:r>
      <w:r>
        <w:fldChar w:fldCharType="separate"/>
      </w:r>
      <w:r w:rsidR="00783773">
        <w:t>4.3</w:t>
      </w:r>
      <w:r>
        <w:fldChar w:fldCharType="end"/>
      </w:r>
      <w:r w:rsidR="005D6093">
        <w:t>–</w:t>
      </w:r>
      <w:r>
        <w:fldChar w:fldCharType="begin"/>
      </w:r>
      <w:r>
        <w:instrText xml:space="preserve"> REF _Ref83215711 \r \h </w:instrText>
      </w:r>
      <w:r>
        <w:fldChar w:fldCharType="separate"/>
      </w:r>
      <w:r w:rsidR="00783773">
        <w:t>4.5</w:t>
      </w:r>
      <w:r>
        <w:fldChar w:fldCharType="end"/>
      </w:r>
      <w:r w:rsidR="00783773">
        <w:t>.</w:t>
      </w:r>
      <w:r w:rsidR="000D612B">
        <w:t xml:space="preserve"> </w:t>
      </w:r>
      <w:r w:rsidR="005D6093">
        <w:t>Change the w</w:t>
      </w:r>
      <w:r w:rsidR="000D612B">
        <w:t xml:space="preserve">ells </w:t>
      </w:r>
      <w:r w:rsidR="00C80D4D">
        <w:t xml:space="preserve">to </w:t>
      </w:r>
      <w:r w:rsidR="005D6093">
        <w:t xml:space="preserve">Maintenance </w:t>
      </w:r>
      <w:r w:rsidR="002E18BA">
        <w:t>Advanced DMEM medium</w:t>
      </w:r>
      <w:r w:rsidR="00C80D4D">
        <w:t xml:space="preserve"> </w:t>
      </w:r>
      <w:r w:rsidR="003973B1">
        <w:t xml:space="preserve">with the </w:t>
      </w:r>
      <w:r w:rsidR="007D4C63">
        <w:t xml:space="preserve">right </w:t>
      </w:r>
      <w:r w:rsidR="005D6093">
        <w:t>drug concentration</w:t>
      </w:r>
      <w:r w:rsidR="007D4C63">
        <w:t xml:space="preserve"> according to the experimental design.</w:t>
      </w:r>
    </w:p>
    <w:p w14:paraId="27624395" w14:textId="77777777" w:rsidR="00AA3DE4" w:rsidRDefault="00AA3DE4" w:rsidP="001C7AC8">
      <w:pPr>
        <w:pStyle w:val="ListParagraph"/>
        <w:ind w:left="0"/>
      </w:pPr>
    </w:p>
    <w:p w14:paraId="78F9CD7F" w14:textId="23B82866" w:rsidR="002E2279" w:rsidRPr="005C2E62" w:rsidRDefault="007D4C63" w:rsidP="001C7AC8">
      <w:pPr>
        <w:pStyle w:val="ListParagraph"/>
        <w:numPr>
          <w:ilvl w:val="1"/>
          <w:numId w:val="37"/>
        </w:numPr>
        <w:tabs>
          <w:tab w:val="left" w:pos="709"/>
        </w:tabs>
        <w:ind w:left="0" w:firstLine="0"/>
        <w:outlineLvl w:val="2"/>
      </w:pPr>
      <w:r>
        <w:t>Once complete</w:t>
      </w:r>
      <w:r w:rsidR="21529DC6">
        <w:t>,</w:t>
      </w:r>
      <w:r w:rsidR="006A025D">
        <w:t xml:space="preserve"> </w:t>
      </w:r>
      <w:r w:rsidR="002E2279">
        <w:t xml:space="preserve">return the driver onto the </w:t>
      </w:r>
      <w:r w:rsidR="00500011">
        <w:t>d</w:t>
      </w:r>
      <w:r w:rsidR="002E2279">
        <w:t xml:space="preserve">ocking </w:t>
      </w:r>
      <w:r w:rsidR="00500011">
        <w:t>s</w:t>
      </w:r>
      <w:r w:rsidR="002E2279">
        <w:t xml:space="preserve">tation in the incubator and run the </w:t>
      </w:r>
      <w:r w:rsidR="002E2279" w:rsidRPr="001C7AC8">
        <w:rPr>
          <w:b/>
          <w:bCs/>
        </w:rPr>
        <w:t>Incubate</w:t>
      </w:r>
      <w:r w:rsidR="002E2279">
        <w:t xml:space="preserve"> program. </w:t>
      </w:r>
    </w:p>
    <w:p w14:paraId="224D76DA" w14:textId="77777777" w:rsidR="002E2279" w:rsidRPr="001C7AC8" w:rsidRDefault="002E2279" w:rsidP="00B3744F">
      <w:pPr>
        <w:rPr>
          <w:b/>
          <w:bCs/>
        </w:rPr>
      </w:pPr>
    </w:p>
    <w:p w14:paraId="1A1679AF" w14:textId="271F752C" w:rsidR="00E74AD2" w:rsidRPr="002772FC" w:rsidRDefault="00207E56" w:rsidP="001C7AC8">
      <w:pPr>
        <w:pStyle w:val="ListParagraph"/>
        <w:numPr>
          <w:ilvl w:val="0"/>
          <w:numId w:val="13"/>
        </w:numPr>
        <w:ind w:left="0" w:firstLine="0"/>
        <w:rPr>
          <w:b/>
          <w:bCs/>
          <w:highlight w:val="yellow"/>
        </w:rPr>
      </w:pPr>
      <w:r w:rsidRPr="002772FC">
        <w:rPr>
          <w:b/>
          <w:bCs/>
          <w:highlight w:val="yellow"/>
        </w:rPr>
        <w:t xml:space="preserve">Media </w:t>
      </w:r>
      <w:r w:rsidR="002E18BA" w:rsidRPr="002772FC">
        <w:rPr>
          <w:b/>
          <w:bCs/>
          <w:highlight w:val="yellow"/>
        </w:rPr>
        <w:t>collection</w:t>
      </w:r>
      <w:r w:rsidRPr="002772FC">
        <w:rPr>
          <w:b/>
          <w:bCs/>
          <w:highlight w:val="yellow"/>
        </w:rPr>
        <w:t>, media change and drug dosing (Day 6)</w:t>
      </w:r>
    </w:p>
    <w:p w14:paraId="7CDED35A" w14:textId="77777777" w:rsidR="009D5A97" w:rsidRPr="002772FC" w:rsidRDefault="009D5A97" w:rsidP="001C7AC8">
      <w:pPr>
        <w:pStyle w:val="ListParagraph"/>
        <w:ind w:left="0"/>
        <w:rPr>
          <w:highlight w:val="yellow"/>
        </w:rPr>
      </w:pPr>
    </w:p>
    <w:p w14:paraId="37672F7F" w14:textId="1F092A9F" w:rsidR="00AA3DE4" w:rsidRPr="002772FC" w:rsidRDefault="002E2279" w:rsidP="001C7AC8">
      <w:pPr>
        <w:pStyle w:val="ListParagraph"/>
        <w:numPr>
          <w:ilvl w:val="1"/>
          <w:numId w:val="38"/>
        </w:numPr>
        <w:tabs>
          <w:tab w:val="left" w:pos="709"/>
        </w:tabs>
        <w:ind w:left="0" w:firstLine="0"/>
        <w:outlineLvl w:val="2"/>
        <w:rPr>
          <w:highlight w:val="yellow"/>
        </w:rPr>
      </w:pPr>
      <w:r w:rsidRPr="002772FC">
        <w:rPr>
          <w:highlight w:val="yellow"/>
        </w:rPr>
        <w:t xml:space="preserve">Prepare fresh stock solutions for each compound to test (either in </w:t>
      </w:r>
      <w:r w:rsidR="005D6093" w:rsidRPr="002772FC">
        <w:rPr>
          <w:highlight w:val="yellow"/>
        </w:rPr>
        <w:t xml:space="preserve">Maintenance </w:t>
      </w:r>
      <w:r w:rsidR="002E18BA" w:rsidRPr="002772FC">
        <w:rPr>
          <w:highlight w:val="yellow"/>
        </w:rPr>
        <w:t>Advanced DMEM medium</w:t>
      </w:r>
      <w:r w:rsidRPr="002772FC">
        <w:rPr>
          <w:highlight w:val="yellow"/>
        </w:rPr>
        <w:t xml:space="preserve"> or </w:t>
      </w:r>
      <w:r w:rsidR="005D6093" w:rsidRPr="002772FC">
        <w:rPr>
          <w:highlight w:val="yellow"/>
        </w:rPr>
        <w:t xml:space="preserve">Maintenance </w:t>
      </w:r>
      <w:r w:rsidR="002E18BA" w:rsidRPr="002772FC">
        <w:rPr>
          <w:highlight w:val="yellow"/>
        </w:rPr>
        <w:t>Advanced DMEM medium</w:t>
      </w:r>
      <w:r w:rsidR="00A022B3" w:rsidRPr="002772FC">
        <w:rPr>
          <w:highlight w:val="yellow"/>
        </w:rPr>
        <w:t xml:space="preserve"> containing 0.1% </w:t>
      </w:r>
      <w:r w:rsidRPr="002772FC">
        <w:rPr>
          <w:highlight w:val="yellow"/>
        </w:rPr>
        <w:t xml:space="preserve">DMSO, depending on </w:t>
      </w:r>
      <w:r w:rsidR="005C0259" w:rsidRPr="002772FC">
        <w:rPr>
          <w:highlight w:val="yellow"/>
        </w:rPr>
        <w:t xml:space="preserve">the </w:t>
      </w:r>
      <w:r w:rsidRPr="002772FC">
        <w:rPr>
          <w:highlight w:val="yellow"/>
        </w:rPr>
        <w:t>solubility</w:t>
      </w:r>
      <w:r w:rsidR="005C0259" w:rsidRPr="002772FC">
        <w:rPr>
          <w:highlight w:val="yellow"/>
        </w:rPr>
        <w:t xml:space="preserve"> of each compound</w:t>
      </w:r>
      <w:r w:rsidRPr="002772FC">
        <w:rPr>
          <w:highlight w:val="yellow"/>
        </w:rPr>
        <w:t xml:space="preserve">). Prepare dilutions accordingly to yield test concentrations for each compound according to the plate plan. </w:t>
      </w:r>
    </w:p>
    <w:p w14:paraId="103581F4" w14:textId="77777777" w:rsidR="00E612B7" w:rsidRPr="002772FC" w:rsidRDefault="00E612B7" w:rsidP="001C7AC8">
      <w:pPr>
        <w:pStyle w:val="ListParagraph"/>
        <w:ind w:left="0"/>
        <w:rPr>
          <w:highlight w:val="yellow"/>
        </w:rPr>
      </w:pPr>
    </w:p>
    <w:p w14:paraId="7652FC14" w14:textId="56C416B8" w:rsidR="00E612B7" w:rsidRPr="002772FC" w:rsidRDefault="00E612B7" w:rsidP="001C7AC8">
      <w:pPr>
        <w:pStyle w:val="ListParagraph"/>
        <w:numPr>
          <w:ilvl w:val="1"/>
          <w:numId w:val="38"/>
        </w:numPr>
        <w:tabs>
          <w:tab w:val="left" w:pos="709"/>
        </w:tabs>
        <w:ind w:left="0" w:firstLine="0"/>
        <w:outlineLvl w:val="2"/>
        <w:rPr>
          <w:highlight w:val="yellow"/>
        </w:rPr>
      </w:pPr>
      <w:r w:rsidRPr="002772FC">
        <w:rPr>
          <w:highlight w:val="yellow"/>
        </w:rPr>
        <w:t>Disconnect the driver and the plate from the docking station and transfer to a MBSC.</w:t>
      </w:r>
    </w:p>
    <w:p w14:paraId="090FA88F" w14:textId="77777777" w:rsidR="00AA3DE4" w:rsidRPr="002772FC" w:rsidRDefault="00AA3DE4" w:rsidP="001C7AC8">
      <w:pPr>
        <w:pStyle w:val="ListParagraph"/>
        <w:ind w:left="0"/>
        <w:rPr>
          <w:highlight w:val="yellow"/>
        </w:rPr>
      </w:pPr>
    </w:p>
    <w:p w14:paraId="0F7350EA" w14:textId="31C364ED" w:rsidR="00AA3DE4" w:rsidRPr="002772FC" w:rsidRDefault="00037587" w:rsidP="001C7AC8">
      <w:pPr>
        <w:pStyle w:val="ListParagraph"/>
        <w:numPr>
          <w:ilvl w:val="1"/>
          <w:numId w:val="38"/>
        </w:numPr>
        <w:tabs>
          <w:tab w:val="left" w:pos="709"/>
        </w:tabs>
        <w:ind w:left="0" w:firstLine="0"/>
        <w:outlineLvl w:val="2"/>
        <w:rPr>
          <w:highlight w:val="yellow"/>
        </w:rPr>
      </w:pPr>
      <w:r w:rsidRPr="002772FC">
        <w:rPr>
          <w:highlight w:val="yellow"/>
        </w:rPr>
        <w:t>Collect</w:t>
      </w:r>
      <w:r w:rsidR="008A6AFA" w:rsidRPr="002772FC">
        <w:rPr>
          <w:highlight w:val="yellow"/>
        </w:rPr>
        <w:t xml:space="preserve"> m</w:t>
      </w:r>
      <w:r w:rsidR="002E2279" w:rsidRPr="002772FC">
        <w:rPr>
          <w:highlight w:val="yellow"/>
        </w:rPr>
        <w:t xml:space="preserve">edia from each </w:t>
      </w:r>
      <w:r w:rsidR="006C6D43" w:rsidRPr="002772FC">
        <w:rPr>
          <w:highlight w:val="yellow"/>
        </w:rPr>
        <w:t xml:space="preserve">well </w:t>
      </w:r>
      <w:r w:rsidRPr="002772FC">
        <w:rPr>
          <w:highlight w:val="yellow"/>
        </w:rPr>
        <w:t>(</w:t>
      </w:r>
      <w:r w:rsidR="005D6093" w:rsidRPr="002772FC">
        <w:rPr>
          <w:highlight w:val="yellow"/>
        </w:rPr>
        <w:t>~</w:t>
      </w:r>
      <w:r w:rsidRPr="002772FC">
        <w:rPr>
          <w:highlight w:val="yellow"/>
        </w:rPr>
        <w:t xml:space="preserve">1 mL) </w:t>
      </w:r>
      <w:r w:rsidR="00D038A8" w:rsidRPr="002772FC">
        <w:rPr>
          <w:highlight w:val="yellow"/>
        </w:rPr>
        <w:t xml:space="preserve">manually with a pipette </w:t>
      </w:r>
      <w:r w:rsidR="006C6D43" w:rsidRPr="002772FC">
        <w:rPr>
          <w:highlight w:val="yellow"/>
        </w:rPr>
        <w:t>making</w:t>
      </w:r>
      <w:r w:rsidR="002E2279" w:rsidRPr="002772FC">
        <w:rPr>
          <w:highlight w:val="yellow"/>
        </w:rPr>
        <w:t xml:space="preserve"> sure not to disturb the cell culture by touching the scaffold</w:t>
      </w:r>
      <w:r w:rsidR="0040540B" w:rsidRPr="002772FC">
        <w:rPr>
          <w:highlight w:val="yellow"/>
        </w:rPr>
        <w:t xml:space="preserve">, </w:t>
      </w:r>
      <w:r w:rsidR="00902730" w:rsidRPr="002772FC">
        <w:rPr>
          <w:highlight w:val="yellow"/>
        </w:rPr>
        <w:t>assay for LDH and Urea</w:t>
      </w:r>
      <w:r w:rsidR="005D6093" w:rsidRPr="002772FC">
        <w:rPr>
          <w:highlight w:val="yellow"/>
        </w:rPr>
        <w:t>.</w:t>
      </w:r>
      <w:r w:rsidR="00902730" w:rsidRPr="002772FC">
        <w:rPr>
          <w:highlight w:val="yellow"/>
        </w:rPr>
        <w:t xml:space="preserve"> </w:t>
      </w:r>
      <w:r w:rsidR="005D6093" w:rsidRPr="002772FC">
        <w:rPr>
          <w:highlight w:val="yellow"/>
        </w:rPr>
        <w:t>S</w:t>
      </w:r>
      <w:r w:rsidR="004C092E" w:rsidRPr="002772FC">
        <w:rPr>
          <w:highlight w:val="yellow"/>
        </w:rPr>
        <w:t>tore</w:t>
      </w:r>
      <w:r w:rsidR="00870918" w:rsidRPr="002772FC">
        <w:rPr>
          <w:highlight w:val="yellow"/>
        </w:rPr>
        <w:t xml:space="preserve"> </w:t>
      </w:r>
      <w:r w:rsidRPr="002772FC">
        <w:rPr>
          <w:highlight w:val="yellow"/>
        </w:rPr>
        <w:t xml:space="preserve">the </w:t>
      </w:r>
      <w:r w:rsidR="004170E6" w:rsidRPr="002772FC">
        <w:rPr>
          <w:highlight w:val="yellow"/>
        </w:rPr>
        <w:t xml:space="preserve">rest of </w:t>
      </w:r>
      <w:r w:rsidR="005D6093" w:rsidRPr="002772FC">
        <w:rPr>
          <w:highlight w:val="yellow"/>
        </w:rPr>
        <w:t xml:space="preserve">the </w:t>
      </w:r>
      <w:r w:rsidR="004170E6" w:rsidRPr="002772FC">
        <w:rPr>
          <w:highlight w:val="yellow"/>
        </w:rPr>
        <w:t>collected</w:t>
      </w:r>
      <w:r w:rsidR="00870918" w:rsidRPr="002772FC">
        <w:rPr>
          <w:highlight w:val="yellow"/>
        </w:rPr>
        <w:t xml:space="preserve"> media</w:t>
      </w:r>
      <w:r w:rsidR="004C092E" w:rsidRPr="002772FC">
        <w:rPr>
          <w:highlight w:val="yellow"/>
        </w:rPr>
        <w:t xml:space="preserve"> at -80 ˚C for later assays</w:t>
      </w:r>
      <w:r w:rsidR="00C07731" w:rsidRPr="002772FC">
        <w:rPr>
          <w:highlight w:val="yellow"/>
        </w:rPr>
        <w:t>, and label</w:t>
      </w:r>
      <w:r w:rsidR="005D6093" w:rsidRPr="002772FC">
        <w:rPr>
          <w:highlight w:val="yellow"/>
        </w:rPr>
        <w:t xml:space="preserve"> them</w:t>
      </w:r>
      <w:r w:rsidR="00C07731" w:rsidRPr="002772FC">
        <w:rPr>
          <w:highlight w:val="yellow"/>
        </w:rPr>
        <w:t xml:space="preserve"> 48 h post-dose samples. </w:t>
      </w:r>
    </w:p>
    <w:p w14:paraId="55F3D070" w14:textId="77777777" w:rsidR="00AA3DE4" w:rsidRPr="002772FC" w:rsidRDefault="00AA3DE4" w:rsidP="001C7AC8">
      <w:pPr>
        <w:pStyle w:val="ListParagraph"/>
        <w:ind w:left="0"/>
        <w:rPr>
          <w:highlight w:val="yellow"/>
        </w:rPr>
      </w:pPr>
    </w:p>
    <w:p w14:paraId="04CA04EB" w14:textId="7E413EE5" w:rsidR="00AA3DE4" w:rsidRPr="002772FC" w:rsidRDefault="0091629E" w:rsidP="001C7AC8">
      <w:pPr>
        <w:pStyle w:val="ListParagraph"/>
        <w:numPr>
          <w:ilvl w:val="1"/>
          <w:numId w:val="38"/>
        </w:numPr>
        <w:tabs>
          <w:tab w:val="left" w:pos="709"/>
        </w:tabs>
        <w:ind w:left="0" w:firstLine="0"/>
        <w:outlineLvl w:val="2"/>
        <w:rPr>
          <w:highlight w:val="yellow"/>
        </w:rPr>
      </w:pPr>
      <w:r w:rsidRPr="002772FC">
        <w:rPr>
          <w:highlight w:val="yellow"/>
        </w:rPr>
        <w:t xml:space="preserve">Re-dose </w:t>
      </w:r>
      <w:r w:rsidR="00423623" w:rsidRPr="002772FC">
        <w:rPr>
          <w:highlight w:val="yellow"/>
        </w:rPr>
        <w:t>each</w:t>
      </w:r>
      <w:r w:rsidRPr="002772FC">
        <w:rPr>
          <w:highlight w:val="yellow"/>
        </w:rPr>
        <w:t xml:space="preserve"> well </w:t>
      </w:r>
      <w:r w:rsidR="00263F42" w:rsidRPr="002772FC">
        <w:rPr>
          <w:highlight w:val="yellow"/>
        </w:rPr>
        <w:t xml:space="preserve">with </w:t>
      </w:r>
      <w:r w:rsidRPr="002772FC">
        <w:rPr>
          <w:highlight w:val="yellow"/>
        </w:rPr>
        <w:t>the same drug concentration as on Day 4 and according to the plate plan by p</w:t>
      </w:r>
      <w:r w:rsidR="002E2279" w:rsidRPr="002772FC">
        <w:rPr>
          <w:highlight w:val="yellow"/>
        </w:rPr>
        <w:t>erform</w:t>
      </w:r>
      <w:r w:rsidRPr="002772FC">
        <w:rPr>
          <w:highlight w:val="yellow"/>
        </w:rPr>
        <w:t>ing</w:t>
      </w:r>
      <w:r w:rsidR="002E2279" w:rsidRPr="002772FC">
        <w:rPr>
          <w:highlight w:val="yellow"/>
        </w:rPr>
        <w:t xml:space="preserve"> </w:t>
      </w:r>
      <w:r w:rsidR="005D6093" w:rsidRPr="002772FC">
        <w:rPr>
          <w:b/>
          <w:bCs/>
          <w:highlight w:val="yellow"/>
        </w:rPr>
        <w:t xml:space="preserve">Media </w:t>
      </w:r>
      <w:r w:rsidR="004D16D1">
        <w:rPr>
          <w:b/>
          <w:bCs/>
          <w:highlight w:val="yellow"/>
        </w:rPr>
        <w:t>C</w:t>
      </w:r>
      <w:r w:rsidR="002968EA" w:rsidRPr="002772FC">
        <w:rPr>
          <w:b/>
          <w:bCs/>
          <w:highlight w:val="yellow"/>
        </w:rPr>
        <w:t>hange</w:t>
      </w:r>
      <w:r w:rsidR="005D6093" w:rsidRPr="002772FC">
        <w:rPr>
          <w:highlight w:val="yellow"/>
        </w:rPr>
        <w:t xml:space="preserve"> </w:t>
      </w:r>
      <w:r w:rsidR="001E5B4C" w:rsidRPr="002772FC">
        <w:rPr>
          <w:highlight w:val="yellow"/>
        </w:rPr>
        <w:t xml:space="preserve">following </w:t>
      </w:r>
      <w:r w:rsidR="002E2279" w:rsidRPr="002772FC">
        <w:rPr>
          <w:highlight w:val="yellow"/>
        </w:rPr>
        <w:t>step</w:t>
      </w:r>
      <w:r w:rsidR="00EE0C2F" w:rsidRPr="002772FC">
        <w:rPr>
          <w:highlight w:val="yellow"/>
        </w:rPr>
        <w:t>s</w:t>
      </w:r>
      <w:r w:rsidR="00557ACE" w:rsidRPr="002772FC">
        <w:rPr>
          <w:highlight w:val="yellow"/>
        </w:rPr>
        <w:t xml:space="preserve"> </w:t>
      </w:r>
      <w:r w:rsidRPr="002772FC">
        <w:rPr>
          <w:highlight w:val="yellow"/>
        </w:rPr>
        <w:fldChar w:fldCharType="begin"/>
      </w:r>
      <w:r w:rsidRPr="002772FC">
        <w:rPr>
          <w:highlight w:val="yellow"/>
        </w:rPr>
        <w:instrText xml:space="preserve"> REF _Ref83215707 \r \h </w:instrText>
      </w:r>
      <w:r w:rsidR="00FA1B7C">
        <w:rPr>
          <w:highlight w:val="yellow"/>
        </w:rPr>
        <w:instrText xml:space="preserve"> \* MERGEFORMAT </w:instrText>
      </w:r>
      <w:r w:rsidRPr="002772FC">
        <w:rPr>
          <w:highlight w:val="yellow"/>
        </w:rPr>
      </w:r>
      <w:r w:rsidRPr="002772FC">
        <w:rPr>
          <w:highlight w:val="yellow"/>
        </w:rPr>
        <w:fldChar w:fldCharType="separate"/>
      </w:r>
      <w:r w:rsidR="00557ACE" w:rsidRPr="002772FC">
        <w:rPr>
          <w:highlight w:val="yellow"/>
        </w:rPr>
        <w:t>4.3</w:t>
      </w:r>
      <w:r w:rsidRPr="002772FC">
        <w:rPr>
          <w:highlight w:val="yellow"/>
        </w:rPr>
        <w:fldChar w:fldCharType="end"/>
      </w:r>
      <w:r w:rsidR="005D6093" w:rsidRPr="002772FC">
        <w:rPr>
          <w:highlight w:val="yellow"/>
        </w:rPr>
        <w:t>–</w:t>
      </w:r>
      <w:r w:rsidRPr="002772FC">
        <w:rPr>
          <w:highlight w:val="yellow"/>
        </w:rPr>
        <w:fldChar w:fldCharType="begin"/>
      </w:r>
      <w:r w:rsidRPr="002772FC">
        <w:rPr>
          <w:highlight w:val="yellow"/>
        </w:rPr>
        <w:instrText xml:space="preserve"> REF _Ref83215711 \r \h </w:instrText>
      </w:r>
      <w:r w:rsidR="00FA1B7C">
        <w:rPr>
          <w:highlight w:val="yellow"/>
        </w:rPr>
        <w:instrText xml:space="preserve"> \* MERGEFORMAT </w:instrText>
      </w:r>
      <w:r w:rsidRPr="002772FC">
        <w:rPr>
          <w:highlight w:val="yellow"/>
        </w:rPr>
      </w:r>
      <w:r w:rsidRPr="002772FC">
        <w:rPr>
          <w:highlight w:val="yellow"/>
        </w:rPr>
        <w:fldChar w:fldCharType="separate"/>
      </w:r>
      <w:r w:rsidR="00557ACE" w:rsidRPr="002772FC">
        <w:rPr>
          <w:highlight w:val="yellow"/>
        </w:rPr>
        <w:t>4.5</w:t>
      </w:r>
      <w:r w:rsidRPr="002772FC">
        <w:rPr>
          <w:highlight w:val="yellow"/>
        </w:rPr>
        <w:fldChar w:fldCharType="end"/>
      </w:r>
      <w:r w:rsidR="00A501D4" w:rsidRPr="002772FC">
        <w:rPr>
          <w:highlight w:val="yellow"/>
        </w:rPr>
        <w:t>.</w:t>
      </w:r>
    </w:p>
    <w:p w14:paraId="552B55B4" w14:textId="77777777" w:rsidR="00AA3DE4" w:rsidRPr="002772FC" w:rsidRDefault="00AA3DE4" w:rsidP="001C7AC8">
      <w:pPr>
        <w:pStyle w:val="ListParagraph"/>
        <w:ind w:left="0"/>
        <w:rPr>
          <w:highlight w:val="yellow"/>
        </w:rPr>
      </w:pPr>
    </w:p>
    <w:p w14:paraId="7C33651D" w14:textId="4F271FB0" w:rsidR="00902730" w:rsidRPr="002772FC" w:rsidRDefault="00902730" w:rsidP="001C7AC8">
      <w:pPr>
        <w:pStyle w:val="ListParagraph"/>
        <w:numPr>
          <w:ilvl w:val="1"/>
          <w:numId w:val="38"/>
        </w:numPr>
        <w:tabs>
          <w:tab w:val="left" w:pos="709"/>
        </w:tabs>
        <w:ind w:left="0" w:firstLine="0"/>
        <w:outlineLvl w:val="2"/>
        <w:rPr>
          <w:highlight w:val="yellow"/>
        </w:rPr>
      </w:pPr>
      <w:r w:rsidRPr="002772FC">
        <w:rPr>
          <w:highlight w:val="yellow"/>
        </w:rPr>
        <w:t>Once complete</w:t>
      </w:r>
      <w:r w:rsidR="005D6093" w:rsidRPr="002772FC">
        <w:rPr>
          <w:highlight w:val="yellow"/>
        </w:rPr>
        <w:t>,</w:t>
      </w:r>
      <w:r w:rsidRPr="002772FC">
        <w:rPr>
          <w:highlight w:val="yellow"/>
        </w:rPr>
        <w:t xml:space="preserve"> return the driver onto the </w:t>
      </w:r>
      <w:r w:rsidR="00251B20" w:rsidRPr="002772FC">
        <w:rPr>
          <w:highlight w:val="yellow"/>
        </w:rPr>
        <w:t>d</w:t>
      </w:r>
      <w:r w:rsidRPr="002772FC">
        <w:rPr>
          <w:highlight w:val="yellow"/>
        </w:rPr>
        <w:t xml:space="preserve">ocking </w:t>
      </w:r>
      <w:r w:rsidR="00251B20" w:rsidRPr="002772FC">
        <w:rPr>
          <w:highlight w:val="yellow"/>
        </w:rPr>
        <w:t>s</w:t>
      </w:r>
      <w:r w:rsidRPr="002772FC">
        <w:rPr>
          <w:highlight w:val="yellow"/>
        </w:rPr>
        <w:t xml:space="preserve">tation in the incubator and run the </w:t>
      </w:r>
      <w:r w:rsidRPr="002772FC">
        <w:rPr>
          <w:b/>
          <w:bCs/>
          <w:highlight w:val="yellow"/>
        </w:rPr>
        <w:t>Incubate</w:t>
      </w:r>
      <w:r w:rsidRPr="002772FC">
        <w:rPr>
          <w:highlight w:val="yellow"/>
        </w:rPr>
        <w:t xml:space="preserve"> program. </w:t>
      </w:r>
    </w:p>
    <w:p w14:paraId="2581166F" w14:textId="77777777" w:rsidR="002E2279" w:rsidRPr="005C2E62" w:rsidRDefault="002E2279" w:rsidP="00B3744F"/>
    <w:p w14:paraId="298E4F8B" w14:textId="1CF15C32" w:rsidR="00CE1AA3" w:rsidRPr="002772FC" w:rsidRDefault="00207E56" w:rsidP="001C7AC8">
      <w:pPr>
        <w:pStyle w:val="ListParagraph"/>
        <w:numPr>
          <w:ilvl w:val="0"/>
          <w:numId w:val="13"/>
        </w:numPr>
        <w:ind w:left="0" w:firstLine="0"/>
        <w:rPr>
          <w:b/>
          <w:bCs/>
          <w:highlight w:val="yellow"/>
        </w:rPr>
      </w:pPr>
      <w:r w:rsidRPr="002772FC">
        <w:rPr>
          <w:b/>
          <w:bCs/>
          <w:highlight w:val="yellow"/>
        </w:rPr>
        <w:t>Ending the experiment (Day 8)</w:t>
      </w:r>
    </w:p>
    <w:p w14:paraId="726AA8E0" w14:textId="77777777" w:rsidR="009D5A97" w:rsidRPr="002772FC" w:rsidRDefault="009D5A97" w:rsidP="001C7AC8">
      <w:pPr>
        <w:pStyle w:val="ListParagraph"/>
        <w:ind w:left="0"/>
        <w:rPr>
          <w:highlight w:val="yellow"/>
        </w:rPr>
      </w:pPr>
    </w:p>
    <w:p w14:paraId="06DB7EC4" w14:textId="0D069AC0" w:rsidR="0012539E" w:rsidRPr="002772FC" w:rsidRDefault="0012539E" w:rsidP="001C7AC8">
      <w:pPr>
        <w:pStyle w:val="ListParagraph"/>
        <w:numPr>
          <w:ilvl w:val="1"/>
          <w:numId w:val="39"/>
        </w:numPr>
        <w:tabs>
          <w:tab w:val="left" w:pos="709"/>
        </w:tabs>
        <w:ind w:left="0" w:firstLine="0"/>
        <w:outlineLvl w:val="2"/>
        <w:rPr>
          <w:highlight w:val="yellow"/>
        </w:rPr>
      </w:pPr>
      <w:r w:rsidRPr="002772FC">
        <w:rPr>
          <w:highlight w:val="yellow"/>
        </w:rPr>
        <w:t>Disconnect the driver and the plate from the docking station and transfer to a MBSC.</w:t>
      </w:r>
    </w:p>
    <w:p w14:paraId="11EB9DBD" w14:textId="77777777" w:rsidR="0012539E" w:rsidRPr="002772FC" w:rsidRDefault="0012539E" w:rsidP="001C7AC8">
      <w:pPr>
        <w:pStyle w:val="ListParagraph"/>
        <w:ind w:left="0"/>
        <w:rPr>
          <w:highlight w:val="yellow"/>
        </w:rPr>
      </w:pPr>
    </w:p>
    <w:p w14:paraId="704B61A3" w14:textId="5E1D1E15" w:rsidR="00AA3DE4" w:rsidRPr="002772FC" w:rsidRDefault="00072336" w:rsidP="001C7AC8">
      <w:pPr>
        <w:pStyle w:val="ListParagraph"/>
        <w:numPr>
          <w:ilvl w:val="1"/>
          <w:numId w:val="39"/>
        </w:numPr>
        <w:tabs>
          <w:tab w:val="left" w:pos="709"/>
        </w:tabs>
        <w:ind w:left="0" w:firstLine="0"/>
        <w:outlineLvl w:val="2"/>
        <w:rPr>
          <w:highlight w:val="yellow"/>
        </w:rPr>
      </w:pPr>
      <w:r w:rsidRPr="002772FC">
        <w:rPr>
          <w:highlight w:val="yellow"/>
        </w:rPr>
        <w:t>Sample media</w:t>
      </w:r>
      <w:r w:rsidR="00870918" w:rsidRPr="002772FC">
        <w:rPr>
          <w:highlight w:val="yellow"/>
        </w:rPr>
        <w:t xml:space="preserve"> </w:t>
      </w:r>
      <w:r w:rsidR="002E2279" w:rsidRPr="002772FC">
        <w:rPr>
          <w:highlight w:val="yellow"/>
        </w:rPr>
        <w:t>from each well</w:t>
      </w:r>
      <w:r w:rsidR="00870918" w:rsidRPr="002772FC">
        <w:rPr>
          <w:highlight w:val="yellow"/>
        </w:rPr>
        <w:t xml:space="preserve"> manually </w:t>
      </w:r>
      <w:r w:rsidR="004822C7" w:rsidRPr="002772FC">
        <w:rPr>
          <w:highlight w:val="yellow"/>
        </w:rPr>
        <w:t>using</w:t>
      </w:r>
      <w:r w:rsidR="00870918" w:rsidRPr="002772FC">
        <w:rPr>
          <w:highlight w:val="yellow"/>
        </w:rPr>
        <w:t xml:space="preserve"> a pipette</w:t>
      </w:r>
      <w:r w:rsidR="00B27232" w:rsidRPr="002772FC">
        <w:rPr>
          <w:highlight w:val="yellow"/>
        </w:rPr>
        <w:t>,</w:t>
      </w:r>
      <w:r w:rsidR="002E2279" w:rsidRPr="002772FC">
        <w:rPr>
          <w:highlight w:val="yellow"/>
        </w:rPr>
        <w:t xml:space="preserve"> making sure not to disturb the cell culture by touching the scaffold. </w:t>
      </w:r>
    </w:p>
    <w:p w14:paraId="51086D69" w14:textId="77777777" w:rsidR="00AA3DE4" w:rsidRDefault="00AA3DE4" w:rsidP="001C7AC8">
      <w:pPr>
        <w:pStyle w:val="ListParagraph"/>
        <w:ind w:left="0"/>
      </w:pPr>
    </w:p>
    <w:p w14:paraId="737E90E1" w14:textId="536D84E6" w:rsidR="00AA3DE4" w:rsidRDefault="00072336" w:rsidP="001C7AC8">
      <w:pPr>
        <w:pStyle w:val="ListParagraph"/>
        <w:numPr>
          <w:ilvl w:val="1"/>
          <w:numId w:val="39"/>
        </w:numPr>
        <w:tabs>
          <w:tab w:val="left" w:pos="709"/>
        </w:tabs>
        <w:ind w:left="0" w:firstLine="0"/>
        <w:outlineLvl w:val="2"/>
      </w:pPr>
      <w:r>
        <w:t xml:space="preserve">Assay </w:t>
      </w:r>
      <w:r w:rsidR="005D6093">
        <w:t xml:space="preserve">the </w:t>
      </w:r>
      <w:r>
        <w:t>w</w:t>
      </w:r>
      <w:r w:rsidR="002E2279" w:rsidRPr="005C2E62">
        <w:t xml:space="preserve">ithdrawn media for LDH and </w:t>
      </w:r>
      <w:r w:rsidR="00B27232">
        <w:t>U</w:t>
      </w:r>
      <w:r w:rsidR="00B27232" w:rsidRPr="005C2E62">
        <w:t xml:space="preserve">rea </w:t>
      </w:r>
      <w:r w:rsidR="002E2279" w:rsidRPr="005C2E62">
        <w:t xml:space="preserve">and </w:t>
      </w:r>
      <w:r w:rsidRPr="005C2E62">
        <w:t xml:space="preserve">store </w:t>
      </w:r>
      <w:r w:rsidR="00D038A8">
        <w:t xml:space="preserve">the </w:t>
      </w:r>
      <w:r w:rsidR="004170E6">
        <w:t xml:space="preserve">rest of </w:t>
      </w:r>
      <w:r w:rsidR="005D6093">
        <w:t xml:space="preserve">the </w:t>
      </w:r>
      <w:r w:rsidR="004170E6">
        <w:t>collected</w:t>
      </w:r>
      <w:r w:rsidR="002E2279" w:rsidRPr="005C2E62">
        <w:t xml:space="preserve"> media at -80</w:t>
      </w:r>
      <w:r w:rsidR="005D6093">
        <w:t xml:space="preserve"> </w:t>
      </w:r>
      <w:r w:rsidR="002E2279" w:rsidRPr="005C2E62">
        <w:t>˚C for later assays.</w:t>
      </w:r>
    </w:p>
    <w:p w14:paraId="5988ECE4" w14:textId="77777777" w:rsidR="00AA3DE4" w:rsidRDefault="00AA3DE4" w:rsidP="001C7AC8">
      <w:pPr>
        <w:pStyle w:val="ListParagraph"/>
        <w:ind w:left="0"/>
      </w:pPr>
    </w:p>
    <w:p w14:paraId="46F977B2" w14:textId="09BD5FA4" w:rsidR="0055353C" w:rsidRDefault="0055353C" w:rsidP="001C7AC8">
      <w:pPr>
        <w:pStyle w:val="ListParagraph"/>
        <w:numPr>
          <w:ilvl w:val="1"/>
          <w:numId w:val="39"/>
        </w:numPr>
        <w:tabs>
          <w:tab w:val="left" w:pos="709"/>
        </w:tabs>
        <w:ind w:left="0" w:firstLine="0"/>
        <w:outlineLvl w:val="2"/>
      </w:pPr>
      <w:r>
        <w:t>Running CYP3A4-glo assay</w:t>
      </w:r>
      <w:r w:rsidR="00317241">
        <w:t>.</w:t>
      </w:r>
    </w:p>
    <w:p w14:paraId="6B71C087" w14:textId="77777777" w:rsidR="0055353C" w:rsidRDefault="0055353C" w:rsidP="001C7AC8">
      <w:pPr>
        <w:pStyle w:val="ListParagraph"/>
        <w:ind w:left="0"/>
      </w:pPr>
    </w:p>
    <w:p w14:paraId="6C88CDE1" w14:textId="0C3297A3" w:rsidR="000E4791" w:rsidRDefault="005D6093" w:rsidP="001C7AC8">
      <w:pPr>
        <w:pStyle w:val="ListParagraph"/>
        <w:numPr>
          <w:ilvl w:val="2"/>
          <w:numId w:val="39"/>
        </w:numPr>
        <w:pBdr>
          <w:top w:val="nil"/>
          <w:left w:val="nil"/>
          <w:bottom w:val="nil"/>
          <w:right w:val="nil"/>
          <w:between w:val="nil"/>
        </w:pBdr>
        <w:ind w:left="0" w:firstLine="0"/>
      </w:pPr>
      <w:r>
        <w:t>M</w:t>
      </w:r>
      <w:r w:rsidRPr="004544A2">
        <w:t>easur</w:t>
      </w:r>
      <w:r>
        <w:t xml:space="preserve">e </w:t>
      </w:r>
      <w:r w:rsidR="000E4791" w:rsidRPr="000E4791">
        <w:t xml:space="preserve">the effects of </w:t>
      </w:r>
      <w:r w:rsidR="000E4791">
        <w:t xml:space="preserve">the </w:t>
      </w:r>
      <w:r w:rsidR="000E4791" w:rsidRPr="000E4791">
        <w:t xml:space="preserve">drugs </w:t>
      </w:r>
      <w:r w:rsidR="000E4791">
        <w:t xml:space="preserve">tested on </w:t>
      </w:r>
      <w:r w:rsidR="004544A2" w:rsidRPr="004544A2">
        <w:t>cytochrome P450 CYP3A4 activity</w:t>
      </w:r>
      <w:r w:rsidR="004544A2">
        <w:t xml:space="preserve"> in PHHs </w:t>
      </w:r>
      <w:r w:rsidR="000E4791">
        <w:t>at the end of the experiment</w:t>
      </w:r>
      <w:r>
        <w:t xml:space="preserve"> using this assay</w:t>
      </w:r>
      <w:r w:rsidR="000E4791">
        <w:t xml:space="preserve">. </w:t>
      </w:r>
    </w:p>
    <w:p w14:paraId="18C987B5" w14:textId="77777777" w:rsidR="00326B62" w:rsidRDefault="00326B62" w:rsidP="001C7AC8">
      <w:pPr>
        <w:pStyle w:val="ListParagraph"/>
        <w:ind w:left="0"/>
      </w:pPr>
    </w:p>
    <w:p w14:paraId="3C4875AA" w14:textId="11AE5A6E" w:rsidR="00F01B71" w:rsidRDefault="00A626BF" w:rsidP="001C7AC8">
      <w:pPr>
        <w:pStyle w:val="ListParagraph"/>
        <w:numPr>
          <w:ilvl w:val="2"/>
          <w:numId w:val="39"/>
        </w:numPr>
        <w:pBdr>
          <w:top w:val="nil"/>
          <w:left w:val="nil"/>
          <w:bottom w:val="nil"/>
          <w:right w:val="nil"/>
          <w:between w:val="nil"/>
        </w:pBdr>
        <w:ind w:left="0" w:firstLine="0"/>
      </w:pPr>
      <w:r>
        <w:t xml:space="preserve">Reconstitute the detection reagent </w:t>
      </w:r>
      <w:r w:rsidR="00827F84">
        <w:t xml:space="preserve">(for CYP3A4 assay, see </w:t>
      </w:r>
      <w:r w:rsidR="00827F84" w:rsidRPr="54A6C1A2">
        <w:rPr>
          <w:b/>
          <w:bCs/>
        </w:rPr>
        <w:t xml:space="preserve">Table of </w:t>
      </w:r>
      <w:r w:rsidR="005D6093">
        <w:rPr>
          <w:b/>
          <w:bCs/>
        </w:rPr>
        <w:t>M</w:t>
      </w:r>
      <w:r w:rsidR="005D6093" w:rsidRPr="54A6C1A2">
        <w:rPr>
          <w:b/>
          <w:bCs/>
        </w:rPr>
        <w:t>aterials</w:t>
      </w:r>
      <w:r w:rsidR="00827F84">
        <w:t xml:space="preserve">) </w:t>
      </w:r>
      <w:r>
        <w:t xml:space="preserve">following </w:t>
      </w:r>
      <w:r w:rsidR="005D6093">
        <w:t xml:space="preserve">the </w:t>
      </w:r>
      <w:r>
        <w:t>manufacturer’</w:t>
      </w:r>
      <w:r w:rsidR="00827F84">
        <w:t xml:space="preserve">s instructions. </w:t>
      </w:r>
      <w:r w:rsidR="00130D63">
        <w:t xml:space="preserve">If </w:t>
      </w:r>
      <w:r w:rsidR="00305049">
        <w:t>the detection reagent</w:t>
      </w:r>
      <w:r w:rsidR="00130D63">
        <w:t xml:space="preserve"> has previously been reconstituted and frozen, remove </w:t>
      </w:r>
      <w:r w:rsidR="005D6093">
        <w:t xml:space="preserve">it </w:t>
      </w:r>
      <w:r w:rsidR="00130D63">
        <w:t xml:space="preserve">from the -20 °C freezer and allow </w:t>
      </w:r>
      <w:r w:rsidR="005D6093">
        <w:t xml:space="preserve">it </w:t>
      </w:r>
      <w:r w:rsidR="00130D63">
        <w:t xml:space="preserve">to thaw at </w:t>
      </w:r>
      <w:r w:rsidR="005D6093">
        <w:t>RT</w:t>
      </w:r>
      <w:r w:rsidR="00130D63">
        <w:t xml:space="preserve">. </w:t>
      </w:r>
    </w:p>
    <w:p w14:paraId="36A8098C" w14:textId="77777777" w:rsidR="00827F84" w:rsidRDefault="00827F84" w:rsidP="001C7AC8">
      <w:pPr>
        <w:pStyle w:val="ListParagraph"/>
        <w:ind w:left="0"/>
      </w:pPr>
    </w:p>
    <w:p w14:paraId="0836CE93" w14:textId="1E816D64" w:rsidR="00F01B71" w:rsidRDefault="00987139" w:rsidP="001C7AC8">
      <w:pPr>
        <w:pStyle w:val="ListParagraph"/>
        <w:numPr>
          <w:ilvl w:val="2"/>
          <w:numId w:val="39"/>
        </w:numPr>
        <w:pBdr>
          <w:top w:val="nil"/>
          <w:left w:val="nil"/>
          <w:bottom w:val="nil"/>
          <w:right w:val="nil"/>
          <w:between w:val="nil"/>
        </w:pBdr>
        <w:ind w:left="0" w:firstLine="0"/>
      </w:pPr>
      <w:r>
        <w:t>P</w:t>
      </w:r>
      <w:r w:rsidR="00130D63">
        <w:t>repare 20 mM stock D-luciferin standard follow</w:t>
      </w:r>
      <w:r w:rsidR="005D6093">
        <w:t>ing the</w:t>
      </w:r>
      <w:r w:rsidR="00130D63">
        <w:t xml:space="preserve"> manufacturer’s instructions. </w:t>
      </w:r>
    </w:p>
    <w:p w14:paraId="401687E0" w14:textId="77777777" w:rsidR="00F01B71" w:rsidRDefault="00F01B71" w:rsidP="001C7AC8">
      <w:pPr>
        <w:pStyle w:val="ListParagraph"/>
        <w:ind w:left="0"/>
      </w:pPr>
    </w:p>
    <w:p w14:paraId="78E697BB" w14:textId="271390D5" w:rsidR="001705CF" w:rsidRDefault="00D836B8" w:rsidP="001C7AC8">
      <w:pPr>
        <w:pStyle w:val="ListParagraph"/>
        <w:numPr>
          <w:ilvl w:val="2"/>
          <w:numId w:val="39"/>
        </w:numPr>
        <w:pBdr>
          <w:top w:val="nil"/>
          <w:left w:val="nil"/>
          <w:bottom w:val="nil"/>
          <w:right w:val="nil"/>
          <w:between w:val="nil"/>
        </w:pBdr>
        <w:ind w:left="0" w:firstLine="0"/>
      </w:pPr>
      <w:r>
        <w:t xml:space="preserve">Prepare working luminogenic substrate medium with a 1:1000 dilution of Luciferin IPA in </w:t>
      </w:r>
      <w:r w:rsidR="002E18BA">
        <w:t>Maintenance Advanced DMEM medium</w:t>
      </w:r>
      <w:r w:rsidR="00E6471B">
        <w:t xml:space="preserve"> (2 mL of luminogenic </w:t>
      </w:r>
      <w:r w:rsidR="00870918">
        <w:t xml:space="preserve">substrate </w:t>
      </w:r>
      <w:r w:rsidR="00E6471B">
        <w:t xml:space="preserve">medium </w:t>
      </w:r>
      <w:r w:rsidR="00AB55EF">
        <w:t>per well</w:t>
      </w:r>
      <w:r w:rsidR="00E6471B">
        <w:t xml:space="preserve">). </w:t>
      </w:r>
    </w:p>
    <w:p w14:paraId="4B421DA0" w14:textId="77777777" w:rsidR="00F01B71" w:rsidRDefault="00F01B71" w:rsidP="001C7AC8">
      <w:pPr>
        <w:pStyle w:val="ListParagraph"/>
        <w:ind w:left="0"/>
      </w:pPr>
    </w:p>
    <w:p w14:paraId="166B929E" w14:textId="5C0E001C" w:rsidR="001705CF" w:rsidRDefault="002E2279">
      <w:pPr>
        <w:pStyle w:val="ListParagraph"/>
        <w:numPr>
          <w:ilvl w:val="2"/>
          <w:numId w:val="39"/>
        </w:numPr>
        <w:pBdr>
          <w:top w:val="nil"/>
          <w:left w:val="nil"/>
          <w:bottom w:val="nil"/>
          <w:right w:val="nil"/>
          <w:between w:val="nil"/>
        </w:pBdr>
        <w:ind w:left="0" w:firstLine="0"/>
      </w:pPr>
      <w:r w:rsidRPr="005C2E62">
        <w:t>Perform</w:t>
      </w:r>
      <w:r w:rsidR="00134002">
        <w:t xml:space="preserve"> a</w:t>
      </w:r>
      <w:r w:rsidRPr="005C2E62">
        <w:t xml:space="preserve"> </w:t>
      </w:r>
      <w:r w:rsidR="005D6093" w:rsidRPr="005D6093">
        <w:rPr>
          <w:b/>
          <w:bCs/>
        </w:rPr>
        <w:t xml:space="preserve">Media </w:t>
      </w:r>
      <w:r w:rsidR="004D16D1">
        <w:rPr>
          <w:b/>
          <w:bCs/>
        </w:rPr>
        <w:t>C</w:t>
      </w:r>
      <w:r w:rsidR="002968EA">
        <w:rPr>
          <w:b/>
          <w:bCs/>
        </w:rPr>
        <w:t>hange</w:t>
      </w:r>
      <w:r w:rsidR="005D6093" w:rsidRPr="005C2E62">
        <w:t xml:space="preserve"> </w:t>
      </w:r>
      <w:r w:rsidRPr="005C2E62">
        <w:t>as described in</w:t>
      </w:r>
      <w:r w:rsidR="005D6093">
        <w:t xml:space="preserve"> steps</w:t>
      </w:r>
      <w:r w:rsidRPr="005C2E62">
        <w:t xml:space="preserve"> </w:t>
      </w:r>
      <w:r w:rsidR="00557ACE" w:rsidRPr="00F01B71">
        <w:rPr>
          <w:highlight w:val="yellow"/>
        </w:rPr>
        <w:fldChar w:fldCharType="begin"/>
      </w:r>
      <w:r w:rsidR="00557ACE">
        <w:instrText xml:space="preserve"> REF _Ref83215707 \r \h </w:instrText>
      </w:r>
      <w:r w:rsidR="00557ACE" w:rsidRPr="00F01B71">
        <w:rPr>
          <w:highlight w:val="yellow"/>
        </w:rPr>
      </w:r>
      <w:r w:rsidR="00557ACE" w:rsidRPr="00F01B71">
        <w:rPr>
          <w:highlight w:val="yellow"/>
        </w:rPr>
        <w:fldChar w:fldCharType="separate"/>
      </w:r>
      <w:r w:rsidR="00557ACE">
        <w:t>4.3</w:t>
      </w:r>
      <w:r w:rsidR="00557ACE" w:rsidRPr="00F01B71">
        <w:rPr>
          <w:highlight w:val="yellow"/>
        </w:rPr>
        <w:fldChar w:fldCharType="end"/>
      </w:r>
      <w:r w:rsidR="005D6093">
        <w:t>–</w:t>
      </w:r>
      <w:r w:rsidR="00557ACE" w:rsidRPr="00557ACE">
        <w:fldChar w:fldCharType="begin"/>
      </w:r>
      <w:r w:rsidR="00557ACE" w:rsidRPr="00557ACE">
        <w:instrText xml:space="preserve"> REF _Ref83215711 \r \h </w:instrText>
      </w:r>
      <w:r w:rsidR="00557ACE">
        <w:instrText xml:space="preserve"> \* MERGEFORMAT </w:instrText>
      </w:r>
      <w:r w:rsidR="00557ACE" w:rsidRPr="00557ACE">
        <w:fldChar w:fldCharType="separate"/>
      </w:r>
      <w:r w:rsidR="00557ACE" w:rsidRPr="00557ACE">
        <w:t>4.5</w:t>
      </w:r>
      <w:r w:rsidR="00557ACE" w:rsidRPr="00557ACE">
        <w:fldChar w:fldCharType="end"/>
      </w:r>
      <w:r w:rsidR="00557ACE">
        <w:t xml:space="preserve"> </w:t>
      </w:r>
      <w:r w:rsidRPr="005C2E62">
        <w:t>with luminogenic substrate medium</w:t>
      </w:r>
      <w:r w:rsidR="00D836B8">
        <w:t xml:space="preserve">. </w:t>
      </w:r>
      <w:r w:rsidR="00876BD7" w:rsidRPr="00876BD7">
        <w:t>Save 500 μL of</w:t>
      </w:r>
      <w:r w:rsidR="005D6093">
        <w:t xml:space="preserve"> the</w:t>
      </w:r>
      <w:r w:rsidR="00876BD7" w:rsidRPr="00876BD7">
        <w:t xml:space="preserve"> luminogenic substrate medium in a 1.5 mL</w:t>
      </w:r>
      <w:r w:rsidR="005D6093">
        <w:t xml:space="preserve"> glass</w:t>
      </w:r>
      <w:r w:rsidR="00876BD7" w:rsidRPr="00876BD7">
        <w:t xml:space="preserve"> vial</w:t>
      </w:r>
      <w:r w:rsidR="005D6093">
        <w:t xml:space="preserve"> (</w:t>
      </w:r>
      <w:r w:rsidR="005D6093" w:rsidRPr="001C7AC8">
        <w:rPr>
          <w:b/>
          <w:bCs/>
        </w:rPr>
        <w:t xml:space="preserve">Table of </w:t>
      </w:r>
      <w:r w:rsidR="005D6093" w:rsidRPr="001C7AC8">
        <w:rPr>
          <w:b/>
          <w:bCs/>
        </w:rPr>
        <w:lastRenderedPageBreak/>
        <w:t>Materials</w:t>
      </w:r>
      <w:r w:rsidR="005D6093">
        <w:t>)</w:t>
      </w:r>
      <w:r w:rsidR="00876BD7" w:rsidRPr="00876BD7">
        <w:t xml:space="preserve"> as input material.</w:t>
      </w:r>
    </w:p>
    <w:p w14:paraId="061FA8E3" w14:textId="77777777" w:rsidR="005D6093" w:rsidRDefault="005D6093" w:rsidP="001C7AC8">
      <w:pPr>
        <w:pStyle w:val="ListParagraph"/>
        <w:pBdr>
          <w:top w:val="nil"/>
          <w:left w:val="nil"/>
          <w:bottom w:val="nil"/>
          <w:right w:val="nil"/>
          <w:between w:val="nil"/>
        </w:pBdr>
        <w:ind w:left="0"/>
      </w:pPr>
    </w:p>
    <w:p w14:paraId="251DEA0F" w14:textId="3C127E8B" w:rsidR="001705CF" w:rsidRDefault="001705CF" w:rsidP="001C7AC8">
      <w:pPr>
        <w:pStyle w:val="ListParagraph"/>
        <w:numPr>
          <w:ilvl w:val="2"/>
          <w:numId w:val="39"/>
        </w:numPr>
        <w:pBdr>
          <w:top w:val="nil"/>
          <w:left w:val="nil"/>
          <w:bottom w:val="nil"/>
          <w:right w:val="nil"/>
          <w:between w:val="nil"/>
        </w:pBdr>
        <w:ind w:left="0" w:firstLine="0"/>
      </w:pPr>
      <w:r w:rsidRPr="001705CF">
        <w:t xml:space="preserve">Return </w:t>
      </w:r>
      <w:r w:rsidR="005D6093">
        <w:t xml:space="preserve">the </w:t>
      </w:r>
      <w:r w:rsidRPr="001705CF">
        <w:t xml:space="preserve">driver onto the docking station in the incubator and run the </w:t>
      </w:r>
      <w:r w:rsidRPr="001C7AC8">
        <w:rPr>
          <w:b/>
          <w:bCs/>
        </w:rPr>
        <w:t>Incubate</w:t>
      </w:r>
      <w:r w:rsidRPr="001705CF">
        <w:t xml:space="preserve"> program for 1.5 h. </w:t>
      </w:r>
    </w:p>
    <w:p w14:paraId="74CB74D5" w14:textId="77777777" w:rsidR="001705CF" w:rsidRPr="001705CF" w:rsidRDefault="001705CF" w:rsidP="001C7AC8">
      <w:pPr>
        <w:pStyle w:val="ListParagraph"/>
        <w:ind w:left="0"/>
      </w:pPr>
    </w:p>
    <w:p w14:paraId="466C2CE2" w14:textId="4FBD2809" w:rsidR="001705CF" w:rsidRDefault="001705CF" w:rsidP="001C7AC8">
      <w:pPr>
        <w:pStyle w:val="ListParagraph"/>
        <w:numPr>
          <w:ilvl w:val="2"/>
          <w:numId w:val="39"/>
        </w:numPr>
        <w:pBdr>
          <w:top w:val="nil"/>
          <w:left w:val="nil"/>
          <w:bottom w:val="nil"/>
          <w:right w:val="nil"/>
          <w:between w:val="nil"/>
        </w:pBdr>
        <w:ind w:left="0" w:firstLine="0"/>
      </w:pPr>
      <w:r w:rsidRPr="001705CF">
        <w:t xml:space="preserve">Prepare D-luciferin standard curve in culture medium in 1.5 mL tubes following </w:t>
      </w:r>
      <w:r w:rsidR="005D6093">
        <w:t xml:space="preserve">the </w:t>
      </w:r>
      <w:r w:rsidRPr="001705CF">
        <w:t xml:space="preserve">manufacturer’s instructions and pipette 50 μL of each standard in duplicate on a white opaque 96-well plate (see </w:t>
      </w:r>
      <w:r w:rsidRPr="001C7AC8">
        <w:rPr>
          <w:b/>
          <w:bCs/>
        </w:rPr>
        <w:t>Table of Materials</w:t>
      </w:r>
      <w:r w:rsidRPr="001705CF">
        <w:t>), using culture medium as blank or 0 μM.</w:t>
      </w:r>
    </w:p>
    <w:p w14:paraId="10A7E67F" w14:textId="77777777" w:rsidR="001705CF" w:rsidRPr="001705CF" w:rsidRDefault="001705CF" w:rsidP="00B3744F"/>
    <w:p w14:paraId="310A2F86" w14:textId="44943B83" w:rsidR="001705CF" w:rsidRDefault="001705CF" w:rsidP="00B3744F">
      <w:pPr>
        <w:pStyle w:val="ListParagraph"/>
        <w:numPr>
          <w:ilvl w:val="2"/>
          <w:numId w:val="39"/>
        </w:numPr>
        <w:pBdr>
          <w:top w:val="nil"/>
          <w:left w:val="nil"/>
          <w:bottom w:val="nil"/>
          <w:right w:val="nil"/>
          <w:between w:val="nil"/>
        </w:pBdr>
        <w:ind w:left="0" w:firstLine="0"/>
      </w:pPr>
      <w:r>
        <w:t>Once the time has elapsed</w:t>
      </w:r>
      <w:r w:rsidR="005D6093">
        <w:t>,</w:t>
      </w:r>
      <w:r>
        <w:t xml:space="preserve"> remove the driver from the docking station and sample media for CYP3A4 assay </w:t>
      </w:r>
      <w:r w:rsidR="00B3744F">
        <w:t>following steps 7.4.9–7.4.13.</w:t>
      </w:r>
    </w:p>
    <w:p w14:paraId="4D999E86" w14:textId="77777777" w:rsidR="00B3744F" w:rsidRDefault="00B3744F" w:rsidP="001C7AC8">
      <w:pPr>
        <w:pStyle w:val="ListParagraph"/>
        <w:pBdr>
          <w:top w:val="nil"/>
          <w:left w:val="nil"/>
          <w:bottom w:val="nil"/>
          <w:right w:val="nil"/>
          <w:between w:val="nil"/>
        </w:pBdr>
        <w:ind w:left="0"/>
      </w:pPr>
    </w:p>
    <w:p w14:paraId="3986C55C" w14:textId="05BBF778" w:rsidR="001705CF" w:rsidRDefault="001705CF" w:rsidP="001C7AC8">
      <w:pPr>
        <w:pStyle w:val="ListParagraph"/>
        <w:numPr>
          <w:ilvl w:val="2"/>
          <w:numId w:val="39"/>
        </w:numPr>
        <w:pBdr>
          <w:top w:val="nil"/>
          <w:left w:val="nil"/>
          <w:bottom w:val="nil"/>
          <w:right w:val="nil"/>
          <w:between w:val="nil"/>
        </w:pBdr>
        <w:ind w:left="0" w:firstLine="0"/>
      </w:pPr>
      <w:r>
        <w:t xml:space="preserve">After incubation, transfer 50 μL of </w:t>
      </w:r>
      <w:r w:rsidR="005D6093">
        <w:t xml:space="preserve">the </w:t>
      </w:r>
      <w:r>
        <w:t xml:space="preserve">sample medium from each well and input material to the 96-well opaque white luminometer plate containing standards. Take care to leave at least </w:t>
      </w:r>
      <w:r w:rsidR="005D6093">
        <w:t xml:space="preserve">two </w:t>
      </w:r>
      <w:r>
        <w:t>empty rows on the opaque plate between the standards and samples to avoid light carryover between the top standards and the samples readings.</w:t>
      </w:r>
    </w:p>
    <w:p w14:paraId="42671FC4" w14:textId="77777777" w:rsidR="00C71E84" w:rsidRDefault="00C71E84" w:rsidP="001C7AC8">
      <w:pPr>
        <w:pStyle w:val="ListParagraph"/>
        <w:ind w:left="0"/>
      </w:pPr>
    </w:p>
    <w:p w14:paraId="48C5CDF1" w14:textId="77777777" w:rsidR="001705CF" w:rsidRDefault="001705CF" w:rsidP="001C7AC8">
      <w:pPr>
        <w:pStyle w:val="ListParagraph"/>
        <w:numPr>
          <w:ilvl w:val="2"/>
          <w:numId w:val="39"/>
        </w:numPr>
        <w:pBdr>
          <w:top w:val="nil"/>
          <w:left w:val="nil"/>
          <w:bottom w:val="nil"/>
          <w:right w:val="nil"/>
          <w:between w:val="nil"/>
        </w:pBdr>
        <w:ind w:left="0" w:firstLine="0"/>
      </w:pPr>
      <w:r>
        <w:t>Add 50 μL of Luciferin Detection Reagent to each well to initiate a luminescent reaction.</w:t>
      </w:r>
    </w:p>
    <w:p w14:paraId="0C0092F2" w14:textId="77777777" w:rsidR="00C71E84" w:rsidRDefault="00C71E84" w:rsidP="00B3744F"/>
    <w:p w14:paraId="4B3ACD29" w14:textId="17117922" w:rsidR="001705CF" w:rsidRDefault="001705CF" w:rsidP="001C7AC8">
      <w:pPr>
        <w:pStyle w:val="ListParagraph"/>
        <w:numPr>
          <w:ilvl w:val="2"/>
          <w:numId w:val="39"/>
        </w:numPr>
        <w:pBdr>
          <w:top w:val="nil"/>
          <w:left w:val="nil"/>
          <w:bottom w:val="nil"/>
          <w:right w:val="nil"/>
          <w:between w:val="nil"/>
        </w:pBdr>
        <w:ind w:left="0" w:firstLine="0"/>
      </w:pPr>
      <w:r>
        <w:t xml:space="preserve">Incubate the plate at </w:t>
      </w:r>
      <w:r w:rsidR="005D6093">
        <w:t>RT</w:t>
      </w:r>
      <w:r>
        <w:t xml:space="preserve"> on a plate shaker for 20 min in the dark to stabilize the luminescent signal.</w:t>
      </w:r>
    </w:p>
    <w:p w14:paraId="73651BDB" w14:textId="77777777" w:rsidR="00C71E84" w:rsidRDefault="00C71E84" w:rsidP="00B3744F"/>
    <w:p w14:paraId="12A82984" w14:textId="28C8B5F4" w:rsidR="00C71E84" w:rsidRDefault="001705CF" w:rsidP="00B3744F">
      <w:pPr>
        <w:pStyle w:val="ListParagraph"/>
        <w:numPr>
          <w:ilvl w:val="2"/>
          <w:numId w:val="39"/>
        </w:numPr>
        <w:pBdr>
          <w:top w:val="nil"/>
          <w:left w:val="nil"/>
          <w:bottom w:val="nil"/>
          <w:right w:val="nil"/>
          <w:between w:val="nil"/>
        </w:pBdr>
        <w:ind w:left="0" w:firstLine="0"/>
      </w:pPr>
      <w:r>
        <w:t>Record</w:t>
      </w:r>
      <w:r w:rsidR="005D6093">
        <w:t xml:space="preserve"> the</w:t>
      </w:r>
      <w:r>
        <w:t xml:space="preserve"> luminescence using a luminometer or CCD camera. </w:t>
      </w:r>
    </w:p>
    <w:p w14:paraId="09D5E0A8" w14:textId="77777777" w:rsidR="00B3744F" w:rsidRDefault="00B3744F" w:rsidP="001C7AC8">
      <w:pPr>
        <w:pStyle w:val="ListParagraph"/>
        <w:pBdr>
          <w:top w:val="nil"/>
          <w:left w:val="nil"/>
          <w:bottom w:val="nil"/>
          <w:right w:val="nil"/>
          <w:between w:val="nil"/>
        </w:pBdr>
        <w:ind w:left="0"/>
      </w:pPr>
    </w:p>
    <w:p w14:paraId="32C15846" w14:textId="1092B10C" w:rsidR="00AA3DE4" w:rsidRDefault="001705CF" w:rsidP="001C7AC8">
      <w:pPr>
        <w:pStyle w:val="ListParagraph"/>
        <w:numPr>
          <w:ilvl w:val="2"/>
          <w:numId w:val="39"/>
        </w:numPr>
        <w:pBdr>
          <w:top w:val="nil"/>
          <w:left w:val="nil"/>
          <w:bottom w:val="nil"/>
          <w:right w:val="nil"/>
          <w:between w:val="nil"/>
        </w:pBdr>
        <w:ind w:left="0" w:firstLine="0"/>
      </w:pPr>
      <w:r>
        <w:t>Plot the standard curve by taking the average of each point and then subtracting the average of the blanks. Use the equation of the line to calculate the metabolic rate (pmol/min/10</w:t>
      </w:r>
      <w:r w:rsidRPr="005204C8">
        <w:rPr>
          <w:vertAlign w:val="superscript"/>
        </w:rPr>
        <w:t>6</w:t>
      </w:r>
      <w:r>
        <w:t xml:space="preserve"> cells) in the rest of the samples, remembering to include any dilutions done.</w:t>
      </w:r>
    </w:p>
    <w:p w14:paraId="22A5DC03" w14:textId="77777777" w:rsidR="00AA3DE4" w:rsidRDefault="00AA3DE4" w:rsidP="00B3744F"/>
    <w:p w14:paraId="6F7B0CC9" w14:textId="2251226A" w:rsidR="00AA3DE4" w:rsidRPr="002772FC" w:rsidRDefault="00AB55EF" w:rsidP="001C7AC8">
      <w:pPr>
        <w:pStyle w:val="ListParagraph"/>
        <w:numPr>
          <w:ilvl w:val="1"/>
          <w:numId w:val="39"/>
        </w:numPr>
        <w:tabs>
          <w:tab w:val="left" w:pos="709"/>
        </w:tabs>
        <w:ind w:left="0" w:firstLine="0"/>
        <w:outlineLvl w:val="2"/>
        <w:rPr>
          <w:highlight w:val="yellow"/>
        </w:rPr>
      </w:pPr>
      <w:r w:rsidRPr="002772FC">
        <w:rPr>
          <w:highlight w:val="yellow"/>
        </w:rPr>
        <w:t>Remove</w:t>
      </w:r>
      <w:r w:rsidR="005D6093" w:rsidRPr="002772FC">
        <w:rPr>
          <w:highlight w:val="yellow"/>
        </w:rPr>
        <w:t xml:space="preserve"> the</w:t>
      </w:r>
      <w:r w:rsidRPr="002772FC">
        <w:rPr>
          <w:highlight w:val="yellow"/>
        </w:rPr>
        <w:t xml:space="preserve"> s</w:t>
      </w:r>
      <w:r w:rsidR="002E2279" w:rsidRPr="002772FC">
        <w:rPr>
          <w:highlight w:val="yellow"/>
        </w:rPr>
        <w:t>caffolds from the plates using a pair of tweezers and place</w:t>
      </w:r>
      <w:r w:rsidRPr="002772FC">
        <w:rPr>
          <w:highlight w:val="yellow"/>
        </w:rPr>
        <w:t xml:space="preserve"> them</w:t>
      </w:r>
      <w:r w:rsidR="008348DC" w:rsidRPr="002772FC">
        <w:rPr>
          <w:highlight w:val="yellow"/>
        </w:rPr>
        <w:t xml:space="preserve"> </w:t>
      </w:r>
      <w:r w:rsidR="002E2279" w:rsidRPr="002772FC">
        <w:rPr>
          <w:highlight w:val="yellow"/>
        </w:rPr>
        <w:t>in a 24 well plate containing 500 μL</w:t>
      </w:r>
      <w:r w:rsidR="005D6093" w:rsidRPr="002772FC">
        <w:rPr>
          <w:highlight w:val="yellow"/>
        </w:rPr>
        <w:t xml:space="preserve"> of</w:t>
      </w:r>
      <w:r w:rsidR="002E2279" w:rsidRPr="002772FC">
        <w:rPr>
          <w:highlight w:val="yellow"/>
        </w:rPr>
        <w:t xml:space="preserve"> D-PBS (Without Ca++ and Mg++) in each well</w:t>
      </w:r>
      <w:r w:rsidR="00DB3F5A" w:rsidRPr="002772FC">
        <w:rPr>
          <w:highlight w:val="yellow"/>
        </w:rPr>
        <w:t>, taking care not to disturb the microtissue</w:t>
      </w:r>
      <w:r w:rsidR="002E2279" w:rsidRPr="002772FC">
        <w:rPr>
          <w:highlight w:val="yellow"/>
        </w:rPr>
        <w:t xml:space="preserve">. </w:t>
      </w:r>
    </w:p>
    <w:p w14:paraId="40030E92" w14:textId="77777777" w:rsidR="00AA3DE4" w:rsidRPr="002772FC" w:rsidRDefault="00AA3DE4" w:rsidP="001C7AC8">
      <w:pPr>
        <w:pStyle w:val="ListParagraph"/>
        <w:ind w:left="0"/>
        <w:rPr>
          <w:highlight w:val="yellow"/>
        </w:rPr>
      </w:pPr>
    </w:p>
    <w:p w14:paraId="641A1A0B" w14:textId="03BCC8CC" w:rsidR="00AA3DE4" w:rsidRPr="002772FC" w:rsidRDefault="002E2279" w:rsidP="001C7AC8">
      <w:pPr>
        <w:pStyle w:val="ListParagraph"/>
        <w:numPr>
          <w:ilvl w:val="1"/>
          <w:numId w:val="39"/>
        </w:numPr>
        <w:tabs>
          <w:tab w:val="left" w:pos="709"/>
        </w:tabs>
        <w:ind w:left="0" w:firstLine="0"/>
        <w:outlineLvl w:val="2"/>
        <w:rPr>
          <w:highlight w:val="yellow"/>
        </w:rPr>
      </w:pPr>
      <w:r w:rsidRPr="002772FC">
        <w:rPr>
          <w:highlight w:val="yellow"/>
        </w:rPr>
        <w:t>Take snapshots of each scaffold using an inverted light microscope</w:t>
      </w:r>
      <w:r w:rsidR="009777C5" w:rsidRPr="002772FC">
        <w:rPr>
          <w:highlight w:val="yellow"/>
        </w:rPr>
        <w:t xml:space="preserve"> at magnification 10x</w:t>
      </w:r>
      <w:r w:rsidRPr="002772FC">
        <w:rPr>
          <w:highlight w:val="yellow"/>
        </w:rPr>
        <w:t>.</w:t>
      </w:r>
    </w:p>
    <w:p w14:paraId="5866089D" w14:textId="77777777" w:rsidR="00AA3DE4" w:rsidRDefault="00AA3DE4" w:rsidP="001C7AC8">
      <w:pPr>
        <w:pStyle w:val="ListParagraph"/>
        <w:ind w:left="0"/>
      </w:pPr>
    </w:p>
    <w:p w14:paraId="03A5E0D2" w14:textId="1460CC38" w:rsidR="00D5010C" w:rsidRDefault="00D5010C" w:rsidP="001C7AC8">
      <w:pPr>
        <w:pStyle w:val="ListParagraph"/>
        <w:numPr>
          <w:ilvl w:val="1"/>
          <w:numId w:val="39"/>
        </w:numPr>
        <w:tabs>
          <w:tab w:val="left" w:pos="709"/>
        </w:tabs>
        <w:ind w:left="0" w:firstLine="0"/>
        <w:outlineLvl w:val="2"/>
      </w:pPr>
      <w:r>
        <w:t xml:space="preserve">Running </w:t>
      </w:r>
      <w:r w:rsidR="005D6093">
        <w:t xml:space="preserve">the </w:t>
      </w:r>
      <w:r w:rsidRPr="005C2E62">
        <w:t xml:space="preserve">ATP </w:t>
      </w:r>
      <w:r>
        <w:t>a</w:t>
      </w:r>
      <w:r w:rsidR="002E2279" w:rsidRPr="005C2E62">
        <w:t xml:space="preserve">ssay </w:t>
      </w:r>
      <w:r w:rsidR="00F04AB2">
        <w:t>(</w:t>
      </w:r>
      <w:r w:rsidR="00936BBB">
        <w:t>see</w:t>
      </w:r>
      <w:r w:rsidR="00216E06">
        <w:t xml:space="preserve"> </w:t>
      </w:r>
      <w:r w:rsidR="00216E06" w:rsidRPr="00AA3DE4">
        <w:rPr>
          <w:b/>
          <w:bCs/>
        </w:rPr>
        <w:t xml:space="preserve">Table of </w:t>
      </w:r>
      <w:r w:rsidR="005D6093">
        <w:rPr>
          <w:b/>
          <w:bCs/>
        </w:rPr>
        <w:t>M</w:t>
      </w:r>
      <w:r w:rsidR="005D6093" w:rsidRPr="00AA3DE4">
        <w:rPr>
          <w:b/>
          <w:bCs/>
        </w:rPr>
        <w:t>aterials</w:t>
      </w:r>
      <w:r w:rsidR="00216E06">
        <w:t>)</w:t>
      </w:r>
      <w:r w:rsidR="00A02C8F">
        <w:t xml:space="preserve"> following</w:t>
      </w:r>
      <w:r w:rsidR="005D6093">
        <w:t xml:space="preserve"> the</w:t>
      </w:r>
      <w:r w:rsidR="00A02C8F">
        <w:t xml:space="preserve"> manufacturer’s instructions</w:t>
      </w:r>
      <w:r w:rsidR="00216E06">
        <w:t>:</w:t>
      </w:r>
    </w:p>
    <w:p w14:paraId="07748FD4" w14:textId="77777777" w:rsidR="00D5010C" w:rsidRDefault="00D5010C" w:rsidP="00B3744F"/>
    <w:p w14:paraId="676E260E" w14:textId="60874307" w:rsidR="00216E06" w:rsidRDefault="00F5238C" w:rsidP="001C7AC8">
      <w:pPr>
        <w:pStyle w:val="ListParagraph"/>
        <w:numPr>
          <w:ilvl w:val="2"/>
          <w:numId w:val="39"/>
        </w:numPr>
        <w:ind w:left="0" w:firstLine="0"/>
      </w:pPr>
      <w:r>
        <w:t xml:space="preserve">Thaw </w:t>
      </w:r>
      <w:r w:rsidR="004F6F90">
        <w:t>the</w:t>
      </w:r>
      <w:r w:rsidRPr="00F5238C">
        <w:t xml:space="preserve"> reagent</w:t>
      </w:r>
      <w:r>
        <w:t xml:space="preserve"> at </w:t>
      </w:r>
      <w:r w:rsidR="005D6093">
        <w:t>RT</w:t>
      </w:r>
      <w:r>
        <w:t xml:space="preserve">. </w:t>
      </w:r>
    </w:p>
    <w:p w14:paraId="139F6755" w14:textId="77777777" w:rsidR="00C71E84" w:rsidRDefault="00C71E84" w:rsidP="001C7AC8"/>
    <w:p w14:paraId="7D4B314F" w14:textId="2E326400" w:rsidR="00F5238C" w:rsidRDefault="001A77E4" w:rsidP="001C7AC8">
      <w:pPr>
        <w:pStyle w:val="ListParagraph"/>
        <w:numPr>
          <w:ilvl w:val="2"/>
          <w:numId w:val="39"/>
        </w:numPr>
        <w:ind w:left="0" w:firstLine="0"/>
      </w:pPr>
      <w:r w:rsidRPr="001A77E4">
        <w:t xml:space="preserve">Wash </w:t>
      </w:r>
      <w:r w:rsidR="005D6093">
        <w:t xml:space="preserve">the </w:t>
      </w:r>
      <w:r w:rsidRPr="001A77E4">
        <w:t xml:space="preserve">scaffolds twice with 500 μL of </w:t>
      </w:r>
      <w:r w:rsidRPr="005C2E62">
        <w:t xml:space="preserve">D-PBS (Without Ca++ and Mg++) </w:t>
      </w:r>
      <w:r w:rsidRPr="001A77E4">
        <w:t>for each wash step.</w:t>
      </w:r>
    </w:p>
    <w:p w14:paraId="3664CE30" w14:textId="77777777" w:rsidR="00C71E84" w:rsidRDefault="00C71E84" w:rsidP="00B3744F"/>
    <w:p w14:paraId="48E7531F" w14:textId="26C23E90" w:rsidR="001A77E4" w:rsidRDefault="00D91EFC" w:rsidP="001C7AC8">
      <w:pPr>
        <w:pStyle w:val="ListParagraph"/>
        <w:numPr>
          <w:ilvl w:val="2"/>
          <w:numId w:val="39"/>
        </w:numPr>
        <w:ind w:left="0" w:firstLine="0"/>
      </w:pPr>
      <w:r w:rsidRPr="00D91EFC">
        <w:t xml:space="preserve">Add 120 </w:t>
      </w:r>
      <w:r w:rsidRPr="00B01EB0">
        <w:rPr>
          <w:rFonts w:ascii="Symbol" w:hAnsi="Symbol"/>
        </w:rPr>
        <w:t></w:t>
      </w:r>
      <w:r w:rsidRPr="00D91EFC">
        <w:t xml:space="preserve">L of reagent and 120 </w:t>
      </w:r>
      <w:r w:rsidRPr="00B01EB0">
        <w:rPr>
          <w:rFonts w:ascii="Symbol" w:hAnsi="Symbol"/>
        </w:rPr>
        <w:t></w:t>
      </w:r>
      <w:r w:rsidRPr="00D91EFC">
        <w:t>L of PBS to each scaffold and the same volumes to an empty well (this will serve as blank)</w:t>
      </w:r>
      <w:r w:rsidR="005D6093">
        <w:t>. P</w:t>
      </w:r>
      <w:r w:rsidRPr="00D91EFC">
        <w:t xml:space="preserve">lace the plate covered in </w:t>
      </w:r>
      <w:r w:rsidR="0053136E" w:rsidRPr="00D91EFC">
        <w:t>aluminum</w:t>
      </w:r>
      <w:r w:rsidRPr="00D91EFC">
        <w:t xml:space="preserve"> foil on a shaker and shake vigorously (500 rpm) for 5 </w:t>
      </w:r>
      <w:r w:rsidR="00271E20">
        <w:t>min</w:t>
      </w:r>
      <w:r w:rsidRPr="00D91EFC">
        <w:t xml:space="preserve"> followed by 30 </w:t>
      </w:r>
      <w:r w:rsidR="00271E20">
        <w:t>min</w:t>
      </w:r>
      <w:r w:rsidR="005D6093">
        <w:t xml:space="preserve"> of</w:t>
      </w:r>
      <w:r w:rsidRPr="00D91EFC">
        <w:t xml:space="preserve"> incubation to </w:t>
      </w:r>
      <w:r w:rsidR="0053136E" w:rsidRPr="00D91EFC">
        <w:t>stabilize</w:t>
      </w:r>
      <w:r w:rsidRPr="00D91EFC">
        <w:t xml:space="preserve"> the </w:t>
      </w:r>
      <w:r w:rsidRPr="00D91EFC">
        <w:lastRenderedPageBreak/>
        <w:t>luminescence signal.</w:t>
      </w:r>
    </w:p>
    <w:p w14:paraId="0366F6D0" w14:textId="77777777" w:rsidR="00C71E84" w:rsidRDefault="00C71E84" w:rsidP="00B3744F"/>
    <w:p w14:paraId="29F395EE" w14:textId="0DDCF1D0" w:rsidR="0053136E" w:rsidRDefault="00AD5E8E" w:rsidP="001C7AC8">
      <w:pPr>
        <w:pStyle w:val="ListParagraph"/>
        <w:numPr>
          <w:ilvl w:val="2"/>
          <w:numId w:val="39"/>
        </w:numPr>
        <w:ind w:left="0" w:firstLine="0"/>
      </w:pPr>
      <w:r w:rsidRPr="00AD5E8E">
        <w:t xml:space="preserve">Transfer 100 </w:t>
      </w:r>
      <w:r w:rsidRPr="00B01EB0">
        <w:rPr>
          <w:rFonts w:ascii="Symbol" w:hAnsi="Symbol"/>
        </w:rPr>
        <w:t></w:t>
      </w:r>
      <w:r w:rsidRPr="00AD5E8E">
        <w:t>L of the lysed samples in duplicate to a clear flat-bottom 96-well assay plate for measurement. Ensure that the blank wells are not placed next to the other measuring wells of high luminescence.</w:t>
      </w:r>
    </w:p>
    <w:p w14:paraId="5603C8D3" w14:textId="77777777" w:rsidR="00C71E84" w:rsidRDefault="00C71E84" w:rsidP="00B3744F"/>
    <w:p w14:paraId="0379B0EC" w14:textId="661C6B10" w:rsidR="00F91EAA" w:rsidRDefault="00F91EAA" w:rsidP="001C7AC8">
      <w:pPr>
        <w:pStyle w:val="ListParagraph"/>
        <w:numPr>
          <w:ilvl w:val="2"/>
          <w:numId w:val="39"/>
        </w:numPr>
        <w:ind w:left="0" w:firstLine="0"/>
      </w:pPr>
      <w:r>
        <w:t>Record</w:t>
      </w:r>
      <w:r w:rsidR="005D6093">
        <w:t xml:space="preserve"> the</w:t>
      </w:r>
      <w:r w:rsidR="00E47E5E" w:rsidRPr="00E47E5E">
        <w:t xml:space="preserve"> luminescence using </w:t>
      </w:r>
      <w:r w:rsidR="00E47E5E">
        <w:t>a micropla</w:t>
      </w:r>
      <w:r w:rsidR="00E47E5E" w:rsidRPr="00E47E5E">
        <w:t>te reader</w:t>
      </w:r>
      <w:r>
        <w:t xml:space="preserve">. </w:t>
      </w:r>
    </w:p>
    <w:p w14:paraId="0224415D" w14:textId="77777777" w:rsidR="00C71E84" w:rsidRDefault="00C71E84" w:rsidP="00B3744F"/>
    <w:p w14:paraId="154C24DC" w14:textId="5D288413" w:rsidR="00F91EAA" w:rsidRPr="005C2E62" w:rsidRDefault="00F91EAA" w:rsidP="001C7AC8">
      <w:pPr>
        <w:pStyle w:val="ListParagraph"/>
        <w:numPr>
          <w:ilvl w:val="2"/>
          <w:numId w:val="39"/>
        </w:numPr>
        <w:ind w:left="0" w:firstLine="0"/>
      </w:pPr>
      <w:r>
        <w:t xml:space="preserve">Compare </w:t>
      </w:r>
      <w:r w:rsidR="005D6093">
        <w:t xml:space="preserve">the </w:t>
      </w:r>
      <w:r>
        <w:t xml:space="preserve">luminescence of </w:t>
      </w:r>
      <w:r w:rsidR="005D6093">
        <w:t xml:space="preserve">the </w:t>
      </w:r>
      <w:r>
        <w:t>samples to</w:t>
      </w:r>
      <w:r w:rsidR="005D6093">
        <w:t xml:space="preserve"> the</w:t>
      </w:r>
      <w:r>
        <w:t xml:space="preserve"> luminescence of </w:t>
      </w:r>
      <w:r w:rsidR="005D6093">
        <w:t xml:space="preserve">the </w:t>
      </w:r>
      <w:r>
        <w:t xml:space="preserve">standards to determine ATP detected </w:t>
      </w:r>
      <w:r w:rsidR="00A024FE">
        <w:t xml:space="preserve">by the reagent </w:t>
      </w:r>
      <w:r>
        <w:t xml:space="preserve">in </w:t>
      </w:r>
      <w:r w:rsidR="005D6093">
        <w:t xml:space="preserve">the </w:t>
      </w:r>
      <w:r>
        <w:t xml:space="preserve">samples. </w:t>
      </w:r>
    </w:p>
    <w:bookmarkEnd w:id="0"/>
    <w:p w14:paraId="39A657BC" w14:textId="77777777" w:rsidR="00C624D7" w:rsidRPr="005C2E62" w:rsidRDefault="00C624D7" w:rsidP="00351E07"/>
    <w:p w14:paraId="29E9FCF1" w14:textId="76704BEB" w:rsidR="006E4797" w:rsidRPr="005C2E62" w:rsidRDefault="00551D82">
      <w:pPr>
        <w:pBdr>
          <w:top w:val="nil"/>
          <w:left w:val="nil"/>
          <w:bottom w:val="nil"/>
          <w:right w:val="nil"/>
          <w:between w:val="nil"/>
        </w:pBdr>
      </w:pPr>
      <w:r w:rsidRPr="005C2E62">
        <w:rPr>
          <w:b/>
        </w:rPr>
        <w:t xml:space="preserve">REPRESENTATIVE RESULTS: </w:t>
      </w:r>
    </w:p>
    <w:p w14:paraId="441767C3" w14:textId="3F627C17" w:rsidR="00310225" w:rsidRDefault="00E31463" w:rsidP="00CE279F">
      <w:r>
        <w:t xml:space="preserve">The </w:t>
      </w:r>
      <w:r w:rsidR="006B10EB">
        <w:t>manuscript</w:t>
      </w:r>
      <w:r w:rsidR="00F4411E" w:rsidRPr="00F4411E">
        <w:t xml:space="preserve"> describe</w:t>
      </w:r>
      <w:r>
        <w:t>s</w:t>
      </w:r>
      <w:r w:rsidR="00801186">
        <w:t xml:space="preserve"> </w:t>
      </w:r>
      <w:r w:rsidR="00071A89">
        <w:t>a liver MPS model</w:t>
      </w:r>
      <w:r w:rsidR="00F4411E" w:rsidRPr="00F4411E">
        <w:t xml:space="preserve"> </w:t>
      </w:r>
      <w:r w:rsidR="006C333D">
        <w:t xml:space="preserve">used </w:t>
      </w:r>
      <w:r w:rsidR="000D5F30">
        <w:t xml:space="preserve">for assessing DILI. </w:t>
      </w:r>
      <w:r w:rsidR="006B2884">
        <w:t xml:space="preserve">The </w:t>
      </w:r>
      <w:r w:rsidR="00FD0362">
        <w:t>MPS</w:t>
      </w:r>
      <w:r w:rsidR="00421E06">
        <w:t xml:space="preserve"> facilitates </w:t>
      </w:r>
      <w:r w:rsidR="008002FE">
        <w:t xml:space="preserve">the </w:t>
      </w:r>
      <w:r w:rsidR="00743238">
        <w:t xml:space="preserve">generation of </w:t>
      </w:r>
      <w:r w:rsidR="002F2E41">
        <w:t xml:space="preserve">3D liver microtissues that are </w:t>
      </w:r>
      <w:r w:rsidR="00934A28">
        <w:t xml:space="preserve">maintained </w:t>
      </w:r>
      <w:r w:rsidR="00743238">
        <w:t>highly functional</w:t>
      </w:r>
      <w:r w:rsidR="00421E06">
        <w:t xml:space="preserve"> </w:t>
      </w:r>
      <w:r w:rsidR="00054AFB">
        <w:t xml:space="preserve">under flow </w:t>
      </w:r>
      <w:r w:rsidR="008002FE">
        <w:t>for up to 4 weeks</w:t>
      </w:r>
      <w:r w:rsidR="00054AFB">
        <w:t>.</w:t>
      </w:r>
      <w:r w:rsidR="008002FE">
        <w:t xml:space="preserve"> </w:t>
      </w:r>
      <w:r w:rsidR="00FB0C98">
        <w:t xml:space="preserve"> </w:t>
      </w:r>
      <w:r w:rsidR="00B31000">
        <w:t>PHHs/</w:t>
      </w:r>
      <w:r w:rsidR="00E64BF5">
        <w:t>HKC</w:t>
      </w:r>
      <w:r w:rsidR="00B31000">
        <w:t xml:space="preserve">s are </w:t>
      </w:r>
      <w:r w:rsidR="00F4411E" w:rsidRPr="00F4411E">
        <w:t xml:space="preserve">seeded onto </w:t>
      </w:r>
      <w:r w:rsidR="005D6093" w:rsidRPr="00F4411E">
        <w:t>collagen</w:t>
      </w:r>
      <w:r w:rsidR="005D6093">
        <w:t>-</w:t>
      </w:r>
      <w:r w:rsidR="00F4411E" w:rsidRPr="00F4411E">
        <w:t>coated scaffold</w:t>
      </w:r>
      <w:r w:rsidR="00FD0362">
        <w:t>s</w:t>
      </w:r>
      <w:r w:rsidR="00F4411E" w:rsidRPr="00F4411E">
        <w:t xml:space="preserve"> to form liver microtissues which are perfused with </w:t>
      </w:r>
      <w:r w:rsidR="005D6093">
        <w:t xml:space="preserve">a </w:t>
      </w:r>
      <w:r w:rsidR="00F4411E" w:rsidRPr="00F4411E">
        <w:t>growth medium</w:t>
      </w:r>
      <w:r w:rsidR="00272D0B">
        <w:t xml:space="preserve"> and</w:t>
      </w:r>
      <w:r w:rsidR="005D6093">
        <w:t>,</w:t>
      </w:r>
      <w:r w:rsidR="00272D0B">
        <w:t xml:space="preserve"> </w:t>
      </w:r>
      <w:r w:rsidR="009E7B35">
        <w:t>after passing the QC check</w:t>
      </w:r>
      <w:r w:rsidR="005D6093">
        <w:t>,</w:t>
      </w:r>
      <w:r w:rsidR="009E7B35">
        <w:t xml:space="preserve"> are </w:t>
      </w:r>
      <w:r w:rsidR="00272D0B">
        <w:t xml:space="preserve">dosed with </w:t>
      </w:r>
      <w:r w:rsidR="00505217">
        <w:t>compounds</w:t>
      </w:r>
      <w:r w:rsidR="00696A7F">
        <w:t xml:space="preserve">. Here, we show data for </w:t>
      </w:r>
      <w:r w:rsidR="00505217">
        <w:t xml:space="preserve">troglitazone and pioglitazone, </w:t>
      </w:r>
      <w:r w:rsidR="00696A7F">
        <w:t xml:space="preserve">two </w:t>
      </w:r>
      <w:r w:rsidR="00505217">
        <w:t xml:space="preserve">structurally similar </w:t>
      </w:r>
      <w:r w:rsidR="00696A7F">
        <w:t xml:space="preserve">compounds </w:t>
      </w:r>
      <w:r w:rsidR="00505217">
        <w:t xml:space="preserve">but with different DILI </w:t>
      </w:r>
      <w:r w:rsidR="009E7B35">
        <w:t>severities</w:t>
      </w:r>
      <w:r w:rsidR="008534B7">
        <w:t xml:space="preserve">. </w:t>
      </w:r>
    </w:p>
    <w:p w14:paraId="69DC249F" w14:textId="0018E5CB" w:rsidR="00310225" w:rsidRDefault="00310225" w:rsidP="00CE279F"/>
    <w:p w14:paraId="674390C8" w14:textId="403F5C0E" w:rsidR="005D6093" w:rsidRDefault="00E71944" w:rsidP="00E71944">
      <w:r>
        <w:t xml:space="preserve">At Day 4, prior to drug dosing, a </w:t>
      </w:r>
      <w:r w:rsidR="000A1E8F">
        <w:t>QC</w:t>
      </w:r>
      <w:r>
        <w:t xml:space="preserve"> check of formed</w:t>
      </w:r>
      <w:r w:rsidR="000874BF">
        <w:t xml:space="preserve"> </w:t>
      </w:r>
      <w:r w:rsidR="000A1E8F">
        <w:t xml:space="preserve">liver </w:t>
      </w:r>
      <w:r>
        <w:t>microtissues</w:t>
      </w:r>
      <w:r w:rsidR="000A1E8F">
        <w:t xml:space="preserve"> is</w:t>
      </w:r>
      <w:r>
        <w:t xml:space="preserve"> </w:t>
      </w:r>
      <w:r w:rsidR="00290784">
        <w:t>assessed</w:t>
      </w:r>
      <w:r w:rsidR="00AA1085">
        <w:t xml:space="preserve"> and </w:t>
      </w:r>
      <w:r>
        <w:t>consist</w:t>
      </w:r>
      <w:r w:rsidR="000A1E8F">
        <w:t>s</w:t>
      </w:r>
      <w:r>
        <w:t xml:space="preserve"> of LDH release and urea synthesis</w:t>
      </w:r>
      <w:r w:rsidR="00DA1319" w:rsidDel="000D62DB">
        <w:t xml:space="preserve"> </w:t>
      </w:r>
      <w:r w:rsidR="000D62DB">
        <w:t>(</w:t>
      </w:r>
      <w:r w:rsidR="000D62DB" w:rsidRPr="001C7AC8">
        <w:rPr>
          <w:b/>
          <w:bCs/>
        </w:rPr>
        <w:t xml:space="preserve">Figure </w:t>
      </w:r>
      <w:r w:rsidR="002D7E01" w:rsidRPr="001C7AC8">
        <w:rPr>
          <w:b/>
          <w:bCs/>
        </w:rPr>
        <w:t>1</w:t>
      </w:r>
      <w:r w:rsidR="00A10148" w:rsidRPr="001C7AC8">
        <w:rPr>
          <w:b/>
          <w:bCs/>
        </w:rPr>
        <w:t>A</w:t>
      </w:r>
      <w:r w:rsidR="000D62DB">
        <w:t>)</w:t>
      </w:r>
      <w:r w:rsidR="006A4686">
        <w:t xml:space="preserve">. </w:t>
      </w:r>
      <w:r w:rsidR="00AA1085">
        <w:t>The QC</w:t>
      </w:r>
      <w:r w:rsidR="00F463D1">
        <w:t xml:space="preserve"> aims to</w:t>
      </w:r>
      <w:r w:rsidR="00AA1085">
        <w:t xml:space="preserve"> c</w:t>
      </w:r>
      <w:r w:rsidR="00DA1319">
        <w:t>onfirm</w:t>
      </w:r>
      <w:r w:rsidR="004F0236">
        <w:t xml:space="preserve"> that</w:t>
      </w:r>
      <w:r>
        <w:t xml:space="preserve"> the </w:t>
      </w:r>
      <w:r w:rsidR="00727058">
        <w:t>l</w:t>
      </w:r>
      <w:r>
        <w:t>iver MPS produces highly consistent and functioning liver microtissues. The data</w:t>
      </w:r>
      <w:r w:rsidR="00290784">
        <w:t xml:space="preserve"> </w:t>
      </w:r>
      <w:r w:rsidR="00684763">
        <w:t xml:space="preserve">presented here </w:t>
      </w:r>
      <w:r w:rsidR="00290784">
        <w:t>are</w:t>
      </w:r>
      <w:r>
        <w:t xml:space="preserve"> generated from</w:t>
      </w:r>
      <w:r w:rsidR="00727058">
        <w:t xml:space="preserve"> three</w:t>
      </w:r>
      <w:r>
        <w:t xml:space="preserve"> </w:t>
      </w:r>
      <w:r w:rsidR="00727058">
        <w:t>experiments</w:t>
      </w:r>
      <w:r>
        <w:t xml:space="preserve"> and shows good levels of reproducibility with low intra- and inter-study variability. </w:t>
      </w:r>
      <w:r w:rsidR="00DE2166">
        <w:t xml:space="preserve">After </w:t>
      </w:r>
      <w:r w:rsidR="005D6093">
        <w:t xml:space="preserve">an </w:t>
      </w:r>
      <w:r w:rsidR="00DE2166">
        <w:t>8-day cultur</w:t>
      </w:r>
      <w:r w:rsidR="00552451">
        <w:t>e</w:t>
      </w:r>
      <w:r w:rsidR="005D6093">
        <w:t>,</w:t>
      </w:r>
      <w:r w:rsidR="00552451">
        <w:t xml:space="preserve"> multiple health and hepatic metric</w:t>
      </w:r>
      <w:r w:rsidR="0081242F">
        <w:t>s</w:t>
      </w:r>
      <w:r w:rsidR="00552451">
        <w:t xml:space="preserve"> </w:t>
      </w:r>
      <w:r w:rsidR="0081242F">
        <w:t xml:space="preserve">(albumin, urea, CYP3A4, ATP) </w:t>
      </w:r>
      <w:r w:rsidR="007F13AA">
        <w:t>are</w:t>
      </w:r>
      <w:r w:rsidR="001B3881">
        <w:t xml:space="preserve"> assessed and </w:t>
      </w:r>
      <w:r w:rsidR="0081475E">
        <w:t xml:space="preserve">control </w:t>
      </w:r>
      <w:r w:rsidR="00864827">
        <w:t xml:space="preserve">microtissues </w:t>
      </w:r>
      <w:r w:rsidR="001B126B">
        <w:t>show</w:t>
      </w:r>
      <w:r w:rsidR="001D020B">
        <w:t xml:space="preserve"> high levels of </w:t>
      </w:r>
      <w:r w:rsidR="00864827">
        <w:t xml:space="preserve">hepatic </w:t>
      </w:r>
      <w:r w:rsidR="001D020B">
        <w:t>functionality and reproducibility</w:t>
      </w:r>
      <w:r w:rsidR="00FE7112">
        <w:t xml:space="preserve"> (</w:t>
      </w:r>
      <w:r w:rsidR="00FE7112" w:rsidRPr="001C7AC8">
        <w:rPr>
          <w:b/>
          <w:bCs/>
        </w:rPr>
        <w:t xml:space="preserve">Figure </w:t>
      </w:r>
      <w:r w:rsidR="002D7E01" w:rsidRPr="001C7AC8">
        <w:rPr>
          <w:b/>
          <w:bCs/>
        </w:rPr>
        <w:t>1</w:t>
      </w:r>
      <w:r w:rsidR="00FE7112" w:rsidRPr="001C7AC8">
        <w:rPr>
          <w:b/>
          <w:bCs/>
        </w:rPr>
        <w:t>B</w:t>
      </w:r>
      <w:r w:rsidR="00FE7112" w:rsidRPr="005D6093">
        <w:t>,</w:t>
      </w:r>
      <w:r w:rsidR="00FE7112" w:rsidRPr="001C7AC8">
        <w:rPr>
          <w:b/>
          <w:bCs/>
        </w:rPr>
        <w:t>C</w:t>
      </w:r>
      <w:r w:rsidR="00FE7112">
        <w:t>)</w:t>
      </w:r>
      <w:r w:rsidR="0081242F">
        <w:t xml:space="preserve">. </w:t>
      </w:r>
      <w:r w:rsidR="001D020B">
        <w:t xml:space="preserve"> </w:t>
      </w:r>
      <w:r w:rsidR="00402AE1">
        <w:t xml:space="preserve">Contrast phase microscopy </w:t>
      </w:r>
      <w:r w:rsidR="004C5E14">
        <w:t xml:space="preserve">and IF staining </w:t>
      </w:r>
      <w:r w:rsidR="00E22285">
        <w:t xml:space="preserve">of </w:t>
      </w:r>
      <w:r w:rsidR="00D31E7C">
        <w:t xml:space="preserve">the </w:t>
      </w:r>
      <w:r w:rsidR="009D0BEE">
        <w:t xml:space="preserve">liver </w:t>
      </w:r>
      <w:r w:rsidR="00E22285">
        <w:t xml:space="preserve">microtissues </w:t>
      </w:r>
      <w:r w:rsidR="00BF456B">
        <w:t xml:space="preserve">(See </w:t>
      </w:r>
      <w:r w:rsidR="00BF456B" w:rsidRPr="001C7AC8">
        <w:rPr>
          <w:b/>
          <w:bCs/>
        </w:rPr>
        <w:t>Supplement</w:t>
      </w:r>
      <w:r w:rsidR="001C5EF2" w:rsidRPr="001C7AC8">
        <w:rPr>
          <w:b/>
          <w:bCs/>
        </w:rPr>
        <w:t>ary</w:t>
      </w:r>
      <w:r w:rsidR="00BF456B" w:rsidRPr="001C7AC8">
        <w:rPr>
          <w:b/>
          <w:bCs/>
        </w:rPr>
        <w:t xml:space="preserve"> Material</w:t>
      </w:r>
      <w:r w:rsidR="00BF456B">
        <w:t xml:space="preserve">) </w:t>
      </w:r>
      <w:r w:rsidR="002506F5">
        <w:t>show</w:t>
      </w:r>
      <w:r w:rsidR="008B6DB7">
        <w:t>s</w:t>
      </w:r>
      <w:r w:rsidR="00E22285">
        <w:t xml:space="preserve"> </w:t>
      </w:r>
      <w:r w:rsidR="00EE1FF3">
        <w:t xml:space="preserve">high seeding consistency </w:t>
      </w:r>
      <w:r w:rsidR="002977F5">
        <w:t>throughout the scaffold</w:t>
      </w:r>
      <w:r w:rsidR="00E80045">
        <w:t>’s microchannels</w:t>
      </w:r>
      <w:r w:rsidR="00D9633F">
        <w:t xml:space="preserve"> </w:t>
      </w:r>
      <w:r w:rsidR="003E5A6C">
        <w:t>and</w:t>
      </w:r>
      <w:r w:rsidR="00E80045">
        <w:t xml:space="preserve"> </w:t>
      </w:r>
      <w:r w:rsidR="00E224DF">
        <w:t xml:space="preserve">reveal the distribution of </w:t>
      </w:r>
      <w:r w:rsidR="00AB55EF">
        <w:t>HKCs</w:t>
      </w:r>
      <w:r w:rsidR="00E224DF">
        <w:t xml:space="preserve"> </w:t>
      </w:r>
      <w:r w:rsidR="003E5A6C">
        <w:t xml:space="preserve">in the </w:t>
      </w:r>
      <w:r w:rsidR="00405B4B">
        <w:t>PHH</w:t>
      </w:r>
      <w:r w:rsidR="001932A2">
        <w:t xml:space="preserve"> microtissues</w:t>
      </w:r>
      <w:r w:rsidR="00A86A0C">
        <w:t xml:space="preserve"> </w:t>
      </w:r>
      <w:r w:rsidR="001932A2">
        <w:t>(</w:t>
      </w:r>
      <w:r w:rsidR="001932A2" w:rsidRPr="001C7AC8">
        <w:rPr>
          <w:b/>
          <w:bCs/>
        </w:rPr>
        <w:t xml:space="preserve">Figure </w:t>
      </w:r>
      <w:r w:rsidR="002D7E01" w:rsidRPr="001C7AC8">
        <w:rPr>
          <w:b/>
          <w:bCs/>
        </w:rPr>
        <w:t>1</w:t>
      </w:r>
      <w:r w:rsidR="001932A2" w:rsidRPr="001C7AC8">
        <w:rPr>
          <w:b/>
          <w:bCs/>
        </w:rPr>
        <w:t>D</w:t>
      </w:r>
      <w:r w:rsidR="001932A2">
        <w:t>)</w:t>
      </w:r>
      <w:r w:rsidR="00D9633F">
        <w:t xml:space="preserve"> </w:t>
      </w:r>
    </w:p>
    <w:p w14:paraId="271DBEB3" w14:textId="77777777" w:rsidR="005D6093" w:rsidRDefault="005D6093" w:rsidP="00E71944"/>
    <w:p w14:paraId="2D9B4E5A" w14:textId="1B019780" w:rsidR="00E71944" w:rsidRPr="00EF25B9" w:rsidRDefault="00EF25B9" w:rsidP="00E71944">
      <w:r>
        <w:t xml:space="preserve">[Place </w:t>
      </w:r>
      <w:r>
        <w:rPr>
          <w:b/>
          <w:bCs/>
        </w:rPr>
        <w:t xml:space="preserve">Figure </w:t>
      </w:r>
      <w:r w:rsidR="00065E67">
        <w:rPr>
          <w:b/>
          <w:bCs/>
        </w:rPr>
        <w:t>1</w:t>
      </w:r>
      <w:r>
        <w:t xml:space="preserve"> here]. </w:t>
      </w:r>
    </w:p>
    <w:p w14:paraId="3D417691" w14:textId="77777777" w:rsidR="00E71944" w:rsidRDefault="00E71944" w:rsidP="00CE279F"/>
    <w:p w14:paraId="22FC4047" w14:textId="59BB5136" w:rsidR="00DE2166" w:rsidRPr="005C2E62" w:rsidRDefault="00DE2166" w:rsidP="00DE2166">
      <w:r w:rsidRPr="005C2E62">
        <w:rPr>
          <w:bCs/>
        </w:rPr>
        <w:t>Troglitazone</w:t>
      </w:r>
      <w:r w:rsidR="006D11DB">
        <w:rPr>
          <w:bCs/>
        </w:rPr>
        <w:t xml:space="preserve"> is known to</w:t>
      </w:r>
      <w:r w:rsidRPr="005C2E62">
        <w:rPr>
          <w:bCs/>
        </w:rPr>
        <w:t xml:space="preserve"> </w:t>
      </w:r>
      <w:r w:rsidR="00CF2F4E">
        <w:rPr>
          <w:bCs/>
        </w:rPr>
        <w:t>cause</w:t>
      </w:r>
      <w:r w:rsidRPr="005C2E62">
        <w:rPr>
          <w:bCs/>
        </w:rPr>
        <w:t xml:space="preserve"> severe DILI</w:t>
      </w:r>
      <w:r w:rsidR="007033AB">
        <w:rPr>
          <w:bCs/>
        </w:rPr>
        <w:t>; following its</w:t>
      </w:r>
      <w:r w:rsidRPr="005C2E62">
        <w:rPr>
          <w:bCs/>
        </w:rPr>
        <w:t xml:space="preserve"> </w:t>
      </w:r>
      <w:r w:rsidR="0056359F" w:rsidRPr="005C2E62">
        <w:rPr>
          <w:bCs/>
        </w:rPr>
        <w:t>licen</w:t>
      </w:r>
      <w:r w:rsidR="0056359F">
        <w:rPr>
          <w:bCs/>
        </w:rPr>
        <w:t>se</w:t>
      </w:r>
      <w:r w:rsidRPr="005C2E62">
        <w:rPr>
          <w:bCs/>
        </w:rPr>
        <w:t xml:space="preserve"> </w:t>
      </w:r>
      <w:r w:rsidR="009A3AF3">
        <w:rPr>
          <w:bCs/>
        </w:rPr>
        <w:t>for the</w:t>
      </w:r>
      <w:r w:rsidR="009A3AF3" w:rsidRPr="005C2E62">
        <w:rPr>
          <w:bCs/>
        </w:rPr>
        <w:t xml:space="preserve"> </w:t>
      </w:r>
      <w:r w:rsidRPr="005C2E62">
        <w:rPr>
          <w:bCs/>
        </w:rPr>
        <w:t>treat</w:t>
      </w:r>
      <w:r w:rsidR="009A3AF3">
        <w:rPr>
          <w:bCs/>
        </w:rPr>
        <w:t>ment</w:t>
      </w:r>
      <w:r w:rsidRPr="005C2E62">
        <w:rPr>
          <w:bCs/>
        </w:rPr>
        <w:t xml:space="preserve"> </w:t>
      </w:r>
      <w:r w:rsidR="005D6093">
        <w:rPr>
          <w:bCs/>
        </w:rPr>
        <w:t xml:space="preserve">of </w:t>
      </w:r>
      <w:r w:rsidRPr="005C2E62">
        <w:rPr>
          <w:bCs/>
        </w:rPr>
        <w:t>type 2 diabetes</w:t>
      </w:r>
      <w:r w:rsidR="005D6093">
        <w:rPr>
          <w:bCs/>
        </w:rPr>
        <w:t>,</w:t>
      </w:r>
      <w:r w:rsidRPr="005C2E62">
        <w:rPr>
          <w:bCs/>
        </w:rPr>
        <w:t xml:space="preserve"> </w:t>
      </w:r>
      <w:r w:rsidR="009A3AF3">
        <w:rPr>
          <w:bCs/>
        </w:rPr>
        <w:t>it</w:t>
      </w:r>
      <w:r w:rsidR="009A3AF3" w:rsidRPr="005C2E62">
        <w:rPr>
          <w:bCs/>
        </w:rPr>
        <w:t xml:space="preserve"> </w:t>
      </w:r>
      <w:r w:rsidRPr="005C2E62">
        <w:rPr>
          <w:bCs/>
        </w:rPr>
        <w:t xml:space="preserve">was withdrawn by the FDA </w:t>
      </w:r>
      <w:r w:rsidR="00984644">
        <w:rPr>
          <w:bCs/>
        </w:rPr>
        <w:t>after</w:t>
      </w:r>
      <w:r w:rsidR="00984644" w:rsidRPr="005C2E62">
        <w:rPr>
          <w:bCs/>
        </w:rPr>
        <w:t xml:space="preserve"> </w:t>
      </w:r>
      <w:r w:rsidRPr="005C2E62">
        <w:rPr>
          <w:bCs/>
        </w:rPr>
        <w:t xml:space="preserve">3 years </w:t>
      </w:r>
      <w:r w:rsidR="00984644">
        <w:rPr>
          <w:bCs/>
        </w:rPr>
        <w:t>on the market</w:t>
      </w:r>
      <w:r w:rsidRPr="005C2E62">
        <w:rPr>
          <w:bCs/>
        </w:rPr>
        <w:t xml:space="preserve"> because of the frequency of liver injury</w:t>
      </w:r>
      <w:r w:rsidR="00B23B2E">
        <w:rPr>
          <w:bCs/>
        </w:rPr>
        <w:t xml:space="preserve"> </w:t>
      </w:r>
      <w:r w:rsidRPr="005C2E62">
        <w:rPr>
          <w:bCs/>
        </w:rPr>
        <w:t>associated with its use</w:t>
      </w:r>
      <w:r>
        <w:rPr>
          <w:bCs/>
        </w:rPr>
        <w:t xml:space="preserve">. </w:t>
      </w:r>
      <w:r w:rsidR="00BD4152">
        <w:t>To date</w:t>
      </w:r>
      <w:r w:rsidR="005D6093">
        <w:t>,</w:t>
      </w:r>
      <w:r w:rsidR="00BD4152">
        <w:t xml:space="preserve"> p</w:t>
      </w:r>
      <w:r w:rsidRPr="005C2E62">
        <w:t xml:space="preserve">ublished animal </w:t>
      </w:r>
      <w:r w:rsidR="00C105AF">
        <w:t>studies</w:t>
      </w:r>
      <w:r w:rsidRPr="005C2E62">
        <w:t xml:space="preserve"> failed to predict troglitazone’s potential to cause severe liver injury</w:t>
      </w:r>
      <w:r w:rsidR="00BD4152">
        <w:t xml:space="preserve">. </w:t>
      </w:r>
      <w:r w:rsidR="00B23B2E">
        <w:t>T</w:t>
      </w:r>
      <w:r w:rsidRPr="005C2E62">
        <w:t xml:space="preserve">he toxicity of </w:t>
      </w:r>
      <w:r w:rsidR="00B23B2E">
        <w:t>th</w:t>
      </w:r>
      <w:r w:rsidR="006370AA">
        <w:t>is</w:t>
      </w:r>
      <w:r w:rsidR="00B23B2E" w:rsidRPr="005C2E62">
        <w:t xml:space="preserve"> </w:t>
      </w:r>
      <w:r w:rsidRPr="005C2E62">
        <w:t xml:space="preserve">compound was </w:t>
      </w:r>
      <w:r w:rsidR="00B23B2E">
        <w:t xml:space="preserve">also </w:t>
      </w:r>
      <w:r w:rsidRPr="005C2E62">
        <w:t xml:space="preserve">not detected in standard </w:t>
      </w:r>
      <w:r w:rsidRPr="00A86A0C">
        <w:rPr>
          <w:i/>
        </w:rPr>
        <w:t>in vitro</w:t>
      </w:r>
      <w:r w:rsidRPr="005C2E62">
        <w:t xml:space="preserve"> 2D </w:t>
      </w:r>
      <w:r w:rsidR="006D50D2">
        <w:t>hepatic assays</w:t>
      </w:r>
      <w:r w:rsidR="00337C4A" w:rsidRPr="005C2E62">
        <w:fldChar w:fldCharType="begin" w:fldLock="1"/>
      </w:r>
      <w:r w:rsidR="001D260F">
        <w:instrText>ADDIN CSL_CITATION {"citationItems":[{"id":"ITEM-1","itemData":{"DOI":"10.1093/toxsci/kfx289","abstract":"Primary human hepatocytes (PHHs) are commonly used for in vitro studies of drug-induced liver injury. However, when cultured as 2D monolayers, PHH lose crucial hepatic functions within hours. This dedifferentiation can be ameliorated when PHHs are cultured in sandwich configuration (2Dsw), particularly when cultures are regularly re-overlaid with extracellular matrix, or as 3D spheroids. In this study, the 6 participating laboratories evaluated the robustness of these 2 model systems made from cryopreserved PHH from the same donors considering both inter-donor and inter-laboratory variability and compared their suitability for use in repeated-dose toxicity studies using 5 different hepatotoxins with different toxicity mechanisms. We found that expression levels of proteins involved in drug absorption, distribution, metabolism, and excretion, as well as catalytic activities of 5 different CYPs, were significantly higher in 3D spheroid cultures, potentially affecting the exposure of the cells to drugs and their metabolites. Furthermore, global proteomic analyses revealed that PHH in 3D spheroid configuration were temporally stable whereas proteomes from the same donors in 2Dsw cultures showed substantial alterations in protein expression patterns over the 14 days in culture. Overall, spheroid cultures were more sensitive to the hepatotoxic compounds investigated, particularly upon long-term exposures, across testing sites with little inter-laboratory or inter-donor variability. The data presented here suggest that repeated-dosing regimens improve the predictivity of in vitro toxicity assays, and that PHH spheroids provide a sensitive and robust system V C The Author(s)","author":[{"dropping-particle":"","family":"Bell","given":"Catherine C","non-dropping-particle":"","parse-names":false,"suffix":""},{"dropping-particle":"","family":"A Dankers","given":"Anita C","non-dropping-particle":"","parse-names":false,"suffix":""},{"dropping-particle":"","family":"Lauschke","given":"Volker M","non-dropping-particle":"","parse-names":false,"suffix":""},{"dropping-particle":"","family":"Sison-Young","given":"Rowena","non-dropping-particle":"","parse-names":false,"suffix":""},{"dropping-particle":"","family":"Jenkins","given":"Roz","non-dropping-particle":"","parse-names":false,"suffix":""},{"dropping-particle":"","family":"Rowe","given":"Cliff","non-dropping-particle":"","parse-names":false,"suffix":""},{"dropping-particle":"","family":"Goldring","given":"Chris E","non-dropping-particle":"","parse-names":false,"suffix":""},{"dropping-particle":"","family":"Park","given":"Kevin","non-dropping-particle":"","parse-names":false,"suffix":""},{"dropping-particle":"","family":"Regan","given":"Sophie L","non-dropping-particle":"","parse-names":false,"suffix":""},{"dropping-particle":"","family":"Walker","given":"Tracy","non-dropping-particle":"","parse-names":false,"suffix":""},{"dropping-particle":"","family":"Schofield","given":"Chris","non-dropping-particle":"","parse-names":false,"suffix":""},{"dropping-particle":"","family":"Audrey Baze","given":"jk","non-dropping-particle":"","parse-names":false,"suffix":""},{"dropping-particle":"","family":"Foster","given":"Alison J","non-dropping-particle":"","parse-names":false,"suffix":""},{"dropping-particle":"","family":"Williams","given":"Dominic P","non-dropping-particle":"","parse-names":false,"suffix":""},{"dropping-particle":"","family":"M van de Ven","given":"Amy W","non-dropping-particle":"","parse-names":false,"suffix":""},{"dropping-particle":"","family":"Jacobs","given":"Frank","non-dropping-particle":"","parse-names":false,"suffix":""},{"dropping-particle":"","family":"Houdt","given":"Jos","non-dropping-particle":"van","parse-names":false,"suffix":""},{"dropping-particle":"","family":"Snoeys","given":"Jan","non-dropping-particle":"","parse-names":false,"suffix":""},{"dropping-particle":"","family":"Juhila","given":"Satu","non-dropping-particle":"","parse-names":false,"suffix":""},{"dropping-particle":"","family":"Richert","given":"Lysiane","non-dropping-particle":"","parse-names":false,"suffix":""},{"dropping-particle":"","family":"Ingelman-Sundberg","given":"Magnus","non-dropping-particle":"","parse-names":false,"suffix":""}],"container-title":"TOXICOLOGICAL SCIENCES","id":"ITEM-1","issue":"2","issued":{"date-parts":[["2018"]]},"page":"655-666","title":"Comparison of Hepatic 2D Sandwich Cultures and 3D Spheroids for Long-term Toxicity Applications: A Multicenter Study","type":"article-journal","volume":"162"},"uris":["http://www.mendeley.com/documents/?uuid=a932d242-b778-3be9-8dcf-8726a05e55c7"]}],"mendeley":{"formattedCitation":"&lt;sup&gt;14&lt;/sup&gt;","plainTextFormattedCitation":"14","previouslyFormattedCitation":"&lt;sup&gt;14&lt;/sup&gt;"},"properties":{"noteIndex":0},"schema":"https://github.com/citation-style-language/schema/raw/master/csl-citation.json"}</w:instrText>
      </w:r>
      <w:r w:rsidR="00337C4A" w:rsidRPr="005C2E62">
        <w:fldChar w:fldCharType="separate"/>
      </w:r>
      <w:r w:rsidR="007E03BB" w:rsidRPr="007E03BB">
        <w:rPr>
          <w:noProof/>
          <w:vertAlign w:val="superscript"/>
        </w:rPr>
        <w:t>14</w:t>
      </w:r>
      <w:r w:rsidR="00337C4A" w:rsidRPr="005C2E62">
        <w:fldChar w:fldCharType="end"/>
      </w:r>
      <w:r w:rsidR="006370AA">
        <w:t xml:space="preserve">. </w:t>
      </w:r>
    </w:p>
    <w:p w14:paraId="35B54C76" w14:textId="77777777" w:rsidR="00961A2A" w:rsidRDefault="00961A2A" w:rsidP="00CE279F"/>
    <w:p w14:paraId="477EBB44" w14:textId="77777777" w:rsidR="005D6093" w:rsidRDefault="003A243A" w:rsidP="00CE279F">
      <w:r>
        <w:t>L</w:t>
      </w:r>
      <w:r w:rsidR="002261F2">
        <w:t>iver microtissues</w:t>
      </w:r>
      <w:r>
        <w:t xml:space="preserve"> in the MPS</w:t>
      </w:r>
      <w:r w:rsidR="002261F2">
        <w:t xml:space="preserve"> were </w:t>
      </w:r>
      <w:r w:rsidR="00ED18A2">
        <w:t>dosed</w:t>
      </w:r>
      <w:r w:rsidR="002261F2">
        <w:t xml:space="preserve"> </w:t>
      </w:r>
      <w:r w:rsidR="00ED18A2">
        <w:t>with</w:t>
      </w:r>
      <w:r w:rsidR="002261F2">
        <w:t xml:space="preserve"> </w:t>
      </w:r>
      <w:r w:rsidR="00ED18A2">
        <w:t>troglitazone</w:t>
      </w:r>
      <w:r w:rsidR="002261F2">
        <w:t xml:space="preserve"> for 96 h</w:t>
      </w:r>
      <w:r w:rsidR="005D6093">
        <w:t>,</w:t>
      </w:r>
      <w:r w:rsidR="00516188">
        <w:t xml:space="preserve"> </w:t>
      </w:r>
      <w:r w:rsidR="00B23B2E">
        <w:t>and it</w:t>
      </w:r>
      <w:r w:rsidR="00CE279F" w:rsidRPr="005C2E62">
        <w:t xml:space="preserve"> cause</w:t>
      </w:r>
      <w:r w:rsidR="00321BE2" w:rsidRPr="005C2E62">
        <w:t>d</w:t>
      </w:r>
      <w:r w:rsidR="00CE279F" w:rsidRPr="005C2E62">
        <w:t xml:space="preserve"> an acute toxic response, C</w:t>
      </w:r>
      <w:r w:rsidR="00CE279F" w:rsidRPr="005C2E62">
        <w:rPr>
          <w:vertAlign w:val="subscript"/>
        </w:rPr>
        <w:t>max</w:t>
      </w:r>
      <w:r w:rsidR="00CE279F" w:rsidRPr="005C2E62">
        <w:t xml:space="preserve"> driven, which was detected by ALT and LDH </w:t>
      </w:r>
      <w:r w:rsidR="00C271BC">
        <w:t>release and</w:t>
      </w:r>
      <w:r w:rsidR="00CE279F" w:rsidRPr="005C2E62">
        <w:t xml:space="preserve"> </w:t>
      </w:r>
      <w:r w:rsidR="00C271BC">
        <w:t>a</w:t>
      </w:r>
      <w:r w:rsidR="00CE279F" w:rsidRPr="005C2E62">
        <w:t xml:space="preserve"> rapid </w:t>
      </w:r>
      <w:r w:rsidR="00C20F2A" w:rsidRPr="005C2E62">
        <w:t>reduction</w:t>
      </w:r>
      <w:r w:rsidR="00CE279F" w:rsidRPr="005C2E62">
        <w:t xml:space="preserve"> in albumin and urea production, at circa 15 x C</w:t>
      </w:r>
      <w:r w:rsidR="00CE279F" w:rsidRPr="005C2E62">
        <w:rPr>
          <w:vertAlign w:val="subscript"/>
        </w:rPr>
        <w:t>max</w:t>
      </w:r>
      <w:r w:rsidR="00CE279F" w:rsidRPr="005C2E62">
        <w:t>, following acute exposure to troglitazone</w:t>
      </w:r>
      <w:r w:rsidR="009F608F" w:rsidRPr="005C2E62">
        <w:t xml:space="preserve"> </w:t>
      </w:r>
      <w:r w:rsidR="006625B4">
        <w:t>(</w:t>
      </w:r>
      <w:r w:rsidR="006625B4" w:rsidRPr="001C7AC8">
        <w:rPr>
          <w:b/>
          <w:bCs/>
        </w:rPr>
        <w:t xml:space="preserve">Figure </w:t>
      </w:r>
      <w:r w:rsidR="001B5BBC" w:rsidRPr="001C7AC8">
        <w:rPr>
          <w:b/>
          <w:bCs/>
        </w:rPr>
        <w:t>2</w:t>
      </w:r>
      <w:r w:rsidR="00162D24" w:rsidRPr="001C7AC8">
        <w:rPr>
          <w:b/>
          <w:bCs/>
        </w:rPr>
        <w:t>A</w:t>
      </w:r>
      <w:r w:rsidR="006625B4" w:rsidRPr="00872536">
        <w:t>)</w:t>
      </w:r>
      <w:r w:rsidR="009F608F" w:rsidRPr="00872536">
        <w:t xml:space="preserve">. </w:t>
      </w:r>
      <w:r w:rsidR="00CE279F" w:rsidRPr="005C2E62">
        <w:t>Cellular endpoint (ATP content)</w:t>
      </w:r>
      <w:r w:rsidR="000521D9">
        <w:t xml:space="preserve"> and </w:t>
      </w:r>
      <w:r w:rsidR="000521D9" w:rsidRPr="005C2E62">
        <w:t>CYP</w:t>
      </w:r>
      <w:r w:rsidR="000521D9">
        <w:t>3A4</w:t>
      </w:r>
      <w:r w:rsidR="000521D9" w:rsidRPr="005C2E62">
        <w:t xml:space="preserve"> activity </w:t>
      </w:r>
      <w:r w:rsidR="000521D9">
        <w:t xml:space="preserve">(for assessing metabolic biotransformation), </w:t>
      </w:r>
      <w:r w:rsidR="00AA4AEC" w:rsidRPr="005C2E62">
        <w:t>sampled</w:t>
      </w:r>
      <w:r w:rsidR="00CE279F" w:rsidRPr="005C2E62">
        <w:t xml:space="preserve"> after </w:t>
      </w:r>
      <w:r w:rsidR="00D448CC" w:rsidRPr="005C2E62">
        <w:t xml:space="preserve">96 </w:t>
      </w:r>
      <w:r w:rsidR="00B6701E" w:rsidRPr="005C2E62">
        <w:t>h</w:t>
      </w:r>
      <w:r w:rsidR="00CE279F" w:rsidRPr="005C2E62">
        <w:t xml:space="preserve"> exposure, further confirmed toxicity caused by troglitazone and EC:50 </w:t>
      </w:r>
      <w:r w:rsidR="00642955">
        <w:t>values</w:t>
      </w:r>
      <w:r w:rsidR="00642955" w:rsidRPr="005C2E62">
        <w:t xml:space="preserve"> </w:t>
      </w:r>
      <w:r w:rsidR="00CE279F" w:rsidRPr="005C2E62">
        <w:t xml:space="preserve">were highly comparable to </w:t>
      </w:r>
      <w:r w:rsidR="00AB07DF">
        <w:t>other endpoints</w:t>
      </w:r>
      <w:r w:rsidR="00CE279F" w:rsidRPr="005C2E62">
        <w:t xml:space="preserve"> (</w:t>
      </w:r>
      <w:r w:rsidR="00AB07DF" w:rsidRPr="001C7AC8">
        <w:rPr>
          <w:b/>
          <w:bCs/>
        </w:rPr>
        <w:t xml:space="preserve">Figure </w:t>
      </w:r>
      <w:r w:rsidR="001B5BBC" w:rsidRPr="001C7AC8">
        <w:rPr>
          <w:b/>
          <w:bCs/>
        </w:rPr>
        <w:t>2</w:t>
      </w:r>
      <w:r w:rsidR="00197C06" w:rsidRPr="001C7AC8">
        <w:rPr>
          <w:b/>
          <w:bCs/>
        </w:rPr>
        <w:t>B</w:t>
      </w:r>
      <w:r w:rsidR="00CE279F" w:rsidRPr="005C2E62">
        <w:t xml:space="preserve">). </w:t>
      </w:r>
      <w:r w:rsidR="00310225">
        <w:t>B</w:t>
      </w:r>
      <w:r w:rsidR="00A00A5C" w:rsidRPr="005C2E62">
        <w:t>rightfield microscopy images</w:t>
      </w:r>
      <w:r w:rsidR="005A13F3" w:rsidRPr="005C2E62">
        <w:t xml:space="preserve"> </w:t>
      </w:r>
      <w:r w:rsidR="0076323E">
        <w:t>taken after</w:t>
      </w:r>
      <w:r w:rsidR="00A00A5C" w:rsidRPr="005C2E62">
        <w:t xml:space="preserve"> 8-day culture in the </w:t>
      </w:r>
      <w:r w:rsidR="00942186">
        <w:t>MPS</w:t>
      </w:r>
      <w:r w:rsidR="00F11440">
        <w:t xml:space="preserve"> </w:t>
      </w:r>
      <w:r w:rsidR="00C602F4">
        <w:t>reveal</w:t>
      </w:r>
      <w:r w:rsidR="003812C5">
        <w:t xml:space="preserve"> </w:t>
      </w:r>
      <w:r w:rsidR="00DA1013">
        <w:t>a healthy</w:t>
      </w:r>
      <w:r w:rsidR="003A0C0A">
        <w:t xml:space="preserve"> liver microtissue</w:t>
      </w:r>
      <w:r w:rsidR="00DA1013">
        <w:t xml:space="preserve">, </w:t>
      </w:r>
      <w:r w:rsidR="00DA1013">
        <w:lastRenderedPageBreak/>
        <w:t>uniformly seeded throughout the scaffold</w:t>
      </w:r>
      <w:r w:rsidR="00942186">
        <w:t xml:space="preserve"> </w:t>
      </w:r>
      <w:r w:rsidR="003A0C0A">
        <w:t xml:space="preserve">(vehicle control) in contrast </w:t>
      </w:r>
      <w:r w:rsidR="00476783">
        <w:t>to</w:t>
      </w:r>
      <w:r w:rsidR="00D834D8">
        <w:t xml:space="preserve"> </w:t>
      </w:r>
      <w:r w:rsidR="004D242E">
        <w:t xml:space="preserve">generalized </w:t>
      </w:r>
      <w:r w:rsidR="00D834D8">
        <w:t xml:space="preserve">tissue death/degradation </w:t>
      </w:r>
      <w:r w:rsidR="004D242E">
        <w:t xml:space="preserve">as </w:t>
      </w:r>
      <w:r w:rsidR="00D834D8">
        <w:t>seen in</w:t>
      </w:r>
      <w:r w:rsidR="00476783">
        <w:t xml:space="preserve"> </w:t>
      </w:r>
      <w:r w:rsidR="00CA6372">
        <w:t xml:space="preserve">the replicates treated with positive control </w:t>
      </w:r>
      <w:r w:rsidR="00D834D8">
        <w:t xml:space="preserve">and troglitazone at </w:t>
      </w:r>
      <w:r w:rsidR="004D242E">
        <w:t>the top two test concentrations</w:t>
      </w:r>
      <w:r w:rsidR="00197C06">
        <w:t xml:space="preserve"> (</w:t>
      </w:r>
      <w:r w:rsidR="00197C06" w:rsidRPr="001C7AC8">
        <w:rPr>
          <w:b/>
          <w:bCs/>
        </w:rPr>
        <w:t xml:space="preserve">Figure </w:t>
      </w:r>
      <w:r w:rsidR="001B5BBC" w:rsidRPr="001C7AC8">
        <w:rPr>
          <w:b/>
          <w:bCs/>
        </w:rPr>
        <w:t>2</w:t>
      </w:r>
      <w:r w:rsidR="00197C06" w:rsidRPr="001C7AC8">
        <w:rPr>
          <w:b/>
          <w:bCs/>
        </w:rPr>
        <w:t>C</w:t>
      </w:r>
      <w:r w:rsidR="00197C06">
        <w:t>)</w:t>
      </w:r>
      <w:r w:rsidR="005D6093">
        <w:t>.</w:t>
      </w:r>
    </w:p>
    <w:p w14:paraId="40B030B5" w14:textId="77777777" w:rsidR="005D6093" w:rsidRDefault="005D6093" w:rsidP="00CE279F"/>
    <w:p w14:paraId="45429848" w14:textId="5E676C3C" w:rsidR="008C69FE" w:rsidRPr="003E5415" w:rsidRDefault="003E5415" w:rsidP="00CE279F">
      <w:r>
        <w:t xml:space="preserve"> [Place </w:t>
      </w:r>
      <w:r>
        <w:rPr>
          <w:b/>
          <w:bCs/>
        </w:rPr>
        <w:t xml:space="preserve">Figure </w:t>
      </w:r>
      <w:r w:rsidR="00065E67">
        <w:rPr>
          <w:b/>
          <w:bCs/>
        </w:rPr>
        <w:t>2</w:t>
      </w:r>
      <w:r>
        <w:t xml:space="preserve"> here]. </w:t>
      </w:r>
    </w:p>
    <w:p w14:paraId="5A086377" w14:textId="181B909D" w:rsidR="00CE279F" w:rsidRPr="005C2E62" w:rsidRDefault="00CE279F"/>
    <w:p w14:paraId="51EBDB37" w14:textId="7D8BABF2" w:rsidR="005D6093" w:rsidRDefault="00E272E7" w:rsidP="001A0ACB">
      <w:r w:rsidRPr="005C2E62">
        <w:t xml:space="preserve">Liver toxicity following exposure to </w:t>
      </w:r>
      <w:r w:rsidR="00310225">
        <w:t>piogli</w:t>
      </w:r>
      <w:r w:rsidR="00EE6E50">
        <w:t>tazone</w:t>
      </w:r>
      <w:r w:rsidRPr="005C2E62">
        <w:t xml:space="preserve"> was also investigated. </w:t>
      </w:r>
      <w:r w:rsidR="009B5C94">
        <w:t>Pioglitazone is a compound kno</w:t>
      </w:r>
      <w:r w:rsidR="00446DDB">
        <w:t>wn to be of low-DILI concern</w:t>
      </w:r>
      <w:r w:rsidR="00F56252">
        <w:fldChar w:fldCharType="begin" w:fldLock="1"/>
      </w:r>
      <w:r w:rsidR="00F56252">
        <w:instrText>ADDIN CSL_CITATION {"citationItems":[{"id":"ITEM-1","itemData":{"DOI":"10.1136/gutjnl-2016-313369","abstract":"Idiosyncratic drug-induced liver injury (IDILI) is a rare but potentially severe adverse drug reaction that should be considered in patients who develop laboratory criteria for liver injury secondary to the administration of a potentially hepatotoxic drug. Although currently used liver parameters are sensitive in detecting DILI, they are neither specific nor able to predict the patient's subsequent clinical course. Genetic risk assessment is useful mainly due to its high negative predictive value, with several human leucocyte antigen alleles being associated with DILI. New emerging biomarkers which could be useful in assessing DILI include total keratin18 (K18) and caspase-cleaved keratin18 (ccK18), macrophage colony-stimulating factor receptor 1, high mobility group box 1 and microRNA-122. From the numerous in vitro test systems that are available, monocyte-derived hepatocytes generated from patients with DILI show promise in identifying the DILI-causing agent from among a panel of coprescribed drugs. Several computer-based algorithms are available that rely on cumulative scores of known risk factors such as the administered dose or potential liabilities such as mitochondrial toxicity, inhibition of the bile salt export pump or the formation of reactive metabolites. A novel DILI cluster score is being developed which predicts DILI from multiple complimentary cluster and classification models using absorption-distribution-metabolism-elimination-related as well as physicochemical properties, diverse substructural descriptors and known structural liabilities. The provision of more advanced scientific and regulatory guidance for liver safety assessment will depend on validating the new diagnostic markers in the ongoing DILI registries, biobanks and public-private partnerships. IMPORTANCE OF DILI DIAGNOSIS Drug-induced liver injury (DILI) accounts for &lt;1% of cases of acute liver injury seen by gastroenterolo-gists, but is the most common cause for acute liver failure in the USA and Europe. 1-3 According to surveys in France and Iceland, DILI occurs with an annual incidence of about 14-19 per 100 000 inhabitants. 4 5 DILI is also a leading cause of attrition of compounds in drug development and one of the two most frequent causes for drug withdrawals, restrictions and project terminations (figure 1). 6-11 Of 76 drugs withdrawn from the market between 1969 and 2002, 12 were attributable to liver damage. 12 Whereas liver signals that escape detection during dr…","author":[{"dropping-particle":"","family":"Kullak-Ublick","given":"Gerd A","non-dropping-particle":"","parse-names":false,"suffix":""},{"dropping-particle":"","family":"Andrade","given":"Raul J","non-dropping-particle":"","parse-names":false,"suffix":""},{"dropping-particle":"","family":"Merz","given":"Michael","non-dropping-particle":"","parse-names":false,"suffix":""},{"dropping-particle":"","family":"End","given":"Peter","non-dropping-particle":"","parse-names":false,"suffix":""},{"dropping-particle":"","family":"Benesic","given":"Andreas","non-dropping-particle":"","parse-names":false,"suffix":""},{"dropping-particle":"","family":"Gerbes","given":"Alexander L","non-dropping-particle":"","parse-names":false,"suffix":""},{"dropping-particle":"","family":"Aithal","given":"Guruprasad P","non-dropping-particle":"","parse-names":false,"suffix":""},{"dropping-particle":"","family":"Gerd","given":"Dr","non-dropping-particle":"","parse-names":false,"suffix":""},{"dropping-particle":"","family":"Kullak-Ublick","given":"A","non-dropping-particle":"","parse-names":false,"suffix":""}],"container-title":"Gut","id":"ITEM-1","issued":{"date-parts":[["2017"]]},"page":"1154-1164","title":"Drug-induced liver injury: recent advances in diagnosis and risk assessment Recent advances in clinical practice","type":"article-journal","volume":"66"},"uris":["http://www.mendeley.com/documents/?uuid=c826a9e3-385c-3aba-a71f-f763e7d300e8"]}],"mendeley":{"formattedCitation":"&lt;sup&gt;4&lt;/sup&gt;","plainTextFormattedCitation":"4","previouslyFormattedCitation":"&lt;sup&gt;4&lt;/sup&gt;"},"properties":{"noteIndex":0},"schema":"https://github.com/citation-style-language/schema/raw/master/csl-citation.json"}</w:instrText>
      </w:r>
      <w:r w:rsidR="00F56252">
        <w:fldChar w:fldCharType="separate"/>
      </w:r>
      <w:r w:rsidR="00F56252" w:rsidRPr="00F56252">
        <w:rPr>
          <w:noProof/>
          <w:vertAlign w:val="superscript"/>
        </w:rPr>
        <w:t>4</w:t>
      </w:r>
      <w:r w:rsidR="00F56252">
        <w:fldChar w:fldCharType="end"/>
      </w:r>
      <w:r w:rsidR="00814DDF">
        <w:t xml:space="preserve"> and </w:t>
      </w:r>
      <w:r w:rsidR="00643933" w:rsidRPr="005C2E62">
        <w:t>did not exert hepatotoxicity</w:t>
      </w:r>
      <w:r w:rsidRPr="005C2E62">
        <w:t xml:space="preserve"> </w:t>
      </w:r>
      <w:r w:rsidR="00643933" w:rsidRPr="005C2E62">
        <w:t>in</w:t>
      </w:r>
      <w:r w:rsidRPr="005C2E62">
        <w:t xml:space="preserve"> classic 2D primary hepatocytes cultures and even </w:t>
      </w:r>
      <w:r w:rsidR="00643933" w:rsidRPr="005C2E62">
        <w:t>in</w:t>
      </w:r>
      <w:r w:rsidRPr="005C2E62">
        <w:t xml:space="preserve"> some more advanced 3D models</w:t>
      </w:r>
      <w:r w:rsidR="00CD5531" w:rsidRPr="005C2E62">
        <w:fldChar w:fldCharType="begin" w:fldLock="1"/>
      </w:r>
      <w:r w:rsidR="007E03BB">
        <w:instrText>ADDIN CSL_CITATION {"citationItems":[{"id":"ITEM-1","itemData":{"DOI":"10.1007/s00204-017-2002-1","ISSN":"14320738","PMID":"28612260","abstract":"Drug-induced liver injury (DILI) continues to be a major source of clinical attrition, precautionary warnings, and post-market withdrawal of drugs. Accordingly, there is a need for more predictive tools to assess hepatotoxicity risk in drug discovery. Three-dimensional (3D) spheroid hepatic cultures have emerged as promising tools to assess mechanisms of hepatotoxicity, as they demonstrate enhanced liver phenotype, metabolic activity, and stability in culture not attainable with conventional two-dimensional hepatic models. Increased sensitivity of these models to drug-induced cytotoxicity has been demonstrated with relatively small panels of hepatotoxicants. However, a comprehensive evaluation of these models is lacking. Here, the predictive value of 3D human liver microtissues (hLiMT) to identify known hepatotoxicants using a panel of 110 drugs with and without clinical DILI has been assessed in comparison to plated two-dimensional primary human hepatocytes (PHH). Compounds were treated long-term (14 days) in hLiMT and acutely (2 days) in PHH to assess drug-induced cytotoxicity over an 8-point concentration range to generate IC50 values. Regardless of comparing IC50 values or exposure-corrected margin of safety values, hLiMT demonstrated increased sensitivity in identifying known hepatotoxicants than PHH, while specificity was consistent across both assays. In addition, hLiMT out performed PHH in correctly classifying hepatotoxicants from different pharmacological classes of molecules. The hLiMT demonstrated sufficient capability to warrant exploratory liver injury biomarker investigation (miR-122, HMGB1, α-GST) in the cell-culture media. Taken together, this study represents the most comprehensive evaluation of 3D spheroid hepatic cultures up to now and supports their utility for hepatotoxicity risk assessment in drug discovery.","author":[{"dropping-particle":"","family":"Proctor","given":"William R.","non-dropping-particle":"","parse-names":false,"suffix":""},{"dropping-particle":"","family":"Foster","given":"Alison J.","non-dropping-particle":"","parse-names":false,"suffix":""},{"dropping-particle":"","family":"Vogt","given":"Jennifer","non-dropping-particle":"","parse-names":false,"suffix":""},{"dropping-particle":"","family":"Summers","given":"Claire","non-dropping-particle":"","parse-names":false,"suffix":""},{"dropping-particle":"","family":"Middleton","given":"Brian","non-dropping-particle":"","parse-names":false,"suffix":""},{"dropping-particle":"","family":"Pilling","given":"Mark A.","non-dropping-particle":"","parse-names":false,"suffix":""},{"dropping-particle":"","family":"Shienson","given":"Daniel","non-dropping-particle":"","parse-names":false,"suffix":""},{"dropping-particle":"","family":"Kijanska","given":"Monika","non-dropping-particle":"","parse-names":false,"suffix":""},{"dropping-particle":"","family":"Ströbel","given":"Simon","non-dropping-particle":"","parse-names":false,"suffix":""},{"dropping-particle":"","family":"Kelm","given":"Jens M.","non-dropping-particle":"","parse-names":false,"suffix":""},{"dropping-particle":"","family":"Morgan","given":"Paul","non-dropping-particle":"","parse-names":false,"suffix":""},{"dropping-particle":"","family":"Messner","given":"Simon","non-dropping-particle":"","parse-names":false,"suffix":""},{"dropping-particle":"","family":"Williams","given":"Dominic","non-dropping-particle":"","parse-names":false,"suffix":""}],"container-title":"Archives of Toxicology","id":"ITEM-1","issue":"8","issued":{"date-parts":[["2017"]]},"page":"2849-2863","publisher":"Springer Berlin Heidelberg","title":"Utility of spherical human liver microtissues for prediction of clinical drug-induced liver injury","type":"article-journal","volume":"91"},"uris":["http://www.mendeley.com/documents/?uuid=13cdc372-fc18-46b4-8de2-15d00991a406"]},{"id":"ITEM-2","itemData":{"DOI":"10.1016/j.xphs.2020.02.021","ISSN":"15206017","PMID":"32145211","abstract":"Drug-induced liver injury (DILI) remains a challenge and a leading risk for drug discovery. Three-dimensional liver spheroids made from primary human hepatocytes (PHHs) with, or without, other liver cell types can provide more physiological relevance. In comparison to conventional 2-dimensional monolayer culture, our tests with 100 drugs of known DILI status indicate that PHH spheroids are significantly more sensitive in detecting drug-induced hepatotoxicity. To evaluate the role of Kupffer cells (KCs) in drug-induced liver toxicity, we have established conditions for generating co-culture spheroids with PHH and KCs. Inflammatory responses as shown by interleukin 6 secretion can be recapitulated in co-culture spheroids when treated with endotoxin lipopolysaccharides. KCs potentiated the cytotoxicity induced by trovafloxacin in co-culture spheroids at 48 h, but the differences between PHH spheroids and co-culture spheroids became less obvious after a 5-day treatment. Interestingly, a protective role of KCs was shown in co-culture spheroids treated with both acetaminophen and lipopolysaccharides. Additional tests with 14 DILI compounds comparing PHH spheroids and co-culture spheroids showed differential roles of KCs that were compound dependent. In summary, these 3-dimensional liver spheroid models are useful tools to understand the complex mechanisms underlying DILI.","author":[{"dropping-particle":"","family":"Li","given":"Feng","non-dropping-particle":"","parse-names":false,"suffix":""},{"dropping-particle":"","family":"Cao","given":"Li","non-dropping-particle":"","parse-names":false,"suffix":""},{"dropping-particle":"","family":"Parikh","given":"Sweta","non-dropping-particle":"","parse-names":false,"suffix":""},{"dropping-particle":"","family":"Zuo","given":"Rongjun","non-dropping-particle":"","parse-names":false,"suffix":""}],"container-title":"Journal of Pharmaceutical Sciences","id":"ITEM-2","issue":"6","issued":{"date-parts":[["2020"]]},"page":"1912-1923","publisher":"Elsevier Ltd","title":"Three-Dimensional Spheroids With Primary Human Liver Cells and Differential Roles of Kupffer Cells in Drug-Induced Liver Injury","type":"article-journal","volume":"109"},"uris":["http://www.mendeley.com/documents/?uuid=0757227e-9657-4bf6-a192-e4ff4952c8ec"]}],"mendeley":{"formattedCitation":"&lt;sup&gt;10, 11&lt;/sup&gt;","plainTextFormattedCitation":"10, 11","previouslyFormattedCitation":"&lt;sup&gt;10, 11&lt;/sup&gt;"},"properties":{"noteIndex":0},"schema":"https://github.com/citation-style-language/schema/raw/master/csl-citation.json"}</w:instrText>
      </w:r>
      <w:r w:rsidR="00CD5531" w:rsidRPr="005C2E62">
        <w:fldChar w:fldCharType="separate"/>
      </w:r>
      <w:r w:rsidR="00730E00" w:rsidRPr="00730E00">
        <w:rPr>
          <w:noProof/>
          <w:vertAlign w:val="superscript"/>
        </w:rPr>
        <w:t>10, 11</w:t>
      </w:r>
      <w:r w:rsidR="00CD5531" w:rsidRPr="005C2E62">
        <w:fldChar w:fldCharType="end"/>
      </w:r>
      <w:r w:rsidRPr="005C2E62">
        <w:t>.</w:t>
      </w:r>
      <w:r w:rsidR="00820514">
        <w:t xml:space="preserve"> </w:t>
      </w:r>
      <w:r w:rsidR="00B4622B">
        <w:t>Mild hepatotoxic effects were observed at both tested time</w:t>
      </w:r>
      <w:r w:rsidR="005D6093">
        <w:t xml:space="preserve"> </w:t>
      </w:r>
      <w:r w:rsidR="00B4622B">
        <w:t>points</w:t>
      </w:r>
      <w:r w:rsidR="001A0ACB">
        <w:t xml:space="preserve"> (</w:t>
      </w:r>
      <w:r w:rsidR="00F4365E" w:rsidRPr="001C7AC8">
        <w:rPr>
          <w:b/>
          <w:bCs/>
        </w:rPr>
        <w:t xml:space="preserve">Figure </w:t>
      </w:r>
      <w:r w:rsidR="001B5BBC" w:rsidRPr="001C7AC8">
        <w:rPr>
          <w:b/>
          <w:bCs/>
        </w:rPr>
        <w:t>3</w:t>
      </w:r>
      <w:r w:rsidR="00F4365E">
        <w:t>)</w:t>
      </w:r>
      <w:r w:rsidR="009B5C94" w:rsidRPr="004038EA">
        <w:t>. No LDH or ALT release was detected</w:t>
      </w:r>
      <w:r w:rsidR="005D6093">
        <w:t>;</w:t>
      </w:r>
      <w:r w:rsidR="005D6093" w:rsidRPr="004038EA">
        <w:t xml:space="preserve"> </w:t>
      </w:r>
      <w:r w:rsidR="009B5C94" w:rsidRPr="004038EA">
        <w:t>however, after 48 h</w:t>
      </w:r>
      <w:r w:rsidR="005D6093">
        <w:t>,</w:t>
      </w:r>
      <w:r w:rsidR="009B5C94" w:rsidRPr="004038EA">
        <w:t xml:space="preserve"> a mild reduction in albumin and urea production was observed, at </w:t>
      </w:r>
      <w:r w:rsidR="009B5C94">
        <w:t>approx.</w:t>
      </w:r>
      <w:r w:rsidR="009B5C94" w:rsidRPr="004038EA">
        <w:t xml:space="preserve"> 25</w:t>
      </w:r>
      <w:r w:rsidR="005D6093">
        <w:t>x</w:t>
      </w:r>
      <w:r w:rsidR="009B5C94" w:rsidRPr="004038EA">
        <w:t xml:space="preserve"> C</w:t>
      </w:r>
      <w:r w:rsidR="009B5C94" w:rsidRPr="00EC4CDB">
        <w:rPr>
          <w:vertAlign w:val="subscript"/>
        </w:rPr>
        <w:t>max</w:t>
      </w:r>
      <w:r w:rsidR="004410B2">
        <w:t xml:space="preserve"> (</w:t>
      </w:r>
      <w:r w:rsidR="004410B2" w:rsidRPr="001C7AC8">
        <w:rPr>
          <w:b/>
          <w:bCs/>
        </w:rPr>
        <w:t xml:space="preserve">Figure </w:t>
      </w:r>
      <w:r w:rsidR="00BA71F0" w:rsidRPr="001C7AC8">
        <w:rPr>
          <w:b/>
          <w:bCs/>
        </w:rPr>
        <w:t>3</w:t>
      </w:r>
      <w:r w:rsidR="004410B2" w:rsidRPr="001C7AC8">
        <w:rPr>
          <w:b/>
          <w:bCs/>
        </w:rPr>
        <w:t>A</w:t>
      </w:r>
      <w:r w:rsidR="004410B2">
        <w:t>).</w:t>
      </w:r>
      <w:r w:rsidR="009B5C94" w:rsidRPr="004038EA">
        <w:t xml:space="preserve"> </w:t>
      </w:r>
      <w:r w:rsidR="00705E04">
        <w:t xml:space="preserve">Very minor reduction in ATP content was also observed </w:t>
      </w:r>
      <w:r w:rsidR="001B7869">
        <w:t>at high pioglitazone concentrations</w:t>
      </w:r>
      <w:r w:rsidR="005D6093">
        <w:t>,</w:t>
      </w:r>
      <w:r w:rsidR="001B7869">
        <w:t xml:space="preserve"> but this was not significant</w:t>
      </w:r>
      <w:r w:rsidR="009B5C94" w:rsidRPr="004038EA">
        <w:t>.</w:t>
      </w:r>
      <w:r w:rsidR="00CB21FD">
        <w:t xml:space="preserve"> </w:t>
      </w:r>
      <w:r w:rsidR="004C2483">
        <w:t xml:space="preserve">EC:50 values generated from dose-response curves are </w:t>
      </w:r>
      <w:r w:rsidR="00917204">
        <w:t xml:space="preserve">presented in </w:t>
      </w:r>
      <w:r w:rsidR="00917204" w:rsidRPr="001C7AC8">
        <w:rPr>
          <w:b/>
          <w:bCs/>
        </w:rPr>
        <w:t xml:space="preserve">Figure </w:t>
      </w:r>
      <w:r w:rsidR="00BA71F0" w:rsidRPr="001C7AC8">
        <w:rPr>
          <w:b/>
          <w:bCs/>
        </w:rPr>
        <w:t>3</w:t>
      </w:r>
      <w:r w:rsidR="00F32646" w:rsidRPr="001C7AC8">
        <w:rPr>
          <w:b/>
          <w:bCs/>
        </w:rPr>
        <w:t>B</w:t>
      </w:r>
      <w:r w:rsidR="00F32646">
        <w:t xml:space="preserve">. </w:t>
      </w:r>
      <w:r w:rsidR="001A0ACB" w:rsidRPr="005C2E62">
        <w:t xml:space="preserve">Microscopy </w:t>
      </w:r>
      <w:r w:rsidR="001A0ACB">
        <w:t>revealed slight</w:t>
      </w:r>
      <w:r w:rsidR="001A0ACB" w:rsidRPr="005C2E62">
        <w:t xml:space="preserve"> microtissue alteration following 96</w:t>
      </w:r>
      <w:r w:rsidR="009E6788">
        <w:t xml:space="preserve"> </w:t>
      </w:r>
      <w:r w:rsidR="001A0ACB" w:rsidRPr="005C2E62">
        <w:t xml:space="preserve">h exposure to </w:t>
      </w:r>
      <w:r w:rsidR="001A0ACB">
        <w:t>pioglitazone</w:t>
      </w:r>
      <w:r w:rsidR="001A0ACB" w:rsidRPr="005C2E62">
        <w:t xml:space="preserve"> at </w:t>
      </w:r>
      <w:r w:rsidR="009E6788">
        <w:t xml:space="preserve">the two </w:t>
      </w:r>
      <w:r w:rsidR="006F03D0">
        <w:t>highest tested concentrations</w:t>
      </w:r>
      <w:r w:rsidR="009C7A2B">
        <w:t xml:space="preserve"> (</w:t>
      </w:r>
      <w:r w:rsidR="009C7A2B" w:rsidRPr="001C7AC8">
        <w:rPr>
          <w:b/>
          <w:bCs/>
        </w:rPr>
        <w:t xml:space="preserve">Figure </w:t>
      </w:r>
      <w:r w:rsidR="00BA71F0" w:rsidRPr="001C7AC8">
        <w:rPr>
          <w:b/>
          <w:bCs/>
        </w:rPr>
        <w:t>3</w:t>
      </w:r>
      <w:r w:rsidR="009C7A2B" w:rsidRPr="001C7AC8">
        <w:rPr>
          <w:b/>
          <w:bCs/>
        </w:rPr>
        <w:t>C</w:t>
      </w:r>
      <w:r w:rsidR="009C7A2B">
        <w:t>)</w:t>
      </w:r>
      <w:r w:rsidR="006F03D0">
        <w:t xml:space="preserve">. </w:t>
      </w:r>
      <w:r w:rsidR="009C7A2B">
        <w:t>T</w:t>
      </w:r>
      <w:r w:rsidR="009C7A2B" w:rsidRPr="00A04BB6">
        <w:t>he results demonstrate the ability of the liver MPS to detect the toxicity of compounds with mild DILI concern</w:t>
      </w:r>
      <w:r w:rsidR="005D6093">
        <w:t>.</w:t>
      </w:r>
      <w:r w:rsidR="008B5642">
        <w:t xml:space="preserve"> </w:t>
      </w:r>
    </w:p>
    <w:p w14:paraId="00FE6316" w14:textId="77777777" w:rsidR="005D6093" w:rsidRDefault="005D6093" w:rsidP="001A0ACB"/>
    <w:p w14:paraId="627094EC" w14:textId="7346DFA3" w:rsidR="001A0ACB" w:rsidRPr="006F03D0" w:rsidRDefault="008B5642" w:rsidP="001A0ACB">
      <w:r>
        <w:t xml:space="preserve">[Place </w:t>
      </w:r>
      <w:r>
        <w:rPr>
          <w:b/>
          <w:bCs/>
        </w:rPr>
        <w:t xml:space="preserve">Figure </w:t>
      </w:r>
      <w:r w:rsidR="00065E67">
        <w:rPr>
          <w:b/>
          <w:bCs/>
        </w:rPr>
        <w:t>3</w:t>
      </w:r>
      <w:r>
        <w:t xml:space="preserve"> here]</w:t>
      </w:r>
      <w:r w:rsidR="009C7A2B" w:rsidRPr="00A04BB6">
        <w:t>.</w:t>
      </w:r>
    </w:p>
    <w:p w14:paraId="11183AF3" w14:textId="699A3AEA" w:rsidR="008534B7" w:rsidRDefault="008534B7" w:rsidP="003D6A45"/>
    <w:p w14:paraId="3220B920" w14:textId="06A84B1E" w:rsidR="005D6093" w:rsidRDefault="00A35FAE">
      <w:r>
        <w:rPr>
          <w:bCs/>
        </w:rPr>
        <w:t>By assessing all</w:t>
      </w:r>
      <w:r w:rsidR="00026264">
        <w:rPr>
          <w:bCs/>
        </w:rPr>
        <w:t xml:space="preserve"> </w:t>
      </w:r>
      <w:r w:rsidR="008534B7" w:rsidRPr="002A6CFD">
        <w:rPr>
          <w:bCs/>
        </w:rPr>
        <w:t xml:space="preserve">functional endpoints </w:t>
      </w:r>
      <w:r w:rsidR="00711A77">
        <w:rPr>
          <w:bCs/>
        </w:rPr>
        <w:t>and</w:t>
      </w:r>
      <w:r w:rsidR="008534B7" w:rsidRPr="002A6CFD">
        <w:rPr>
          <w:bCs/>
        </w:rPr>
        <w:t xml:space="preserve"> toxicity output biomarkers </w:t>
      </w:r>
      <w:r w:rsidR="0069119C" w:rsidRPr="002A6CFD">
        <w:rPr>
          <w:bCs/>
        </w:rPr>
        <w:t xml:space="preserve">that </w:t>
      </w:r>
      <w:r w:rsidR="0069119C">
        <w:rPr>
          <w:bCs/>
        </w:rPr>
        <w:t xml:space="preserve">might </w:t>
      </w:r>
      <w:r w:rsidR="0069119C" w:rsidRPr="002A6CFD">
        <w:rPr>
          <w:bCs/>
        </w:rPr>
        <w:t xml:space="preserve">represent </w:t>
      </w:r>
      <w:r w:rsidR="0069119C" w:rsidRPr="00A53AE9">
        <w:rPr>
          <w:i/>
        </w:rPr>
        <w:t>in vivo</w:t>
      </w:r>
      <w:r w:rsidR="0069119C" w:rsidRPr="002A6CFD">
        <w:rPr>
          <w:bCs/>
        </w:rPr>
        <w:t xml:space="preserve"> or clinical scenarios</w:t>
      </w:r>
      <w:r w:rsidR="0069119C">
        <w:rPr>
          <w:bCs/>
        </w:rPr>
        <w:t xml:space="preserve"> </w:t>
      </w:r>
      <w:r w:rsidR="004B01C3">
        <w:rPr>
          <w:bCs/>
        </w:rPr>
        <w:t>(</w:t>
      </w:r>
      <w:r w:rsidR="004B01C3">
        <w:t>LDH release, Urea synthesis, Albumin production, CYP3A4 activity</w:t>
      </w:r>
      <w:r w:rsidR="00026264">
        <w:t xml:space="preserve">, </w:t>
      </w:r>
      <w:r w:rsidR="004B01C3">
        <w:t>ATP content</w:t>
      </w:r>
      <w:r w:rsidR="00026264">
        <w:t xml:space="preserve">, </w:t>
      </w:r>
      <w:r w:rsidR="009C7A2B">
        <w:t>ALT release</w:t>
      </w:r>
      <w:r w:rsidR="004B01C3">
        <w:t>)</w:t>
      </w:r>
      <w:r w:rsidR="004B01C3">
        <w:rPr>
          <w:bCs/>
        </w:rPr>
        <w:t xml:space="preserve"> </w:t>
      </w:r>
      <w:r w:rsidR="00B372DA">
        <w:rPr>
          <w:bCs/>
        </w:rPr>
        <w:t xml:space="preserve">and corroborating the data </w:t>
      </w:r>
      <w:r w:rsidR="002F57B7">
        <w:rPr>
          <w:bCs/>
        </w:rPr>
        <w:t>generated for both tested compounds</w:t>
      </w:r>
      <w:r w:rsidR="0069119C">
        <w:rPr>
          <w:bCs/>
        </w:rPr>
        <w:t xml:space="preserve"> dosed at </w:t>
      </w:r>
      <w:r w:rsidR="005D6093">
        <w:rPr>
          <w:bCs/>
        </w:rPr>
        <w:t xml:space="preserve">a </w:t>
      </w:r>
      <w:r w:rsidR="003D4F73">
        <w:t xml:space="preserve">seven-point dose range for </w:t>
      </w:r>
      <w:r w:rsidR="0069119C">
        <w:rPr>
          <w:bCs/>
        </w:rPr>
        <w:t>48 h and 96 h</w:t>
      </w:r>
      <w:r w:rsidR="005D6093">
        <w:rPr>
          <w:bCs/>
        </w:rPr>
        <w:t>,</w:t>
      </w:r>
      <w:r w:rsidR="006B7437">
        <w:rPr>
          <w:bCs/>
        </w:rPr>
        <w:t xml:space="preserve"> </w:t>
      </w:r>
      <w:r w:rsidR="003B52E1">
        <w:rPr>
          <w:bCs/>
        </w:rPr>
        <w:t xml:space="preserve">a heatmap </w:t>
      </w:r>
      <w:r w:rsidR="00FF75B1">
        <w:rPr>
          <w:bCs/>
        </w:rPr>
        <w:t xml:space="preserve">has been generated </w:t>
      </w:r>
      <w:r w:rsidR="00B5139C">
        <w:rPr>
          <w:bCs/>
        </w:rPr>
        <w:t>to</w:t>
      </w:r>
      <w:r w:rsidR="00391384">
        <w:rPr>
          <w:bCs/>
        </w:rPr>
        <w:t xml:space="preserve"> </w:t>
      </w:r>
      <w:r w:rsidR="003D4F73" w:rsidRPr="005C2E62">
        <w:t>yield</w:t>
      </w:r>
      <w:r w:rsidR="00A26B0D" w:rsidRPr="005C2E62">
        <w:t xml:space="preserve"> a “signature of hepatotoxicity”, </w:t>
      </w:r>
      <w:r w:rsidR="00A26B0D">
        <w:t>helping to identify</w:t>
      </w:r>
      <w:r w:rsidR="00A26B0D" w:rsidRPr="005C2E62">
        <w:t xml:space="preserve"> compounds with </w:t>
      </w:r>
      <w:r w:rsidR="00ED33B6">
        <w:t>varying</w:t>
      </w:r>
      <w:r w:rsidR="00ED33B6" w:rsidRPr="005C2E62">
        <w:t xml:space="preserve"> </w:t>
      </w:r>
      <w:r w:rsidR="00A26B0D" w:rsidRPr="005C2E62">
        <w:t>level of DILI concern</w:t>
      </w:r>
      <w:r w:rsidR="005D6093">
        <w:t xml:space="preserve"> (</w:t>
      </w:r>
      <w:r w:rsidR="005D6093" w:rsidRPr="001C7AC8">
        <w:rPr>
          <w:b/>
          <w:bCs/>
        </w:rPr>
        <w:t>Figure 4</w:t>
      </w:r>
      <w:r w:rsidR="005D6093">
        <w:t>).</w:t>
      </w:r>
      <w:r w:rsidR="003D4F73">
        <w:t xml:space="preserve"> </w:t>
      </w:r>
    </w:p>
    <w:p w14:paraId="732594D6" w14:textId="77777777" w:rsidR="005D6093" w:rsidRDefault="005D6093"/>
    <w:p w14:paraId="6D2DAC2C" w14:textId="699E2606" w:rsidR="00711A77" w:rsidRDefault="00752471">
      <w:r>
        <w:t xml:space="preserve">[Place </w:t>
      </w:r>
      <w:r>
        <w:rPr>
          <w:b/>
          <w:bCs/>
        </w:rPr>
        <w:t xml:space="preserve">Figure </w:t>
      </w:r>
      <w:r w:rsidR="00065E67">
        <w:rPr>
          <w:b/>
          <w:bCs/>
        </w:rPr>
        <w:t>4</w:t>
      </w:r>
      <w:r>
        <w:rPr>
          <w:b/>
          <w:bCs/>
        </w:rPr>
        <w:t xml:space="preserve"> </w:t>
      </w:r>
      <w:r>
        <w:t xml:space="preserve">here]. </w:t>
      </w:r>
    </w:p>
    <w:p w14:paraId="200EDCFB" w14:textId="77777777" w:rsidR="00BA1D08" w:rsidRPr="0098769C" w:rsidRDefault="00BA1D08"/>
    <w:p w14:paraId="27776241" w14:textId="5D97818E" w:rsidR="005457C2" w:rsidRPr="005C2E62" w:rsidRDefault="00551D82">
      <w:r>
        <w:rPr>
          <w:b/>
        </w:rPr>
        <w:t>FIGURE AND TABLE LEGENDS:</w:t>
      </w:r>
      <w:r>
        <w:rPr>
          <w:color w:val="808080"/>
        </w:rPr>
        <w:t xml:space="preserve"> </w:t>
      </w:r>
      <w:bookmarkStart w:id="10" w:name="_Hlk79501969"/>
    </w:p>
    <w:p w14:paraId="447527D2" w14:textId="3E845BF7" w:rsidR="0054277B" w:rsidRDefault="00F67FC6">
      <w:r w:rsidRPr="001C7AC8">
        <w:rPr>
          <w:b/>
          <w:bCs/>
        </w:rPr>
        <w:t xml:space="preserve">Figure </w:t>
      </w:r>
      <w:r w:rsidR="00B87202" w:rsidRPr="001C7AC8">
        <w:rPr>
          <w:b/>
          <w:bCs/>
        </w:rPr>
        <w:t>1</w:t>
      </w:r>
      <w:r w:rsidR="00755A37" w:rsidRPr="001C7AC8">
        <w:rPr>
          <w:b/>
          <w:bCs/>
        </w:rPr>
        <w:t xml:space="preserve">: </w:t>
      </w:r>
      <w:r w:rsidR="00BD0B3C" w:rsidRPr="001C7AC8">
        <w:rPr>
          <w:b/>
          <w:bCs/>
        </w:rPr>
        <w:t>Liver MPS produces highly reproducible data</w:t>
      </w:r>
      <w:r w:rsidR="00A963FD" w:rsidRPr="001C7AC8">
        <w:rPr>
          <w:b/>
          <w:bCs/>
        </w:rPr>
        <w:t xml:space="preserve"> and consis</w:t>
      </w:r>
      <w:r w:rsidR="0060745E" w:rsidRPr="001C7AC8">
        <w:rPr>
          <w:b/>
          <w:bCs/>
        </w:rPr>
        <w:t xml:space="preserve">tent </w:t>
      </w:r>
      <w:r w:rsidR="00DF5B6C" w:rsidRPr="001C7AC8">
        <w:rPr>
          <w:b/>
          <w:bCs/>
        </w:rPr>
        <w:t>microtissues</w:t>
      </w:r>
      <w:r w:rsidR="00DF5B6C">
        <w:t xml:space="preserve">. </w:t>
      </w:r>
      <w:r w:rsidR="00755A37">
        <w:t>(</w:t>
      </w:r>
      <w:r w:rsidR="00657DCE" w:rsidRPr="001C7AC8">
        <w:rPr>
          <w:b/>
          <w:bCs/>
        </w:rPr>
        <w:t>A</w:t>
      </w:r>
      <w:r w:rsidR="00657DCE">
        <w:t xml:space="preserve">) </w:t>
      </w:r>
      <w:r w:rsidR="00EE6E50">
        <w:t xml:space="preserve">3D Liver microtissue </w:t>
      </w:r>
      <w:r w:rsidR="005F0AE5">
        <w:t xml:space="preserve">QC metrics </w:t>
      </w:r>
      <w:r w:rsidR="00BF5FB6">
        <w:t xml:space="preserve">at Day 4, and </w:t>
      </w:r>
      <w:r w:rsidR="00D25A10">
        <w:t xml:space="preserve">functionality assessment </w:t>
      </w:r>
      <w:r w:rsidR="00BF5FB6">
        <w:t xml:space="preserve">at the end of the study </w:t>
      </w:r>
      <w:r w:rsidR="009C0096">
        <w:t xml:space="preserve">at </w:t>
      </w:r>
      <w:r w:rsidR="00BF5FB6">
        <w:t>Day 8</w:t>
      </w:r>
      <w:r w:rsidR="009C0096">
        <w:t xml:space="preserve"> </w:t>
      </w:r>
      <w:r w:rsidR="005D6093">
        <w:t>–</w:t>
      </w:r>
      <w:r w:rsidR="000D4DB8">
        <w:t>(</w:t>
      </w:r>
      <w:r w:rsidR="00807F43" w:rsidRPr="001C7AC8">
        <w:rPr>
          <w:b/>
          <w:bCs/>
        </w:rPr>
        <w:t>B</w:t>
      </w:r>
      <w:r w:rsidR="00755A37">
        <w:rPr>
          <w:b/>
          <w:bCs/>
        </w:rPr>
        <w:t>)</w:t>
      </w:r>
      <w:r w:rsidR="00807F43">
        <w:t xml:space="preserve"> </w:t>
      </w:r>
      <w:r w:rsidR="00755A37">
        <w:t xml:space="preserve">Albumin </w:t>
      </w:r>
      <w:r w:rsidR="00807F43">
        <w:t xml:space="preserve">and </w:t>
      </w:r>
      <w:r w:rsidR="00755A37">
        <w:t>Urea</w:t>
      </w:r>
      <w:r w:rsidR="00807F43">
        <w:t xml:space="preserve">, </w:t>
      </w:r>
      <w:r w:rsidR="00755A37">
        <w:t>(</w:t>
      </w:r>
      <w:r w:rsidR="00807F43" w:rsidRPr="001C7AC8">
        <w:rPr>
          <w:b/>
          <w:bCs/>
        </w:rPr>
        <w:t>C</w:t>
      </w:r>
      <w:r w:rsidR="00755A37" w:rsidRPr="001C7AC8">
        <w:t>)</w:t>
      </w:r>
      <w:r w:rsidR="00156C32">
        <w:t xml:space="preserve"> CY3A4 and ATP)</w:t>
      </w:r>
      <w:r w:rsidR="00680020">
        <w:t>.</w:t>
      </w:r>
      <w:r w:rsidR="00503284">
        <w:t xml:space="preserve"> Data is collected from 3 experiments</w:t>
      </w:r>
      <w:r w:rsidR="009C0096">
        <w:t xml:space="preserve">; </w:t>
      </w:r>
      <w:r w:rsidR="00BA5B10">
        <w:t xml:space="preserve">in each </w:t>
      </w:r>
      <w:r w:rsidR="009C0096">
        <w:t>experiment</w:t>
      </w:r>
      <w:r w:rsidR="005D6093">
        <w:t>,</w:t>
      </w:r>
      <w:r w:rsidR="00BA5B10">
        <w:t xml:space="preserve"> there were </w:t>
      </w:r>
      <w:r w:rsidR="00BB0ABB">
        <w:t>3 vehicle control replicates</w:t>
      </w:r>
      <w:r w:rsidR="007D0E4C">
        <w:t xml:space="preserve">. Data shown are </w:t>
      </w:r>
      <w:r w:rsidR="00BB0ABB">
        <w:t>Mean ± SD</w:t>
      </w:r>
      <w:r w:rsidR="007D0E4C">
        <w:t>, N</w:t>
      </w:r>
      <w:r w:rsidR="00755A37">
        <w:t xml:space="preserve"> </w:t>
      </w:r>
      <w:r w:rsidR="007D0E4C">
        <w:t>=</w:t>
      </w:r>
      <w:r w:rsidR="00755A37">
        <w:t xml:space="preserve"> </w:t>
      </w:r>
      <w:r w:rsidR="007D0E4C">
        <w:t>9</w:t>
      </w:r>
      <w:r w:rsidR="00BB0ABB">
        <w:t xml:space="preserve">. </w:t>
      </w:r>
      <w:r w:rsidR="00755A37">
        <w:t>(</w:t>
      </w:r>
      <w:r w:rsidR="00EB6D46" w:rsidRPr="001C7AC8">
        <w:rPr>
          <w:b/>
          <w:bCs/>
        </w:rPr>
        <w:t>D</w:t>
      </w:r>
      <w:r w:rsidR="00EB6D46">
        <w:t xml:space="preserve">) </w:t>
      </w:r>
      <w:r w:rsidR="000610E3">
        <w:t xml:space="preserve">Phase contrast microscopy </w:t>
      </w:r>
      <w:r w:rsidR="00844118">
        <w:t xml:space="preserve">(10x and 20x) </w:t>
      </w:r>
      <w:r w:rsidR="000610E3">
        <w:t xml:space="preserve">and IF of 3D liver microtissues generated by coculturing PHHs and </w:t>
      </w:r>
      <w:r w:rsidR="00E64BF5">
        <w:t>HKC</w:t>
      </w:r>
      <w:r w:rsidR="000610E3">
        <w:t>s in liver MPS platform for assessing DILI.</w:t>
      </w:r>
      <w:r w:rsidR="00117736" w:rsidRPr="00117736">
        <w:t xml:space="preserve"> To </w:t>
      </w:r>
      <w:r w:rsidR="005D6093" w:rsidRPr="00117736">
        <w:t>visuali</w:t>
      </w:r>
      <w:r w:rsidR="005D6093">
        <w:t>z</w:t>
      </w:r>
      <w:r w:rsidR="005D6093" w:rsidRPr="00117736">
        <w:t xml:space="preserve">e </w:t>
      </w:r>
      <w:r w:rsidR="00117736" w:rsidRPr="00117736">
        <w:t>the HK</w:t>
      </w:r>
      <w:r w:rsidR="005F4EDA">
        <w:t>Cs</w:t>
      </w:r>
      <w:r w:rsidR="00202BC8">
        <w:t>,</w:t>
      </w:r>
      <w:r w:rsidR="00117736" w:rsidRPr="00117736">
        <w:t xml:space="preserve"> </w:t>
      </w:r>
      <w:r w:rsidR="000B1852">
        <w:t>p</w:t>
      </w:r>
      <w:r w:rsidR="00117736" w:rsidRPr="00117736">
        <w:t>rior to seeding HK</w:t>
      </w:r>
      <w:r w:rsidR="005F4EDA">
        <w:t>Cs</w:t>
      </w:r>
      <w:r w:rsidR="00117736" w:rsidRPr="00117736">
        <w:t xml:space="preserve"> were transduced with</w:t>
      </w:r>
      <w:r w:rsidR="000B1852">
        <w:t xml:space="preserve"> an</w:t>
      </w:r>
      <w:r w:rsidR="00117736" w:rsidRPr="00117736">
        <w:t xml:space="preserve"> adenoviral vector expressing eGFP</w:t>
      </w:r>
      <w:r w:rsidR="0005752D">
        <w:t xml:space="preserve"> </w:t>
      </w:r>
      <w:r w:rsidR="007B4D45">
        <w:t xml:space="preserve">(see </w:t>
      </w:r>
      <w:r w:rsidR="007B4D45" w:rsidRPr="001C7AC8">
        <w:rPr>
          <w:b/>
          <w:bCs/>
        </w:rPr>
        <w:t>Supplementary Material</w:t>
      </w:r>
      <w:r w:rsidR="007B4D45">
        <w:t>)</w:t>
      </w:r>
      <w:r w:rsidR="0054277B">
        <w:t xml:space="preserve">. </w:t>
      </w:r>
      <w:r w:rsidR="00117736" w:rsidRPr="00117736">
        <w:t>Representative photomicrographs are shown</w:t>
      </w:r>
      <w:r w:rsidR="00586AC9">
        <w:t xml:space="preserve">. </w:t>
      </w:r>
      <w:r w:rsidR="0054277B" w:rsidRPr="0054277B">
        <w:t>The transduction and imaging were performed as a standalone experiment to demonstrate cell localization and not done with the DILI protocol described. HKCs cells are pre-validated in-house prior to use in experimental cell culture and must have low levels of post-thaw activation</w:t>
      </w:r>
      <w:r w:rsidR="005D6093">
        <w:t>;</w:t>
      </w:r>
      <w:r w:rsidR="005D6093" w:rsidRPr="0054277B">
        <w:t xml:space="preserve"> </w:t>
      </w:r>
      <w:r w:rsidR="0054277B" w:rsidRPr="0054277B">
        <w:t>this is assessed by measuring biomarkers IL-6 and TNF-alpha.</w:t>
      </w:r>
    </w:p>
    <w:p w14:paraId="69B0167C" w14:textId="77777777" w:rsidR="0064355D" w:rsidRDefault="0064355D"/>
    <w:p w14:paraId="1E46FB0A" w14:textId="14A44BAA" w:rsidR="00D57462" w:rsidRPr="005C2E62" w:rsidRDefault="0075662F">
      <w:r w:rsidRPr="001C7AC8">
        <w:rPr>
          <w:b/>
        </w:rPr>
        <w:t xml:space="preserve">Figure </w:t>
      </w:r>
      <w:r w:rsidR="00B87202" w:rsidRPr="001C7AC8">
        <w:rPr>
          <w:b/>
        </w:rPr>
        <w:t>2</w:t>
      </w:r>
      <w:r w:rsidR="00755A37" w:rsidRPr="001C7AC8">
        <w:rPr>
          <w:b/>
        </w:rPr>
        <w:t xml:space="preserve">: </w:t>
      </w:r>
      <w:r w:rsidR="00BF6804" w:rsidRPr="001C7AC8">
        <w:rPr>
          <w:b/>
        </w:rPr>
        <w:t xml:space="preserve">Determining </w:t>
      </w:r>
      <w:r w:rsidR="00240083" w:rsidRPr="001C7AC8">
        <w:rPr>
          <w:b/>
        </w:rPr>
        <w:t xml:space="preserve">DILI risk of troglitazone using </w:t>
      </w:r>
      <w:r w:rsidR="00BF6804" w:rsidRPr="001C7AC8">
        <w:rPr>
          <w:b/>
        </w:rPr>
        <w:t>multiple hepatotoxic endpoints</w:t>
      </w:r>
      <w:r w:rsidR="006F6940" w:rsidRPr="00B1541E">
        <w:rPr>
          <w:bCs/>
        </w:rPr>
        <w:t xml:space="preserve">. </w:t>
      </w:r>
      <w:r w:rsidR="005D5A76">
        <w:t>L</w:t>
      </w:r>
      <w:r w:rsidR="00BF6804" w:rsidRPr="005C2E62">
        <w:t xml:space="preserve">iver microtissues </w:t>
      </w:r>
      <w:r w:rsidR="00240083">
        <w:t>were</w:t>
      </w:r>
      <w:r w:rsidR="00BF6804" w:rsidRPr="005C2E62">
        <w:t xml:space="preserve"> </w:t>
      </w:r>
      <w:r w:rsidR="005D5A76">
        <w:t xml:space="preserve">exposed to </w:t>
      </w:r>
      <w:r w:rsidR="009B2849">
        <w:t>seven</w:t>
      </w:r>
      <w:r w:rsidR="00CE4C37">
        <w:t xml:space="preserve"> test</w:t>
      </w:r>
      <w:r w:rsidR="004319DB">
        <w:t xml:space="preserve"> concentrations of</w:t>
      </w:r>
      <w:r w:rsidR="005D5A76">
        <w:t xml:space="preserve"> troglitazone</w:t>
      </w:r>
      <w:r w:rsidR="004319DB">
        <w:t xml:space="preserve"> for 96 h and</w:t>
      </w:r>
      <w:r w:rsidR="005D5A76">
        <w:t xml:space="preserve"> </w:t>
      </w:r>
      <w:r w:rsidR="00BF6804" w:rsidRPr="005C2E62">
        <w:t xml:space="preserve">compared </w:t>
      </w:r>
      <w:r w:rsidR="00BF6804" w:rsidRPr="005C2E62">
        <w:lastRenderedPageBreak/>
        <w:t xml:space="preserve">for </w:t>
      </w:r>
      <w:r w:rsidR="00755A37">
        <w:t>(</w:t>
      </w:r>
      <w:r w:rsidR="00321D97" w:rsidRPr="001C7AC8">
        <w:rPr>
          <w:b/>
          <w:bCs/>
        </w:rPr>
        <w:t>A</w:t>
      </w:r>
      <w:r w:rsidR="00321D97">
        <w:t>)</w:t>
      </w:r>
      <w:r w:rsidR="00BF6804" w:rsidRPr="005C2E62">
        <w:t xml:space="preserve"> LDH release, ALT release, Albumin production, Urea synthesis, CYP3A4 activity</w:t>
      </w:r>
      <w:r w:rsidR="005D6093">
        <w:t>,</w:t>
      </w:r>
      <w:r w:rsidR="00BF6804" w:rsidRPr="005C2E62">
        <w:t xml:space="preserve"> and ATP content. Blue lines – 48 </w:t>
      </w:r>
      <w:r w:rsidR="00B6701E" w:rsidRPr="005C2E62">
        <w:t>h</w:t>
      </w:r>
      <w:r w:rsidR="00BF6804" w:rsidRPr="005C2E62">
        <w:t xml:space="preserve"> exposure</w:t>
      </w:r>
      <w:r w:rsidR="00706305">
        <w:t xml:space="preserve"> (media endpoints only)</w:t>
      </w:r>
      <w:r w:rsidR="00BF6804" w:rsidRPr="005C2E62">
        <w:t xml:space="preserve">, red lines – 96 </w:t>
      </w:r>
      <w:r w:rsidR="00B6701E" w:rsidRPr="005C2E62">
        <w:t>h</w:t>
      </w:r>
      <w:r w:rsidR="00BF6804" w:rsidRPr="005C2E62">
        <w:t xml:space="preserve"> exposure. </w:t>
      </w:r>
      <w:r w:rsidR="00557E3B">
        <w:t xml:space="preserve">Positive control was 100 </w:t>
      </w:r>
      <w:r w:rsidR="00557E3B" w:rsidRPr="005204C8">
        <w:rPr>
          <w:rFonts w:ascii="Symbol" w:hAnsi="Symbol"/>
        </w:rPr>
        <w:t></w:t>
      </w:r>
      <w:r w:rsidR="00557E3B">
        <w:t xml:space="preserve">M chlorpromazine. </w:t>
      </w:r>
      <w:r w:rsidR="00BF6804" w:rsidRPr="005C2E62">
        <w:t>All endpoints are measured from the same liver MPS cultures. Data shown are mean ± SD, N</w:t>
      </w:r>
      <w:r w:rsidR="00755A37">
        <w:t xml:space="preserve"> </w:t>
      </w:r>
      <w:r w:rsidR="00BF6804" w:rsidRPr="005C2E62">
        <w:t>=</w:t>
      </w:r>
      <w:r w:rsidR="00755A37">
        <w:t xml:space="preserve"> </w:t>
      </w:r>
      <w:r w:rsidR="00BF6804" w:rsidRPr="005C2E62">
        <w:t>3.</w:t>
      </w:r>
      <w:r w:rsidR="00443DF3" w:rsidRPr="005C2E62">
        <w:t xml:space="preserve"> </w:t>
      </w:r>
      <w:r w:rsidR="00755A37">
        <w:t>(</w:t>
      </w:r>
      <w:r w:rsidR="00544E1D" w:rsidRPr="001C7AC8">
        <w:rPr>
          <w:b/>
          <w:bCs/>
        </w:rPr>
        <w:t>B</w:t>
      </w:r>
      <w:r w:rsidR="00544E1D">
        <w:t>) Summary of E:50 numbers generated f</w:t>
      </w:r>
      <w:r w:rsidR="00542BC1">
        <w:t>rom data</w:t>
      </w:r>
      <w:r w:rsidR="00C062B3" w:rsidRPr="005C2E62">
        <w:t>. N.D. = data not plottable. Line = not assayed.</w:t>
      </w:r>
      <w:bookmarkEnd w:id="10"/>
      <w:r w:rsidR="00AA165E">
        <w:t xml:space="preserve"> </w:t>
      </w:r>
      <w:r w:rsidR="00755A37">
        <w:t>(</w:t>
      </w:r>
      <w:r w:rsidR="00AA165E" w:rsidRPr="001C7AC8">
        <w:rPr>
          <w:b/>
          <w:bCs/>
        </w:rPr>
        <w:t>C</w:t>
      </w:r>
      <w:r w:rsidR="00AA165E">
        <w:t>)</w:t>
      </w:r>
      <w:r w:rsidR="00811A11" w:rsidRPr="005C2E62">
        <w:t xml:space="preserve"> </w:t>
      </w:r>
      <w:r w:rsidR="00AA165E">
        <w:t>Representative b</w:t>
      </w:r>
      <w:r w:rsidR="00811A11" w:rsidRPr="005C2E62">
        <w:t xml:space="preserve">rightfield microscopy of </w:t>
      </w:r>
      <w:r w:rsidR="00F3620A">
        <w:t>liver micro</w:t>
      </w:r>
      <w:r w:rsidR="00811A11" w:rsidRPr="005C2E62">
        <w:t>tissues after 8-day culture (magnification 10</w:t>
      </w:r>
      <w:r w:rsidR="00755A37">
        <w:t>x</w:t>
      </w:r>
      <w:r w:rsidR="00755A37" w:rsidRPr="005C2E62">
        <w:t>)</w:t>
      </w:r>
      <w:r w:rsidR="00755A37">
        <w:t>.</w:t>
      </w:r>
      <w:r w:rsidR="00755A37" w:rsidRPr="005C2E62">
        <w:t xml:space="preserve"> </w:t>
      </w:r>
    </w:p>
    <w:p w14:paraId="70702ED9" w14:textId="1EAC9BDC" w:rsidR="0004505E" w:rsidRPr="005C2E62" w:rsidRDefault="0004505E"/>
    <w:p w14:paraId="57689439" w14:textId="5D9822D3" w:rsidR="007D0E4C" w:rsidRDefault="00B1541E">
      <w:r w:rsidRPr="001C7AC8">
        <w:rPr>
          <w:b/>
          <w:bCs/>
        </w:rPr>
        <w:t xml:space="preserve">Figure </w:t>
      </w:r>
      <w:r w:rsidR="00B87202" w:rsidRPr="001C7AC8">
        <w:rPr>
          <w:b/>
          <w:bCs/>
        </w:rPr>
        <w:t>3</w:t>
      </w:r>
      <w:r w:rsidR="00755A37" w:rsidRPr="001C7AC8">
        <w:rPr>
          <w:b/>
          <w:bCs/>
        </w:rPr>
        <w:t xml:space="preserve">: </w:t>
      </w:r>
      <w:r w:rsidRPr="001C7AC8">
        <w:rPr>
          <w:b/>
          <w:bCs/>
        </w:rPr>
        <w:t xml:space="preserve">Determining DILI risk of pioglitazone using multiple hepatotoxic endpoints. </w:t>
      </w:r>
      <w:r>
        <w:t>L</w:t>
      </w:r>
      <w:r w:rsidRPr="005C2E62">
        <w:t xml:space="preserve">iver microtissues </w:t>
      </w:r>
      <w:r>
        <w:t>were</w:t>
      </w:r>
      <w:r w:rsidRPr="005C2E62">
        <w:t xml:space="preserve"> </w:t>
      </w:r>
      <w:r>
        <w:t xml:space="preserve">exposed to </w:t>
      </w:r>
      <w:r w:rsidR="00CE4C37">
        <w:t>seven test</w:t>
      </w:r>
      <w:r>
        <w:t xml:space="preserve"> concentrations of pioglitazone for 96 h and </w:t>
      </w:r>
      <w:r w:rsidRPr="005C2E62">
        <w:t xml:space="preserve">compared for </w:t>
      </w:r>
      <w:r w:rsidR="00A1696E">
        <w:t>(</w:t>
      </w:r>
      <w:r w:rsidRPr="001C7AC8">
        <w:rPr>
          <w:b/>
          <w:bCs/>
        </w:rPr>
        <w:t>A</w:t>
      </w:r>
      <w:r>
        <w:t>)</w:t>
      </w:r>
      <w:r w:rsidRPr="005C2E62">
        <w:t xml:space="preserve"> LDH release, ALT release, Albumin production, Urea synthesis, CYP3A4 activity</w:t>
      </w:r>
      <w:r w:rsidR="005D6093">
        <w:t>,</w:t>
      </w:r>
      <w:r w:rsidRPr="005C2E62">
        <w:t xml:space="preserve"> and ATP content. Blue lines – 48 h exposure</w:t>
      </w:r>
      <w:r>
        <w:t xml:space="preserve"> (media endpoints only)</w:t>
      </w:r>
      <w:r w:rsidRPr="005C2E62">
        <w:t xml:space="preserve">, red lines – 96 h exposure. </w:t>
      </w:r>
      <w:r w:rsidR="008B61EF">
        <w:t xml:space="preserve">Positive control was 100 </w:t>
      </w:r>
      <w:r w:rsidR="008B61EF" w:rsidRPr="00D86B22">
        <w:rPr>
          <w:rFonts w:ascii="Symbol" w:hAnsi="Symbol"/>
        </w:rPr>
        <w:t></w:t>
      </w:r>
      <w:r w:rsidR="008B61EF">
        <w:t xml:space="preserve">M chlorpromazine. </w:t>
      </w:r>
      <w:r w:rsidRPr="005C2E62">
        <w:t>All endpoints are measured from the same liver MPS cultures. Data shown are mean ± SD, N</w:t>
      </w:r>
      <w:r w:rsidR="00A1696E">
        <w:t xml:space="preserve"> </w:t>
      </w:r>
      <w:r w:rsidRPr="005C2E62">
        <w:t>=</w:t>
      </w:r>
      <w:r w:rsidR="00A1696E">
        <w:t xml:space="preserve"> </w:t>
      </w:r>
      <w:r w:rsidRPr="005C2E62">
        <w:t xml:space="preserve">3. </w:t>
      </w:r>
      <w:r w:rsidR="00A1696E">
        <w:t>(</w:t>
      </w:r>
      <w:r w:rsidRPr="001C7AC8">
        <w:rPr>
          <w:b/>
          <w:bCs/>
        </w:rPr>
        <w:t>B</w:t>
      </w:r>
      <w:r>
        <w:t>) Summary of E</w:t>
      </w:r>
      <w:r w:rsidR="000977C1">
        <w:t>C</w:t>
      </w:r>
      <w:r>
        <w:t>:50 numbers generated from data</w:t>
      </w:r>
      <w:r w:rsidRPr="005C2E62">
        <w:t>. N.D. = data not plottable. Line = not assayed.</w:t>
      </w:r>
      <w:r>
        <w:t xml:space="preserve"> </w:t>
      </w:r>
      <w:r w:rsidR="00A1696E">
        <w:t>(</w:t>
      </w:r>
      <w:r w:rsidRPr="001C7AC8">
        <w:rPr>
          <w:b/>
          <w:bCs/>
        </w:rPr>
        <w:t>C</w:t>
      </w:r>
      <w:r>
        <w:t>)</w:t>
      </w:r>
      <w:r w:rsidRPr="005C2E62">
        <w:t xml:space="preserve"> </w:t>
      </w:r>
      <w:r>
        <w:t>Representative b</w:t>
      </w:r>
      <w:r w:rsidRPr="005C2E62">
        <w:t xml:space="preserve">rightfield microscopy of </w:t>
      </w:r>
      <w:r>
        <w:t>liver micro</w:t>
      </w:r>
      <w:r w:rsidRPr="005C2E62">
        <w:t>tissues after 8-day culture (magnification 10</w:t>
      </w:r>
      <w:r w:rsidR="00A1696E">
        <w:t>x</w:t>
      </w:r>
      <w:r w:rsidR="00A1696E" w:rsidRPr="005C2E62">
        <w:t>)</w:t>
      </w:r>
      <w:r w:rsidR="00A1696E">
        <w:t>.</w:t>
      </w:r>
      <w:r w:rsidR="00A1696E" w:rsidRPr="005C2E62">
        <w:t xml:space="preserve"> </w:t>
      </w:r>
    </w:p>
    <w:p w14:paraId="24C7244F" w14:textId="77777777" w:rsidR="00B1541E" w:rsidRDefault="00B1541E"/>
    <w:p w14:paraId="60E5D71E" w14:textId="30017112" w:rsidR="007D0E4C" w:rsidRPr="005C2E62" w:rsidRDefault="007D0E4C">
      <w:r w:rsidRPr="001C7AC8">
        <w:rPr>
          <w:b/>
          <w:bCs/>
        </w:rPr>
        <w:t xml:space="preserve">Figure </w:t>
      </w:r>
      <w:r w:rsidR="00B87202" w:rsidRPr="001C7AC8">
        <w:rPr>
          <w:b/>
          <w:bCs/>
        </w:rPr>
        <w:t>4</w:t>
      </w:r>
      <w:r w:rsidR="00A1696E" w:rsidRPr="001C7AC8">
        <w:rPr>
          <w:b/>
          <w:bCs/>
        </w:rPr>
        <w:t>:</w:t>
      </w:r>
      <w:r w:rsidR="00C062B3" w:rsidRPr="001C7AC8">
        <w:rPr>
          <w:b/>
          <w:bCs/>
        </w:rPr>
        <w:t xml:space="preserve"> </w:t>
      </w:r>
      <w:r w:rsidR="00153E42" w:rsidRPr="001C7AC8">
        <w:rPr>
          <w:b/>
          <w:bCs/>
        </w:rPr>
        <w:t xml:space="preserve">Determining </w:t>
      </w:r>
      <w:r w:rsidR="00F5345D" w:rsidRPr="001C7AC8">
        <w:rPr>
          <w:b/>
          <w:bCs/>
        </w:rPr>
        <w:t>“</w:t>
      </w:r>
      <w:r w:rsidR="00D53F1E" w:rsidRPr="001C7AC8">
        <w:rPr>
          <w:b/>
          <w:bCs/>
        </w:rPr>
        <w:t>s</w:t>
      </w:r>
      <w:r w:rsidR="00F5345D" w:rsidRPr="001C7AC8">
        <w:rPr>
          <w:b/>
          <w:bCs/>
        </w:rPr>
        <w:t>ignature</w:t>
      </w:r>
      <w:r w:rsidR="00153E42" w:rsidRPr="001C7AC8">
        <w:rPr>
          <w:b/>
          <w:bCs/>
        </w:rPr>
        <w:t xml:space="preserve"> of toxicity” with Liver MPS</w:t>
      </w:r>
      <w:r w:rsidR="00A1696E">
        <w:t xml:space="preserve">. </w:t>
      </w:r>
      <w:r w:rsidR="003A7500">
        <w:t xml:space="preserve">Heatmap </w:t>
      </w:r>
      <w:r w:rsidR="00151F80">
        <w:t>showing</w:t>
      </w:r>
      <w:r w:rsidR="00261FCC" w:rsidRPr="00261FCC">
        <w:t xml:space="preserve"> </w:t>
      </w:r>
      <w:r w:rsidR="00261FCC">
        <w:t xml:space="preserve">of troglitazone and pioglitazone </w:t>
      </w:r>
      <w:r w:rsidR="00AA18D3">
        <w:t>from</w:t>
      </w:r>
      <w:r w:rsidR="00151F80">
        <w:t xml:space="preserve"> </w:t>
      </w:r>
      <w:r w:rsidR="00A13410">
        <w:t>six</w:t>
      </w:r>
      <w:r w:rsidR="00151F80">
        <w:t xml:space="preserve"> </w:t>
      </w:r>
      <w:r w:rsidR="00F64A29" w:rsidRPr="00E53D92">
        <w:t>functional liver-specific endpoint</w:t>
      </w:r>
      <w:r w:rsidR="00F64A29">
        <w:t>s</w:t>
      </w:r>
      <w:r w:rsidR="001A0A79">
        <w:t xml:space="preserve"> </w:t>
      </w:r>
      <w:r w:rsidR="00E439F0">
        <w:t>(LDH</w:t>
      </w:r>
      <w:r w:rsidR="00033839">
        <w:t xml:space="preserve"> release</w:t>
      </w:r>
      <w:r w:rsidR="00E439F0">
        <w:t>, Urea</w:t>
      </w:r>
      <w:r w:rsidR="00033839">
        <w:t xml:space="preserve"> synthesis</w:t>
      </w:r>
      <w:r w:rsidR="00E439F0">
        <w:t>, Albumin</w:t>
      </w:r>
      <w:r w:rsidR="00033839">
        <w:t xml:space="preserve"> production</w:t>
      </w:r>
      <w:r w:rsidR="00E439F0">
        <w:t xml:space="preserve">, </w:t>
      </w:r>
      <w:r w:rsidR="00994094">
        <w:t>ALT</w:t>
      </w:r>
      <w:r w:rsidR="00033839">
        <w:t xml:space="preserve"> release</w:t>
      </w:r>
      <w:r w:rsidR="00994094">
        <w:t xml:space="preserve">, CYP3A4 </w:t>
      </w:r>
      <w:r w:rsidR="00033839">
        <w:t>activity</w:t>
      </w:r>
      <w:r w:rsidR="005D6093">
        <w:t>,</w:t>
      </w:r>
      <w:r w:rsidR="00033839">
        <w:t xml:space="preserve"> </w:t>
      </w:r>
      <w:r w:rsidR="00994094">
        <w:t>and ATP</w:t>
      </w:r>
      <w:r w:rsidR="00033839">
        <w:t xml:space="preserve"> content</w:t>
      </w:r>
      <w:r w:rsidR="00994094">
        <w:t xml:space="preserve">) </w:t>
      </w:r>
      <w:r w:rsidR="001A0A79">
        <w:t>following 48 h and 96 h</w:t>
      </w:r>
      <w:r w:rsidR="009410D4">
        <w:t xml:space="preserve"> </w:t>
      </w:r>
      <w:r w:rsidR="00D71F0F">
        <w:t xml:space="preserve">exposure </w:t>
      </w:r>
      <w:r w:rsidR="009410D4">
        <w:t>to seven-point dose range</w:t>
      </w:r>
      <w:r w:rsidR="00D45761">
        <w:t>.</w:t>
      </w:r>
      <w:r w:rsidR="00E439F0">
        <w:t xml:space="preserve"> </w:t>
      </w:r>
      <w:r w:rsidR="00327AF1">
        <w:t>Each value is generated as Mean</w:t>
      </w:r>
      <w:r w:rsidR="00A653C0">
        <w:t>, N</w:t>
      </w:r>
      <w:r w:rsidR="00A1696E">
        <w:t xml:space="preserve"> </w:t>
      </w:r>
      <w:r w:rsidR="00A653C0">
        <w:t>=</w:t>
      </w:r>
      <w:r w:rsidR="00A1696E">
        <w:t xml:space="preserve"> </w:t>
      </w:r>
      <w:r w:rsidR="00A653C0">
        <w:t>3</w:t>
      </w:r>
      <w:r w:rsidR="005D6093">
        <w:t>,</w:t>
      </w:r>
      <w:r w:rsidR="008B08AE">
        <w:t xml:space="preserve"> and normalized to control samples</w:t>
      </w:r>
      <w:r w:rsidR="00A653C0">
        <w:t xml:space="preserve">. </w:t>
      </w:r>
      <w:r w:rsidR="00631F35">
        <w:t xml:space="preserve">The values on the color bars represent </w:t>
      </w:r>
      <w:r w:rsidR="005D6093">
        <w:t xml:space="preserve">a </w:t>
      </w:r>
      <w:r w:rsidR="00631F35">
        <w:t xml:space="preserve">fold increase over baseline controls. </w:t>
      </w:r>
    </w:p>
    <w:p w14:paraId="45E33425" w14:textId="77777777" w:rsidR="00C217F4" w:rsidRPr="005C2E62" w:rsidRDefault="00C217F4" w:rsidP="00C217F4"/>
    <w:p w14:paraId="0373FE8F" w14:textId="1F704146" w:rsidR="00B87202" w:rsidRDefault="00B87202" w:rsidP="00B87202">
      <w:r w:rsidRPr="001C7AC8">
        <w:rPr>
          <w:b/>
          <w:bCs/>
        </w:rPr>
        <w:t>Figure 5</w:t>
      </w:r>
      <w:r w:rsidR="00A1696E" w:rsidRPr="001C7AC8">
        <w:rPr>
          <w:b/>
          <w:bCs/>
        </w:rPr>
        <w:t xml:space="preserve">: </w:t>
      </w:r>
      <w:r w:rsidRPr="001C7AC8">
        <w:rPr>
          <w:b/>
          <w:bCs/>
        </w:rPr>
        <w:t xml:space="preserve">The </w:t>
      </w:r>
      <w:r w:rsidR="005D6093" w:rsidRPr="001C7AC8">
        <w:rPr>
          <w:b/>
          <w:bCs/>
        </w:rPr>
        <w:t>microphysiological system</w:t>
      </w:r>
      <w:r w:rsidR="005D6093">
        <w:t xml:space="preserve"> </w:t>
      </w:r>
      <w:r w:rsidRPr="001C7AC8">
        <w:rPr>
          <w:b/>
          <w:bCs/>
        </w:rPr>
        <w:t>and experimental timeline of a standard DILI assay</w:t>
      </w:r>
      <w:r>
        <w:t xml:space="preserve">. </w:t>
      </w:r>
      <w:r w:rsidR="00A1696E">
        <w:t>(</w:t>
      </w:r>
      <w:r w:rsidRPr="001C7AC8">
        <w:rPr>
          <w:b/>
          <w:bCs/>
        </w:rPr>
        <w:t>A</w:t>
      </w:r>
      <w:r>
        <w:t xml:space="preserve">) </w:t>
      </w:r>
      <w:r>
        <w:rPr>
          <w:lang w:val="en-GB"/>
        </w:rPr>
        <w:t xml:space="preserve">The </w:t>
      </w:r>
      <w:r w:rsidR="005D6093">
        <w:t xml:space="preserve">microphysiological system </w:t>
      </w:r>
      <w:r>
        <w:rPr>
          <w:lang w:val="en-GB"/>
        </w:rPr>
        <w:t>with its components: controller (1), umbilical cable (2), docking station (3), MPS driver (4) and LC12 plate (5</w:t>
      </w:r>
      <w:r w:rsidR="005D6093">
        <w:rPr>
          <w:lang w:val="en-GB"/>
        </w:rPr>
        <w:t>).</w:t>
      </w:r>
      <w:r w:rsidR="005D6093">
        <w:t xml:space="preserve"> </w:t>
      </w:r>
      <w:r w:rsidR="00A1696E">
        <w:t>(</w:t>
      </w:r>
      <w:r w:rsidRPr="001C7AC8">
        <w:rPr>
          <w:b/>
          <w:bCs/>
        </w:rPr>
        <w:t>B</w:t>
      </w:r>
      <w:r>
        <w:t>) Seeding of PHHs and HKCs on LC12 plate at Day 1</w:t>
      </w:r>
      <w:r w:rsidR="00BD34E6">
        <w:t xml:space="preserve"> (1)</w:t>
      </w:r>
      <w:r w:rsidR="00D16DB4">
        <w:t xml:space="preserve"> and </w:t>
      </w:r>
      <w:r w:rsidR="000E1BF0">
        <w:rPr>
          <w:lang w:val="en-GB"/>
        </w:rPr>
        <w:t>e</w:t>
      </w:r>
      <w:r w:rsidR="00BD34E6" w:rsidRPr="00BD34E6">
        <w:rPr>
          <w:lang w:val="en-GB"/>
        </w:rPr>
        <w:t xml:space="preserve">mbedded micropumps </w:t>
      </w:r>
      <w:r w:rsidR="00BD34E6">
        <w:rPr>
          <w:lang w:val="en-GB"/>
        </w:rPr>
        <w:t xml:space="preserve">facilitate circulation of cell culture media with </w:t>
      </w:r>
      <w:r w:rsidR="00BD34E6" w:rsidRPr="00BD34E6">
        <w:rPr>
          <w:lang w:val="en-GB"/>
        </w:rPr>
        <w:t>tuneable flow rates</w:t>
      </w:r>
      <w:r w:rsidR="00BD34E6">
        <w:rPr>
          <w:lang w:val="en-GB"/>
        </w:rPr>
        <w:t xml:space="preserve"> through the 3D microtissues seeded on the scaffolds (2</w:t>
      </w:r>
      <w:r w:rsidR="005D6093">
        <w:rPr>
          <w:lang w:val="en-GB"/>
        </w:rPr>
        <w:t>).</w:t>
      </w:r>
      <w:r w:rsidR="005D6093">
        <w:t xml:space="preserve"> </w:t>
      </w:r>
      <w:r w:rsidR="00A1696E">
        <w:t>(</w:t>
      </w:r>
      <w:r w:rsidRPr="001C7AC8">
        <w:rPr>
          <w:b/>
          <w:bCs/>
        </w:rPr>
        <w:t>C</w:t>
      </w:r>
      <w:r>
        <w:t xml:space="preserve">) Taking down the scaffolds at the end of </w:t>
      </w:r>
      <w:r w:rsidR="005D6093">
        <w:t xml:space="preserve">the </w:t>
      </w:r>
      <w:r>
        <w:t>study</w:t>
      </w:r>
      <w:r w:rsidR="005D6093">
        <w:t xml:space="preserve">. </w:t>
      </w:r>
      <w:r w:rsidR="00A1696E">
        <w:t>(</w:t>
      </w:r>
      <w:r w:rsidRPr="001C7AC8">
        <w:rPr>
          <w:b/>
          <w:bCs/>
        </w:rPr>
        <w:t>D</w:t>
      </w:r>
      <w:r>
        <w:t xml:space="preserve">) </w:t>
      </w:r>
      <w:r w:rsidRPr="005C2E62">
        <w:t>Experimental timeline</w:t>
      </w:r>
      <w:r>
        <w:t>.</w:t>
      </w:r>
    </w:p>
    <w:p w14:paraId="2F7FD1D7" w14:textId="5B2D1215" w:rsidR="00B1649C" w:rsidRDefault="00B1649C">
      <w:pPr>
        <w:rPr>
          <w:color w:val="808080"/>
        </w:rPr>
      </w:pPr>
    </w:p>
    <w:p w14:paraId="447CF2BD" w14:textId="61219B3D" w:rsidR="000C153B" w:rsidRPr="00181E60" w:rsidRDefault="000C153B">
      <w:pPr>
        <w:rPr>
          <w:b/>
          <w:bCs/>
        </w:rPr>
      </w:pPr>
      <w:r w:rsidRPr="00181E60">
        <w:rPr>
          <w:b/>
          <w:bCs/>
        </w:rPr>
        <w:t>Supplementary Material: Fluorescent microscope imaging of microtissues and pre</w:t>
      </w:r>
      <w:r>
        <w:rPr>
          <w:b/>
          <w:bCs/>
        </w:rPr>
        <w:t>-</w:t>
      </w:r>
      <w:r w:rsidRPr="00181E60">
        <w:rPr>
          <w:b/>
          <w:bCs/>
        </w:rPr>
        <w:t>qualification assessment of cells.</w:t>
      </w:r>
    </w:p>
    <w:p w14:paraId="2882FC27" w14:textId="77777777" w:rsidR="000C153B" w:rsidRDefault="000C153B">
      <w:pPr>
        <w:rPr>
          <w:color w:val="808080"/>
        </w:rPr>
      </w:pPr>
    </w:p>
    <w:p w14:paraId="670D5D7F" w14:textId="7859BADB" w:rsidR="009F7148" w:rsidRDefault="00551D82" w:rsidP="00F140C0">
      <w:pPr>
        <w:rPr>
          <w:b/>
        </w:rPr>
      </w:pPr>
      <w:r>
        <w:rPr>
          <w:b/>
        </w:rPr>
        <w:t xml:space="preserve">DISCUSSION: </w:t>
      </w:r>
    </w:p>
    <w:p w14:paraId="049B52C9" w14:textId="42363FD4" w:rsidR="00E4014F" w:rsidRDefault="00CB7304" w:rsidP="00171EE5">
      <w:r>
        <w:t xml:space="preserve">MPS are </w:t>
      </w:r>
      <w:r w:rsidRPr="006B3F3D">
        <w:t xml:space="preserve">designed to recapitulate functional units of human organs </w:t>
      </w:r>
      <w:r w:rsidRPr="00A92A27">
        <w:rPr>
          <w:i/>
        </w:rPr>
        <w:t>in vitro</w:t>
      </w:r>
      <w:r w:rsidRPr="006B3F3D">
        <w:t xml:space="preserve"> </w:t>
      </w:r>
      <w:r>
        <w:t>and have been developed to address the limitations of conventional 3D cell culture models</w:t>
      </w:r>
      <w:r>
        <w:fldChar w:fldCharType="begin" w:fldLock="1"/>
      </w:r>
      <w:r w:rsidR="00663F87">
        <w:instrText>ADDIN CSL_CITATION {"citationItems":[{"id":"ITEM-1","itemData":{"DOI":"https://doi.org/10.3389/fphar.2020.00407","abstract":"Organoids are adept at preserving the inherent complexity of a given cellular environment and when integrated with engineered micro-physiological systems (MPS) present distinct advantages for simulating a precisely controlled geometrical, physical, and biochemical micro-environment. This then allows for real-time monitoring of cell-cell interactions. As a result, the two aforementioned technologies hold significant promise and potential in studying ocular physiology and diseases by replicating specific eye tissue microstructures in vitro. This miniaturized review begins with defining the science behind organoids/MPS and subsequently introducing methods for generating organoids and engineering MPS. Furthermore, we will discuss the current state of organoids and MPS models in retina, cornea surrogates, and other ocular tissue, in regards to physiological/disease conditions. Finally, future prospective on organoid/MPS will be covered here. Organoids and MPS technologies closely recapture the in vivo microenvironment and thusly will continue to provide new understandings in organ functions and novel approaches to drug development.","author":[{"dropping-particle":"","family":"Bai","given":"Jing","non-dropping-particle":"","parse-names":false,"suffix":""},{"dropping-particle":"","family":"Wang","given":"Chunming","non-dropping-particle":"","parse-names":false,"suffix":""}],"container-title":"Front. Pharmacol.","id":"ITEM-1","issued":{"date-parts":[["2020"]]},"title":"Organoids and Microphysiological Systems: New Tools for Ophthalmic Drug Discovery","type":"article-journal","volume":"11:407."},"uris":["http://www.mendeley.com/documents/?uuid=ce92fbe2-252f-35e5-87db-382dad5234f8"]}],"mendeley":{"formattedCitation":"&lt;sup&gt;27&lt;/sup&gt;","plainTextFormattedCitation":"27","previouslyFormattedCitation":"&lt;sup&gt;27&lt;/sup&gt;"},"properties":{"noteIndex":0},"schema":"https://github.com/citation-style-language/schema/raw/master/csl-citation.json"}</w:instrText>
      </w:r>
      <w:r>
        <w:fldChar w:fldCharType="separate"/>
      </w:r>
      <w:r w:rsidR="00A126E6" w:rsidRPr="00A126E6">
        <w:rPr>
          <w:noProof/>
          <w:vertAlign w:val="superscript"/>
        </w:rPr>
        <w:t>27</w:t>
      </w:r>
      <w:r>
        <w:fldChar w:fldCharType="end"/>
      </w:r>
      <w:r>
        <w:t>. The</w:t>
      </w:r>
      <w:r w:rsidRPr="00493868">
        <w:t xml:space="preserve"> liver </w:t>
      </w:r>
      <w:r>
        <w:t>is one of</w:t>
      </w:r>
      <w:r w:rsidRPr="00493868">
        <w:t xml:space="preserve"> the most modeled organ</w:t>
      </w:r>
      <w:r>
        <w:t>s using MPS</w:t>
      </w:r>
      <w:r w:rsidRPr="00493868">
        <w:t xml:space="preserve">, and </w:t>
      </w:r>
      <w:r w:rsidR="005D6093">
        <w:t xml:space="preserve">a </w:t>
      </w:r>
      <w:r>
        <w:t xml:space="preserve">wide variety </w:t>
      </w:r>
      <w:r w:rsidRPr="00493868">
        <w:t>of systems have been developed</w:t>
      </w:r>
      <w:r>
        <w:t>. The human liver is responsible for drug metabolism and generation of toxic drug metabolites</w:t>
      </w:r>
      <w:r w:rsidR="005D6093">
        <w:t>,</w:t>
      </w:r>
      <w:r>
        <w:t xml:space="preserve"> and its function is a key element to model for drug development</w:t>
      </w:r>
      <w:r w:rsidR="005D6093">
        <w:t>,</w:t>
      </w:r>
      <w:r>
        <w:t xml:space="preserve"> including the assessment of DILI liability of compounds</w:t>
      </w:r>
      <w:r>
        <w:fldChar w:fldCharType="begin" w:fldLock="1"/>
      </w:r>
      <w:r w:rsidR="00663F87">
        <w:instrText>ADDIN CSL_CITATION {"citationItems":[{"id":"ITEM-1","itemData":{"DOI":"10.1002/cpt.1458","abstract":"Liver plays a major role in drug metabolism and is one of the main sites of drug adverse effects. Microphysiological systems (MPS), also known as organs-on-a-chip, are a class of microfluidic platforms that recreate properties of tissue microenvironments. Among different properties, the liver microenvironment is three-dimensional, fluid flows around its cells, and different cell types regulate its function. Liver MPS aim to recreate these properties and enable drug testing and measurement of functional endpoints. Tests with these systems have demonstrated their potential for predicting clinical drug effects. Properties of liver MPS that improve the physiology of cell culture are reviewed, specifically focusing on the importance of recreating a physiological microenvironment to evaluate and model drug effects. Advances in modeling hepatic function by leveraging MPS are addressed, noting the need for standardization in the use, quality control, and interpretation of data from these systems. Microphysiological systems (MPS) are a class of microfabricated in vitro cellular platforms conceived with the intent of replicating specific physiological organ or tissue settings that define their function. 1 MPS are currently being evaluated for different uses in drug development, 2 disease modeling, 3 basic research in human physiology , 4,5 and reducing the use of animal testing or the cost of clinical trials. 6 According to the US National Institutes of Health, they are defined as microfluidic systems that enable the co culture of at least two types of human cells in three dimensions (3-D) 1 (Figure 1). In general, 3-D microenvironments and co cultures of tissue-specific cells mimic organ physiology better than monocultures of cells in traditional two-dimensional (2-D) plates/dishes. 7 In accordance with this definition of MPS, the achievements, potential, and challenges of using hepatic/liver MPS in drug development are reviewed. Focus is placed on the opportunities to use this technology for filling gaps in the drug regulatory evaluation process, particularly for applications where human-specific testing is required. Other microfabricated cell culture platforms with characteristics that do not fit the definition of MPS can also enhance the physiological performance of hepatocytes. For example, micropatterning colonies of hepatocytes on a 2-D surface and surrounding them with stromal cells has been shown to improve the lifetime and function of hepatocytes in cul…","author":[{"dropping-particle":"","family":"Ribeiro","given":"Alexandre J S","non-dropping-particle":"","parse-names":false,"suffix":""},{"dropping-particle":"","family":"Yang","given":"Xinning","non-dropping-particle":"","parse-names":false,"suffix":""},{"dropping-particle":"","family":"Patel","given":"Vikram","non-dropping-particle":"","parse-names":false,"suffix":""},{"dropping-particle":"","family":"Madabushi","given":"Rajnikanth","non-dropping-particle":"","parse-names":false,"suffix":""},{"dropping-particle":"","family":"Strauss","given":"David G","non-dropping-particle":"","parse-names":false,"suffix":""}],"container-title":"CLINICAL PHARMACOLOGY &amp; THERAPEUTICS | VOLUME","id":"ITEM-1","issue":"1","issued":{"date-parts":[["2019"]]},"title":"Liver Microphysiological Systems for Predicting and Evaluating Drug Effects","type":"article-journal","volume":"106"},"uris":["http://www.mendeley.com/documents/?uuid=43e573e6-8093-3d75-96af-f2a410995cc6"]}],"mendeley":{"formattedCitation":"&lt;sup&gt;28&lt;/sup&gt;","plainTextFormattedCitation":"28","previouslyFormattedCitation":"&lt;sup&gt;28&lt;/sup&gt;"},"properties":{"noteIndex":0},"schema":"https://github.com/citation-style-language/schema/raw/master/csl-citation.json"}</w:instrText>
      </w:r>
      <w:r>
        <w:fldChar w:fldCharType="separate"/>
      </w:r>
      <w:r w:rsidR="00A126E6" w:rsidRPr="00A126E6">
        <w:rPr>
          <w:noProof/>
          <w:vertAlign w:val="superscript"/>
        </w:rPr>
        <w:t>28</w:t>
      </w:r>
      <w:r>
        <w:fldChar w:fldCharType="end"/>
      </w:r>
      <w:r>
        <w:t>.  Here we have introduced a new method for assessing DILI using a liver MPS</w:t>
      </w:r>
      <w:r w:rsidR="005D6093">
        <w:t xml:space="preserve">; </w:t>
      </w:r>
      <w:r>
        <w:t xml:space="preserve">the protocol enables mechanistic insights to be sought for each compound assayed to determine how it may cause DILI as well as being a highly sensitive and robust assay. Liver microtissues are formed in the MPS plates, which are a coculture of PHH and HKCs and are highly functional with high levels of albumin and urea production as well as high CYP3A4 activity compared to standard </w:t>
      </w:r>
      <w:r w:rsidRPr="00A92A27">
        <w:rPr>
          <w:i/>
        </w:rPr>
        <w:t>in vitro</w:t>
      </w:r>
      <w:r>
        <w:t xml:space="preserve"> liver models</w:t>
      </w:r>
      <w:r w:rsidR="00663F87">
        <w:fldChar w:fldCharType="begin" w:fldLock="1"/>
      </w:r>
      <w:r w:rsidR="00F56CC8">
        <w:instrText>ADDIN CSL_CITATION {"citationItems":[{"id":"ITEM-1","itemData":{"DOI":"10.1111/cts.12969","ISSN":"17528062","PMID":"33382907","abstract":"Abstract: Liver microphysiological systems (MPSs) are promising models for predicting hepatic drug effects. Yet, after a decade since their introduction, MPSs are not routinely used in drug development due to lack of criteria for ensuring reproducibility of results. We characterized the feasibility of a liver MPS to yield reproducible outcomes of experiments assaying drug toxicity, metabolism, and intracellular accumulation. The ability of the liver MPS to reproduce hepatotoxic effects was assessed using trovafloxacin, which increased lactate dehydrogenase (LDH) release and reduced cytochrome P450 3A4 (CYP3A4) activity. These observations were made in two test sites and with different batches of Kupffer cells. Upon culturing equivalent hepatocytes in the MPS, spheroids, and sandwich cultures, differences between culture formats were detected in CYP3A4 activity and albumin production. Cells in all culture formats exhibited different sensitivities to hepatotoxicant exposure. Hepatocytes in the MPS were more functionally stable than those of other culture platforms, as CYP3A4 activity and albumin secretion remained prominent for greater than 18 days in culture, whereas functional decline occurred earlier in spheroids (12 days) and sandwich cultures (7 days). The MPS was also demonstrated to be suitable for metabolism studies, where CYP3A4 activity, troglitazone metabolites, diclofenac clearance, and intracellular accumulation of chloroquine were quantified. To ensure reproducibility between studies with the MPS, the combined use of LDH and CYP3A4 assays were implemented as quality control metrics. Overall results indicated that the liver MPS can be used reproducibly in general drug evaluation applications. Study outcomes led to general considerations and recommendations for using liver MPSs. Study Highlights WHAT IS THE CURRENT KNOWLEDGE ON THE TOPIC? Microphysiological systems (MPSs) have been designed to recreate organ- or tissue-specific characteristics of extracellular microenvironments that enhance the physiological relevance of cells in culture. Liver MPSs enable long-lasting and stable culture of hepatic cells by culturing them in three-dimensions and exposing them to fluid flow. WHAT QUESTION DID THIS STUDY ADDRESS? What is the functional performance relative to other cell culture platforms and the reproducibility of a liver MPS for assessing drug development and evaluation questions, such as toxicity, metabolism, and pharmacokinetics? WHAT DOES TH…","author":[{"dropping-particle":"","family":"Rubiano","given":"Andrés","non-dropping-particle":"","parse-names":false,"suffix":""},{"dropping-particle":"","family":"Indapurkar","given":"Amruta","non-dropping-particle":"","parse-names":false,"suffix":""},{"dropping-particle":"","family":"Yokosawa","given":"Ryosuke","non-dropping-particle":"","parse-names":false,"suffix":""},{"dropping-particle":"","family":"Miedzik","given":"Alina","non-dropping-particle":"","parse-names":false,"suffix":""},{"dropping-particle":"","family":"Rosenzweig","given":"Barry","non-dropping-particle":"","parse-names":false,"suffix":""},{"dropping-particle":"","family":"Arefin","given":"Ayesha","non-dropping-particle":"","parse-names":false,"suffix":""},{"dropping-particle":"","family":"Moulin","given":"Chloe M.","non-dropping-particle":"","parse-names":false,"suffix":""},{"dropping-particle":"","family":"Dame","given":"Keri","non-dropping-particle":"","parse-names":false,"suffix":""},{"dropping-particle":"","family":"Hartman","given":"Neil","non-dropping-particle":"","parse-names":false,"suffix":""},{"dropping-particle":"","family":"Volpe","given":"Donna A.","non-dropping-particle":"","parse-names":false,"suffix":""},{"dropping-particle":"","family":"Matta","given":"Murali K.","non-dropping-particle":"","parse-names":false,"suffix":""},{"dropping-particle":"","family":"Hughes","given":"David J.","non-dropping-particle":"","parse-names":false,"suffix":""},{"dropping-particle":"","family":"Strauss","given":"David G.","non-dropping-particle":"","parse-names":false,"suffix":""},{"dropping-particle":"","family":"Kostrzewski","given":"Tomasz","non-dropping-particle":"","parse-names":false,"suffix":""},{"dropping-particle":"","family":"Ribeiro","given":"Alexandre J.S.","non-dropping-particle":"","parse-names":false,"suffix":""}],"container-title":"Clinical and Translational Science","id":"ITEM-1","issue":"3","issued":{"date-parts":[["2021"]]},"page":"1049-1061","title":"Characterizing the reproducibility in using a liver microphysiological system for assaying drug toxicity, metabolism, and accumulation","type":"article-journal","volume":"14"},"uris":["http://www.mendeley.com/documents/?uuid=6ac83594-c143-4fc3-b0cc-a3131d85e4b2"]}],"mendeley":{"formattedCitation":"&lt;sup&gt;20&lt;/sup&gt;","plainTextFormattedCitation":"20","previouslyFormattedCitation":"&lt;sup&gt;20&lt;/sup&gt;"},"properties":{"noteIndex":0},"schema":"https://github.com/citation-style-language/schema/raw/master/csl-citation.json"}</w:instrText>
      </w:r>
      <w:r w:rsidR="00663F87">
        <w:fldChar w:fldCharType="separate"/>
      </w:r>
      <w:r w:rsidR="00663F87" w:rsidRPr="00663F87">
        <w:rPr>
          <w:noProof/>
          <w:vertAlign w:val="superscript"/>
        </w:rPr>
        <w:t>20</w:t>
      </w:r>
      <w:r w:rsidR="00663F87">
        <w:fldChar w:fldCharType="end"/>
      </w:r>
      <w:r>
        <w:t xml:space="preserve">. </w:t>
      </w:r>
    </w:p>
    <w:p w14:paraId="3FCEDE63" w14:textId="77777777" w:rsidR="00E4014F" w:rsidRDefault="00E4014F" w:rsidP="00171EE5"/>
    <w:p w14:paraId="1ECB8E4B" w14:textId="3E9D353A" w:rsidR="00F53E6D" w:rsidRDefault="00D64B2B" w:rsidP="00171EE5">
      <w:r>
        <w:t xml:space="preserve">Although the </w:t>
      </w:r>
      <w:r w:rsidR="005963CA">
        <w:t xml:space="preserve">DILI </w:t>
      </w:r>
      <w:r>
        <w:t xml:space="preserve">model </w:t>
      </w:r>
      <w:r w:rsidR="005963CA">
        <w:t xml:space="preserve">described here </w:t>
      </w:r>
      <w:r w:rsidR="00E8123D">
        <w:t xml:space="preserve">can </w:t>
      </w:r>
      <w:r w:rsidR="00DA22C6">
        <w:t>serve</w:t>
      </w:r>
      <w:r w:rsidR="00E8123D">
        <w:t xml:space="preserve"> a</w:t>
      </w:r>
      <w:r w:rsidR="003573BE">
        <w:t>s a</w:t>
      </w:r>
      <w:r w:rsidR="00E8123D">
        <w:t xml:space="preserve"> useful tool</w:t>
      </w:r>
      <w:r w:rsidR="0037572B">
        <w:t xml:space="preserve"> </w:t>
      </w:r>
      <w:r w:rsidR="001F1821">
        <w:t>in</w:t>
      </w:r>
      <w:r w:rsidR="0037572B">
        <w:t xml:space="preserve"> </w:t>
      </w:r>
      <w:r w:rsidR="00867ED6">
        <w:t xml:space="preserve">later </w:t>
      </w:r>
      <w:r w:rsidR="0037572B">
        <w:t>stage</w:t>
      </w:r>
      <w:r w:rsidR="00867ED6">
        <w:t xml:space="preserve">s </w:t>
      </w:r>
      <w:r w:rsidR="001F1821">
        <w:t>of</w:t>
      </w:r>
      <w:r w:rsidR="0037572B">
        <w:t xml:space="preserve"> preclinical testing </w:t>
      </w:r>
      <w:r w:rsidR="00773561">
        <w:t xml:space="preserve">in </w:t>
      </w:r>
      <w:r w:rsidR="00DA22C6">
        <w:t xml:space="preserve">the </w:t>
      </w:r>
      <w:r w:rsidR="00773561">
        <w:t>drug development</w:t>
      </w:r>
      <w:r w:rsidR="00DA22C6">
        <w:t xml:space="preserve"> process</w:t>
      </w:r>
      <w:r w:rsidR="00773561">
        <w:t xml:space="preserve">, it </w:t>
      </w:r>
      <w:r w:rsidR="004D16D1">
        <w:t>also has</w:t>
      </w:r>
      <w:r w:rsidR="001C3A95">
        <w:t xml:space="preserve"> </w:t>
      </w:r>
      <w:r w:rsidR="00CF5013">
        <w:t>several limitations</w:t>
      </w:r>
      <w:r w:rsidR="00484FDD">
        <w:t xml:space="preserve">. </w:t>
      </w:r>
      <w:r w:rsidR="00B23B42">
        <w:t xml:space="preserve">As the majority of MPS </w:t>
      </w:r>
      <w:r w:rsidR="00867ED6">
        <w:t>currently available on the market</w:t>
      </w:r>
      <w:r w:rsidR="004D16D1">
        <w:t>,</w:t>
      </w:r>
      <w:r w:rsidR="00867ED6">
        <w:t xml:space="preserve"> </w:t>
      </w:r>
      <w:r w:rsidR="00BD713D">
        <w:t xml:space="preserve">it is </w:t>
      </w:r>
      <w:r w:rsidR="004D16D1">
        <w:t xml:space="preserve">a </w:t>
      </w:r>
      <w:r w:rsidR="00EB3673">
        <w:t>low</w:t>
      </w:r>
      <w:r w:rsidR="00BD713D">
        <w:t xml:space="preserve">-throughput platform </w:t>
      </w:r>
      <w:r w:rsidR="00A915C2">
        <w:t>and</w:t>
      </w:r>
      <w:r w:rsidR="004D16D1">
        <w:t>,</w:t>
      </w:r>
      <w:r w:rsidR="00A915C2">
        <w:t xml:space="preserve"> therefore</w:t>
      </w:r>
      <w:r w:rsidR="004D16D1">
        <w:t>,</w:t>
      </w:r>
      <w:r w:rsidR="00BD713D">
        <w:t xml:space="preserve"> </w:t>
      </w:r>
      <w:r w:rsidR="002247C6">
        <w:t xml:space="preserve">more difficult to use for </w:t>
      </w:r>
      <w:r w:rsidR="00961245">
        <w:t>large</w:t>
      </w:r>
      <w:r w:rsidR="004D16D1">
        <w:t>-</w:t>
      </w:r>
      <w:r w:rsidR="00961245">
        <w:t xml:space="preserve">scale drug </w:t>
      </w:r>
      <w:r w:rsidR="002247C6">
        <w:t xml:space="preserve">screening activities. </w:t>
      </w:r>
      <w:r w:rsidR="00A35590">
        <w:t>C</w:t>
      </w:r>
      <w:r w:rsidR="007F47EE">
        <w:t>onsist</w:t>
      </w:r>
      <w:r w:rsidR="00A35590">
        <w:t>ing</w:t>
      </w:r>
      <w:r w:rsidR="007F47EE">
        <w:t xml:space="preserve"> </w:t>
      </w:r>
      <w:r w:rsidR="000F3071">
        <w:t xml:space="preserve">of microtissues formed by </w:t>
      </w:r>
      <w:r w:rsidR="007F47EE">
        <w:t>cocultur</w:t>
      </w:r>
      <w:r w:rsidR="000F3071">
        <w:t>ing</w:t>
      </w:r>
      <w:r w:rsidR="007F47EE">
        <w:t xml:space="preserve"> PHHs and HKCs</w:t>
      </w:r>
      <w:r w:rsidR="00774960">
        <w:t xml:space="preserve"> </w:t>
      </w:r>
      <w:r w:rsidR="007417BC">
        <w:t xml:space="preserve">the DILI model </w:t>
      </w:r>
      <w:r w:rsidR="009E46B6">
        <w:t xml:space="preserve">also </w:t>
      </w:r>
      <w:r w:rsidR="007417BC">
        <w:t>cannot</w:t>
      </w:r>
      <w:r w:rsidR="00943303">
        <w:t xml:space="preserve"> entirely</w:t>
      </w:r>
      <w:r w:rsidR="007417BC">
        <w:t xml:space="preserve"> capture the</w:t>
      </w:r>
      <w:r w:rsidR="00943303">
        <w:t xml:space="preserve"> </w:t>
      </w:r>
      <w:r w:rsidR="007417BC">
        <w:t xml:space="preserve">complexity of the </w:t>
      </w:r>
      <w:r w:rsidR="00D2502E">
        <w:t>human liver</w:t>
      </w:r>
      <w:r w:rsidR="004D16D1">
        <w:t>,</w:t>
      </w:r>
      <w:r w:rsidR="00D2502E">
        <w:t xml:space="preserve"> and further optimization </w:t>
      </w:r>
      <w:r w:rsidR="006877C6">
        <w:t>by incorporating</w:t>
      </w:r>
      <w:r w:rsidR="00B8425B">
        <w:t xml:space="preserve"> different types of cells (e.g.,</w:t>
      </w:r>
      <w:r w:rsidR="006877C6">
        <w:t xml:space="preserve"> immune cells</w:t>
      </w:r>
      <w:r w:rsidR="00B8425B">
        <w:t>)</w:t>
      </w:r>
      <w:r w:rsidR="006877C6" w:rsidRPr="006877C6">
        <w:t xml:space="preserve"> </w:t>
      </w:r>
      <w:r w:rsidR="0083281D">
        <w:t xml:space="preserve">would be </w:t>
      </w:r>
      <w:r w:rsidR="005A7D1D">
        <w:t>beneficial</w:t>
      </w:r>
      <w:r w:rsidR="0083281D">
        <w:t xml:space="preserve"> to</w:t>
      </w:r>
      <w:r w:rsidR="006877C6">
        <w:t xml:space="preserve"> add value to the existing</w:t>
      </w:r>
      <w:r w:rsidR="00D2502E">
        <w:t xml:space="preserve"> model</w:t>
      </w:r>
      <w:r w:rsidR="001D4BE2">
        <w:t>.</w:t>
      </w:r>
      <w:r w:rsidR="00D2502E">
        <w:t xml:space="preserve"> </w:t>
      </w:r>
      <w:r w:rsidR="00957876">
        <w:t>Th</w:t>
      </w:r>
      <w:r w:rsidR="0080295F">
        <w:t>is</w:t>
      </w:r>
      <w:r w:rsidR="000F3071">
        <w:t xml:space="preserve"> single-organ MPS</w:t>
      </w:r>
      <w:r w:rsidR="00FA2B8A">
        <w:t xml:space="preserve"> </w:t>
      </w:r>
      <w:r w:rsidR="00957876">
        <w:t>could</w:t>
      </w:r>
      <w:r w:rsidR="005A7D1D">
        <w:t xml:space="preserve"> also</w:t>
      </w:r>
      <w:r w:rsidR="00957876">
        <w:t xml:space="preserve"> </w:t>
      </w:r>
      <w:r w:rsidR="0066598C">
        <w:t xml:space="preserve">be </w:t>
      </w:r>
      <w:r w:rsidR="00CF57AE">
        <w:t>co</w:t>
      </w:r>
      <w:r w:rsidR="008408CB">
        <w:t>mbined</w:t>
      </w:r>
      <w:r w:rsidR="0066598C">
        <w:t xml:space="preserve"> with other orga</w:t>
      </w:r>
      <w:r w:rsidR="00CF57AE">
        <w:t xml:space="preserve">n platforms that can share a common medium and allow </w:t>
      </w:r>
      <w:r w:rsidR="007D5D93">
        <w:t xml:space="preserve">organ crosstalk at </w:t>
      </w:r>
      <w:r w:rsidR="004D16D1">
        <w:t xml:space="preserve">the </w:t>
      </w:r>
      <w:r w:rsidR="007D5D93">
        <w:t>cellular</w:t>
      </w:r>
      <w:r w:rsidR="0080295F">
        <w:t xml:space="preserve"> or endocrine level</w:t>
      </w:r>
      <w:r w:rsidR="004D16D1">
        <w:t>,</w:t>
      </w:r>
      <w:r w:rsidR="0080295F">
        <w:t xml:space="preserve"> and that can help </w:t>
      </w:r>
      <w:r w:rsidR="00B80087">
        <w:t xml:space="preserve">to </w:t>
      </w:r>
      <w:r w:rsidR="0080295F">
        <w:t>better understand</w:t>
      </w:r>
      <w:r w:rsidR="005A7D1D">
        <w:t xml:space="preserve"> the</w:t>
      </w:r>
      <w:r w:rsidR="0080295F">
        <w:t xml:space="preserve"> </w:t>
      </w:r>
      <w:r w:rsidR="00B8425B">
        <w:t>mec</w:t>
      </w:r>
      <w:r w:rsidR="00A0283C">
        <w:t>hanistic insights</w:t>
      </w:r>
      <w:r w:rsidR="00B8425B">
        <w:t xml:space="preserve"> of toxicity </w:t>
      </w:r>
      <w:r w:rsidR="00851891">
        <w:t xml:space="preserve">not limited only to </w:t>
      </w:r>
      <w:r w:rsidR="00B80087">
        <w:t xml:space="preserve">the </w:t>
      </w:r>
      <w:r w:rsidR="00851891">
        <w:t>liver</w:t>
      </w:r>
      <w:r w:rsidR="00B80087">
        <w:t xml:space="preserve"> itself</w:t>
      </w:r>
      <w:r w:rsidR="00851891">
        <w:t xml:space="preserve">. </w:t>
      </w:r>
      <w:r w:rsidR="00521D6D">
        <w:t>Furthermore</w:t>
      </w:r>
      <w:r w:rsidR="004D16D1">
        <w:t>,</w:t>
      </w:r>
      <w:r w:rsidR="00521D6D">
        <w:t xml:space="preserve"> </w:t>
      </w:r>
      <w:r w:rsidR="00A06214">
        <w:t>as any</w:t>
      </w:r>
      <w:r w:rsidR="001C3A95">
        <w:t xml:space="preserve"> </w:t>
      </w:r>
      <w:r w:rsidR="003E22C7">
        <w:t xml:space="preserve">relatively new </w:t>
      </w:r>
      <w:r w:rsidR="00C971E7">
        <w:t>technology</w:t>
      </w:r>
      <w:r w:rsidR="004D16D1">
        <w:t>,</w:t>
      </w:r>
      <w:r w:rsidR="00E52467">
        <w:t xml:space="preserve"> </w:t>
      </w:r>
      <w:r w:rsidR="00D1207C">
        <w:t xml:space="preserve">it </w:t>
      </w:r>
      <w:r w:rsidR="00A46C96">
        <w:t>might be considered</w:t>
      </w:r>
      <w:r w:rsidR="00D1207C">
        <w:t xml:space="preserve"> costly and</w:t>
      </w:r>
      <w:r w:rsidR="006A784F">
        <w:t xml:space="preserve"> hence of</w:t>
      </w:r>
      <w:r w:rsidR="00E52467">
        <w:t xml:space="preserve"> limited </w:t>
      </w:r>
      <w:r w:rsidR="00CF3510" w:rsidRPr="00CF3510">
        <w:t>accessibility</w:t>
      </w:r>
      <w:r w:rsidR="006A784F">
        <w:t>.</w:t>
      </w:r>
    </w:p>
    <w:p w14:paraId="229D5A0D" w14:textId="77777777" w:rsidR="00CB7304" w:rsidRDefault="00CB7304" w:rsidP="00CB7304"/>
    <w:p w14:paraId="19702D3B" w14:textId="6B280321" w:rsidR="005D6093" w:rsidRDefault="005D6093" w:rsidP="00BA1D08">
      <w:pPr>
        <w:rPr>
          <w:lang w:val="en-GB"/>
        </w:rPr>
      </w:pPr>
      <w:r>
        <w:t>MPS</w:t>
      </w:r>
      <w:r w:rsidR="00BA1D08" w:rsidRPr="00BA1D08">
        <w:t xml:space="preserve"> is a platform used to develop organotypic models of single or multi- human tissues</w:t>
      </w:r>
      <w:r w:rsidR="00BA1D08" w:rsidRPr="00BA1D08">
        <w:rPr>
          <w:lang w:val="en-GB"/>
        </w:rPr>
        <w:t>. The system is composed of a controller</w:t>
      </w:r>
      <w:r w:rsidR="00C02D0A">
        <w:rPr>
          <w:lang w:val="en-GB"/>
        </w:rPr>
        <w:t>, umbilical cable</w:t>
      </w:r>
      <w:r>
        <w:rPr>
          <w:lang w:val="en-GB"/>
        </w:rPr>
        <w:t>,</w:t>
      </w:r>
      <w:r w:rsidR="00C02D0A">
        <w:rPr>
          <w:lang w:val="en-GB"/>
        </w:rPr>
        <w:t xml:space="preserve"> </w:t>
      </w:r>
      <w:r w:rsidR="00FD5A54">
        <w:rPr>
          <w:lang w:val="en-GB"/>
        </w:rPr>
        <w:t>and MPS driver into which the plate is inserted (</w:t>
      </w:r>
      <w:r w:rsidR="00FD5A54" w:rsidRPr="001C7AC8">
        <w:rPr>
          <w:b/>
          <w:bCs/>
          <w:lang w:val="en-GB"/>
        </w:rPr>
        <w:t>Figure 5</w:t>
      </w:r>
      <w:r w:rsidR="00820CC6" w:rsidRPr="001C7AC8">
        <w:rPr>
          <w:b/>
          <w:bCs/>
          <w:lang w:val="en-GB"/>
        </w:rPr>
        <w:t>A</w:t>
      </w:r>
      <w:r w:rsidR="00820CC6">
        <w:rPr>
          <w:lang w:val="en-GB"/>
        </w:rPr>
        <w:t xml:space="preserve">). </w:t>
      </w:r>
      <w:r w:rsidR="00FD5A54">
        <w:rPr>
          <w:lang w:val="en-GB"/>
        </w:rPr>
        <w:t xml:space="preserve"> </w:t>
      </w:r>
      <w:r w:rsidR="00BA1D08" w:rsidRPr="00BA1D08">
        <w:rPr>
          <w:lang w:val="en-GB"/>
        </w:rPr>
        <w:t xml:space="preserve"> </w:t>
      </w:r>
      <w:r w:rsidR="00946F91">
        <w:rPr>
          <w:lang w:val="en-GB"/>
        </w:rPr>
        <w:t>Each</w:t>
      </w:r>
      <w:r w:rsidR="00BA1D08" w:rsidRPr="00BA1D08">
        <w:rPr>
          <w:lang w:val="en-GB"/>
        </w:rPr>
        <w:t xml:space="preserve"> liver MPS plate</w:t>
      </w:r>
      <w:r w:rsidR="00946F91">
        <w:rPr>
          <w:lang w:val="en-GB"/>
        </w:rPr>
        <w:t xml:space="preserve"> has </w:t>
      </w:r>
      <w:r w:rsidR="00BA1D08" w:rsidRPr="00BA1D08">
        <w:rPr>
          <w:lang w:val="en-GB"/>
        </w:rPr>
        <w:t>12 independent open wells</w:t>
      </w:r>
      <w:r w:rsidR="00BA1D08" w:rsidRPr="00BA1D08">
        <w:t xml:space="preserve"> for </w:t>
      </w:r>
      <w:r w:rsidR="00BA1D08" w:rsidRPr="00BA1D08">
        <w:rPr>
          <w:lang w:val="en-GB"/>
        </w:rPr>
        <w:t>culturing primary liver cells in 3D on engineered scaffolds. In summary, the system is QC checked</w:t>
      </w:r>
      <w:r w:rsidR="004D16D1">
        <w:rPr>
          <w:lang w:val="en-GB"/>
        </w:rPr>
        <w:t>,</w:t>
      </w:r>
      <w:r w:rsidR="00BA1D08" w:rsidRPr="00BA1D08">
        <w:rPr>
          <w:lang w:val="en-GB"/>
        </w:rPr>
        <w:t xml:space="preserve"> and the plates </w:t>
      </w:r>
      <w:r w:rsidR="004D16D1">
        <w:rPr>
          <w:lang w:val="en-GB"/>
        </w:rPr>
        <w:t xml:space="preserve">are </w:t>
      </w:r>
      <w:r w:rsidR="00BA1D08" w:rsidRPr="00BA1D08">
        <w:rPr>
          <w:lang w:val="en-GB"/>
        </w:rPr>
        <w:t xml:space="preserve">primed at Day -1, the PHHs and </w:t>
      </w:r>
      <w:r w:rsidR="00BA1D08" w:rsidRPr="005204C8">
        <w:rPr>
          <w:lang w:val="en-GB"/>
        </w:rPr>
        <w:t>HKC</w:t>
      </w:r>
      <w:r w:rsidR="00BA1D08" w:rsidRPr="00BA1D08">
        <w:rPr>
          <w:lang w:val="en-GB"/>
        </w:rPr>
        <w:t>s are seeded on the plates at Day zero (</w:t>
      </w:r>
      <w:r w:rsidR="00BA1D08" w:rsidRPr="001C7AC8">
        <w:rPr>
          <w:b/>
          <w:bCs/>
          <w:lang w:val="en-GB"/>
        </w:rPr>
        <w:t xml:space="preserve">Figure </w:t>
      </w:r>
      <w:r w:rsidR="00E26E4F" w:rsidRPr="001C7AC8">
        <w:rPr>
          <w:b/>
          <w:bCs/>
          <w:lang w:val="en-GB"/>
        </w:rPr>
        <w:t>5</w:t>
      </w:r>
      <w:r w:rsidR="00BA1D08" w:rsidRPr="001C7AC8">
        <w:rPr>
          <w:b/>
          <w:bCs/>
          <w:lang w:val="en-GB"/>
        </w:rPr>
        <w:t>B</w:t>
      </w:r>
      <w:r w:rsidR="004D16D1">
        <w:rPr>
          <w:b/>
          <w:bCs/>
          <w:lang w:val="en-GB"/>
        </w:rPr>
        <w:t xml:space="preserve">, </w:t>
      </w:r>
      <w:r w:rsidR="004D16D1" w:rsidRPr="002772FC">
        <w:rPr>
          <w:lang w:val="en-GB"/>
        </w:rPr>
        <w:t>see</w:t>
      </w:r>
      <w:r w:rsidR="004D16D1" w:rsidRPr="004D16D1">
        <w:rPr>
          <w:lang w:val="en-GB"/>
        </w:rPr>
        <w:t xml:space="preserve"> </w:t>
      </w:r>
      <w:r w:rsidR="008F721F" w:rsidRPr="004D16D1">
        <w:rPr>
          <w:lang w:val="en-GB"/>
        </w:rPr>
        <w:t>1</w:t>
      </w:r>
      <w:r w:rsidR="00BA1D08" w:rsidRPr="00BA1D08">
        <w:rPr>
          <w:lang w:val="en-GB"/>
        </w:rPr>
        <w:t>)</w:t>
      </w:r>
      <w:r w:rsidR="008F721F">
        <w:rPr>
          <w:lang w:val="en-GB"/>
        </w:rPr>
        <w:t>. E</w:t>
      </w:r>
      <w:r w:rsidR="008F721F" w:rsidRPr="00BD34E6">
        <w:rPr>
          <w:lang w:val="en-GB"/>
        </w:rPr>
        <w:t xml:space="preserve">mbedded micropumps </w:t>
      </w:r>
      <w:r w:rsidR="008F721F">
        <w:rPr>
          <w:lang w:val="en-GB"/>
        </w:rPr>
        <w:t xml:space="preserve">facilitate </w:t>
      </w:r>
      <w:r>
        <w:rPr>
          <w:lang w:val="en-GB"/>
        </w:rPr>
        <w:t xml:space="preserve">the </w:t>
      </w:r>
      <w:r w:rsidR="008F721F">
        <w:rPr>
          <w:lang w:val="en-GB"/>
        </w:rPr>
        <w:t xml:space="preserve">circulation of cell culture media through the scaffolds to facilitate </w:t>
      </w:r>
      <w:r>
        <w:rPr>
          <w:lang w:val="en-GB"/>
        </w:rPr>
        <w:t xml:space="preserve">the </w:t>
      </w:r>
      <w:r w:rsidR="008F721F">
        <w:rPr>
          <w:lang w:val="en-GB"/>
        </w:rPr>
        <w:t>formation of 3D microtissues (</w:t>
      </w:r>
      <w:r w:rsidR="008F721F" w:rsidRPr="001C7AC8">
        <w:rPr>
          <w:b/>
          <w:bCs/>
          <w:lang w:val="en-GB"/>
        </w:rPr>
        <w:t>Figure 5B</w:t>
      </w:r>
      <w:r w:rsidR="004D16D1">
        <w:rPr>
          <w:lang w:val="en-GB"/>
        </w:rPr>
        <w:t xml:space="preserve">, see </w:t>
      </w:r>
      <w:r w:rsidR="008F721F">
        <w:rPr>
          <w:lang w:val="en-GB"/>
        </w:rPr>
        <w:t>2). F</w:t>
      </w:r>
      <w:r w:rsidR="00BA1D08" w:rsidRPr="00BA1D08">
        <w:rPr>
          <w:lang w:val="en-GB"/>
        </w:rPr>
        <w:t xml:space="preserve">ormed microtissues </w:t>
      </w:r>
      <w:r w:rsidR="008F721F">
        <w:rPr>
          <w:lang w:val="en-GB"/>
        </w:rPr>
        <w:t xml:space="preserve">are </w:t>
      </w:r>
      <w:r w:rsidR="00BA1D08" w:rsidRPr="00BA1D08">
        <w:rPr>
          <w:lang w:val="en-GB"/>
        </w:rPr>
        <w:t xml:space="preserve">QC’d at Day 4, dosed </w:t>
      </w:r>
      <w:r w:rsidR="00BA1D08" w:rsidRPr="00BA1D08">
        <w:t xml:space="preserve">with different concentrations of each compound </w:t>
      </w:r>
      <w:r w:rsidR="00BA1D08" w:rsidRPr="00BA1D08">
        <w:rPr>
          <w:lang w:val="en-GB"/>
        </w:rPr>
        <w:t>every 48 h for 4 days</w:t>
      </w:r>
      <w:r>
        <w:rPr>
          <w:lang w:val="en-GB"/>
        </w:rPr>
        <w:t>,</w:t>
      </w:r>
      <w:r w:rsidR="00BA1D08" w:rsidRPr="00BA1D08">
        <w:rPr>
          <w:lang w:val="en-GB"/>
        </w:rPr>
        <w:t xml:space="preserve"> and assayed for endpoint biomarkers at Day 8 (</w:t>
      </w:r>
      <w:r w:rsidR="00BA1D08" w:rsidRPr="001C7AC8">
        <w:rPr>
          <w:b/>
          <w:bCs/>
          <w:lang w:val="en-GB"/>
        </w:rPr>
        <w:t xml:space="preserve">Figure </w:t>
      </w:r>
      <w:r w:rsidR="00E26E4F" w:rsidRPr="001C7AC8">
        <w:rPr>
          <w:b/>
          <w:bCs/>
          <w:lang w:val="en-GB"/>
        </w:rPr>
        <w:t>5</w:t>
      </w:r>
      <w:r w:rsidR="00BA1D08" w:rsidRPr="001C7AC8">
        <w:rPr>
          <w:b/>
          <w:bCs/>
          <w:lang w:val="en-GB"/>
        </w:rPr>
        <w:t>C</w:t>
      </w:r>
      <w:r w:rsidR="00BA1D08" w:rsidRPr="00BA1D08">
        <w:rPr>
          <w:lang w:val="en-GB"/>
        </w:rPr>
        <w:t xml:space="preserve">). </w:t>
      </w:r>
      <w:r>
        <w:rPr>
          <w:lang w:val="en-GB"/>
        </w:rPr>
        <w:t>The e</w:t>
      </w:r>
      <w:r w:rsidRPr="00BA1D08">
        <w:rPr>
          <w:lang w:val="en-GB"/>
        </w:rPr>
        <w:t xml:space="preserve">xperimental </w:t>
      </w:r>
      <w:r w:rsidR="00BA1D08" w:rsidRPr="00BA1D08">
        <w:rPr>
          <w:lang w:val="en-GB"/>
        </w:rPr>
        <w:t>timeline of the DILI assay in the MPS</w:t>
      </w:r>
      <w:r w:rsidR="00A94CDD">
        <w:rPr>
          <w:lang w:val="en-GB"/>
        </w:rPr>
        <w:t xml:space="preserve"> </w:t>
      </w:r>
      <w:r w:rsidR="00BA1D08" w:rsidRPr="00BA1D08">
        <w:rPr>
          <w:lang w:val="en-GB"/>
        </w:rPr>
        <w:t xml:space="preserve">plate is depicted in </w:t>
      </w:r>
      <w:r w:rsidR="00BA1D08" w:rsidRPr="001C7AC8">
        <w:rPr>
          <w:b/>
          <w:bCs/>
          <w:lang w:val="en-GB"/>
        </w:rPr>
        <w:t xml:space="preserve">Figure </w:t>
      </w:r>
      <w:r w:rsidR="00E26E4F" w:rsidRPr="001C7AC8">
        <w:rPr>
          <w:b/>
          <w:bCs/>
          <w:lang w:val="en-GB"/>
        </w:rPr>
        <w:t>5</w:t>
      </w:r>
      <w:r w:rsidR="00BA1D08" w:rsidRPr="001C7AC8">
        <w:rPr>
          <w:b/>
          <w:bCs/>
          <w:lang w:val="en-GB"/>
        </w:rPr>
        <w:t>D</w:t>
      </w:r>
      <w:r>
        <w:rPr>
          <w:lang w:val="en-GB"/>
        </w:rPr>
        <w:t>.</w:t>
      </w:r>
    </w:p>
    <w:p w14:paraId="04C62EA6" w14:textId="77777777" w:rsidR="005D6093" w:rsidRDefault="005D6093" w:rsidP="00BA1D08">
      <w:pPr>
        <w:rPr>
          <w:lang w:val="en-GB"/>
        </w:rPr>
      </w:pPr>
    </w:p>
    <w:p w14:paraId="28783E08" w14:textId="530D9B56" w:rsidR="00BA1D08" w:rsidRPr="0098769C" w:rsidRDefault="00BA1D08" w:rsidP="00BA1D08">
      <w:pPr>
        <w:rPr>
          <w:lang w:val="en-GB"/>
        </w:rPr>
      </w:pPr>
      <w:r w:rsidRPr="00BA1D08">
        <w:rPr>
          <w:lang w:val="en-GB"/>
        </w:rPr>
        <w:t xml:space="preserve">[Place </w:t>
      </w:r>
      <w:r w:rsidRPr="00BA1D08">
        <w:rPr>
          <w:b/>
          <w:bCs/>
          <w:lang w:val="en-GB"/>
        </w:rPr>
        <w:t xml:space="preserve">Figure </w:t>
      </w:r>
      <w:r w:rsidR="006C0B6C">
        <w:rPr>
          <w:b/>
          <w:bCs/>
          <w:lang w:val="en-GB"/>
        </w:rPr>
        <w:t>5</w:t>
      </w:r>
      <w:r w:rsidRPr="00BA1D08">
        <w:rPr>
          <w:lang w:val="en-GB"/>
        </w:rPr>
        <w:t xml:space="preserve"> here].</w:t>
      </w:r>
      <w:r>
        <w:rPr>
          <w:lang w:val="en-GB"/>
        </w:rPr>
        <w:t xml:space="preserve"> </w:t>
      </w:r>
    </w:p>
    <w:p w14:paraId="08004AEA" w14:textId="77777777" w:rsidR="006E257B" w:rsidRDefault="006E257B" w:rsidP="006E257B"/>
    <w:p w14:paraId="436EE171" w14:textId="654B7452" w:rsidR="006E257B" w:rsidRPr="005C2E62" w:rsidRDefault="00316155" w:rsidP="006E257B">
      <w:r>
        <w:t>When performing the protocol</w:t>
      </w:r>
      <w:r w:rsidR="00C76FAC">
        <w:t>,</w:t>
      </w:r>
      <w:r>
        <w:t xml:space="preserve"> it is </w:t>
      </w:r>
      <w:r w:rsidR="00596B31">
        <w:t>important</w:t>
      </w:r>
      <w:r w:rsidR="006E257B" w:rsidRPr="005C2E62">
        <w:t xml:space="preserve"> </w:t>
      </w:r>
      <w:r w:rsidR="00581CB8">
        <w:t xml:space="preserve">that </w:t>
      </w:r>
      <w:r w:rsidR="006E257B">
        <w:t xml:space="preserve">a </w:t>
      </w:r>
      <w:r w:rsidR="006E257B" w:rsidRPr="005C2E62">
        <w:t>robust system QC</w:t>
      </w:r>
      <w:r w:rsidR="00C76FAC">
        <w:t xml:space="preserve"> check</w:t>
      </w:r>
      <w:r w:rsidR="006E257B">
        <w:t xml:space="preserve"> is performed prior to starting</w:t>
      </w:r>
      <w:r w:rsidR="00477451">
        <w:t xml:space="preserve">, checking the </w:t>
      </w:r>
      <w:r w:rsidR="006E257B" w:rsidRPr="005C2E62">
        <w:t xml:space="preserve">system </w:t>
      </w:r>
      <w:r w:rsidR="00477451">
        <w:t>is functioning pneumatically correct</w:t>
      </w:r>
      <w:r w:rsidR="00821BEC">
        <w:t>ly</w:t>
      </w:r>
      <w:r w:rsidR="006E257B">
        <w:t xml:space="preserve"> </w:t>
      </w:r>
      <w:r w:rsidR="006E257B" w:rsidRPr="005C2E62">
        <w:t xml:space="preserve">and </w:t>
      </w:r>
      <w:r w:rsidR="006E257B">
        <w:t>the consumable</w:t>
      </w:r>
      <w:r w:rsidR="00477451">
        <w:t xml:space="preserve"> plate</w:t>
      </w:r>
      <w:r w:rsidR="006E257B">
        <w:t>s are</w:t>
      </w:r>
      <w:r w:rsidR="006E257B" w:rsidRPr="005C2E62">
        <w:t xml:space="preserve"> visually inspected and </w:t>
      </w:r>
      <w:r w:rsidR="007E2960">
        <w:t>prime</w:t>
      </w:r>
      <w:r w:rsidR="00383192">
        <w:t>d</w:t>
      </w:r>
      <w:r w:rsidR="007E2960">
        <w:t xml:space="preserve"> </w:t>
      </w:r>
      <w:r w:rsidR="00A02065">
        <w:t>efficiently</w:t>
      </w:r>
      <w:r w:rsidR="007E2960">
        <w:t xml:space="preserve"> </w:t>
      </w:r>
      <w:r w:rsidR="009967B3">
        <w:t>to ensure even functionality across all wells</w:t>
      </w:r>
      <w:r w:rsidR="006E257B" w:rsidRPr="005C2E62">
        <w:t xml:space="preserve">. </w:t>
      </w:r>
      <w:r w:rsidR="007003EB">
        <w:t xml:space="preserve">Having </w:t>
      </w:r>
      <w:r w:rsidR="005D6093">
        <w:t>high-</w:t>
      </w:r>
      <w:r w:rsidR="007003EB">
        <w:t xml:space="preserve">quality primary human cells is essential for this protocol, with </w:t>
      </w:r>
      <w:r w:rsidR="0066795C">
        <w:t xml:space="preserve">hepatocytes known to </w:t>
      </w:r>
      <w:r w:rsidR="004C74AD">
        <w:t xml:space="preserve">adhere consistently in cell culture experiments and </w:t>
      </w:r>
      <w:r w:rsidR="0066795C">
        <w:t>form 3D interactions</w:t>
      </w:r>
      <w:r w:rsidR="004C74AD">
        <w:t>.</w:t>
      </w:r>
      <w:r w:rsidR="007003EB">
        <w:t xml:space="preserve"> </w:t>
      </w:r>
      <w:r w:rsidR="006E257B" w:rsidRPr="005C2E62">
        <w:t>Thawing the</w:t>
      </w:r>
      <w:r w:rsidR="004C74AD">
        <w:t>se</w:t>
      </w:r>
      <w:r w:rsidR="006E257B" w:rsidRPr="005C2E62">
        <w:t xml:space="preserve"> cells is also a critical step</w:t>
      </w:r>
      <w:r w:rsidR="00447FF5">
        <w:t xml:space="preserve">, as </w:t>
      </w:r>
      <w:r w:rsidR="006E257B" w:rsidRPr="005C2E62">
        <w:t xml:space="preserve">primary hepatocytes should not be resuspended by </w:t>
      </w:r>
      <w:r w:rsidR="006E257B">
        <w:t>pipetting</w:t>
      </w:r>
      <w:r w:rsidR="006E257B" w:rsidRPr="005C2E62">
        <w:t xml:space="preserve"> action as this can </w:t>
      </w:r>
      <w:r w:rsidR="00447FF5">
        <w:t>rapidly</w:t>
      </w:r>
      <w:r w:rsidR="006E257B" w:rsidRPr="005C2E62">
        <w:t xml:space="preserve"> lead to cell death. </w:t>
      </w:r>
      <w:r w:rsidR="00447FF5">
        <w:t>Having c</w:t>
      </w:r>
      <w:r w:rsidR="006E257B" w:rsidRPr="005C2E62">
        <w:t>ell viability above 85% is critical for successful seeding</w:t>
      </w:r>
      <w:r w:rsidR="004D16D1">
        <w:t>,</w:t>
      </w:r>
      <w:r w:rsidR="00447FF5">
        <w:t xml:space="preserve"> as large amounts of cellular debris will interfere with 3D microtissue formation</w:t>
      </w:r>
      <w:r w:rsidR="006E257B" w:rsidRPr="005C2E62">
        <w:t xml:space="preserve">. </w:t>
      </w:r>
      <w:r w:rsidR="006014AC">
        <w:t>T</w:t>
      </w:r>
      <w:r w:rsidR="00171FBD">
        <w:t>he</w:t>
      </w:r>
      <w:r w:rsidR="006E257B" w:rsidRPr="005C2E62">
        <w:t xml:space="preserve"> QC check of formed liver microtissues at Day 4 is </w:t>
      </w:r>
      <w:r w:rsidR="006014AC">
        <w:t>also</w:t>
      </w:r>
      <w:r w:rsidR="006E257B" w:rsidRPr="005C2E62">
        <w:t xml:space="preserve"> important</w:t>
      </w:r>
      <w:r w:rsidR="005D6093">
        <w:t>,</w:t>
      </w:r>
      <w:r w:rsidR="006E257B" w:rsidRPr="005C2E62">
        <w:t xml:space="preserve"> and the user needs to ensure that acceptable levels of LDH and </w:t>
      </w:r>
      <w:r w:rsidR="005D6093">
        <w:t>U</w:t>
      </w:r>
      <w:r w:rsidR="005D6093" w:rsidRPr="005C2E62">
        <w:t xml:space="preserve">rea </w:t>
      </w:r>
      <w:r w:rsidR="006E257B" w:rsidRPr="005C2E62">
        <w:t>are measured</w:t>
      </w:r>
      <w:r w:rsidR="00DB7AD4">
        <w:t>, as</w:t>
      </w:r>
      <w:r w:rsidR="006E257B" w:rsidRPr="005C2E62">
        <w:t xml:space="preserve"> out</w:t>
      </w:r>
      <w:r w:rsidR="005D6093">
        <w:t>-of-</w:t>
      </w:r>
      <w:r w:rsidR="006E257B" w:rsidRPr="005C2E62">
        <w:t>range parameters might be indicative of poor-quality tissue formation</w:t>
      </w:r>
      <w:r w:rsidR="00A02065">
        <w:t xml:space="preserve"> and allow</w:t>
      </w:r>
      <w:r w:rsidR="001327EA">
        <w:t xml:space="preserve"> straightforward troubleshooting</w:t>
      </w:r>
      <w:r w:rsidR="006E257B" w:rsidRPr="005C2E62">
        <w:t xml:space="preserve">.  </w:t>
      </w:r>
      <w:r w:rsidR="006014AC">
        <w:t>Finally, the h</w:t>
      </w:r>
      <w:r w:rsidR="006E257B" w:rsidRPr="005C2E62">
        <w:t xml:space="preserve">ydrocortisone </w:t>
      </w:r>
      <w:r w:rsidR="006014AC">
        <w:t>used in the cell culture media</w:t>
      </w:r>
      <w:r w:rsidR="006E257B" w:rsidRPr="005C2E62">
        <w:t xml:space="preserve"> must be prepared fresh on the day of use to prevent any unwanted degradation that might impact cell culture functionality</w:t>
      </w:r>
      <w:r w:rsidR="006014AC">
        <w:t xml:space="preserve">, as it is required to maintain </w:t>
      </w:r>
      <w:r w:rsidR="005D6093">
        <w:t xml:space="preserve">the </w:t>
      </w:r>
      <w:r w:rsidR="006014AC">
        <w:t>metabolic functionality of the hepatocytes</w:t>
      </w:r>
      <w:r w:rsidR="006E257B" w:rsidRPr="005C2E62">
        <w:t xml:space="preserve">. </w:t>
      </w:r>
    </w:p>
    <w:p w14:paraId="0FCB8AFD" w14:textId="77777777" w:rsidR="006E257B" w:rsidRPr="005C2E62" w:rsidRDefault="006E257B" w:rsidP="006E257B"/>
    <w:p w14:paraId="7DBB0169" w14:textId="5961D8FF" w:rsidR="001327EA" w:rsidRPr="006B3A9F" w:rsidRDefault="00CD6110" w:rsidP="001327EA">
      <w:pPr>
        <w:rPr>
          <w:color w:val="000000"/>
          <w:shd w:val="clear" w:color="auto" w:fill="FFFFFF"/>
        </w:rPr>
      </w:pPr>
      <w:r>
        <w:t>Despite having significant complexity</w:t>
      </w:r>
      <w:r w:rsidR="003E0D61">
        <w:t>,</w:t>
      </w:r>
      <w:r w:rsidR="0050481B">
        <w:t xml:space="preserve"> the liver MPS </w:t>
      </w:r>
      <w:r w:rsidR="009D6418">
        <w:t>does not contain</w:t>
      </w:r>
      <w:r w:rsidR="001327EA">
        <w:t xml:space="preserve"> all </w:t>
      </w:r>
      <w:r w:rsidR="009D6418">
        <w:t xml:space="preserve">the cell </w:t>
      </w:r>
      <w:r w:rsidR="001327EA">
        <w:t xml:space="preserve">types of </w:t>
      </w:r>
      <w:r w:rsidR="009D6418">
        <w:t xml:space="preserve">the </w:t>
      </w:r>
      <w:r w:rsidR="001327EA">
        <w:t>human liver</w:t>
      </w:r>
      <w:r w:rsidR="009F519F">
        <w:t>.</w:t>
      </w:r>
      <w:r w:rsidR="005E5A35">
        <w:t xml:space="preserve"> It is possible to add further cells types to the model</w:t>
      </w:r>
      <w:r w:rsidR="00BE57C9">
        <w:fldChar w:fldCharType="begin" w:fldLock="1"/>
      </w:r>
      <w:r w:rsidR="00BE57C9">
        <w:instrText>ADDIN CSL_CITATION {"citationItems":[{"id":"ITEM-1","itemData":{"DOI":"10.1002/hep4.1450","ISBN":"2471-254X (Electronic) 2471-254X (Linking)","PMID":"31909357","abstract":"Nonalcoholic steatohepatitis (NASH) is the most severe form of nonalcoholic fatty liver disease (NAFLD), which to date has no approved drug treatments. There is an urgent need for better understanding of the genetic and molecular pathways that underlie NAFLD/NASH, and currently available preclinical models, be they in vivo or in vitro, do not fully represent key aspects of the human disease state. We have developed a human in vitro co-culture NASH model using primary human hepatocytes, Kupffer cells and hepatic stellate cells, which are cultured together as microtissues in a perfused three-dimensional microphysiological system (MPS). The microtissues were cultured in medium containing free fatty acids for at least 2 weeks, to induce a NASH-like phenotype. The co-culture microtissues within the MPS display a NASH-like phenotype, showing key features of the disease including hepatic fat accumulation, the production of an inflammatory milieu, and the expression of profibrotic markers. Addition of lipopolysaccharide resulted in a more pro-inflammatory milieu. In the model, obeticholic acid ameliorated the NASH phenotype. Microtissues were formed from both wild-type and patatin-like phospholipase domain containing 3 (PNPLA3) I148M mutant hepatic stellate cells. Stellate cells carrying the mutation enhanced the overall disease state of the model and in particular produced a more pro-inflammatory milieu. Conclusion: The MPS model displays a phenotype akin to advanced NAFLD or NASH and has utility as a tool for exploring mechanisms underlying the disease. Furthermore, we demonstrate that in co-culture the PNPLA3 I148M mutation alone can cause hepatic stellate cells to enhance the overall NASH disease phenotype.","author":[{"dropping-particle":"","family":"Kostrzewski","given":"T","non-dropping-particle":"","parse-names":false,"suffix":""},{"dropping-particle":"","family":"Maraver","given":"P","non-dropping-particle":"","parse-names":false,"suffix":""},{"dropping-particle":"","family":"Ouro-Gnao","given":"L","non-dropping-particle":"","parse-names":false,"suffix":""},{"dropping-particle":"","family":"Levi","given":"A","non-dropping-particle":"","parse-names":false,"suffix":""},{"dropping-particle":"","family":"Snow","given":"S","non-dropping-particle":"","parse-names":false,"suffix":""},{"dropping-particle":"","family":"Miedzik","given":"A","non-dropping-particle":"","parse-names":false,"suffix":""},{"dropping-particle":"","family":"Rombouts","given":"K","non-dropping-particle":"","parse-names":false,"suffix":""},{"dropping-particle":"","family":"Hughes","given":"D","non-dropping-particle":"","parse-names":false,"suffix":""}],"container-title":"Hepatol Commun","id":"ITEM-1","issue":"1","issued":{"date-parts":[["2020"]]},"note":"Kostrzewski, Tomasz\nMaraver, Paloma\nOuro-Gnao, Larissa\nLevi, Ana\nSnow, Sophie\nMiedzik, Alina\nRombouts, Krista\nHughes, David\neng\n2020/01/08 06:00\nHepatol Commun. 2019 Nov 13;4(1):77-91. doi: 10.1002/hep4.1450. eCollection 2020 Jan.","page":"77-91","title":"A Microphysiological System for Studying Nonalcoholic Steatohepatitis","type":"article-journal","volume":"4"},"uris":["http://www.mendeley.com/documents/?uuid=20b97ccf-a6f4-4700-bf7b-24ac593e5edf"]},{"id":"ITEM-2","itemData":{"DOI":"10.1177/1535370214532596","ISSN":"1535-3702","abstract":"Metastasis accounts for almost 90% of cancer-associated mortality. The effectiveness of cancer therapeutics is limited by the protective microenvironment of the metastatic niche and consequently these disseminated tumors remain incurable. Metastatic disease progression continues to be poorly understood due to the lack of appropriate model systems. To address this gap in understanding, we propose an all-human microphysiological system that facilitates the investigation of cancer behavior in the liver metastatic niche. This existing LiverChip is a 3D-system modeling the hepatic niche; it incorporates a full complement of human parenchymal and non-parenchymal cells and effectively recapitulates micrometastases. Moreover, this system allows real-time monitoring of micrometastasis and assessment of human-specific signaling. It is being utilized to further our understanding of the efficacy of chemotherapeutics by examining the activity of established and novel agents on micrometastases under conditions replicating diurnal variations in hormones, nutrients and mild inflammatory states using programmable microdispensers. These inputs affect the cues that govern tumor cell responses. Three critical signaling groups are targeted: the glucose/insulin responses, the stress hormone cortisol and the gut microbiome in relation to inflammatory cues. Currently, the system sustains functioning hepatocytes for a minimum of 15 days; confirmed by monitoring hepatic function (urea, α-1-antitrypsin, fibrinogen, and cytochrome P450) and injury (AST and ALT). Breast cancer cell lines effectively integrate into the hepatic niche without detectable disruption to tissue, and preliminary evidence suggests growth attenuation amongst a subpopulation of breast cancer cells. xMAP technology combined with systems biology modeling are also employed to evaluate cellular crosstalk and illustrate communication networks in the early microenvironment of micrometastases. This model is anticipated to identify new therapeutic strategies for metastasis by elucidating the paracrine effects between the hepatic and metastatic cells, while concurrently evaluating agent efficacy for metastasis, metabolism and tolerability.","author":[{"dropping-particle":"","family":"Clark","given":"Amanda M","non-dropping-particle":"","parse-names":false,"suffix":""},{"dropping-particle":"","family":"Wheeler","given":"Sarah E","non-dropping-particle":"","parse-names":false,"suffix":""},{"dropping-particle":"","family":"Taylor","given":"Donald P","non-dropping-particle":"","parse-names":false,"suffix":""},{"dropping-particle":"","family":"Pillai","given":"Venkateswaran C","non-dropping-particle":"","parse-names":false,"suffix":""},{"dropping-particle":"","family":"Young","given":"Carissa L","non-dropping-particle":"","parse-names":false,"suffix":""},{"dropping-particle":"","family":"Prantil-Baun","given":"Rachelle","non-dropping-particle":"","parse-names":false,"suffix":""},{"dropping-particle":"","family":"Nguyen","given":"Transon","non-dropping-particle":"","parse-names":false,"suffix":""},{"dropping-particle":"","family":"Stolz","given":"Donna B","non-dropping-particle":"","parse-names":false,"suffix":""},{"dropping-particle":"","family":"Borenstein","given":"Jeffrey T","non-dropping-particle":"","parse-names":false,"suffix":""},{"dropping-particle":"","family":"Lauffenburger","given":"Douglas A","non-dropping-particle":"","parse-names":false,"suffix":""},{"dropping-particle":"","family":"Venkataramanan","given":"Raman","non-dropping-particle":"","parse-names":false,"suffix":""},{"dropping-particle":"","family":"Griffith","given":"Linda G","non-dropping-particle":"","parse-names":false,"suffix":""},{"dropping-particle":"","family":"Wells","given":"Alan","non-dropping-particle":"","parse-names":false,"suffix":""}],"container-title":"Experimental Biology and Medicine","id":"ITEM-2","issue":"9","issued":{"date-parts":[["2014","5","12"]]},"note":"doi: 10.1177/1535370214532596","page":"1170-1179","publisher":"SAGE Publications","title":"A microphysiological system model of therapy for liver micrometastases","type":"article-journal","volume":"239"},"uris":["http://www.mendeley.com/documents/?uuid=dfec730c-731b-4cc2-97b0-6e4e82fc53cf"]}],"mendeley":{"formattedCitation":"&lt;sup&gt;24, 29&lt;/sup&gt;","plainTextFormattedCitation":"24, 29"},"properties":{"noteIndex":0},"schema":"https://github.com/citation-style-language/schema/raw/master/csl-citation.json"}</w:instrText>
      </w:r>
      <w:r w:rsidR="00BE57C9">
        <w:fldChar w:fldCharType="separate"/>
      </w:r>
      <w:r w:rsidR="00BE57C9" w:rsidRPr="00BE57C9">
        <w:rPr>
          <w:noProof/>
          <w:vertAlign w:val="superscript"/>
        </w:rPr>
        <w:t>24, 29</w:t>
      </w:r>
      <w:r w:rsidR="00BE57C9">
        <w:fldChar w:fldCharType="end"/>
      </w:r>
      <w:r w:rsidR="000F0DBB">
        <w:t xml:space="preserve"> to increase physiological relevance</w:t>
      </w:r>
      <w:r w:rsidR="005D6093">
        <w:t>,</w:t>
      </w:r>
      <w:r w:rsidR="000F0DBB">
        <w:t xml:space="preserve"> but these should only be added </w:t>
      </w:r>
      <w:r w:rsidR="009A59AE">
        <w:t>with a clear justification</w:t>
      </w:r>
      <w:r w:rsidR="00314907">
        <w:t xml:space="preserve"> for the context of use. For </w:t>
      </w:r>
      <w:r w:rsidR="00314907">
        <w:lastRenderedPageBreak/>
        <w:t>studying DILI</w:t>
      </w:r>
      <w:r w:rsidR="00EC65C5">
        <w:t xml:space="preserve"> PHH are the key cell type</w:t>
      </w:r>
      <w:r w:rsidR="005D6093">
        <w:t>,</w:t>
      </w:r>
      <w:r w:rsidR="00EC65C5">
        <w:t xml:space="preserve"> and the incorporation of </w:t>
      </w:r>
      <w:r w:rsidR="00E64BF5">
        <w:t>HKC</w:t>
      </w:r>
      <w:r w:rsidR="00EC65C5">
        <w:t>s in this model allows some immunological responses to be determined</w:t>
      </w:r>
      <w:r w:rsidR="00B51603">
        <w:t>.</w:t>
      </w:r>
      <w:r w:rsidR="00920A3F">
        <w:t xml:space="preserve"> </w:t>
      </w:r>
      <w:r w:rsidR="00920A3F">
        <w:rPr>
          <w:rStyle w:val="normaltextrun"/>
          <w:color w:val="000000"/>
          <w:shd w:val="clear" w:color="auto" w:fill="FFFFFF"/>
        </w:rPr>
        <w:t xml:space="preserve">It should also be noted that </w:t>
      </w:r>
      <w:r w:rsidR="001327EA" w:rsidRPr="00043F6E">
        <w:rPr>
          <w:rStyle w:val="normaltextrun"/>
          <w:color w:val="000000"/>
          <w:shd w:val="clear" w:color="auto" w:fill="FFFFFF"/>
        </w:rPr>
        <w:t xml:space="preserve">PHHs isolated from human livers and commercially available cryopreserved PHHs tend to demonstrate </w:t>
      </w:r>
      <w:r w:rsidR="00920A3F">
        <w:rPr>
          <w:rStyle w:val="normaltextrun"/>
          <w:color w:val="000000"/>
          <w:shd w:val="clear" w:color="auto" w:fill="FFFFFF"/>
        </w:rPr>
        <w:t>some</w:t>
      </w:r>
      <w:r w:rsidR="001327EA" w:rsidRPr="00043F6E">
        <w:rPr>
          <w:rStyle w:val="normaltextrun"/>
          <w:color w:val="000000"/>
          <w:shd w:val="clear" w:color="auto" w:fill="FFFFFF"/>
        </w:rPr>
        <w:t xml:space="preserve"> variations from </w:t>
      </w:r>
      <w:r w:rsidR="005D6093">
        <w:rPr>
          <w:rStyle w:val="normaltextrun"/>
          <w:color w:val="000000"/>
          <w:shd w:val="clear" w:color="auto" w:fill="FFFFFF"/>
        </w:rPr>
        <w:t>lot</w:t>
      </w:r>
      <w:r w:rsidR="005D6093" w:rsidRPr="00043F6E">
        <w:rPr>
          <w:rStyle w:val="normaltextrun"/>
          <w:color w:val="000000"/>
          <w:shd w:val="clear" w:color="auto" w:fill="FFFFFF"/>
        </w:rPr>
        <w:t xml:space="preserve"> to </w:t>
      </w:r>
      <w:r w:rsidR="005D6093">
        <w:rPr>
          <w:rStyle w:val="normaltextrun"/>
          <w:color w:val="000000"/>
          <w:shd w:val="clear" w:color="auto" w:fill="FFFFFF"/>
        </w:rPr>
        <w:t>lot</w:t>
      </w:r>
      <w:r w:rsidR="001327EA" w:rsidRPr="00043F6E">
        <w:rPr>
          <w:rStyle w:val="normaltextrun"/>
          <w:color w:val="000000"/>
          <w:shd w:val="clear" w:color="auto" w:fill="FFFFFF"/>
        </w:rPr>
        <w:t xml:space="preserve">. </w:t>
      </w:r>
      <w:r w:rsidR="00920A3F">
        <w:rPr>
          <w:rStyle w:val="normaltextrun"/>
          <w:color w:val="000000"/>
          <w:shd w:val="clear" w:color="auto" w:fill="FFFFFF"/>
        </w:rPr>
        <w:t xml:space="preserve">We have demonstrated here </w:t>
      </w:r>
      <w:r w:rsidR="005D6093">
        <w:rPr>
          <w:rStyle w:val="normaltextrun"/>
          <w:color w:val="000000"/>
          <w:shd w:val="clear" w:color="auto" w:fill="FFFFFF"/>
        </w:rPr>
        <w:t xml:space="preserve">that this </w:t>
      </w:r>
      <w:r w:rsidR="00920A3F">
        <w:rPr>
          <w:rStyle w:val="normaltextrun"/>
          <w:color w:val="000000"/>
          <w:shd w:val="clear" w:color="auto" w:fill="FFFFFF"/>
        </w:rPr>
        <w:t xml:space="preserve">protocol produces reproducible results when used with </w:t>
      </w:r>
      <w:r w:rsidR="005D6093">
        <w:rPr>
          <w:rStyle w:val="normaltextrun"/>
          <w:color w:val="000000"/>
          <w:shd w:val="clear" w:color="auto" w:fill="FFFFFF"/>
        </w:rPr>
        <w:t>high-</w:t>
      </w:r>
      <w:r w:rsidR="00920A3F">
        <w:rPr>
          <w:rStyle w:val="normaltextrun"/>
          <w:color w:val="000000"/>
          <w:shd w:val="clear" w:color="auto" w:fill="FFFFFF"/>
        </w:rPr>
        <w:t xml:space="preserve">quality </w:t>
      </w:r>
      <w:r w:rsidR="00111D4D">
        <w:rPr>
          <w:rStyle w:val="normaltextrun"/>
          <w:color w:val="000000"/>
          <w:shd w:val="clear" w:color="auto" w:fill="FFFFFF"/>
        </w:rPr>
        <w:t>preparations</w:t>
      </w:r>
      <w:r w:rsidR="00920A3F">
        <w:rPr>
          <w:rStyle w:val="normaltextrun"/>
          <w:color w:val="000000"/>
          <w:shd w:val="clear" w:color="auto" w:fill="FFFFFF"/>
        </w:rPr>
        <w:t xml:space="preserve"> of </w:t>
      </w:r>
      <w:r w:rsidR="0046068D">
        <w:rPr>
          <w:rStyle w:val="normaltextrun"/>
          <w:color w:val="000000"/>
          <w:shd w:val="clear" w:color="auto" w:fill="FFFFFF"/>
        </w:rPr>
        <w:t>cells</w:t>
      </w:r>
      <w:r w:rsidR="005D6093">
        <w:rPr>
          <w:rStyle w:val="normaltextrun"/>
          <w:color w:val="000000"/>
          <w:shd w:val="clear" w:color="auto" w:fill="FFFFFF"/>
        </w:rPr>
        <w:t>. However,</w:t>
      </w:r>
      <w:r w:rsidR="00577738">
        <w:rPr>
          <w:rStyle w:val="normaltextrun"/>
          <w:color w:val="000000"/>
          <w:shd w:val="clear" w:color="auto" w:fill="FFFFFF"/>
        </w:rPr>
        <w:t xml:space="preserve"> </w:t>
      </w:r>
      <w:r w:rsidR="006B3A9F">
        <w:rPr>
          <w:rStyle w:val="normaltextrun"/>
          <w:color w:val="000000"/>
          <w:shd w:val="clear" w:color="auto" w:fill="FFFFFF"/>
        </w:rPr>
        <w:t xml:space="preserve">some lot-lot variation would be </w:t>
      </w:r>
      <w:r w:rsidR="00ED0797">
        <w:rPr>
          <w:rStyle w:val="normaltextrun"/>
          <w:color w:val="000000"/>
          <w:shd w:val="clear" w:color="auto" w:fill="FFFFFF"/>
        </w:rPr>
        <w:t>expected,</w:t>
      </w:r>
      <w:r w:rsidR="006B3A9F">
        <w:rPr>
          <w:rStyle w:val="normaltextrun"/>
          <w:color w:val="000000"/>
          <w:shd w:val="clear" w:color="auto" w:fill="FFFFFF"/>
        </w:rPr>
        <w:t xml:space="preserve"> and this could be </w:t>
      </w:r>
      <w:r w:rsidR="00436DE2">
        <w:rPr>
          <w:rStyle w:val="normaltextrun"/>
          <w:color w:val="000000"/>
          <w:shd w:val="clear" w:color="auto" w:fill="FFFFFF"/>
        </w:rPr>
        <w:t>further</w:t>
      </w:r>
      <w:r w:rsidR="006B3A9F">
        <w:rPr>
          <w:rStyle w:val="normaltextrun"/>
          <w:color w:val="000000"/>
          <w:shd w:val="clear" w:color="auto" w:fill="FFFFFF"/>
        </w:rPr>
        <w:t xml:space="preserve"> overcome by using pooled </w:t>
      </w:r>
      <w:r w:rsidR="005D6093">
        <w:rPr>
          <w:rStyle w:val="normaltextrun"/>
          <w:color w:val="000000"/>
          <w:shd w:val="clear" w:color="auto" w:fill="FFFFFF"/>
        </w:rPr>
        <w:t xml:space="preserve">lots </w:t>
      </w:r>
      <w:r w:rsidR="006B3A9F">
        <w:rPr>
          <w:rStyle w:val="normaltextrun"/>
          <w:color w:val="000000"/>
          <w:shd w:val="clear" w:color="auto" w:fill="FFFFFF"/>
        </w:rPr>
        <w:t xml:space="preserve">of multiple donors. </w:t>
      </w:r>
      <w:r w:rsidR="00590FD9" w:rsidRPr="005204C8">
        <w:rPr>
          <w:rStyle w:val="normaltextrun"/>
          <w:color w:val="000000"/>
          <w:shd w:val="clear" w:color="auto" w:fill="FFFFFF"/>
        </w:rPr>
        <w:t>T</w:t>
      </w:r>
      <w:r w:rsidR="00590FD9" w:rsidRPr="00332ACE">
        <w:rPr>
          <w:rStyle w:val="normaltextrun"/>
          <w:color w:val="000000"/>
          <w:shd w:val="clear" w:color="auto" w:fill="FFFFFF"/>
        </w:rPr>
        <w:t>hese limitations c</w:t>
      </w:r>
      <w:r w:rsidR="00590FD9" w:rsidRPr="005204C8">
        <w:rPr>
          <w:rStyle w:val="normaltextrun"/>
          <w:color w:val="000000"/>
          <w:shd w:val="clear" w:color="auto" w:fill="FFFFFF"/>
        </w:rPr>
        <w:t>ould</w:t>
      </w:r>
      <w:r w:rsidR="00590FD9" w:rsidRPr="00332ACE">
        <w:rPr>
          <w:rStyle w:val="normaltextrun"/>
          <w:color w:val="000000"/>
          <w:shd w:val="clear" w:color="auto" w:fill="FFFFFF"/>
        </w:rPr>
        <w:t xml:space="preserve"> be overcome by using hepatocyte-like cells differentiated from iPSC that recapitulate many functional properties of </w:t>
      </w:r>
      <w:r w:rsidR="00590FD9" w:rsidRPr="005204C8">
        <w:rPr>
          <w:rStyle w:val="normaltextrun"/>
          <w:color w:val="000000"/>
          <w:shd w:val="clear" w:color="auto" w:fill="FFFFFF"/>
        </w:rPr>
        <w:t>PHHs</w:t>
      </w:r>
      <w:r w:rsidR="00590FD9" w:rsidRPr="00332ACE">
        <w:rPr>
          <w:rStyle w:val="normaltextrun"/>
          <w:color w:val="000000"/>
          <w:shd w:val="clear" w:color="auto" w:fill="FFFFFF"/>
        </w:rPr>
        <w:t xml:space="preserve"> and </w:t>
      </w:r>
      <w:r w:rsidR="00590FD9">
        <w:rPr>
          <w:rStyle w:val="normaltextrun"/>
          <w:color w:val="000000"/>
          <w:shd w:val="clear" w:color="auto" w:fill="FFFFFF"/>
        </w:rPr>
        <w:t xml:space="preserve">that </w:t>
      </w:r>
      <w:r w:rsidR="00590FD9" w:rsidRPr="00332ACE">
        <w:rPr>
          <w:rStyle w:val="normaltextrun"/>
          <w:color w:val="000000"/>
          <w:shd w:val="clear" w:color="auto" w:fill="FFFFFF"/>
        </w:rPr>
        <w:t xml:space="preserve">have been </w:t>
      </w:r>
      <w:r w:rsidR="00590FD9" w:rsidRPr="005204C8">
        <w:rPr>
          <w:rStyle w:val="normaltextrun"/>
          <w:color w:val="000000"/>
          <w:shd w:val="clear" w:color="auto" w:fill="FFFFFF"/>
        </w:rPr>
        <w:t xml:space="preserve">used </w:t>
      </w:r>
      <w:r w:rsidR="00590FD9">
        <w:rPr>
          <w:rStyle w:val="normaltextrun"/>
          <w:color w:val="000000"/>
          <w:shd w:val="clear" w:color="auto" w:fill="FFFFFF"/>
        </w:rPr>
        <w:t xml:space="preserve">in </w:t>
      </w:r>
      <w:r w:rsidR="005D6093">
        <w:rPr>
          <w:rStyle w:val="normaltextrun"/>
          <w:color w:val="000000"/>
          <w:shd w:val="clear" w:color="auto" w:fill="FFFFFF"/>
        </w:rPr>
        <w:t xml:space="preserve">the </w:t>
      </w:r>
      <w:r w:rsidR="00590FD9" w:rsidRPr="00332ACE">
        <w:rPr>
          <w:rStyle w:val="normaltextrun"/>
          <w:color w:val="000000"/>
          <w:shd w:val="clear" w:color="auto" w:fill="FFFFFF"/>
        </w:rPr>
        <w:t>drug development process</w:t>
      </w:r>
      <w:r w:rsidR="00590FD9" w:rsidRPr="00332ACE">
        <w:rPr>
          <w:rStyle w:val="normaltextrun"/>
          <w:color w:val="000000"/>
          <w:shd w:val="clear" w:color="auto" w:fill="FFFFFF"/>
        </w:rPr>
        <w:fldChar w:fldCharType="begin" w:fldLock="1"/>
      </w:r>
      <w:r w:rsidR="00BE57C9">
        <w:rPr>
          <w:rStyle w:val="normaltextrun"/>
          <w:color w:val="000000"/>
          <w:shd w:val="clear" w:color="auto" w:fill="FFFFFF"/>
        </w:rPr>
        <w:instrText>ADDIN CSL_CITATION {"citationItems":[{"id":"ITEM-1","itemData":{"ISSN":"10568719","author":[{"dropping-particle":"","family":"Qosa","given":"Hisham","non-dropping-particle":"","parse-names":false,"suffix":""},{"dropping-particle":"","family":"Ribeiro","given":"Alexandre J.S.","non-dropping-particle":"","parse-names":false,"suffix":""},{"dropping-particle":"","family":"Hartman","given":"Neil R.","non-dropping-particle":"","parse-names":false,"suffix":""},{"dropping-particle":"","family":"Volpe","given":"Donna A.","non-dropping-particle":"","parse-names":false,"suffix":""}],"container-title":"Journal of Pharmacological and Toxicological Methods","id":"ITEM-1","issued":{"date-parts":[["2021"]]},"publisher":"Journal of Pharmacological and Toxicological Methods","title":"Characterization of a commercially available line of iPSC hepatocytes as models of hepatocyte function and toxicity for regulatory purposes","type":"article-journal"},"uris":["http://www.mendeley.com/documents/?uuid=422bae25-537f-4256-a5ca-53d2f2542474"]}],"mendeley":{"formattedCitation":"&lt;sup&gt;30&lt;/sup&gt;","plainTextFormattedCitation":"30","previouslyFormattedCitation":"&lt;sup&gt;30&lt;/sup&gt;"},"properties":{"noteIndex":0},"schema":"https://github.com/citation-style-language/schema/raw/master/csl-citation.json"}</w:instrText>
      </w:r>
      <w:r w:rsidR="00590FD9" w:rsidRPr="00332ACE">
        <w:rPr>
          <w:rStyle w:val="normaltextrun"/>
          <w:color w:val="000000"/>
          <w:shd w:val="clear" w:color="auto" w:fill="FFFFFF"/>
        </w:rPr>
        <w:fldChar w:fldCharType="separate"/>
      </w:r>
      <w:r w:rsidR="00BE57C9" w:rsidRPr="00BE57C9">
        <w:rPr>
          <w:rStyle w:val="normaltextrun"/>
          <w:noProof/>
          <w:color w:val="000000"/>
          <w:shd w:val="clear" w:color="auto" w:fill="FFFFFF"/>
          <w:vertAlign w:val="superscript"/>
        </w:rPr>
        <w:t>30</w:t>
      </w:r>
      <w:r w:rsidR="00590FD9" w:rsidRPr="00332ACE">
        <w:rPr>
          <w:rStyle w:val="normaltextrun"/>
          <w:color w:val="000000"/>
          <w:shd w:val="clear" w:color="auto" w:fill="FFFFFF"/>
        </w:rPr>
        <w:fldChar w:fldCharType="end"/>
      </w:r>
      <w:r w:rsidR="00590FD9" w:rsidRPr="00332ACE">
        <w:rPr>
          <w:rStyle w:val="normaltextrun"/>
          <w:color w:val="000000"/>
          <w:shd w:val="clear" w:color="auto" w:fill="FFFFFF"/>
        </w:rPr>
        <w:t>.</w:t>
      </w:r>
      <w:r w:rsidR="00590FD9">
        <w:rPr>
          <w:rStyle w:val="normaltextrun"/>
          <w:color w:val="000000"/>
          <w:sz w:val="22"/>
          <w:szCs w:val="22"/>
          <w:shd w:val="clear" w:color="auto" w:fill="FFFFFF"/>
        </w:rPr>
        <w:t xml:space="preserve"> </w:t>
      </w:r>
      <w:r w:rsidR="00C52049">
        <w:rPr>
          <w:rStyle w:val="normaltextrun"/>
          <w:color w:val="000000"/>
          <w:shd w:val="clear" w:color="auto" w:fill="FFFFFF"/>
        </w:rPr>
        <w:t xml:space="preserve">HKCs also show </w:t>
      </w:r>
      <w:r w:rsidR="005D6093">
        <w:rPr>
          <w:rStyle w:val="normaltextrun"/>
          <w:color w:val="000000"/>
          <w:shd w:val="clear" w:color="auto" w:fill="FFFFFF"/>
        </w:rPr>
        <w:t xml:space="preserve">a lot to lot </w:t>
      </w:r>
      <w:r w:rsidR="00C52049">
        <w:rPr>
          <w:rStyle w:val="normaltextrun"/>
          <w:color w:val="000000"/>
          <w:shd w:val="clear" w:color="auto" w:fill="FFFFFF"/>
        </w:rPr>
        <w:t xml:space="preserve">variability and </w:t>
      </w:r>
      <w:r w:rsidR="005D6093">
        <w:rPr>
          <w:rStyle w:val="normaltextrun"/>
          <w:color w:val="000000"/>
          <w:shd w:val="clear" w:color="auto" w:fill="FFFFFF"/>
        </w:rPr>
        <w:t xml:space="preserve">a </w:t>
      </w:r>
      <w:r w:rsidR="006854B8">
        <w:rPr>
          <w:rStyle w:val="normaltextrun"/>
          <w:color w:val="000000"/>
          <w:shd w:val="clear" w:color="auto" w:fill="FFFFFF"/>
        </w:rPr>
        <w:t>high level of activation upon thaw</w:t>
      </w:r>
      <w:r w:rsidR="005D6093">
        <w:rPr>
          <w:rStyle w:val="normaltextrun"/>
          <w:color w:val="000000"/>
          <w:shd w:val="clear" w:color="auto" w:fill="FFFFFF"/>
        </w:rPr>
        <w:t>;</w:t>
      </w:r>
      <w:r w:rsidR="006854B8">
        <w:rPr>
          <w:rStyle w:val="normaltextrun"/>
          <w:color w:val="000000"/>
          <w:shd w:val="clear" w:color="auto" w:fill="FFFFFF"/>
        </w:rPr>
        <w:t xml:space="preserve"> </w:t>
      </w:r>
      <w:r w:rsidR="001B40C7">
        <w:rPr>
          <w:rStyle w:val="normaltextrun"/>
          <w:color w:val="000000"/>
          <w:shd w:val="clear" w:color="auto" w:fill="FFFFFF"/>
        </w:rPr>
        <w:t>therefore</w:t>
      </w:r>
      <w:r w:rsidR="005D6093">
        <w:rPr>
          <w:rStyle w:val="normaltextrun"/>
          <w:color w:val="000000"/>
          <w:shd w:val="clear" w:color="auto" w:fill="FFFFFF"/>
        </w:rPr>
        <w:t>,</w:t>
      </w:r>
      <w:r w:rsidR="001B40C7">
        <w:rPr>
          <w:rStyle w:val="normaltextrun"/>
          <w:color w:val="000000"/>
          <w:shd w:val="clear" w:color="auto" w:fill="FFFFFF"/>
        </w:rPr>
        <w:t xml:space="preserve"> HKCs </w:t>
      </w:r>
      <w:r w:rsidR="008B2391">
        <w:rPr>
          <w:rStyle w:val="normaltextrun"/>
          <w:color w:val="000000"/>
          <w:shd w:val="clear" w:color="auto" w:fill="FFFFFF"/>
        </w:rPr>
        <w:t xml:space="preserve">donors </w:t>
      </w:r>
      <w:r w:rsidR="001B40C7">
        <w:rPr>
          <w:rStyle w:val="normaltextrun"/>
          <w:color w:val="000000"/>
          <w:shd w:val="clear" w:color="auto" w:fill="FFFFFF"/>
        </w:rPr>
        <w:t>are pre-validated</w:t>
      </w:r>
      <w:r w:rsidR="00056C56" w:rsidRPr="00056C56">
        <w:rPr>
          <w:rStyle w:val="normaltextrun"/>
          <w:color w:val="000000"/>
          <w:shd w:val="clear" w:color="auto" w:fill="FFFFFF"/>
        </w:rPr>
        <w:t xml:space="preserve"> in-house prior to use in experimental cell culture (coculture with </w:t>
      </w:r>
      <w:r w:rsidR="001B40C7">
        <w:rPr>
          <w:rStyle w:val="normaltextrun"/>
          <w:color w:val="000000"/>
          <w:shd w:val="clear" w:color="auto" w:fill="FFFFFF"/>
        </w:rPr>
        <w:t xml:space="preserve">validated </w:t>
      </w:r>
      <w:r w:rsidR="00056C56" w:rsidRPr="00056C56">
        <w:rPr>
          <w:rStyle w:val="normaltextrun"/>
          <w:color w:val="000000"/>
          <w:shd w:val="clear" w:color="auto" w:fill="FFFFFF"/>
        </w:rPr>
        <w:t>PHHs) and must have low levels of post-thaw activation</w:t>
      </w:r>
      <w:r w:rsidR="005D6093">
        <w:rPr>
          <w:rStyle w:val="normaltextrun"/>
          <w:color w:val="000000"/>
          <w:shd w:val="clear" w:color="auto" w:fill="FFFFFF"/>
        </w:rPr>
        <w:t>;</w:t>
      </w:r>
      <w:r w:rsidR="005D6093" w:rsidRPr="00056C56">
        <w:rPr>
          <w:rStyle w:val="normaltextrun"/>
          <w:color w:val="000000"/>
          <w:shd w:val="clear" w:color="auto" w:fill="FFFFFF"/>
        </w:rPr>
        <w:t xml:space="preserve"> </w:t>
      </w:r>
      <w:r w:rsidR="00056C56" w:rsidRPr="00056C56">
        <w:rPr>
          <w:rStyle w:val="normaltextrun"/>
          <w:color w:val="000000"/>
          <w:shd w:val="clear" w:color="auto" w:fill="FFFFFF"/>
        </w:rPr>
        <w:t>this is assessed by measuring biomarkers IL-6 and TNF-alpha</w:t>
      </w:r>
      <w:r w:rsidR="00AC4D03">
        <w:rPr>
          <w:rStyle w:val="normaltextrun"/>
          <w:color w:val="000000"/>
          <w:shd w:val="clear" w:color="auto" w:fill="FFFFFF"/>
        </w:rPr>
        <w:t xml:space="preserve"> (see </w:t>
      </w:r>
      <w:r w:rsidR="00AC4D03" w:rsidRPr="001C7AC8">
        <w:rPr>
          <w:rStyle w:val="normaltextrun"/>
          <w:b/>
          <w:bCs/>
          <w:color w:val="000000"/>
          <w:shd w:val="clear" w:color="auto" w:fill="FFFFFF"/>
        </w:rPr>
        <w:t>Supplementary Material</w:t>
      </w:r>
      <w:r w:rsidR="00AC4D03">
        <w:rPr>
          <w:rStyle w:val="normaltextrun"/>
          <w:color w:val="000000"/>
          <w:shd w:val="clear" w:color="auto" w:fill="FFFFFF"/>
        </w:rPr>
        <w:t xml:space="preserve">). </w:t>
      </w:r>
      <w:r w:rsidR="00A67E6F">
        <w:rPr>
          <w:rStyle w:val="normaltextrun"/>
          <w:color w:val="000000"/>
          <w:shd w:val="clear" w:color="auto" w:fill="FFFFFF"/>
        </w:rPr>
        <w:t xml:space="preserve"> </w:t>
      </w:r>
    </w:p>
    <w:p w14:paraId="03CF360B" w14:textId="77777777" w:rsidR="001327EA" w:rsidRPr="005C2E62" w:rsidRDefault="001327EA" w:rsidP="006E257B"/>
    <w:p w14:paraId="64286B4E" w14:textId="27EFBD6C" w:rsidR="000962E5" w:rsidRPr="000962E5" w:rsidRDefault="00EC096B" w:rsidP="00726204">
      <w:pPr>
        <w:rPr>
          <w:rFonts w:ascii="ff2" w:eastAsia="Times New Roman" w:hAnsi="ff2" w:cs="Times New Roman"/>
          <w:color w:val="231F20"/>
          <w:spacing w:val="-5"/>
          <w:sz w:val="60"/>
          <w:szCs w:val="60"/>
          <w:lang w:val="en-GB" w:eastAsia="en-GB"/>
        </w:rPr>
      </w:pPr>
      <w:r>
        <w:t>T</w:t>
      </w:r>
      <w:r w:rsidR="006E257B">
        <w:t>he data presented here confirm that the</w:t>
      </w:r>
      <w:r w:rsidR="006E257B" w:rsidRPr="005C2E62">
        <w:t xml:space="preserve"> assay </w:t>
      </w:r>
      <w:r w:rsidR="00DE3118">
        <w:t xml:space="preserve">can detect </w:t>
      </w:r>
      <w:r w:rsidR="00A310DC">
        <w:t>DILI accurately</w:t>
      </w:r>
      <w:r w:rsidR="005D6093">
        <w:t>,</w:t>
      </w:r>
      <w:r w:rsidR="004549E0">
        <w:t xml:space="preserve"> </w:t>
      </w:r>
      <w:r w:rsidR="006E257B">
        <w:t>helping to identify hepatotoxicants that might not be detected by 2D</w:t>
      </w:r>
      <w:r w:rsidR="003C0212">
        <w:fldChar w:fldCharType="begin" w:fldLock="1"/>
      </w:r>
      <w:r w:rsidR="007E03BB">
        <w:instrText>ADDIN CSL_CITATION {"citationItems":[{"id":"ITEM-1","itemData":{"DOI":"10.1016/j.xphs.2020.02.021","ISSN":"15206017","PMID":"32145211","abstract":"Drug-induced liver injury (DILI) remains a challenge and a leading risk for drug discovery. Three-dimensional liver spheroids made from primary human hepatocytes (PHHs) with, or without, other liver cell types can provide more physiological relevance. In comparison to conventional 2-dimensional monolayer culture, our tests with 100 drugs of known DILI status indicate that PHH spheroids are significantly more sensitive in detecting drug-induced hepatotoxicity. To evaluate the role of Kupffer cells (KCs) in drug-induced liver toxicity, we have established conditions for generating co-culture spheroids with PHH and KCs. Inflammatory responses as shown by interleukin 6 secretion can be recapitulated in co-culture spheroids when treated with endotoxin lipopolysaccharides. KCs potentiated the cytotoxicity induced by trovafloxacin in co-culture spheroids at 48 h, but the differences between PHH spheroids and co-culture spheroids became less obvious after a 5-day treatment. Interestingly, a protective role of KCs was shown in co-culture spheroids treated with both acetaminophen and lipopolysaccharides. Additional tests with 14 DILI compounds comparing PHH spheroids and co-culture spheroids showed differential roles of KCs that were compound dependent. In summary, these 3-dimensional liver spheroid models are useful tools to understand the complex mechanisms underlying DILI.","author":[{"dropping-particle":"","family":"Li","given":"Feng","non-dropping-particle":"","parse-names":false,"suffix":""},{"dropping-particle":"","family":"Cao","given":"Li","non-dropping-particle":"","parse-names":false,"suffix":""},{"dropping-particle":"","family":"Parikh","given":"Sweta","non-dropping-particle":"","parse-names":false,"suffix":""},{"dropping-particle":"","family":"Zuo","given":"Rongjun","non-dropping-particle":"","parse-names":false,"suffix":""}],"container-title":"Journal of Pharmaceutical Sciences","id":"ITEM-1","issue":"6","issued":{"date-parts":[["2020"]]},"page":"1912-1923","publisher":"Elsevier Ltd","title":"Three-Dimensional Spheroids With Primary Human Liver Cells and Differential Roles of Kupffer Cells in Drug-Induced Liver Injury","type":"article-journal","volume":"109"},"uris":["http://www.mendeley.com/documents/?uuid=0757227e-9657-4bf6-a192-e4ff4952c8ec"]},{"id":"ITEM-2","itemData":{"DOI":"10.1007/s00204-017-2002-1","ISSN":"14320738","PMID":"28612260","abstract":"Drug-induced liver injury (DILI) continues to be a major source of clinical attrition, precautionary warnings, and post-market withdrawal of drugs. Accordingly, there is a need for more predictive tools to assess hepatotoxicity risk in drug discovery. Three-dimensional (3D) spheroid hepatic cultures have emerged as promising tools to assess mechanisms of hepatotoxicity, as they demonstrate enhanced liver phenotype, metabolic activity, and stability in culture not attainable with conventional two-dimensional hepatic models. Increased sensitivity of these models to drug-induced cytotoxicity has been demonstrated with relatively small panels of hepatotoxicants. However, a comprehensive evaluation of these models is lacking. Here, the predictive value of 3D human liver microtissues (hLiMT) to identify known hepatotoxicants using a panel of 110 drugs with and without clinical DILI has been assessed in comparison to plated two-dimensional primary human hepatocytes (PHH). Compounds were treated long-term (14 days) in hLiMT and acutely (2 days) in PHH to assess drug-induced cytotoxicity over an 8-point concentration range to generate IC50 values. Regardless of comparing IC50 values or exposure-corrected margin of safety values, hLiMT demonstrated increased sensitivity in identifying known hepatotoxicants than PHH, while specificity was consistent across both assays. In addition, hLiMT out performed PHH in correctly classifying hepatotoxicants from different pharmacological classes of molecules. The hLiMT demonstrated sufficient capability to warrant exploratory liver injury biomarker investigation (miR-122, HMGB1, α-GST) in the cell-culture media. Taken together, this study represents the most comprehensive evaluation of 3D spheroid hepatic cultures up to now and supports their utility for hepatotoxicity risk assessment in drug discovery.","author":[{"dropping-particle":"","family":"Proctor","given":"William R.","non-dropping-particle":"","parse-names":false,"suffix":""},{"dropping-particle":"","family":"Foster","given":"Alison J.","non-dropping-particle":"","parse-names":false,"suffix":""},{"dropping-particle":"","family":"Vogt","given":"Jennifer","non-dropping-particle":"","parse-names":false,"suffix":""},{"dropping-particle":"","family":"Summers","given":"Claire","non-dropping-particle":"","parse-names":false,"suffix":""},{"dropping-particle":"","family":"Middleton","given":"Brian","non-dropping-particle":"","parse-names":false,"suffix":""},{"dropping-particle":"","family":"Pilling","given":"Mark A.","non-dropping-particle":"","parse-names":false,"suffix":""},{"dropping-particle":"","family":"Shienson","given":"Daniel","non-dropping-particle":"","parse-names":false,"suffix":""},{"dropping-particle":"","family":"Kijanska","given":"Monika","non-dropping-particle":"","parse-names":false,"suffix":""},{"dropping-particle":"","family":"Ströbel","given":"Simon","non-dropping-particle":"","parse-names":false,"suffix":""},{"dropping-particle":"","family":"Kelm","given":"Jens M.","non-dropping-particle":"","parse-names":false,"suffix":""},{"dropping-particle":"","family":"Morgan","given":"Paul","non-dropping-particle":"","parse-names":false,"suffix":""},{"dropping-particle":"","family":"Messner","given":"Simon","non-dropping-particle":"","parse-names":false,"suffix":""},{"dropping-particle":"","family":"Williams","given":"Dominic","non-dropping-particle":"","parse-names":false,"suffix":""}],"container-title":"Archives of Toxicology","id":"ITEM-2","issue":"8","issued":{"date-parts":[["2017"]]},"page":"2849-2863","publisher":"Springer Berlin Heidelberg","title":"Utility of spherical human liver microtissues for prediction of clinical drug-induced liver injury","type":"article-journal","volume":"91"},"uris":["http://www.mendeley.com/documents/?uuid=13cdc372-fc18-46b4-8de2-15d00991a406"]}],"mendeley":{"formattedCitation":"&lt;sup&gt;10, 11&lt;/sup&gt;","plainTextFormattedCitation":"10, 11","previouslyFormattedCitation":"&lt;sup&gt;10, 11&lt;/sup&gt;"},"properties":{"noteIndex":0},"schema":"https://github.com/citation-style-language/schema/raw/master/csl-citation.json"}</w:instrText>
      </w:r>
      <w:r w:rsidR="003C0212">
        <w:fldChar w:fldCharType="separate"/>
      </w:r>
      <w:r w:rsidR="00730E00" w:rsidRPr="00730E00">
        <w:rPr>
          <w:noProof/>
          <w:vertAlign w:val="superscript"/>
        </w:rPr>
        <w:t>10, 11</w:t>
      </w:r>
      <w:r w:rsidR="003C0212">
        <w:fldChar w:fldCharType="end"/>
      </w:r>
      <w:r w:rsidR="006E257B">
        <w:t xml:space="preserve">and even some 3D models. </w:t>
      </w:r>
      <w:r w:rsidR="005E29D1">
        <w:t>D</w:t>
      </w:r>
      <w:r w:rsidR="0091361D">
        <w:t xml:space="preserve">ata generated from MPS </w:t>
      </w:r>
      <w:r w:rsidR="005E29D1">
        <w:t>are still</w:t>
      </w:r>
      <w:r w:rsidR="0091361D">
        <w:t xml:space="preserve"> not </w:t>
      </w:r>
      <w:r w:rsidR="00486E4E">
        <w:t xml:space="preserve">used </w:t>
      </w:r>
      <w:r w:rsidR="00D73CC8">
        <w:t xml:space="preserve">as </w:t>
      </w:r>
      <w:r w:rsidR="004D16D1">
        <w:t xml:space="preserve">a </w:t>
      </w:r>
      <w:r w:rsidR="00D73CC8">
        <w:t xml:space="preserve">standard </w:t>
      </w:r>
      <w:r w:rsidR="0047614D">
        <w:t xml:space="preserve">by the pharmaceutical industry </w:t>
      </w:r>
      <w:r w:rsidR="00D73CC8">
        <w:t xml:space="preserve">for regulatory submissions </w:t>
      </w:r>
      <w:r w:rsidR="0047614D">
        <w:t>or drug screening purposes</w:t>
      </w:r>
      <w:r w:rsidR="00FA10AF">
        <w:t xml:space="preserve"> due to </w:t>
      </w:r>
      <w:r w:rsidR="00783F38">
        <w:t xml:space="preserve">the </w:t>
      </w:r>
      <w:r w:rsidR="003C7C7E">
        <w:t xml:space="preserve">lack of </w:t>
      </w:r>
      <w:r w:rsidR="00F64665">
        <w:t>process standardi</w:t>
      </w:r>
      <w:r w:rsidR="004D16D1">
        <w:t>z</w:t>
      </w:r>
      <w:r w:rsidR="00F64665">
        <w:t>ation</w:t>
      </w:r>
      <w:r w:rsidR="00DF1847">
        <w:t xml:space="preserve"> and harmoni</w:t>
      </w:r>
      <w:r w:rsidR="004D16D1">
        <w:t>z</w:t>
      </w:r>
      <w:r w:rsidR="00DF1847">
        <w:t>ation</w:t>
      </w:r>
      <w:r w:rsidR="004D16D1">
        <w:t>,</w:t>
      </w:r>
      <w:r w:rsidR="00135151">
        <w:t xml:space="preserve"> including </w:t>
      </w:r>
      <w:r w:rsidR="00AB6E8E">
        <w:t>inter-site reproducibility</w:t>
      </w:r>
      <w:r w:rsidR="00530683">
        <w:fldChar w:fldCharType="begin" w:fldLock="1"/>
      </w:r>
      <w:r w:rsidR="00A126E6">
        <w:instrText>ADDIN CSL_CITATION {"citationItems":[{"id":"ITEM-1","itemData":{"DOI":"10.1111/cts.12969","ISSN":"17528062","PMID":"33382907","abstract":"Abstract: Liver microphysiological systems (MPSs) are promising models for predicting hepatic drug effects. Yet, after a decade since their introduction, MPSs are not routinely used in drug development due to lack of criteria for ensuring reproducibility of results. We characterized the feasibility of a liver MPS to yield reproducible outcomes of experiments assaying drug toxicity, metabolism, and intracellular accumulation. The ability of the liver MPS to reproduce hepatotoxic effects was assessed using trovafloxacin, which increased lactate dehydrogenase (LDH) release and reduced cytochrome P450 3A4 (CYP3A4) activity. These observations were made in two test sites and with different batches of Kupffer cells. Upon culturing equivalent hepatocytes in the MPS, spheroids, and sandwich cultures, differences between culture formats were detected in CYP3A4 activity and albumin production. Cells in all culture formats exhibited different sensitivities to hepatotoxicant exposure. Hepatocytes in the MPS were more functionally stable than those of other culture platforms, as CYP3A4 activity and albumin secretion remained prominent for greater than 18 days in culture, whereas functional decline occurred earlier in spheroids (12 days) and sandwich cultures (7 days). The MPS was also demonstrated to be suitable for metabolism studies, where CYP3A4 activity, troglitazone metabolites, diclofenac clearance, and intracellular accumulation of chloroquine were quantified. To ensure reproducibility between studies with the MPS, the combined use of LDH and CYP3A4 assays were implemented as quality control metrics. Overall results indicated that the liver MPS can be used reproducibly in general drug evaluation applications. Study outcomes led to general considerations and recommendations for using liver MPSs. Study Highlights WHAT IS THE CURRENT KNOWLEDGE ON THE TOPIC? Microphysiological systems (MPSs) have been designed to recreate organ- or tissue-specific characteristics of extracellular microenvironments that enhance the physiological relevance of cells in culture. Liver MPSs enable long-lasting and stable culture of hepatic cells by culturing them in three-dimensions and exposing them to fluid flow. WHAT QUESTION DID THIS STUDY ADDRESS? What is the functional performance relative to other cell culture platforms and the reproducibility of a liver MPS for assessing drug development and evaluation questions, such as toxicity, metabolism, and pharmacokinetics? WHAT DOES TH…","author":[{"dropping-particle":"","family":"Rubiano","given":"Andrés","non-dropping-particle":"","parse-names":false,"suffix":""},{"dropping-particle":"","family":"Indapurkar","given":"Amruta","non-dropping-particle":"","parse-names":false,"suffix":""},{"dropping-particle":"","family":"Yokosawa","given":"Ryosuke","non-dropping-particle":"","parse-names":false,"suffix":""},{"dropping-particle":"","family":"Miedzik","given":"Alina","non-dropping-particle":"","parse-names":false,"suffix":""},{"dropping-particle":"","family":"Rosenzweig","given":"Barry","non-dropping-particle":"","parse-names":false,"suffix":""},{"dropping-particle":"","family":"Arefin","given":"Ayesha","non-dropping-particle":"","parse-names":false,"suffix":""},{"dropping-particle":"","family":"Moulin","given":"Chloe M.","non-dropping-particle":"","parse-names":false,"suffix":""},{"dropping-particle":"","family":"Dame","given":"Keri","non-dropping-particle":"","parse-names":false,"suffix":""},{"dropping-particle":"","family":"Hartman","given":"Neil","non-dropping-particle":"","parse-names":false,"suffix":""},{"dropping-particle":"","family":"Volpe","given":"Donna A.","non-dropping-particle":"","parse-names":false,"suffix":""},{"dropping-particle":"","family":"Matta","given":"Murali K.","non-dropping-particle":"","parse-names":false,"suffix":""},{"dropping-particle":"","family":"Hughes","given":"David J.","non-dropping-particle":"","parse-names":false,"suffix":""},{"dropping-particle":"","family":"Strauss","given":"David G.","non-dropping-particle":"","parse-names":false,"suffix":""},{"dropping-particle":"","family":"Kostrzewski","given":"Tomasz","non-dropping-particle":"","parse-names":false,"suffix":""},{"dropping-particle":"","family":"Ribeiro","given":"Alexandre J.S.","non-dropping-particle":"","parse-names":false,"suffix":""}],"container-title":"Clinical and Translational Science","id":"ITEM-1","issue":"3","issued":{"date-parts":[["2021"]]},"page":"1049-1061","title":"Characterizing the reproducibility in using a liver microphysiological system for assaying drug toxicity, metabolism, and accumulation","type":"article-journal","volume":"14"},"uris":["http://www.mendeley.com/documents/?uuid=6ac83594-c143-4fc3-b0cc-a3131d85e4b2"]}],"mendeley":{"formattedCitation":"&lt;sup&gt;20&lt;/sup&gt;","plainTextFormattedCitation":"20","previouslyFormattedCitation":"&lt;sup&gt;20&lt;/sup&gt;"},"properties":{"noteIndex":0},"schema":"https://github.com/citation-style-language/schema/raw/master/csl-citation.json"}</w:instrText>
      </w:r>
      <w:r w:rsidR="00530683">
        <w:fldChar w:fldCharType="separate"/>
      </w:r>
      <w:r w:rsidR="00274D6F" w:rsidRPr="00274D6F">
        <w:rPr>
          <w:noProof/>
          <w:vertAlign w:val="superscript"/>
        </w:rPr>
        <w:t>20</w:t>
      </w:r>
      <w:r w:rsidR="00530683">
        <w:fldChar w:fldCharType="end"/>
      </w:r>
      <w:r w:rsidR="002A777A">
        <w:t>.</w:t>
      </w:r>
      <w:r w:rsidR="0091361D">
        <w:t xml:space="preserve"> </w:t>
      </w:r>
      <w:r w:rsidR="002A777A">
        <w:t xml:space="preserve">The data and </w:t>
      </w:r>
      <w:r w:rsidR="00A5039C">
        <w:t xml:space="preserve">experimental approaches demonstrated here address this, showing that </w:t>
      </w:r>
      <w:r w:rsidR="005D6093">
        <w:t xml:space="preserve">the </w:t>
      </w:r>
      <w:r w:rsidR="00A5039C">
        <w:t>liver</w:t>
      </w:r>
      <w:r w:rsidR="00D10F8F">
        <w:t xml:space="preserve"> model</w:t>
      </w:r>
      <w:r w:rsidR="00A5039C">
        <w:t xml:space="preserve"> can be used routinely and robustly </w:t>
      </w:r>
      <w:r w:rsidR="003E6F46">
        <w:t>in DILI screens to accurately predict the liability of novel compounds</w:t>
      </w:r>
      <w:r w:rsidR="00726204">
        <w:t>.</w:t>
      </w:r>
    </w:p>
    <w:p w14:paraId="0692025F" w14:textId="77777777" w:rsidR="00726204" w:rsidRPr="00726204" w:rsidRDefault="00726204" w:rsidP="00726204">
      <w:pPr>
        <w:rPr>
          <w:rFonts w:asciiTheme="minorHAnsi" w:eastAsia="Times New Roman" w:hAnsiTheme="minorHAnsi" w:cs="Times New Roman"/>
          <w:color w:val="231F20"/>
          <w:spacing w:val="-5"/>
          <w:sz w:val="20"/>
          <w:szCs w:val="20"/>
          <w:lang w:val="en-GB" w:eastAsia="en-GB"/>
        </w:rPr>
      </w:pPr>
    </w:p>
    <w:p w14:paraId="7DA96D5E" w14:textId="77777777" w:rsidR="000962E5" w:rsidRPr="000962E5" w:rsidRDefault="000962E5" w:rsidP="000962E5">
      <w:pPr>
        <w:widowControl/>
        <w:spacing w:line="0" w:lineRule="auto"/>
        <w:jc w:val="left"/>
        <w:rPr>
          <w:rFonts w:ascii="ff2" w:eastAsia="Times New Roman" w:hAnsi="ff2" w:cs="Times New Roman"/>
          <w:color w:val="231F20"/>
          <w:spacing w:val="-5"/>
          <w:sz w:val="60"/>
          <w:szCs w:val="60"/>
          <w:lang w:val="en-GB" w:eastAsia="en-GB"/>
        </w:rPr>
      </w:pPr>
      <w:r w:rsidRPr="000962E5">
        <w:rPr>
          <w:rFonts w:ascii="ff2" w:eastAsia="Times New Roman" w:hAnsi="ff2" w:cs="Times New Roman"/>
          <w:color w:val="231F20"/>
          <w:spacing w:val="-5"/>
          <w:sz w:val="60"/>
          <w:szCs w:val="60"/>
          <w:lang w:val="en-GB" w:eastAsia="en-GB"/>
        </w:rPr>
        <w:t xml:space="preserve">phase II metabolites and drug accumulation to potentially support the interpretation of </w:t>
      </w:r>
    </w:p>
    <w:p w14:paraId="67D5ADC6" w14:textId="77777777" w:rsidR="000962E5" w:rsidRPr="000962E5" w:rsidRDefault="000962E5" w:rsidP="000962E5">
      <w:pPr>
        <w:widowControl/>
        <w:spacing w:line="0" w:lineRule="auto"/>
        <w:jc w:val="left"/>
        <w:rPr>
          <w:rFonts w:ascii="ff2" w:eastAsia="Times New Roman" w:hAnsi="ff2" w:cs="Times New Roman"/>
          <w:color w:val="231F20"/>
          <w:spacing w:val="-5"/>
          <w:sz w:val="60"/>
          <w:szCs w:val="60"/>
          <w:lang w:val="en-GB" w:eastAsia="en-GB"/>
        </w:rPr>
      </w:pPr>
      <w:r w:rsidRPr="000962E5">
        <w:rPr>
          <w:rFonts w:ascii="ff2" w:eastAsia="Times New Roman" w:hAnsi="ff2" w:cs="Times New Roman"/>
          <w:color w:val="231F20"/>
          <w:spacing w:val="-5"/>
          <w:sz w:val="60"/>
          <w:szCs w:val="60"/>
          <w:lang w:val="en-GB" w:eastAsia="en-GB"/>
        </w:rPr>
        <w:t xml:space="preserve">clinical data. The integration of MPSs in drug development will be facilitated by careful </w:t>
      </w:r>
    </w:p>
    <w:p w14:paraId="112CBAF8" w14:textId="07F05AB9" w:rsidR="003D4530" w:rsidRPr="004B5DF5" w:rsidRDefault="000962E5" w:rsidP="004B5DF5">
      <w:pPr>
        <w:widowControl/>
        <w:spacing w:line="0" w:lineRule="auto"/>
        <w:jc w:val="left"/>
        <w:rPr>
          <w:rFonts w:ascii="ff2" w:eastAsia="Times New Roman" w:hAnsi="ff2" w:cs="Times New Roman"/>
          <w:color w:val="231F20"/>
          <w:spacing w:val="-5"/>
          <w:sz w:val="60"/>
          <w:szCs w:val="60"/>
          <w:lang w:val="en-GB" w:eastAsia="en-GB"/>
        </w:rPr>
      </w:pPr>
      <w:r w:rsidRPr="000962E5">
        <w:rPr>
          <w:rFonts w:ascii="ff2" w:eastAsia="Times New Roman" w:hAnsi="ff2" w:cs="Times New Roman"/>
          <w:color w:val="231F20"/>
          <w:spacing w:val="-5"/>
          <w:sz w:val="60"/>
          <w:szCs w:val="60"/>
          <w:lang w:val="en-GB" w:eastAsia="en-GB"/>
        </w:rPr>
        <w:t>evaluation of performance and reproducibility as performed in this stud</w:t>
      </w:r>
    </w:p>
    <w:p w14:paraId="780F03DF" w14:textId="1C2A28F4" w:rsidR="00F42A8B" w:rsidRPr="005C2E62" w:rsidRDefault="009A6C2D">
      <w:r>
        <w:t>By</w:t>
      </w:r>
      <w:r w:rsidR="00F42A8B" w:rsidRPr="005C2E62">
        <w:t xml:space="preserve"> measuring a range of endpoints to produce a “signature of hepatotoxicity”, </w:t>
      </w:r>
      <w:r w:rsidR="002B0946">
        <w:t>helping to identify</w:t>
      </w:r>
      <w:r w:rsidR="00F42A8B" w:rsidRPr="005C2E62">
        <w:t xml:space="preserve"> </w:t>
      </w:r>
      <w:r w:rsidR="007E7127" w:rsidRPr="005C2E62">
        <w:t>compounds</w:t>
      </w:r>
      <w:r w:rsidR="00F42A8B" w:rsidRPr="005C2E62">
        <w:t xml:space="preserve"> with </w:t>
      </w:r>
      <w:r w:rsidR="00DE450E" w:rsidRPr="005C2E62">
        <w:t>different</w:t>
      </w:r>
      <w:r w:rsidR="00F42A8B" w:rsidRPr="005C2E62">
        <w:t xml:space="preserve"> level</w:t>
      </w:r>
      <w:r w:rsidR="005D6093">
        <w:t>s</w:t>
      </w:r>
      <w:r w:rsidR="00F42A8B" w:rsidRPr="005C2E62">
        <w:t xml:space="preserve"> of DILI concern (including compounds not detectable by other in vitro methods) and the</w:t>
      </w:r>
      <w:r w:rsidR="005B3FF3" w:rsidRPr="005C2E62">
        <w:t>ir</w:t>
      </w:r>
      <w:r w:rsidR="00F42A8B" w:rsidRPr="005C2E62">
        <w:t xml:space="preserve"> mechanisms of toxicity revealed</w:t>
      </w:r>
      <w:r w:rsidR="00F42A8B" w:rsidRPr="00F37C03">
        <w:t>.</w:t>
      </w:r>
      <w:r w:rsidR="00F37C03">
        <w:t xml:space="preserve"> </w:t>
      </w:r>
      <w:r w:rsidR="00C65C2C" w:rsidRPr="00F37C03">
        <w:t>Th</w:t>
      </w:r>
      <w:r w:rsidR="00332ACE" w:rsidRPr="005204C8">
        <w:t>is</w:t>
      </w:r>
      <w:r w:rsidR="00C65C2C" w:rsidRPr="00F37C03">
        <w:t xml:space="preserve"> technology can </w:t>
      </w:r>
      <w:r w:rsidR="00332ACE" w:rsidRPr="005204C8">
        <w:t>close</w:t>
      </w:r>
      <w:r w:rsidR="00C65C2C" w:rsidRPr="00F37C03">
        <w:t xml:space="preserve"> the gap between traditional cell culture</w:t>
      </w:r>
      <w:r w:rsidR="00904792">
        <w:t xml:space="preserve"> and animal models on one side</w:t>
      </w:r>
      <w:r w:rsidR="00C65C2C" w:rsidRPr="00F37C03">
        <w:t xml:space="preserve"> and human </w:t>
      </w:r>
      <w:r w:rsidR="0042234A" w:rsidRPr="005204C8">
        <w:t>clinical trials</w:t>
      </w:r>
      <w:r w:rsidR="00C65C2C" w:rsidRPr="00F37C03">
        <w:t>, advancing towards the simulation of human biological conditions</w:t>
      </w:r>
      <w:r w:rsidR="0042234A" w:rsidRPr="005204C8">
        <w:t xml:space="preserve"> for the preclinical assessment of liver toxicity </w:t>
      </w:r>
      <w:r w:rsidR="00F37C03" w:rsidRPr="005204C8">
        <w:t xml:space="preserve">as part of </w:t>
      </w:r>
      <w:r w:rsidR="005D6093">
        <w:t xml:space="preserve">the </w:t>
      </w:r>
      <w:r w:rsidR="00F37C03" w:rsidRPr="005204C8">
        <w:t>drug development process</w:t>
      </w:r>
      <w:r w:rsidR="00C65C2C" w:rsidRPr="00F37C03">
        <w:t>.</w:t>
      </w:r>
      <w:r w:rsidR="00C65C2C">
        <w:t xml:space="preserve"> </w:t>
      </w:r>
    </w:p>
    <w:p w14:paraId="1AD72791" w14:textId="77777777" w:rsidR="00313089" w:rsidRDefault="00313089">
      <w:pPr>
        <w:rPr>
          <w:color w:val="000000"/>
        </w:rPr>
      </w:pPr>
    </w:p>
    <w:p w14:paraId="6D064C88" w14:textId="443D7BCE" w:rsidR="006E4797" w:rsidRDefault="00551D82" w:rsidP="00A0049D">
      <w:pPr>
        <w:pBdr>
          <w:top w:val="nil"/>
          <w:left w:val="nil"/>
          <w:bottom w:val="nil"/>
          <w:right w:val="nil"/>
          <w:between w:val="nil"/>
        </w:pBdr>
        <w:rPr>
          <w:color w:val="808080"/>
        </w:rPr>
      </w:pPr>
      <w:r>
        <w:rPr>
          <w:b/>
          <w:color w:val="000000"/>
        </w:rPr>
        <w:t xml:space="preserve">ACKNOWLEDGMENTS: </w:t>
      </w:r>
    </w:p>
    <w:p w14:paraId="44E9BFC6" w14:textId="1871DF13" w:rsidR="00A0049D" w:rsidRPr="001C7AC8" w:rsidRDefault="00DA5DC9" w:rsidP="00A0049D">
      <w:pPr>
        <w:pBdr>
          <w:top w:val="nil"/>
          <w:left w:val="nil"/>
          <w:bottom w:val="nil"/>
          <w:right w:val="nil"/>
          <w:between w:val="nil"/>
        </w:pBdr>
      </w:pPr>
      <w:r>
        <w:t xml:space="preserve">CN Bio Innovations Ltd. </w:t>
      </w:r>
      <w:r w:rsidR="004F3049">
        <w:t>f</w:t>
      </w:r>
      <w:r>
        <w:t xml:space="preserve">unded </w:t>
      </w:r>
      <w:r w:rsidR="004F3049">
        <w:t xml:space="preserve">this study. </w:t>
      </w:r>
    </w:p>
    <w:p w14:paraId="25B2FBBD" w14:textId="77777777" w:rsidR="006E4797" w:rsidRDefault="006E4797">
      <w:pPr>
        <w:rPr>
          <w:b/>
        </w:rPr>
      </w:pPr>
    </w:p>
    <w:p w14:paraId="5E703EBA" w14:textId="5E598C12" w:rsidR="006E4797" w:rsidRDefault="00551D82">
      <w:pPr>
        <w:pBdr>
          <w:top w:val="nil"/>
          <w:left w:val="nil"/>
          <w:bottom w:val="nil"/>
          <w:right w:val="nil"/>
          <w:between w:val="nil"/>
        </w:pBdr>
        <w:rPr>
          <w:color w:val="808080"/>
        </w:rPr>
      </w:pPr>
      <w:r>
        <w:rPr>
          <w:b/>
          <w:color w:val="000000"/>
        </w:rPr>
        <w:t xml:space="preserve">DISCLOSURES: </w:t>
      </w:r>
    </w:p>
    <w:p w14:paraId="132340D6" w14:textId="3B90A102" w:rsidR="006E4797" w:rsidRDefault="007D09FF">
      <w:pPr>
        <w:rPr>
          <w:color w:val="808080"/>
        </w:rPr>
      </w:pPr>
      <w:r w:rsidRPr="007260C0">
        <w:t>All authors are employees of CN Bio Innovations Limited</w:t>
      </w:r>
      <w:r w:rsidR="007260C0" w:rsidRPr="007260C0">
        <w:t>.</w:t>
      </w:r>
    </w:p>
    <w:p w14:paraId="4A7B0E5C" w14:textId="77777777" w:rsidR="006E4797" w:rsidRDefault="006E4797">
      <w:pPr>
        <w:rPr>
          <w:color w:val="000000"/>
        </w:rPr>
      </w:pPr>
    </w:p>
    <w:p w14:paraId="56172276" w14:textId="4A63B619" w:rsidR="001E4E7A" w:rsidRPr="003A75A0" w:rsidRDefault="00551D82">
      <w:pPr>
        <w:rPr>
          <w:color w:val="808080"/>
        </w:rPr>
      </w:pPr>
      <w:r>
        <w:rPr>
          <w:b/>
        </w:rPr>
        <w:t>REFERENCES:</w:t>
      </w:r>
      <w:r>
        <w:t xml:space="preserve"> </w:t>
      </w:r>
    </w:p>
    <w:p w14:paraId="37BCA811" w14:textId="77777777" w:rsidR="004D16D1" w:rsidRPr="004D16D1" w:rsidRDefault="004D16D1" w:rsidP="002772FC">
      <w:pPr>
        <w:pStyle w:val="ListParagraph"/>
        <w:numPr>
          <w:ilvl w:val="0"/>
          <w:numId w:val="40"/>
        </w:numPr>
        <w:autoSpaceDE w:val="0"/>
        <w:autoSpaceDN w:val="0"/>
        <w:adjustRightInd w:val="0"/>
        <w:ind w:left="0" w:firstLine="0"/>
        <w:rPr>
          <w:noProof/>
        </w:rPr>
      </w:pPr>
      <w:r w:rsidRPr="004D16D1">
        <w:rPr>
          <w:noProof/>
        </w:rPr>
        <w:t xml:space="preserve">Lisi, D. M. Drug-induced liver injury: An overview. </w:t>
      </w:r>
      <w:r w:rsidRPr="004D16D1">
        <w:rPr>
          <w:i/>
          <w:iCs/>
          <w:noProof/>
        </w:rPr>
        <w:t>US Pharmacist</w:t>
      </w:r>
      <w:r w:rsidRPr="004D16D1">
        <w:rPr>
          <w:noProof/>
        </w:rPr>
        <w:t xml:space="preserve">. </w:t>
      </w:r>
      <w:r w:rsidRPr="004D16D1">
        <w:rPr>
          <w:b/>
          <w:bCs/>
          <w:noProof/>
        </w:rPr>
        <w:t xml:space="preserve">41 </w:t>
      </w:r>
      <w:r w:rsidRPr="004D16D1">
        <w:rPr>
          <w:noProof/>
        </w:rPr>
        <w:t>(12), 30–34 (2016).</w:t>
      </w:r>
    </w:p>
    <w:p w14:paraId="5B8876EE" w14:textId="77777777" w:rsidR="004D16D1" w:rsidRPr="004D16D1" w:rsidRDefault="004D16D1" w:rsidP="002772FC">
      <w:pPr>
        <w:pStyle w:val="ListParagraph"/>
        <w:numPr>
          <w:ilvl w:val="0"/>
          <w:numId w:val="40"/>
        </w:numPr>
        <w:autoSpaceDE w:val="0"/>
        <w:autoSpaceDN w:val="0"/>
        <w:adjustRightInd w:val="0"/>
        <w:ind w:left="0" w:firstLine="0"/>
        <w:rPr>
          <w:noProof/>
        </w:rPr>
      </w:pPr>
      <w:r w:rsidRPr="004D16D1">
        <w:rPr>
          <w:noProof/>
        </w:rPr>
        <w:t xml:space="preserve">Kuna, L. </w:t>
      </w:r>
      <w:r w:rsidRPr="004D16D1">
        <w:rPr>
          <w:iCs/>
          <w:noProof/>
        </w:rPr>
        <w:t>et al</w:t>
      </w:r>
      <w:r w:rsidRPr="004D16D1">
        <w:rPr>
          <w:i/>
          <w:iCs/>
          <w:noProof/>
        </w:rPr>
        <w:t>.</w:t>
      </w:r>
      <w:r w:rsidRPr="004D16D1">
        <w:rPr>
          <w:noProof/>
        </w:rPr>
        <w:t xml:space="preserve"> Models of drug induced liver injury (DILI)-current issues and future perspectives. </w:t>
      </w:r>
      <w:r w:rsidRPr="004D16D1">
        <w:rPr>
          <w:i/>
          <w:iCs/>
          <w:noProof/>
        </w:rPr>
        <w:t>Current Drug Metabolism</w:t>
      </w:r>
      <w:r w:rsidRPr="004D16D1">
        <w:rPr>
          <w:noProof/>
        </w:rPr>
        <w:t xml:space="preserve">. </w:t>
      </w:r>
      <w:r w:rsidRPr="004D16D1">
        <w:rPr>
          <w:b/>
          <w:bCs/>
          <w:noProof/>
        </w:rPr>
        <w:t xml:space="preserve">19 </w:t>
      </w:r>
      <w:r w:rsidRPr="004D16D1">
        <w:rPr>
          <w:noProof/>
        </w:rPr>
        <w:t>(10), 830–838 (2018).</w:t>
      </w:r>
    </w:p>
    <w:p w14:paraId="1D4771BD" w14:textId="77777777" w:rsidR="004D16D1" w:rsidRPr="004D16D1" w:rsidRDefault="004D16D1" w:rsidP="002772FC">
      <w:pPr>
        <w:pStyle w:val="ListParagraph"/>
        <w:numPr>
          <w:ilvl w:val="0"/>
          <w:numId w:val="40"/>
        </w:numPr>
        <w:autoSpaceDE w:val="0"/>
        <w:autoSpaceDN w:val="0"/>
        <w:adjustRightInd w:val="0"/>
        <w:ind w:left="0" w:firstLine="0"/>
        <w:rPr>
          <w:noProof/>
        </w:rPr>
      </w:pPr>
      <w:r w:rsidRPr="004D16D1">
        <w:rPr>
          <w:noProof/>
        </w:rPr>
        <w:t xml:space="preserve">Katarey, D., Verma, S. Drug-induced liver injury. </w:t>
      </w:r>
      <w:r w:rsidRPr="004D16D1">
        <w:rPr>
          <w:i/>
          <w:iCs/>
          <w:noProof/>
        </w:rPr>
        <w:t>Clinical Medicine (London, England)</w:t>
      </w:r>
      <w:r w:rsidRPr="004D16D1">
        <w:rPr>
          <w:noProof/>
        </w:rPr>
        <w:t xml:space="preserve">. </w:t>
      </w:r>
      <w:r w:rsidRPr="004D16D1">
        <w:rPr>
          <w:b/>
          <w:bCs/>
          <w:noProof/>
        </w:rPr>
        <w:t>16</w:t>
      </w:r>
      <w:r w:rsidRPr="004D16D1">
        <w:rPr>
          <w:noProof/>
        </w:rPr>
        <w:t xml:space="preserve"> (6), s104–s109 (2016).</w:t>
      </w:r>
    </w:p>
    <w:p w14:paraId="58E31B01" w14:textId="77777777" w:rsidR="004D16D1" w:rsidRPr="004D16D1" w:rsidRDefault="004D16D1" w:rsidP="002772FC">
      <w:pPr>
        <w:pStyle w:val="ListParagraph"/>
        <w:numPr>
          <w:ilvl w:val="0"/>
          <w:numId w:val="40"/>
        </w:numPr>
        <w:autoSpaceDE w:val="0"/>
        <w:autoSpaceDN w:val="0"/>
        <w:adjustRightInd w:val="0"/>
        <w:ind w:left="0" w:firstLine="0"/>
        <w:rPr>
          <w:noProof/>
        </w:rPr>
      </w:pPr>
      <w:r w:rsidRPr="004D16D1">
        <w:rPr>
          <w:noProof/>
        </w:rPr>
        <w:t xml:space="preserve">Kullak-Ublick, G. A. </w:t>
      </w:r>
      <w:r w:rsidRPr="004D16D1">
        <w:rPr>
          <w:iCs/>
          <w:noProof/>
        </w:rPr>
        <w:t>et al</w:t>
      </w:r>
      <w:r w:rsidRPr="004D16D1">
        <w:rPr>
          <w:i/>
          <w:iCs/>
          <w:noProof/>
        </w:rPr>
        <w:t>.</w:t>
      </w:r>
      <w:r w:rsidRPr="004D16D1">
        <w:rPr>
          <w:noProof/>
        </w:rPr>
        <w:t xml:space="preserve"> Drug-induced liver injury: recent advances in diagnosis and risk assessment Recent advances in clinical practice. </w:t>
      </w:r>
      <w:r w:rsidRPr="004D16D1">
        <w:rPr>
          <w:i/>
          <w:iCs/>
          <w:noProof/>
        </w:rPr>
        <w:t>Gut</w:t>
      </w:r>
      <w:r w:rsidRPr="004D16D1">
        <w:rPr>
          <w:noProof/>
        </w:rPr>
        <w:t xml:space="preserve">. </w:t>
      </w:r>
      <w:r w:rsidRPr="004D16D1">
        <w:rPr>
          <w:b/>
          <w:bCs/>
          <w:noProof/>
        </w:rPr>
        <w:t>66</w:t>
      </w:r>
      <w:r w:rsidRPr="004D16D1">
        <w:rPr>
          <w:noProof/>
        </w:rPr>
        <w:t>, 1154–1164 (2017).</w:t>
      </w:r>
    </w:p>
    <w:p w14:paraId="1B8FC9CF" w14:textId="77777777" w:rsidR="004D16D1" w:rsidRPr="004D16D1" w:rsidRDefault="004D16D1" w:rsidP="002772FC">
      <w:pPr>
        <w:pStyle w:val="ListParagraph"/>
        <w:numPr>
          <w:ilvl w:val="0"/>
          <w:numId w:val="40"/>
        </w:numPr>
        <w:autoSpaceDE w:val="0"/>
        <w:autoSpaceDN w:val="0"/>
        <w:adjustRightInd w:val="0"/>
        <w:ind w:left="0" w:firstLine="0"/>
        <w:rPr>
          <w:noProof/>
        </w:rPr>
      </w:pPr>
      <w:r w:rsidRPr="002772FC">
        <w:rPr>
          <w:noProof/>
        </w:rPr>
        <w:t xml:space="preserve">Dirven, H. </w:t>
      </w:r>
      <w:r w:rsidRPr="002772FC">
        <w:rPr>
          <w:iCs/>
          <w:noProof/>
        </w:rPr>
        <w:t>et al</w:t>
      </w:r>
      <w:r w:rsidRPr="002772FC">
        <w:rPr>
          <w:i/>
          <w:iCs/>
          <w:noProof/>
        </w:rPr>
        <w:t>.</w:t>
      </w:r>
      <w:r w:rsidRPr="002772FC">
        <w:rPr>
          <w:noProof/>
        </w:rPr>
        <w:t xml:space="preserve"> Performance of pre-clinical models in predicting drug-induced liver injury in humans: a systematic review. </w:t>
      </w:r>
      <w:r w:rsidRPr="002772FC">
        <w:rPr>
          <w:i/>
          <w:iCs/>
          <w:noProof/>
        </w:rPr>
        <w:t>Scientific Reports</w:t>
      </w:r>
      <w:r w:rsidRPr="002772FC">
        <w:rPr>
          <w:noProof/>
        </w:rPr>
        <w:t xml:space="preserve">. </w:t>
      </w:r>
      <w:r w:rsidRPr="002772FC">
        <w:rPr>
          <w:b/>
          <w:bCs/>
          <w:noProof/>
        </w:rPr>
        <w:t>11</w:t>
      </w:r>
      <w:r w:rsidRPr="002772FC">
        <w:rPr>
          <w:noProof/>
        </w:rPr>
        <w:t xml:space="preserve"> (1), 6403 (2021).</w:t>
      </w:r>
    </w:p>
    <w:p w14:paraId="763DD8DF" w14:textId="77777777" w:rsidR="004D16D1" w:rsidRPr="004D16D1" w:rsidRDefault="004D16D1" w:rsidP="002772FC">
      <w:pPr>
        <w:pStyle w:val="ListParagraph"/>
        <w:numPr>
          <w:ilvl w:val="0"/>
          <w:numId w:val="40"/>
        </w:numPr>
        <w:autoSpaceDE w:val="0"/>
        <w:autoSpaceDN w:val="0"/>
        <w:adjustRightInd w:val="0"/>
        <w:ind w:left="0" w:firstLine="0"/>
        <w:rPr>
          <w:noProof/>
        </w:rPr>
      </w:pPr>
      <w:r w:rsidRPr="004D16D1">
        <w:rPr>
          <w:noProof/>
        </w:rPr>
        <w:lastRenderedPageBreak/>
        <w:t xml:space="preserve">Donato, M. T., Lahoz, A., Castell, J. V.,  Gomez-Lechon, M. J. Cell lines: a tool for in vitro drug metabolism studies. </w:t>
      </w:r>
      <w:r w:rsidRPr="004D16D1">
        <w:rPr>
          <w:i/>
          <w:iCs/>
          <w:noProof/>
        </w:rPr>
        <w:t>Current Drug Metabolism</w:t>
      </w:r>
      <w:r w:rsidRPr="004D16D1">
        <w:rPr>
          <w:noProof/>
        </w:rPr>
        <w:t xml:space="preserve">. </w:t>
      </w:r>
      <w:r w:rsidRPr="004D16D1">
        <w:rPr>
          <w:b/>
          <w:bCs/>
          <w:noProof/>
        </w:rPr>
        <w:t>9</w:t>
      </w:r>
      <w:r w:rsidRPr="004D16D1">
        <w:rPr>
          <w:noProof/>
        </w:rPr>
        <w:t xml:space="preserve"> (1), 1–11 (2008).</w:t>
      </w:r>
    </w:p>
    <w:p w14:paraId="3DB5D893" w14:textId="77777777" w:rsidR="004D16D1" w:rsidRPr="004D16D1" w:rsidRDefault="004D16D1" w:rsidP="002772FC">
      <w:pPr>
        <w:pStyle w:val="ListParagraph"/>
        <w:numPr>
          <w:ilvl w:val="0"/>
          <w:numId w:val="40"/>
        </w:numPr>
        <w:autoSpaceDE w:val="0"/>
        <w:autoSpaceDN w:val="0"/>
        <w:adjustRightInd w:val="0"/>
        <w:ind w:left="0" w:firstLine="0"/>
        <w:rPr>
          <w:noProof/>
        </w:rPr>
      </w:pPr>
      <w:r w:rsidRPr="004D16D1">
        <w:rPr>
          <w:noProof/>
        </w:rPr>
        <w:t xml:space="preserve">Wilkening, S., Stahl, F.,  Bader, A. Comparison of primary human hepatocytes and hepatoma cell line HepG2 with regard to their biotransformation properties. </w:t>
      </w:r>
      <w:r w:rsidRPr="004D16D1">
        <w:rPr>
          <w:i/>
          <w:iCs/>
          <w:noProof/>
        </w:rPr>
        <w:t>Drug Metabolism and Disposition</w:t>
      </w:r>
      <w:r w:rsidRPr="004D16D1">
        <w:rPr>
          <w:noProof/>
        </w:rPr>
        <w:t xml:space="preserve">. </w:t>
      </w:r>
      <w:r w:rsidRPr="004D16D1">
        <w:rPr>
          <w:b/>
          <w:bCs/>
          <w:noProof/>
        </w:rPr>
        <w:t>31</w:t>
      </w:r>
      <w:r w:rsidRPr="004D16D1">
        <w:rPr>
          <w:noProof/>
        </w:rPr>
        <w:t xml:space="preserve"> (8), 1035–1042 (2003).</w:t>
      </w:r>
    </w:p>
    <w:p w14:paraId="04425918" w14:textId="77777777" w:rsidR="004D16D1" w:rsidRPr="004D16D1" w:rsidRDefault="004D16D1" w:rsidP="002772FC">
      <w:pPr>
        <w:pStyle w:val="ListParagraph"/>
        <w:numPr>
          <w:ilvl w:val="0"/>
          <w:numId w:val="40"/>
        </w:numPr>
        <w:autoSpaceDE w:val="0"/>
        <w:autoSpaceDN w:val="0"/>
        <w:adjustRightInd w:val="0"/>
        <w:ind w:left="0" w:firstLine="0"/>
        <w:rPr>
          <w:noProof/>
        </w:rPr>
      </w:pPr>
      <w:r w:rsidRPr="004D16D1">
        <w:rPr>
          <w:noProof/>
        </w:rPr>
        <w:t xml:space="preserve">Gerets, H. H. J. et al. Characterization of primary human hepatocytes, HepG2 cells, and HepaRG cells at the mRNA level and CYP activity in response to inducers and their predictivity for the detection of human hepatotoxins. </w:t>
      </w:r>
      <w:r w:rsidRPr="004D16D1">
        <w:rPr>
          <w:i/>
          <w:iCs/>
          <w:noProof/>
        </w:rPr>
        <w:t>Cell Biology and Toxicology,</w:t>
      </w:r>
      <w:r w:rsidRPr="004D16D1">
        <w:rPr>
          <w:noProof/>
        </w:rPr>
        <w:t xml:space="preserve">. </w:t>
      </w:r>
      <w:r w:rsidRPr="004D16D1">
        <w:rPr>
          <w:b/>
          <w:bCs/>
          <w:noProof/>
        </w:rPr>
        <w:t>28</w:t>
      </w:r>
      <w:r w:rsidRPr="004D16D1">
        <w:rPr>
          <w:noProof/>
        </w:rPr>
        <w:t xml:space="preserve"> (2), 69–87 (2012).</w:t>
      </w:r>
    </w:p>
    <w:p w14:paraId="0060B175" w14:textId="77777777" w:rsidR="004D16D1" w:rsidRPr="004D16D1" w:rsidRDefault="004D16D1" w:rsidP="002772FC">
      <w:pPr>
        <w:pStyle w:val="ListParagraph"/>
        <w:numPr>
          <w:ilvl w:val="0"/>
          <w:numId w:val="40"/>
        </w:numPr>
        <w:autoSpaceDE w:val="0"/>
        <w:autoSpaceDN w:val="0"/>
        <w:adjustRightInd w:val="0"/>
        <w:ind w:left="0" w:firstLine="0"/>
        <w:rPr>
          <w:noProof/>
        </w:rPr>
      </w:pPr>
      <w:r w:rsidRPr="004D16D1">
        <w:rPr>
          <w:noProof/>
        </w:rPr>
        <w:t xml:space="preserve">Grainger, C. I., Greenwell, L. L., Lockley, D. J., Martin, G. P., Forbes, B. Culture of Calu-3 cells at the air interface provides a representative model of the airway epithelial barrier. </w:t>
      </w:r>
      <w:r w:rsidRPr="004D16D1">
        <w:rPr>
          <w:i/>
          <w:iCs/>
          <w:noProof/>
        </w:rPr>
        <w:t>Pharmaceutical Research</w:t>
      </w:r>
      <w:r w:rsidRPr="004D16D1">
        <w:rPr>
          <w:noProof/>
        </w:rPr>
        <w:t xml:space="preserve">. </w:t>
      </w:r>
      <w:r w:rsidRPr="004D16D1">
        <w:rPr>
          <w:b/>
          <w:bCs/>
          <w:noProof/>
        </w:rPr>
        <w:t>23</w:t>
      </w:r>
      <w:r w:rsidRPr="004D16D1">
        <w:rPr>
          <w:noProof/>
        </w:rPr>
        <w:t xml:space="preserve"> (7), 1482–1490 (2006).</w:t>
      </w:r>
    </w:p>
    <w:p w14:paraId="188490C6" w14:textId="77777777" w:rsidR="004D16D1" w:rsidRPr="004D16D1" w:rsidRDefault="004D16D1" w:rsidP="002772FC">
      <w:pPr>
        <w:pStyle w:val="ListParagraph"/>
        <w:numPr>
          <w:ilvl w:val="0"/>
          <w:numId w:val="40"/>
        </w:numPr>
        <w:autoSpaceDE w:val="0"/>
        <w:autoSpaceDN w:val="0"/>
        <w:adjustRightInd w:val="0"/>
        <w:ind w:left="0" w:firstLine="0"/>
        <w:rPr>
          <w:noProof/>
        </w:rPr>
      </w:pPr>
      <w:r w:rsidRPr="004D16D1">
        <w:rPr>
          <w:noProof/>
        </w:rPr>
        <w:t xml:space="preserve">Li, F., Cao, L., Parikh, S., Zuo, R. Three-dimensional spheroids with primary human liver cells and differential roles of kupffer cells in drug-induced liver injury. </w:t>
      </w:r>
      <w:r w:rsidRPr="004D16D1">
        <w:rPr>
          <w:i/>
          <w:iCs/>
          <w:noProof/>
        </w:rPr>
        <w:t>Journal of Pharmaceutical Sciences</w:t>
      </w:r>
      <w:r w:rsidRPr="004D16D1">
        <w:rPr>
          <w:noProof/>
        </w:rPr>
        <w:t xml:space="preserve">. </w:t>
      </w:r>
      <w:r w:rsidRPr="004D16D1">
        <w:rPr>
          <w:b/>
          <w:bCs/>
          <w:noProof/>
        </w:rPr>
        <w:t>109</w:t>
      </w:r>
      <w:r w:rsidRPr="004D16D1">
        <w:rPr>
          <w:noProof/>
        </w:rPr>
        <w:t xml:space="preserve"> (6), 1912–1923 (2020).</w:t>
      </w:r>
    </w:p>
    <w:p w14:paraId="30B2C969" w14:textId="77777777" w:rsidR="004D16D1" w:rsidRPr="004D16D1" w:rsidRDefault="004D16D1" w:rsidP="002772FC">
      <w:pPr>
        <w:pStyle w:val="ListParagraph"/>
        <w:numPr>
          <w:ilvl w:val="0"/>
          <w:numId w:val="40"/>
        </w:numPr>
        <w:autoSpaceDE w:val="0"/>
        <w:autoSpaceDN w:val="0"/>
        <w:adjustRightInd w:val="0"/>
        <w:ind w:left="0" w:firstLine="0"/>
        <w:rPr>
          <w:noProof/>
        </w:rPr>
      </w:pPr>
      <w:r w:rsidRPr="004D16D1">
        <w:rPr>
          <w:noProof/>
        </w:rPr>
        <w:t xml:space="preserve">Proctor, W. R. </w:t>
      </w:r>
      <w:r w:rsidRPr="004D16D1">
        <w:rPr>
          <w:iCs/>
          <w:noProof/>
        </w:rPr>
        <w:t>et al</w:t>
      </w:r>
      <w:r w:rsidRPr="004D16D1">
        <w:rPr>
          <w:i/>
          <w:iCs/>
          <w:noProof/>
        </w:rPr>
        <w:t>.</w:t>
      </w:r>
      <w:r w:rsidRPr="004D16D1">
        <w:rPr>
          <w:noProof/>
        </w:rPr>
        <w:t xml:space="preserve"> Utility of spherical human liver microtissues for prediction of clinical drug-induced liver injury. </w:t>
      </w:r>
      <w:r w:rsidRPr="004D16D1">
        <w:rPr>
          <w:i/>
          <w:iCs/>
          <w:noProof/>
        </w:rPr>
        <w:t>Archives of Toxicology</w:t>
      </w:r>
      <w:r w:rsidRPr="004D16D1">
        <w:rPr>
          <w:noProof/>
        </w:rPr>
        <w:t xml:space="preserve">. </w:t>
      </w:r>
      <w:r w:rsidRPr="004D16D1">
        <w:rPr>
          <w:b/>
          <w:bCs/>
          <w:noProof/>
        </w:rPr>
        <w:t>91</w:t>
      </w:r>
      <w:r w:rsidRPr="004D16D1">
        <w:rPr>
          <w:noProof/>
        </w:rPr>
        <w:t xml:space="preserve"> (8), 2849–2863 (2017).</w:t>
      </w:r>
    </w:p>
    <w:p w14:paraId="55E57BF2" w14:textId="77777777" w:rsidR="004D16D1" w:rsidRPr="004D16D1" w:rsidRDefault="004D16D1" w:rsidP="002772FC">
      <w:pPr>
        <w:pStyle w:val="ListParagraph"/>
        <w:numPr>
          <w:ilvl w:val="0"/>
          <w:numId w:val="40"/>
        </w:numPr>
        <w:autoSpaceDE w:val="0"/>
        <w:autoSpaceDN w:val="0"/>
        <w:adjustRightInd w:val="0"/>
        <w:ind w:left="0" w:firstLine="0"/>
        <w:rPr>
          <w:noProof/>
        </w:rPr>
      </w:pPr>
      <w:r w:rsidRPr="004D16D1">
        <w:rPr>
          <w:noProof/>
        </w:rPr>
        <w:t xml:space="preserve">Lin, C., Khetani, S. R. Advances in engineered liver models for investigating drug-induced liver injury. </w:t>
      </w:r>
      <w:r w:rsidRPr="004D16D1">
        <w:rPr>
          <w:i/>
          <w:iCs/>
          <w:noProof/>
        </w:rPr>
        <w:t>BioMed Research International</w:t>
      </w:r>
      <w:r w:rsidRPr="004D16D1">
        <w:rPr>
          <w:noProof/>
        </w:rPr>
        <w:t xml:space="preserve">. </w:t>
      </w:r>
      <w:r w:rsidRPr="004D16D1">
        <w:rPr>
          <w:b/>
          <w:bCs/>
          <w:noProof/>
        </w:rPr>
        <w:t>2016</w:t>
      </w:r>
      <w:r w:rsidRPr="004D16D1">
        <w:rPr>
          <w:noProof/>
        </w:rPr>
        <w:t>, 1829148 (2016).</w:t>
      </w:r>
    </w:p>
    <w:p w14:paraId="5FD0C4CF" w14:textId="77777777" w:rsidR="004D16D1" w:rsidRPr="004D16D1" w:rsidRDefault="004D16D1" w:rsidP="002772FC">
      <w:pPr>
        <w:pStyle w:val="ListParagraph"/>
        <w:numPr>
          <w:ilvl w:val="0"/>
          <w:numId w:val="40"/>
        </w:numPr>
        <w:autoSpaceDE w:val="0"/>
        <w:autoSpaceDN w:val="0"/>
        <w:adjustRightInd w:val="0"/>
        <w:ind w:left="0" w:firstLine="0"/>
        <w:rPr>
          <w:noProof/>
        </w:rPr>
      </w:pPr>
      <w:r w:rsidRPr="004D16D1">
        <w:rPr>
          <w:noProof/>
        </w:rPr>
        <w:t xml:space="preserve">Olson, H. et al. Concordance of the toxicity of pharmaceuticals in humans and in animals. </w:t>
      </w:r>
      <w:r w:rsidRPr="004D16D1">
        <w:rPr>
          <w:i/>
          <w:iCs/>
          <w:noProof/>
        </w:rPr>
        <w:t>Regulatory Toxicology and Pharmacology.</w:t>
      </w:r>
      <w:r w:rsidRPr="004D16D1">
        <w:rPr>
          <w:noProof/>
        </w:rPr>
        <w:t xml:space="preserve"> </w:t>
      </w:r>
      <w:r w:rsidRPr="004D16D1">
        <w:rPr>
          <w:b/>
          <w:bCs/>
          <w:noProof/>
        </w:rPr>
        <w:t xml:space="preserve">32 </w:t>
      </w:r>
      <w:r w:rsidRPr="004D16D1">
        <w:rPr>
          <w:noProof/>
        </w:rPr>
        <w:t>(1), 56–67 (2000).</w:t>
      </w:r>
    </w:p>
    <w:p w14:paraId="671B277E" w14:textId="77777777" w:rsidR="004D16D1" w:rsidRPr="004D16D1" w:rsidRDefault="004D16D1" w:rsidP="002772FC">
      <w:pPr>
        <w:pStyle w:val="ListParagraph"/>
        <w:numPr>
          <w:ilvl w:val="0"/>
          <w:numId w:val="40"/>
        </w:numPr>
        <w:autoSpaceDE w:val="0"/>
        <w:autoSpaceDN w:val="0"/>
        <w:adjustRightInd w:val="0"/>
        <w:ind w:left="0" w:firstLine="0"/>
        <w:rPr>
          <w:noProof/>
        </w:rPr>
      </w:pPr>
      <w:r w:rsidRPr="004D16D1">
        <w:rPr>
          <w:noProof/>
        </w:rPr>
        <w:t xml:space="preserve">Bell, C. C. </w:t>
      </w:r>
      <w:r w:rsidRPr="004D16D1">
        <w:rPr>
          <w:iCs/>
          <w:noProof/>
        </w:rPr>
        <w:t>et al</w:t>
      </w:r>
      <w:r w:rsidRPr="004D16D1">
        <w:rPr>
          <w:i/>
          <w:iCs/>
          <w:noProof/>
        </w:rPr>
        <w:t>.</w:t>
      </w:r>
      <w:r w:rsidRPr="004D16D1">
        <w:rPr>
          <w:noProof/>
        </w:rPr>
        <w:t xml:space="preserve"> Comparison of hepatic 2D sandwich cultures and 3D spheroids for long-term toxicity applications: A multicenter study. </w:t>
      </w:r>
      <w:r w:rsidRPr="004D16D1">
        <w:rPr>
          <w:i/>
          <w:iCs/>
          <w:noProof/>
        </w:rPr>
        <w:t>Toxicological Sciences</w:t>
      </w:r>
      <w:r w:rsidRPr="004D16D1">
        <w:rPr>
          <w:noProof/>
        </w:rPr>
        <w:t xml:space="preserve">. </w:t>
      </w:r>
      <w:r w:rsidRPr="004D16D1">
        <w:rPr>
          <w:b/>
          <w:bCs/>
          <w:noProof/>
        </w:rPr>
        <w:t>162</w:t>
      </w:r>
      <w:r w:rsidRPr="004D16D1">
        <w:rPr>
          <w:noProof/>
        </w:rPr>
        <w:t xml:space="preserve"> (2), 655–666 (2018).</w:t>
      </w:r>
    </w:p>
    <w:p w14:paraId="17C6F500" w14:textId="77777777" w:rsidR="004D16D1" w:rsidRPr="004D16D1" w:rsidRDefault="004D16D1" w:rsidP="002772FC">
      <w:pPr>
        <w:pStyle w:val="ListParagraph"/>
        <w:numPr>
          <w:ilvl w:val="0"/>
          <w:numId w:val="40"/>
        </w:numPr>
        <w:autoSpaceDE w:val="0"/>
        <w:autoSpaceDN w:val="0"/>
        <w:adjustRightInd w:val="0"/>
        <w:ind w:left="0" w:firstLine="0"/>
        <w:rPr>
          <w:noProof/>
        </w:rPr>
      </w:pPr>
      <w:r w:rsidRPr="004D16D1">
        <w:rPr>
          <w:noProof/>
        </w:rPr>
        <w:t xml:space="preserve">Bell, C. C. </w:t>
      </w:r>
      <w:r w:rsidRPr="004D16D1">
        <w:rPr>
          <w:iCs/>
          <w:noProof/>
        </w:rPr>
        <w:t>et al</w:t>
      </w:r>
      <w:r w:rsidRPr="004D16D1">
        <w:rPr>
          <w:i/>
          <w:iCs/>
          <w:noProof/>
        </w:rPr>
        <w:t>.</w:t>
      </w:r>
      <w:r w:rsidRPr="004D16D1">
        <w:rPr>
          <w:noProof/>
        </w:rPr>
        <w:t xml:space="preserve"> Characterization of primary human hepatocyte spheroids as a model system for drug-induced liver injury, liver function and disease. </w:t>
      </w:r>
      <w:r w:rsidRPr="004D16D1">
        <w:rPr>
          <w:i/>
          <w:iCs/>
          <w:noProof/>
        </w:rPr>
        <w:t>Scientific Reports</w:t>
      </w:r>
      <w:r w:rsidRPr="004D16D1">
        <w:rPr>
          <w:noProof/>
        </w:rPr>
        <w:t xml:space="preserve">. </w:t>
      </w:r>
      <w:r w:rsidRPr="004D16D1">
        <w:rPr>
          <w:b/>
          <w:bCs/>
          <w:noProof/>
        </w:rPr>
        <w:t>6</w:t>
      </w:r>
      <w:r w:rsidRPr="004D16D1">
        <w:rPr>
          <w:noProof/>
        </w:rPr>
        <w:t>, 25187</w:t>
      </w:r>
      <w:r w:rsidRPr="004D16D1" w:rsidDel="00564501">
        <w:rPr>
          <w:noProof/>
        </w:rPr>
        <w:t xml:space="preserve"> </w:t>
      </w:r>
      <w:r w:rsidRPr="004D16D1">
        <w:rPr>
          <w:noProof/>
        </w:rPr>
        <w:t xml:space="preserve"> (2016).</w:t>
      </w:r>
    </w:p>
    <w:p w14:paraId="46B1CDE0" w14:textId="77777777" w:rsidR="004D16D1" w:rsidRPr="004D16D1" w:rsidRDefault="004D16D1" w:rsidP="002772FC">
      <w:pPr>
        <w:pStyle w:val="ListParagraph"/>
        <w:numPr>
          <w:ilvl w:val="0"/>
          <w:numId w:val="40"/>
        </w:numPr>
        <w:autoSpaceDE w:val="0"/>
        <w:autoSpaceDN w:val="0"/>
        <w:adjustRightInd w:val="0"/>
        <w:ind w:left="0" w:firstLine="0"/>
        <w:rPr>
          <w:noProof/>
        </w:rPr>
      </w:pPr>
      <w:r w:rsidRPr="004D16D1">
        <w:rPr>
          <w:noProof/>
        </w:rPr>
        <w:t xml:space="preserve">Khetani, S. R. </w:t>
      </w:r>
      <w:r w:rsidRPr="004D16D1">
        <w:rPr>
          <w:iCs/>
          <w:noProof/>
        </w:rPr>
        <w:t>et al</w:t>
      </w:r>
      <w:r w:rsidRPr="004D16D1">
        <w:rPr>
          <w:i/>
          <w:iCs/>
          <w:noProof/>
        </w:rPr>
        <w:t>.</w:t>
      </w:r>
      <w:r w:rsidRPr="004D16D1">
        <w:rPr>
          <w:noProof/>
        </w:rPr>
        <w:t xml:space="preserve"> Use of micropatterned co-cultures to detect compounds that cause drug-induced liver injury in humans. </w:t>
      </w:r>
      <w:r w:rsidRPr="004D16D1">
        <w:rPr>
          <w:i/>
          <w:iCs/>
          <w:noProof/>
        </w:rPr>
        <w:t>Toxicological Sciences</w:t>
      </w:r>
      <w:r w:rsidRPr="004D16D1">
        <w:rPr>
          <w:noProof/>
        </w:rPr>
        <w:t xml:space="preserve">. </w:t>
      </w:r>
      <w:r w:rsidRPr="004D16D1">
        <w:rPr>
          <w:b/>
          <w:bCs/>
          <w:noProof/>
        </w:rPr>
        <w:t>132</w:t>
      </w:r>
      <w:r w:rsidRPr="004D16D1">
        <w:rPr>
          <w:noProof/>
        </w:rPr>
        <w:t xml:space="preserve"> (1), 107–117 (2013).</w:t>
      </w:r>
    </w:p>
    <w:p w14:paraId="2E33F227" w14:textId="77777777" w:rsidR="004D16D1" w:rsidRPr="004D16D1" w:rsidRDefault="004D16D1" w:rsidP="002772FC">
      <w:pPr>
        <w:pStyle w:val="ListParagraph"/>
        <w:numPr>
          <w:ilvl w:val="0"/>
          <w:numId w:val="40"/>
        </w:numPr>
        <w:autoSpaceDE w:val="0"/>
        <w:autoSpaceDN w:val="0"/>
        <w:adjustRightInd w:val="0"/>
        <w:ind w:left="0" w:firstLine="0"/>
        <w:rPr>
          <w:noProof/>
        </w:rPr>
      </w:pPr>
      <w:r w:rsidRPr="004D16D1">
        <w:rPr>
          <w:noProof/>
        </w:rPr>
        <w:t>Ma, X. et</w:t>
      </w:r>
      <w:r w:rsidRPr="004D16D1">
        <w:rPr>
          <w:iCs/>
          <w:noProof/>
        </w:rPr>
        <w:t xml:space="preserve"> al</w:t>
      </w:r>
      <w:r w:rsidRPr="004D16D1">
        <w:rPr>
          <w:i/>
          <w:iCs/>
          <w:noProof/>
        </w:rPr>
        <w:t>.</w:t>
      </w:r>
      <w:r w:rsidRPr="004D16D1">
        <w:rPr>
          <w:noProof/>
        </w:rPr>
        <w:t xml:space="preserve"> Deterministically patterned biomimetic human iPSC-derived hepatic model via rapid 3D bioprinting. </w:t>
      </w:r>
      <w:r w:rsidRPr="004D16D1">
        <w:rPr>
          <w:i/>
          <w:iCs/>
          <w:noProof/>
        </w:rPr>
        <w:t>Proceedings of the National Academy of Sciences of the united States of America</w:t>
      </w:r>
      <w:r w:rsidRPr="004D16D1">
        <w:rPr>
          <w:noProof/>
        </w:rPr>
        <w:t xml:space="preserve">. </w:t>
      </w:r>
      <w:r w:rsidRPr="004D16D1">
        <w:rPr>
          <w:b/>
          <w:bCs/>
          <w:noProof/>
        </w:rPr>
        <w:t>113</w:t>
      </w:r>
      <w:r w:rsidRPr="004D16D1">
        <w:rPr>
          <w:noProof/>
        </w:rPr>
        <w:t xml:space="preserve"> (8), 2206–2211 (2016).</w:t>
      </w:r>
    </w:p>
    <w:p w14:paraId="19DD8B9A" w14:textId="77777777" w:rsidR="004D16D1" w:rsidRPr="004D16D1" w:rsidRDefault="004D16D1" w:rsidP="002772FC">
      <w:pPr>
        <w:pStyle w:val="ListParagraph"/>
        <w:numPr>
          <w:ilvl w:val="0"/>
          <w:numId w:val="40"/>
        </w:numPr>
        <w:autoSpaceDE w:val="0"/>
        <w:autoSpaceDN w:val="0"/>
        <w:adjustRightInd w:val="0"/>
        <w:ind w:left="0" w:firstLine="0"/>
        <w:rPr>
          <w:noProof/>
        </w:rPr>
      </w:pPr>
      <w:r w:rsidRPr="004D16D1">
        <w:rPr>
          <w:noProof/>
        </w:rPr>
        <w:t xml:space="preserve">Dieterle, P. Y. M., Dieterle, F. Tissue-specific, non-invasive toxicity biomarkers: translation from pre-clinical safety assessment to clinical safety monitoring. </w:t>
      </w:r>
      <w:r w:rsidRPr="004D16D1">
        <w:rPr>
          <w:i/>
          <w:iCs/>
          <w:noProof/>
        </w:rPr>
        <w:t>Expert Opinion on Drug Metabolism &amp; Toxicology</w:t>
      </w:r>
      <w:r w:rsidRPr="004D16D1">
        <w:rPr>
          <w:noProof/>
        </w:rPr>
        <w:t xml:space="preserve">. </w:t>
      </w:r>
      <w:r w:rsidRPr="004D16D1">
        <w:rPr>
          <w:b/>
          <w:bCs/>
          <w:noProof/>
        </w:rPr>
        <w:t>5</w:t>
      </w:r>
      <w:r w:rsidRPr="004D16D1">
        <w:rPr>
          <w:noProof/>
        </w:rPr>
        <w:t xml:space="preserve"> (9), 1023–1038 (2009).</w:t>
      </w:r>
    </w:p>
    <w:p w14:paraId="634146B8" w14:textId="77777777" w:rsidR="004D16D1" w:rsidRPr="004D16D1" w:rsidRDefault="004D16D1" w:rsidP="002772FC">
      <w:pPr>
        <w:pStyle w:val="ListParagraph"/>
        <w:numPr>
          <w:ilvl w:val="0"/>
          <w:numId w:val="40"/>
        </w:numPr>
        <w:autoSpaceDE w:val="0"/>
        <w:autoSpaceDN w:val="0"/>
        <w:adjustRightInd w:val="0"/>
        <w:ind w:left="0" w:firstLine="0"/>
        <w:rPr>
          <w:noProof/>
        </w:rPr>
      </w:pPr>
      <w:r w:rsidRPr="004D16D1">
        <w:rPr>
          <w:noProof/>
        </w:rPr>
        <w:t xml:space="preserve">Rowe, C. </w:t>
      </w:r>
      <w:r w:rsidRPr="004D16D1">
        <w:rPr>
          <w:iCs/>
          <w:noProof/>
        </w:rPr>
        <w:t>et al</w:t>
      </w:r>
      <w:r w:rsidRPr="004D16D1">
        <w:rPr>
          <w:i/>
          <w:iCs/>
          <w:noProof/>
        </w:rPr>
        <w:t>.</w:t>
      </w:r>
      <w:r w:rsidRPr="004D16D1">
        <w:rPr>
          <w:noProof/>
        </w:rPr>
        <w:t xml:space="preserve"> Perfused human hepatocyte microtissues identify reactive metabolite-forming and mitochondria-perturbing hepatotoxins. </w:t>
      </w:r>
      <w:r w:rsidRPr="004D16D1">
        <w:rPr>
          <w:i/>
          <w:iCs/>
          <w:noProof/>
        </w:rPr>
        <w:t>Toxicology in Vitro</w:t>
      </w:r>
      <w:r w:rsidRPr="004D16D1">
        <w:rPr>
          <w:noProof/>
        </w:rPr>
        <w:t xml:space="preserve">. </w:t>
      </w:r>
      <w:r w:rsidRPr="004D16D1">
        <w:rPr>
          <w:b/>
          <w:bCs/>
          <w:noProof/>
        </w:rPr>
        <w:t>46</w:t>
      </w:r>
      <w:r w:rsidRPr="004D16D1">
        <w:rPr>
          <w:noProof/>
        </w:rPr>
        <w:t>, 29–38 (2018).</w:t>
      </w:r>
    </w:p>
    <w:p w14:paraId="5A42EE63" w14:textId="77777777" w:rsidR="004D16D1" w:rsidRPr="004D16D1" w:rsidRDefault="004D16D1" w:rsidP="002772FC">
      <w:pPr>
        <w:pStyle w:val="ListParagraph"/>
        <w:numPr>
          <w:ilvl w:val="0"/>
          <w:numId w:val="40"/>
        </w:numPr>
        <w:autoSpaceDE w:val="0"/>
        <w:autoSpaceDN w:val="0"/>
        <w:adjustRightInd w:val="0"/>
        <w:ind w:left="0" w:firstLine="0"/>
        <w:rPr>
          <w:noProof/>
        </w:rPr>
      </w:pPr>
      <w:r w:rsidRPr="002772FC">
        <w:rPr>
          <w:noProof/>
        </w:rPr>
        <w:t xml:space="preserve">Rubiano, A. </w:t>
      </w:r>
      <w:r w:rsidRPr="002772FC">
        <w:rPr>
          <w:iCs/>
          <w:noProof/>
        </w:rPr>
        <w:t>et al</w:t>
      </w:r>
      <w:r w:rsidRPr="002772FC">
        <w:rPr>
          <w:i/>
          <w:iCs/>
          <w:noProof/>
        </w:rPr>
        <w:t>.</w:t>
      </w:r>
      <w:r w:rsidRPr="002772FC">
        <w:rPr>
          <w:noProof/>
        </w:rPr>
        <w:t xml:space="preserve"> Characterizing the reproducibility in using a liver microphysiological system for assaying drug toxicity, metabolism, and accumulation. </w:t>
      </w:r>
      <w:r w:rsidRPr="002772FC">
        <w:rPr>
          <w:i/>
          <w:iCs/>
          <w:noProof/>
        </w:rPr>
        <w:t>Clinical and Translational Science</w:t>
      </w:r>
      <w:r w:rsidRPr="002772FC">
        <w:rPr>
          <w:noProof/>
        </w:rPr>
        <w:t xml:space="preserve">. </w:t>
      </w:r>
      <w:r w:rsidRPr="002772FC">
        <w:rPr>
          <w:b/>
          <w:bCs/>
          <w:noProof/>
        </w:rPr>
        <w:t>14</w:t>
      </w:r>
      <w:r w:rsidRPr="002772FC">
        <w:rPr>
          <w:noProof/>
        </w:rPr>
        <w:t xml:space="preserve"> (3), 1049–1061 (2021).</w:t>
      </w:r>
    </w:p>
    <w:p w14:paraId="54C03B3B" w14:textId="77777777" w:rsidR="004D16D1" w:rsidRPr="004D16D1" w:rsidRDefault="004D16D1" w:rsidP="002772FC">
      <w:pPr>
        <w:pStyle w:val="ListParagraph"/>
        <w:numPr>
          <w:ilvl w:val="0"/>
          <w:numId w:val="40"/>
        </w:numPr>
        <w:autoSpaceDE w:val="0"/>
        <w:autoSpaceDN w:val="0"/>
        <w:adjustRightInd w:val="0"/>
        <w:ind w:left="0" w:firstLine="0"/>
        <w:rPr>
          <w:noProof/>
        </w:rPr>
      </w:pPr>
      <w:r w:rsidRPr="004D16D1">
        <w:rPr>
          <w:noProof/>
        </w:rPr>
        <w:t xml:space="preserve">Tsamandouras, N., Kostrzewski, T., Stokes, C. L., Griffith, L. G., Hughes, D. J., Cirit, M. Quantitative assessment of population variability in hepatic drug metabolism using a perfused three-dimensional human liver microphysiological system. </w:t>
      </w:r>
      <w:r w:rsidRPr="004D16D1">
        <w:rPr>
          <w:i/>
          <w:iCs/>
          <w:noProof/>
        </w:rPr>
        <w:t>Journal of Pharmacology and Experimental Therapeutics</w:t>
      </w:r>
      <w:r w:rsidRPr="004D16D1">
        <w:rPr>
          <w:noProof/>
        </w:rPr>
        <w:t xml:space="preserve">. </w:t>
      </w:r>
      <w:r w:rsidRPr="004D16D1">
        <w:rPr>
          <w:b/>
          <w:bCs/>
          <w:noProof/>
        </w:rPr>
        <w:t>360</w:t>
      </w:r>
      <w:r w:rsidRPr="004D16D1">
        <w:rPr>
          <w:noProof/>
        </w:rPr>
        <w:t xml:space="preserve"> (1), 95–105 (2017).</w:t>
      </w:r>
    </w:p>
    <w:p w14:paraId="6DAD3C85" w14:textId="77777777" w:rsidR="004D16D1" w:rsidRPr="004D16D1" w:rsidRDefault="004D16D1" w:rsidP="002772FC">
      <w:pPr>
        <w:pStyle w:val="ListParagraph"/>
        <w:numPr>
          <w:ilvl w:val="0"/>
          <w:numId w:val="40"/>
        </w:numPr>
        <w:autoSpaceDE w:val="0"/>
        <w:autoSpaceDN w:val="0"/>
        <w:adjustRightInd w:val="0"/>
        <w:ind w:left="0" w:firstLine="0"/>
        <w:rPr>
          <w:noProof/>
        </w:rPr>
      </w:pPr>
      <w:r w:rsidRPr="004D16D1">
        <w:rPr>
          <w:noProof/>
        </w:rPr>
        <w:t xml:space="preserve">Ortega-Prieto, A. M. </w:t>
      </w:r>
      <w:r w:rsidRPr="004D16D1">
        <w:rPr>
          <w:iCs/>
          <w:noProof/>
        </w:rPr>
        <w:t>et al</w:t>
      </w:r>
      <w:r w:rsidRPr="004D16D1">
        <w:rPr>
          <w:i/>
          <w:iCs/>
          <w:noProof/>
        </w:rPr>
        <w:t>.</w:t>
      </w:r>
      <w:r w:rsidRPr="004D16D1">
        <w:rPr>
          <w:noProof/>
        </w:rPr>
        <w:t xml:space="preserve"> 3D microfluidic liver cultures as a physiological pre-clinical tool for hepatitis B virus infection. </w:t>
      </w:r>
      <w:r w:rsidRPr="004D16D1">
        <w:rPr>
          <w:i/>
          <w:iCs/>
          <w:noProof/>
        </w:rPr>
        <w:t>Nature Communications</w:t>
      </w:r>
      <w:r w:rsidRPr="004D16D1">
        <w:rPr>
          <w:noProof/>
        </w:rPr>
        <w:t xml:space="preserve">. </w:t>
      </w:r>
      <w:r w:rsidRPr="004D16D1">
        <w:rPr>
          <w:b/>
          <w:bCs/>
          <w:noProof/>
        </w:rPr>
        <w:t>9</w:t>
      </w:r>
      <w:r w:rsidRPr="004D16D1">
        <w:rPr>
          <w:noProof/>
        </w:rPr>
        <w:t xml:space="preserve"> (1), 682 (2018).</w:t>
      </w:r>
    </w:p>
    <w:p w14:paraId="29F79E59" w14:textId="77777777" w:rsidR="004D16D1" w:rsidRPr="004D16D1" w:rsidRDefault="004D16D1" w:rsidP="002772FC">
      <w:pPr>
        <w:pStyle w:val="ListParagraph"/>
        <w:numPr>
          <w:ilvl w:val="0"/>
          <w:numId w:val="40"/>
        </w:numPr>
        <w:autoSpaceDE w:val="0"/>
        <w:autoSpaceDN w:val="0"/>
        <w:adjustRightInd w:val="0"/>
        <w:ind w:left="0" w:firstLine="0"/>
        <w:rPr>
          <w:noProof/>
        </w:rPr>
      </w:pPr>
      <w:r w:rsidRPr="004D16D1">
        <w:rPr>
          <w:noProof/>
        </w:rPr>
        <w:lastRenderedPageBreak/>
        <w:t xml:space="preserve">Kostrzewski, T. </w:t>
      </w:r>
      <w:r w:rsidRPr="004D16D1">
        <w:rPr>
          <w:iCs/>
          <w:noProof/>
        </w:rPr>
        <w:t>et al</w:t>
      </w:r>
      <w:r w:rsidRPr="004D16D1">
        <w:rPr>
          <w:i/>
          <w:iCs/>
          <w:noProof/>
        </w:rPr>
        <w:t>.</w:t>
      </w:r>
      <w:r w:rsidRPr="004D16D1">
        <w:rPr>
          <w:noProof/>
        </w:rPr>
        <w:t xml:space="preserve"> Three-dimensional perfused human in vitro model of non-alcoholic fatty liver disease. </w:t>
      </w:r>
      <w:r w:rsidRPr="004D16D1">
        <w:rPr>
          <w:i/>
          <w:iCs/>
          <w:noProof/>
        </w:rPr>
        <w:t>World Journal of Gastroenterology</w:t>
      </w:r>
      <w:r w:rsidRPr="004D16D1">
        <w:rPr>
          <w:noProof/>
        </w:rPr>
        <w:t xml:space="preserve">. </w:t>
      </w:r>
      <w:r w:rsidRPr="004D16D1">
        <w:rPr>
          <w:b/>
          <w:bCs/>
          <w:noProof/>
        </w:rPr>
        <w:t>23</w:t>
      </w:r>
      <w:r w:rsidRPr="004D16D1">
        <w:rPr>
          <w:noProof/>
        </w:rPr>
        <w:t xml:space="preserve"> (2), 204–215 (2017).</w:t>
      </w:r>
    </w:p>
    <w:p w14:paraId="1B8282B1" w14:textId="77777777" w:rsidR="004D16D1" w:rsidRPr="004D16D1" w:rsidRDefault="004D16D1" w:rsidP="002772FC">
      <w:pPr>
        <w:pStyle w:val="ListParagraph"/>
        <w:numPr>
          <w:ilvl w:val="0"/>
          <w:numId w:val="40"/>
        </w:numPr>
        <w:autoSpaceDE w:val="0"/>
        <w:autoSpaceDN w:val="0"/>
        <w:adjustRightInd w:val="0"/>
        <w:ind w:left="0" w:firstLine="0"/>
        <w:rPr>
          <w:noProof/>
        </w:rPr>
      </w:pPr>
      <w:r w:rsidRPr="004D16D1">
        <w:rPr>
          <w:noProof/>
        </w:rPr>
        <w:t>Kostrzewski</w:t>
      </w:r>
      <w:r w:rsidRPr="002772FC">
        <w:rPr>
          <w:noProof/>
        </w:rPr>
        <w:t xml:space="preserve">, T. </w:t>
      </w:r>
      <w:r w:rsidRPr="002772FC">
        <w:rPr>
          <w:iCs/>
          <w:noProof/>
        </w:rPr>
        <w:t>et al</w:t>
      </w:r>
      <w:r w:rsidRPr="002772FC">
        <w:rPr>
          <w:i/>
          <w:iCs/>
          <w:noProof/>
        </w:rPr>
        <w:t>.</w:t>
      </w:r>
      <w:r w:rsidRPr="002772FC">
        <w:rPr>
          <w:noProof/>
        </w:rPr>
        <w:t xml:space="preserve"> A microphysiological system for studying nonalcoholic steatohepatitis. </w:t>
      </w:r>
      <w:r w:rsidRPr="002772FC">
        <w:rPr>
          <w:i/>
          <w:iCs/>
          <w:noProof/>
        </w:rPr>
        <w:t>Hepatology Communications</w:t>
      </w:r>
      <w:r w:rsidRPr="002772FC">
        <w:rPr>
          <w:noProof/>
        </w:rPr>
        <w:t xml:space="preserve">. </w:t>
      </w:r>
      <w:r w:rsidRPr="002772FC">
        <w:rPr>
          <w:b/>
          <w:bCs/>
          <w:noProof/>
        </w:rPr>
        <w:t>4</w:t>
      </w:r>
      <w:r w:rsidRPr="002772FC">
        <w:rPr>
          <w:noProof/>
        </w:rPr>
        <w:t xml:space="preserve"> (1), 77–91 (2020).</w:t>
      </w:r>
    </w:p>
    <w:p w14:paraId="78DC8947" w14:textId="77777777" w:rsidR="004D16D1" w:rsidRPr="004D16D1" w:rsidRDefault="004D16D1" w:rsidP="002772FC">
      <w:pPr>
        <w:pStyle w:val="ListParagraph"/>
        <w:numPr>
          <w:ilvl w:val="0"/>
          <w:numId w:val="40"/>
        </w:numPr>
        <w:autoSpaceDE w:val="0"/>
        <w:autoSpaceDN w:val="0"/>
        <w:adjustRightInd w:val="0"/>
        <w:ind w:left="0" w:firstLine="0"/>
        <w:rPr>
          <w:noProof/>
        </w:rPr>
      </w:pPr>
      <w:r w:rsidRPr="004D16D1">
        <w:rPr>
          <w:noProof/>
        </w:rPr>
        <w:t xml:space="preserve">Vacca, M. </w:t>
      </w:r>
      <w:r w:rsidRPr="004D16D1">
        <w:rPr>
          <w:iCs/>
          <w:noProof/>
        </w:rPr>
        <w:t>et al</w:t>
      </w:r>
      <w:r w:rsidRPr="004D16D1">
        <w:rPr>
          <w:i/>
          <w:iCs/>
          <w:noProof/>
        </w:rPr>
        <w:t>.</w:t>
      </w:r>
      <w:r w:rsidRPr="004D16D1">
        <w:rPr>
          <w:noProof/>
        </w:rPr>
        <w:t xml:space="preserve"> Bone morphogenetic protein 8B promotes the progression of non-alcoholic steatohepatitis. </w:t>
      </w:r>
      <w:r w:rsidRPr="004D16D1">
        <w:rPr>
          <w:i/>
          <w:iCs/>
          <w:noProof/>
        </w:rPr>
        <w:t>Nature Metabolism</w:t>
      </w:r>
      <w:r w:rsidRPr="004D16D1">
        <w:rPr>
          <w:noProof/>
        </w:rPr>
        <w:t>.</w:t>
      </w:r>
      <w:r w:rsidRPr="004D16D1">
        <w:rPr>
          <w:b/>
          <w:bCs/>
          <w:noProof/>
        </w:rPr>
        <w:t xml:space="preserve"> 2</w:t>
      </w:r>
      <w:r w:rsidRPr="004D16D1">
        <w:rPr>
          <w:noProof/>
        </w:rPr>
        <w:t xml:space="preserve"> (6), 514–531 (2020).</w:t>
      </w:r>
    </w:p>
    <w:p w14:paraId="3F8B65D9" w14:textId="77777777" w:rsidR="004D16D1" w:rsidRPr="004D16D1" w:rsidRDefault="004D16D1" w:rsidP="002772FC">
      <w:pPr>
        <w:pStyle w:val="ListParagraph"/>
        <w:numPr>
          <w:ilvl w:val="0"/>
          <w:numId w:val="40"/>
        </w:numPr>
        <w:autoSpaceDE w:val="0"/>
        <w:autoSpaceDN w:val="0"/>
        <w:adjustRightInd w:val="0"/>
        <w:ind w:left="0" w:firstLine="0"/>
        <w:rPr>
          <w:noProof/>
        </w:rPr>
      </w:pPr>
      <w:r w:rsidRPr="004D16D1">
        <w:rPr>
          <w:noProof/>
        </w:rPr>
        <w:t xml:space="preserve">Long, T. J. </w:t>
      </w:r>
      <w:r w:rsidRPr="004D16D1">
        <w:rPr>
          <w:iCs/>
          <w:noProof/>
        </w:rPr>
        <w:t>et al</w:t>
      </w:r>
      <w:r w:rsidRPr="004D16D1">
        <w:rPr>
          <w:i/>
          <w:iCs/>
          <w:noProof/>
        </w:rPr>
        <w:t>.</w:t>
      </w:r>
      <w:r w:rsidRPr="004D16D1">
        <w:rPr>
          <w:noProof/>
        </w:rPr>
        <w:t xml:space="preserve"> Modeling therapeutic antibody-small molecule drug-drug interactions using a three-dimensional perfusable human liver co-culture platforms. </w:t>
      </w:r>
      <w:r w:rsidRPr="004D16D1">
        <w:rPr>
          <w:i/>
          <w:iCs/>
          <w:noProof/>
        </w:rPr>
        <w:t>Drug Metabolism and Disposition</w:t>
      </w:r>
      <w:r w:rsidRPr="004D16D1">
        <w:rPr>
          <w:noProof/>
        </w:rPr>
        <w:t xml:space="preserve">. </w:t>
      </w:r>
      <w:r w:rsidRPr="004D16D1">
        <w:rPr>
          <w:b/>
          <w:bCs/>
          <w:noProof/>
        </w:rPr>
        <w:t>44</w:t>
      </w:r>
      <w:r w:rsidRPr="004D16D1">
        <w:rPr>
          <w:noProof/>
        </w:rPr>
        <w:t>, 1940–1948 (2016).</w:t>
      </w:r>
    </w:p>
    <w:p w14:paraId="61CF15D0" w14:textId="77777777" w:rsidR="004D16D1" w:rsidRPr="004D16D1" w:rsidRDefault="004D16D1" w:rsidP="002772FC">
      <w:pPr>
        <w:pStyle w:val="ListParagraph"/>
        <w:numPr>
          <w:ilvl w:val="0"/>
          <w:numId w:val="40"/>
        </w:numPr>
        <w:autoSpaceDE w:val="0"/>
        <w:autoSpaceDN w:val="0"/>
        <w:adjustRightInd w:val="0"/>
        <w:ind w:left="0" w:firstLine="0"/>
        <w:rPr>
          <w:noProof/>
        </w:rPr>
      </w:pPr>
      <w:r w:rsidRPr="004D16D1">
        <w:rPr>
          <w:noProof/>
        </w:rPr>
        <w:t xml:space="preserve">Bai, J., Wang, C. Organoids and microphysiological systems: New tools for ophthalmic drug discovery. </w:t>
      </w:r>
      <w:r w:rsidRPr="004D16D1">
        <w:rPr>
          <w:i/>
          <w:iCs/>
          <w:noProof/>
        </w:rPr>
        <w:t>Frontiers in Pharmacology.</w:t>
      </w:r>
      <w:r w:rsidRPr="004D16D1">
        <w:rPr>
          <w:noProof/>
        </w:rPr>
        <w:t xml:space="preserve"> </w:t>
      </w:r>
      <w:r w:rsidRPr="004D16D1">
        <w:rPr>
          <w:b/>
          <w:bCs/>
          <w:noProof/>
        </w:rPr>
        <w:t>11</w:t>
      </w:r>
      <w:r w:rsidRPr="004D16D1">
        <w:rPr>
          <w:noProof/>
        </w:rPr>
        <w:t>, 407 (2020).</w:t>
      </w:r>
    </w:p>
    <w:p w14:paraId="6084C08D" w14:textId="77777777" w:rsidR="004D16D1" w:rsidRPr="004D16D1" w:rsidRDefault="004D16D1" w:rsidP="002772FC">
      <w:pPr>
        <w:pStyle w:val="ListParagraph"/>
        <w:numPr>
          <w:ilvl w:val="0"/>
          <w:numId w:val="40"/>
        </w:numPr>
        <w:autoSpaceDE w:val="0"/>
        <w:autoSpaceDN w:val="0"/>
        <w:adjustRightInd w:val="0"/>
        <w:ind w:left="0" w:firstLine="0"/>
        <w:rPr>
          <w:noProof/>
        </w:rPr>
      </w:pPr>
      <w:r w:rsidRPr="004D16D1">
        <w:rPr>
          <w:noProof/>
        </w:rPr>
        <w:t xml:space="preserve">Ribeiro, A. J. S., Yang, X., Patel, V., Madabushi, R., Strauss, D. G. Liver microphysiological systems for predicting and evaluating drug effects. </w:t>
      </w:r>
      <w:r w:rsidRPr="004D16D1">
        <w:rPr>
          <w:i/>
          <w:iCs/>
          <w:noProof/>
        </w:rPr>
        <w:t xml:space="preserve">Clinical Pharmacology &amp; Therapeutics. </w:t>
      </w:r>
      <w:r w:rsidRPr="004D16D1">
        <w:rPr>
          <w:b/>
          <w:bCs/>
          <w:noProof/>
        </w:rPr>
        <w:t>106</w:t>
      </w:r>
      <w:r w:rsidRPr="004D16D1">
        <w:rPr>
          <w:noProof/>
        </w:rPr>
        <w:t xml:space="preserve"> (1), 139–147 (2019).</w:t>
      </w:r>
    </w:p>
    <w:p w14:paraId="5FDBC1F4" w14:textId="77777777" w:rsidR="004D16D1" w:rsidRPr="004D16D1" w:rsidRDefault="004D16D1" w:rsidP="002772FC">
      <w:pPr>
        <w:pStyle w:val="ListParagraph"/>
        <w:numPr>
          <w:ilvl w:val="0"/>
          <w:numId w:val="40"/>
        </w:numPr>
        <w:autoSpaceDE w:val="0"/>
        <w:autoSpaceDN w:val="0"/>
        <w:adjustRightInd w:val="0"/>
        <w:ind w:left="0" w:firstLine="0"/>
        <w:rPr>
          <w:noProof/>
        </w:rPr>
      </w:pPr>
      <w:r w:rsidRPr="004D16D1">
        <w:rPr>
          <w:noProof/>
        </w:rPr>
        <w:t xml:space="preserve">Clark, A. M. </w:t>
      </w:r>
      <w:r w:rsidRPr="004D16D1">
        <w:rPr>
          <w:iCs/>
          <w:noProof/>
        </w:rPr>
        <w:t>et al</w:t>
      </w:r>
      <w:r w:rsidRPr="004D16D1">
        <w:rPr>
          <w:i/>
          <w:iCs/>
          <w:noProof/>
        </w:rPr>
        <w:t>.</w:t>
      </w:r>
      <w:r w:rsidRPr="004D16D1">
        <w:rPr>
          <w:noProof/>
        </w:rPr>
        <w:t xml:space="preserve"> A microphysiological system model of therapy for liver micrometastases hhs public access. </w:t>
      </w:r>
      <w:r w:rsidRPr="004D16D1">
        <w:rPr>
          <w:i/>
          <w:iCs/>
          <w:noProof/>
        </w:rPr>
        <w:t>Experimental Biology and Medicine</w:t>
      </w:r>
      <w:r w:rsidRPr="004D16D1" w:rsidDel="006C7780">
        <w:rPr>
          <w:noProof/>
        </w:rPr>
        <w:t xml:space="preserve"> </w:t>
      </w:r>
      <w:r w:rsidRPr="004D16D1">
        <w:rPr>
          <w:i/>
          <w:iCs/>
          <w:noProof/>
        </w:rPr>
        <w:t>(Maywood)</w:t>
      </w:r>
      <w:r w:rsidRPr="004D16D1">
        <w:rPr>
          <w:noProof/>
        </w:rPr>
        <w:t xml:space="preserve">. </w:t>
      </w:r>
      <w:r w:rsidRPr="004D16D1">
        <w:rPr>
          <w:b/>
          <w:bCs/>
          <w:noProof/>
        </w:rPr>
        <w:t>239</w:t>
      </w:r>
      <w:r w:rsidRPr="004D16D1">
        <w:rPr>
          <w:noProof/>
        </w:rPr>
        <w:t xml:space="preserve"> (9), 1170–1179 (2014).</w:t>
      </w:r>
    </w:p>
    <w:p w14:paraId="0CAC9A97" w14:textId="77777777" w:rsidR="004D16D1" w:rsidRPr="004D16D1" w:rsidRDefault="004D16D1" w:rsidP="002772FC">
      <w:pPr>
        <w:pStyle w:val="ListParagraph"/>
        <w:numPr>
          <w:ilvl w:val="0"/>
          <w:numId w:val="40"/>
        </w:numPr>
        <w:autoSpaceDE w:val="0"/>
        <w:autoSpaceDN w:val="0"/>
        <w:adjustRightInd w:val="0"/>
        <w:ind w:left="0" w:firstLine="0"/>
        <w:rPr>
          <w:noProof/>
        </w:rPr>
      </w:pPr>
      <w:r w:rsidRPr="004D16D1">
        <w:rPr>
          <w:noProof/>
        </w:rPr>
        <w:t xml:space="preserve">Qosa, H., Ribeiro, A. J. S., Hartman, N. R., Volpe, D. A. Characterization of a commercially available line of iPSC hepatocytes as models of hepatocyte function and toxicity for regulatory purposes. </w:t>
      </w:r>
      <w:r w:rsidRPr="004D16D1">
        <w:rPr>
          <w:i/>
          <w:iCs/>
          <w:noProof/>
        </w:rPr>
        <w:t>Journal of Pharmacological and Toxicological Methods.</w:t>
      </w:r>
      <w:r w:rsidRPr="004D16D1">
        <w:rPr>
          <w:noProof/>
        </w:rPr>
        <w:t xml:space="preserve"> </w:t>
      </w:r>
      <w:r w:rsidRPr="004D16D1">
        <w:rPr>
          <w:b/>
          <w:bCs/>
          <w:noProof/>
        </w:rPr>
        <w:t>110</w:t>
      </w:r>
      <w:r w:rsidRPr="004D16D1">
        <w:rPr>
          <w:noProof/>
        </w:rPr>
        <w:t>, 107083 (2021).</w:t>
      </w:r>
    </w:p>
    <w:p w14:paraId="1540739E" w14:textId="447C45AC" w:rsidR="00BE57C9" w:rsidRPr="00BE57C9" w:rsidRDefault="003A75A0" w:rsidP="004D16D1">
      <w:pPr>
        <w:autoSpaceDE w:val="0"/>
        <w:autoSpaceDN w:val="0"/>
        <w:adjustRightInd w:val="0"/>
        <w:ind w:left="640" w:hanging="640"/>
        <w:rPr>
          <w:noProof/>
        </w:rPr>
      </w:pPr>
      <w:r w:rsidRPr="003A75A0">
        <w:rPr>
          <w:color w:val="808080" w:themeColor="background1" w:themeShade="80"/>
        </w:rPr>
        <w:fldChar w:fldCharType="begin" w:fldLock="1"/>
      </w:r>
      <w:r w:rsidRPr="003A75A0">
        <w:rPr>
          <w:color w:val="808080" w:themeColor="background1" w:themeShade="80"/>
        </w:rPr>
        <w:instrText xml:space="preserve">ADDIN Mendeley Bibliography CSL_BIBLIOGRAPHY </w:instrText>
      </w:r>
      <w:r w:rsidRPr="003A75A0">
        <w:rPr>
          <w:color w:val="808080" w:themeColor="background1" w:themeShade="80"/>
        </w:rPr>
        <w:fldChar w:fldCharType="separate"/>
      </w:r>
    </w:p>
    <w:p w14:paraId="2D9C7481" w14:textId="18A8BC3B" w:rsidR="006E4797" w:rsidRDefault="003A75A0" w:rsidP="005F6569">
      <w:pPr>
        <w:jc w:val="left"/>
        <w:rPr>
          <w:color w:val="808080"/>
        </w:rPr>
      </w:pPr>
      <w:r w:rsidRPr="003A75A0">
        <w:rPr>
          <w:color w:val="808080" w:themeColor="background1" w:themeShade="80"/>
        </w:rPr>
        <w:fldChar w:fldCharType="end"/>
      </w:r>
    </w:p>
    <w:p w14:paraId="662E4E81" w14:textId="03273B5E" w:rsidR="006E4797" w:rsidRDefault="006E4797">
      <w:pPr>
        <w:rPr>
          <w:b/>
          <w:color w:val="808080"/>
        </w:rPr>
      </w:pPr>
    </w:p>
    <w:p w14:paraId="131D3BC6" w14:textId="638ADE5E" w:rsidR="00BE22A2" w:rsidRDefault="00BE22A2">
      <w:pPr>
        <w:rPr>
          <w:b/>
          <w:color w:val="808080"/>
        </w:rPr>
      </w:pPr>
    </w:p>
    <w:p w14:paraId="336F8E64" w14:textId="77777777" w:rsidR="003B3B2D" w:rsidRDefault="003B3B2D" w:rsidP="003B3B2D">
      <w:pPr>
        <w:rPr>
          <w:b/>
          <w:color w:val="808080"/>
        </w:rPr>
      </w:pPr>
    </w:p>
    <w:p w14:paraId="4091E7B3" w14:textId="77777777" w:rsidR="006E4797" w:rsidRDefault="006E4797" w:rsidP="005F6569">
      <w:pPr>
        <w:jc w:val="center"/>
        <w:rPr>
          <w:color w:val="7F7F7F"/>
        </w:rPr>
      </w:pPr>
    </w:p>
    <w:sectPr w:rsidR="006E4797" w:rsidSect="001C7AC8">
      <w:headerReference w:type="even" r:id="rId14"/>
      <w:headerReference w:type="default" r:id="rId15"/>
      <w:footerReference w:type="even" r:id="rId16"/>
      <w:headerReference w:type="first" r:id="rId17"/>
      <w:pgSz w:w="12240" w:h="15840"/>
      <w:pgMar w:top="1440" w:right="1440" w:bottom="1440" w:left="1440" w:header="720" w:footer="607"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A9E84" w14:textId="77777777" w:rsidR="001E3D5A" w:rsidRDefault="001E3D5A">
      <w:r>
        <w:separator/>
      </w:r>
    </w:p>
  </w:endnote>
  <w:endnote w:type="continuationSeparator" w:id="0">
    <w:p w14:paraId="434745E3" w14:textId="77777777" w:rsidR="001E3D5A" w:rsidRDefault="001E3D5A">
      <w:r>
        <w:continuationSeparator/>
      </w:r>
    </w:p>
  </w:endnote>
  <w:endnote w:type="continuationNotice" w:id="1">
    <w:p w14:paraId="5DBCA0B4" w14:textId="77777777" w:rsidR="001E3D5A" w:rsidRDefault="001E3D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ff2">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E4BB5" w14:textId="77777777" w:rsidR="001E3D5A" w:rsidRDefault="001E3D5A">
      <w:r>
        <w:separator/>
      </w:r>
    </w:p>
  </w:footnote>
  <w:footnote w:type="continuationSeparator" w:id="0">
    <w:p w14:paraId="3CDE55AE" w14:textId="77777777" w:rsidR="001E3D5A" w:rsidRDefault="001E3D5A">
      <w:r>
        <w:continuationSeparator/>
      </w:r>
    </w:p>
  </w:footnote>
  <w:footnote w:type="continuationNotice" w:id="1">
    <w:p w14:paraId="19F4B76C" w14:textId="77777777" w:rsidR="001E3D5A" w:rsidRDefault="001E3D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bookmarkStart w:id="11" w:name="_26in1rg" w:colFirst="0" w:colLast="0"/>
    <w:bookmarkEnd w:id="11"/>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389DF20B" w:rsidR="006E4797" w:rsidRDefault="006E4797">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B0805"/>
    <w:multiLevelType w:val="multilevel"/>
    <w:tmpl w:val="13A4E9C6"/>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0A96610"/>
    <w:multiLevelType w:val="hybridMultilevel"/>
    <w:tmpl w:val="8292AB42"/>
    <w:lvl w:ilvl="0" w:tplc="042B000F">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2" w15:restartNumberingAfterBreak="0">
    <w:nsid w:val="129E7658"/>
    <w:multiLevelType w:val="multilevel"/>
    <w:tmpl w:val="13A4E9C6"/>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AA90473"/>
    <w:multiLevelType w:val="hybridMultilevel"/>
    <w:tmpl w:val="7F9E6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994FDF"/>
    <w:multiLevelType w:val="multilevel"/>
    <w:tmpl w:val="A9DE18C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37B4EFE"/>
    <w:multiLevelType w:val="multilevel"/>
    <w:tmpl w:val="13A4E9C6"/>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3EA0E6D"/>
    <w:multiLevelType w:val="multilevel"/>
    <w:tmpl w:val="6088A6B8"/>
    <w:lvl w:ilvl="0">
      <w:start w:val="1"/>
      <w:numFmt w:val="decimal"/>
      <w:lvlText w:val="%1."/>
      <w:lvlJc w:val="left"/>
      <w:pPr>
        <w:ind w:left="540" w:hanging="540"/>
      </w:pPr>
      <w:rPr>
        <w:rFonts w:hint="default"/>
      </w:rPr>
    </w:lvl>
    <w:lvl w:ilvl="1">
      <w:start w:val="4"/>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8"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29054FFF"/>
    <w:multiLevelType w:val="multilevel"/>
    <w:tmpl w:val="688AD94A"/>
    <w:lvl w:ilvl="0">
      <w:start w:val="6"/>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10" w15:restartNumberingAfterBreak="0">
    <w:nsid w:val="2C9040AB"/>
    <w:multiLevelType w:val="multilevel"/>
    <w:tmpl w:val="41B65994"/>
    <w:lvl w:ilvl="0">
      <w:start w:val="5"/>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11"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0A85B88"/>
    <w:multiLevelType w:val="hybridMultilevel"/>
    <w:tmpl w:val="6D1647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5" w15:restartNumberingAfterBreak="0">
    <w:nsid w:val="35BD62D4"/>
    <w:multiLevelType w:val="hybridMultilevel"/>
    <w:tmpl w:val="9B7080A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0636EB"/>
    <w:multiLevelType w:val="hybridMultilevel"/>
    <w:tmpl w:val="42AAE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F3E6E2D"/>
    <w:multiLevelType w:val="hybridMultilevel"/>
    <w:tmpl w:val="F78C67E8"/>
    <w:lvl w:ilvl="0" w:tplc="6110F956">
      <w:start w:val="1"/>
      <w:numFmt w:val="decimal"/>
      <w:lvlText w:val="%1."/>
      <w:lvlJc w:val="left"/>
      <w:pPr>
        <w:ind w:left="1353" w:hanging="360"/>
      </w:pPr>
      <w:rPr>
        <w:rFonts w:hint="default"/>
      </w:rPr>
    </w:lvl>
    <w:lvl w:ilvl="1" w:tplc="08090019">
      <w:start w:val="1"/>
      <w:numFmt w:val="lowerLetter"/>
      <w:lvlText w:val="%2."/>
      <w:lvlJc w:val="left"/>
      <w:pPr>
        <w:ind w:left="2073" w:hanging="360"/>
      </w:pPr>
    </w:lvl>
    <w:lvl w:ilvl="2" w:tplc="0809001B">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9"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5E062AB"/>
    <w:multiLevelType w:val="hybridMultilevel"/>
    <w:tmpl w:val="35CC5D78"/>
    <w:lvl w:ilvl="0" w:tplc="B69403C2">
      <w:start w:val="3"/>
      <w:numFmt w:val="decimal"/>
      <w:lvlText w:val="%1."/>
      <w:lvlJc w:val="left"/>
      <w:pPr>
        <w:ind w:left="1353" w:hanging="360"/>
      </w:pPr>
      <w:rPr>
        <w:rFonts w:hint="default"/>
      </w:rPr>
    </w:lvl>
    <w:lvl w:ilvl="1" w:tplc="D158C5CA">
      <w:start w:val="1"/>
      <w:numFmt w:val="decimal"/>
      <w:lvlText w:val="%2."/>
      <w:lvlJc w:val="left"/>
      <w:pPr>
        <w:ind w:left="1440" w:hanging="360"/>
      </w:pPr>
      <w:rPr>
        <w:rFonts w:ascii="Calibri" w:eastAsia="Calibri" w:hAnsi="Calibri" w:cs="Calibri"/>
      </w:rPr>
    </w:lvl>
    <w:lvl w:ilvl="2" w:tplc="4AAE6152">
      <w:start w:val="1"/>
      <w:numFmt w:val="decimal"/>
      <w:lvlText w:val="%3."/>
      <w:lvlJc w:val="right"/>
      <w:pPr>
        <w:ind w:left="2160" w:hanging="180"/>
      </w:pPr>
      <w:rPr>
        <w:rFonts w:ascii="Calibri" w:eastAsia="Calibri" w:hAnsi="Calibri" w:cs="Calibri"/>
      </w:rPr>
    </w:lvl>
    <w:lvl w:ilvl="3" w:tplc="5014852E">
      <w:start w:val="1"/>
      <w:numFmt w:val="lowerLetter"/>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E974325"/>
    <w:multiLevelType w:val="multilevel"/>
    <w:tmpl w:val="2C64648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F2470E5"/>
    <w:multiLevelType w:val="hybridMultilevel"/>
    <w:tmpl w:val="312A6D90"/>
    <w:lvl w:ilvl="0" w:tplc="5FA49D2C">
      <w:start w:val="2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1449EE"/>
    <w:multiLevelType w:val="hybridMultilevel"/>
    <w:tmpl w:val="207CC138"/>
    <w:lvl w:ilvl="0" w:tplc="B8EE1C5A">
      <w:start w:val="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9534BE"/>
    <w:multiLevelType w:val="hybridMultilevel"/>
    <w:tmpl w:val="17F6C21A"/>
    <w:lvl w:ilvl="0" w:tplc="0E844C92">
      <w:start w:val="1"/>
      <w:numFmt w:val="lowerLetter"/>
      <w:lvlText w:val="%1)"/>
      <w:lvlJc w:val="left"/>
      <w:pPr>
        <w:ind w:left="1353" w:hanging="360"/>
      </w:pPr>
      <w:rPr>
        <w:rFonts w:ascii="Calibri" w:eastAsia="Calibri" w:hAnsi="Calibri" w:cs="Calibri"/>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8" w15:restartNumberingAfterBreak="0">
    <w:nsid w:val="516A2159"/>
    <w:multiLevelType w:val="multilevel"/>
    <w:tmpl w:val="F8CEB6C4"/>
    <w:lvl w:ilvl="0">
      <w:start w:val="7"/>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29" w15:restartNumberingAfterBreak="0">
    <w:nsid w:val="52F0024E"/>
    <w:multiLevelType w:val="hybridMultilevel"/>
    <w:tmpl w:val="0DA25CDA"/>
    <w:lvl w:ilvl="0" w:tplc="8D64D8CC">
      <w:start w:val="2"/>
      <w:numFmt w:val="decimal"/>
      <w:lvlText w:val="%1."/>
      <w:lvlJc w:val="left"/>
      <w:pPr>
        <w:ind w:left="1353" w:hanging="360"/>
      </w:pPr>
      <w:rPr>
        <w:rFonts w:hint="default"/>
      </w:rPr>
    </w:lvl>
    <w:lvl w:ilvl="1" w:tplc="7ECCD2C2">
      <w:start w:val="1"/>
      <w:numFmt w:val="decimal"/>
      <w:lvlText w:val="%2."/>
      <w:lvlJc w:val="left"/>
      <w:pPr>
        <w:ind w:left="1440" w:hanging="360"/>
      </w:pPr>
      <w:rPr>
        <w:rFonts w:ascii="Calibri" w:eastAsia="Calibri" w:hAnsi="Calibri" w:cs="Calibri"/>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6BB1DB5"/>
    <w:multiLevelType w:val="hybridMultilevel"/>
    <w:tmpl w:val="ACE68708"/>
    <w:lvl w:ilvl="0" w:tplc="D158C5CA">
      <w:start w:val="1"/>
      <w:numFmt w:val="decimal"/>
      <w:lvlText w:val="%1."/>
      <w:lvlJc w:val="left"/>
      <w:pPr>
        <w:ind w:left="1440" w:hanging="360"/>
      </w:pPr>
      <w:rPr>
        <w:rFonts w:ascii="Calibri" w:eastAsia="Calibri" w:hAnsi="Calibri"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88812C5"/>
    <w:multiLevelType w:val="hybridMultilevel"/>
    <w:tmpl w:val="1A26A4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AA657A1"/>
    <w:multiLevelType w:val="hybridMultilevel"/>
    <w:tmpl w:val="EB8E6B74"/>
    <w:lvl w:ilvl="0" w:tplc="D158C5CA">
      <w:start w:val="1"/>
      <w:numFmt w:val="decimal"/>
      <w:lvlText w:val="%1."/>
      <w:lvlJc w:val="left"/>
      <w:pPr>
        <w:ind w:left="1440" w:hanging="360"/>
      </w:pPr>
      <w:rPr>
        <w:rFonts w:ascii="Calibri" w:eastAsia="Calibri" w:hAnsi="Calibri"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B5E00C5"/>
    <w:multiLevelType w:val="hybridMultilevel"/>
    <w:tmpl w:val="D76844E8"/>
    <w:lvl w:ilvl="0" w:tplc="E422798E">
      <w:start w:val="2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5D3F7BCA"/>
    <w:multiLevelType w:val="multilevel"/>
    <w:tmpl w:val="13A4E9C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FE4436D"/>
    <w:multiLevelType w:val="hybridMultilevel"/>
    <w:tmpl w:val="ADC27F7E"/>
    <w:lvl w:ilvl="0" w:tplc="5B706BB0">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8" w15:restartNumberingAfterBreak="0">
    <w:nsid w:val="708573BE"/>
    <w:multiLevelType w:val="multilevel"/>
    <w:tmpl w:val="3A4E27B6"/>
    <w:lvl w:ilvl="0">
      <w:start w:val="4"/>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39" w15:restartNumberingAfterBreak="0">
    <w:nsid w:val="71162AEC"/>
    <w:multiLevelType w:val="multilevel"/>
    <w:tmpl w:val="A65827B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3"/>
  </w:num>
  <w:num w:numId="2">
    <w:abstractNumId w:val="20"/>
  </w:num>
  <w:num w:numId="3">
    <w:abstractNumId w:val="36"/>
  </w:num>
  <w:num w:numId="4">
    <w:abstractNumId w:val="7"/>
  </w:num>
  <w:num w:numId="5">
    <w:abstractNumId w:val="24"/>
  </w:num>
  <w:num w:numId="6">
    <w:abstractNumId w:val="35"/>
  </w:num>
  <w:num w:numId="7">
    <w:abstractNumId w:val="14"/>
  </w:num>
  <w:num w:numId="8">
    <w:abstractNumId w:val="19"/>
  </w:num>
  <w:num w:numId="9">
    <w:abstractNumId w:val="8"/>
  </w:num>
  <w:num w:numId="10">
    <w:abstractNumId w:val="17"/>
  </w:num>
  <w:num w:numId="11">
    <w:abstractNumId w:val="22"/>
  </w:num>
  <w:num w:numId="12">
    <w:abstractNumId w:val="11"/>
  </w:num>
  <w:num w:numId="13">
    <w:abstractNumId w:val="2"/>
  </w:num>
  <w:num w:numId="14">
    <w:abstractNumId w:val="34"/>
  </w:num>
  <w:num w:numId="15">
    <w:abstractNumId w:val="25"/>
  </w:num>
  <w:num w:numId="16">
    <w:abstractNumId w:val="33"/>
  </w:num>
  <w:num w:numId="17">
    <w:abstractNumId w:val="3"/>
  </w:num>
  <w:num w:numId="18">
    <w:abstractNumId w:val="31"/>
  </w:num>
  <w:num w:numId="19">
    <w:abstractNumId w:val="6"/>
  </w:num>
  <w:num w:numId="20">
    <w:abstractNumId w:val="27"/>
  </w:num>
  <w:num w:numId="21">
    <w:abstractNumId w:val="0"/>
  </w:num>
  <w:num w:numId="22">
    <w:abstractNumId w:val="5"/>
  </w:num>
  <w:num w:numId="23">
    <w:abstractNumId w:val="15"/>
  </w:num>
  <w:num w:numId="24">
    <w:abstractNumId w:val="18"/>
  </w:num>
  <w:num w:numId="25">
    <w:abstractNumId w:val="29"/>
  </w:num>
  <w:num w:numId="26">
    <w:abstractNumId w:val="21"/>
  </w:num>
  <w:num w:numId="27">
    <w:abstractNumId w:val="16"/>
  </w:num>
  <w:num w:numId="28">
    <w:abstractNumId w:val="26"/>
  </w:num>
  <w:num w:numId="29">
    <w:abstractNumId w:val="37"/>
  </w:num>
  <w:num w:numId="30">
    <w:abstractNumId w:val="12"/>
  </w:num>
  <w:num w:numId="31">
    <w:abstractNumId w:val="32"/>
  </w:num>
  <w:num w:numId="32">
    <w:abstractNumId w:val="30"/>
  </w:num>
  <w:num w:numId="33">
    <w:abstractNumId w:val="4"/>
  </w:num>
  <w:num w:numId="34">
    <w:abstractNumId w:val="23"/>
  </w:num>
  <w:num w:numId="35">
    <w:abstractNumId w:val="39"/>
  </w:num>
  <w:num w:numId="36">
    <w:abstractNumId w:val="38"/>
  </w:num>
  <w:num w:numId="37">
    <w:abstractNumId w:val="10"/>
  </w:num>
  <w:num w:numId="38">
    <w:abstractNumId w:val="9"/>
  </w:num>
  <w:num w:numId="39">
    <w:abstractNumId w:val="28"/>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trackRevisions/>
  <w:defaultTabStop w:val="720"/>
  <w:hyphenationZone w:val="14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1NTUztTQwtDS3NDRS0lEKTi0uzszPAymwqAUAmidSOywAAAA="/>
  </w:docVars>
  <w:rsids>
    <w:rsidRoot w:val="006E4797"/>
    <w:rsid w:val="000000B7"/>
    <w:rsid w:val="000001C6"/>
    <w:rsid w:val="00000434"/>
    <w:rsid w:val="00002719"/>
    <w:rsid w:val="0000389B"/>
    <w:rsid w:val="00003B33"/>
    <w:rsid w:val="00004C71"/>
    <w:rsid w:val="00006E7F"/>
    <w:rsid w:val="0000758D"/>
    <w:rsid w:val="000078A8"/>
    <w:rsid w:val="0001073F"/>
    <w:rsid w:val="00014445"/>
    <w:rsid w:val="00014576"/>
    <w:rsid w:val="00015419"/>
    <w:rsid w:val="00015B2B"/>
    <w:rsid w:val="000165F9"/>
    <w:rsid w:val="00017050"/>
    <w:rsid w:val="00020715"/>
    <w:rsid w:val="00020BE5"/>
    <w:rsid w:val="00021E51"/>
    <w:rsid w:val="000229C8"/>
    <w:rsid w:val="00022AD8"/>
    <w:rsid w:val="00023953"/>
    <w:rsid w:val="000241E7"/>
    <w:rsid w:val="0002443A"/>
    <w:rsid w:val="00024475"/>
    <w:rsid w:val="00024775"/>
    <w:rsid w:val="00024E41"/>
    <w:rsid w:val="000256DC"/>
    <w:rsid w:val="00025772"/>
    <w:rsid w:val="00025F2D"/>
    <w:rsid w:val="00026264"/>
    <w:rsid w:val="0002704D"/>
    <w:rsid w:val="00027C9C"/>
    <w:rsid w:val="00027EAB"/>
    <w:rsid w:val="00030034"/>
    <w:rsid w:val="00031AB9"/>
    <w:rsid w:val="00031CAF"/>
    <w:rsid w:val="00031EA4"/>
    <w:rsid w:val="00031EE7"/>
    <w:rsid w:val="00031F5F"/>
    <w:rsid w:val="00033839"/>
    <w:rsid w:val="000364A7"/>
    <w:rsid w:val="000364E3"/>
    <w:rsid w:val="0003743C"/>
    <w:rsid w:val="00037550"/>
    <w:rsid w:val="00037587"/>
    <w:rsid w:val="00040C90"/>
    <w:rsid w:val="00041FD7"/>
    <w:rsid w:val="0004377D"/>
    <w:rsid w:val="00043F6E"/>
    <w:rsid w:val="000446BD"/>
    <w:rsid w:val="00045000"/>
    <w:rsid w:val="0004505E"/>
    <w:rsid w:val="00045114"/>
    <w:rsid w:val="00045B5E"/>
    <w:rsid w:val="00046395"/>
    <w:rsid w:val="00046B2F"/>
    <w:rsid w:val="00046C6C"/>
    <w:rsid w:val="00047D3B"/>
    <w:rsid w:val="00051CC2"/>
    <w:rsid w:val="00052041"/>
    <w:rsid w:val="000521D9"/>
    <w:rsid w:val="00052B87"/>
    <w:rsid w:val="00052CBC"/>
    <w:rsid w:val="00052E60"/>
    <w:rsid w:val="0005370D"/>
    <w:rsid w:val="00054197"/>
    <w:rsid w:val="00054274"/>
    <w:rsid w:val="000545A6"/>
    <w:rsid w:val="000545F3"/>
    <w:rsid w:val="00054AFB"/>
    <w:rsid w:val="00056C56"/>
    <w:rsid w:val="0005752D"/>
    <w:rsid w:val="00057A9F"/>
    <w:rsid w:val="000610E3"/>
    <w:rsid w:val="0006146A"/>
    <w:rsid w:val="00061DF7"/>
    <w:rsid w:val="000623D9"/>
    <w:rsid w:val="00062803"/>
    <w:rsid w:val="0006403E"/>
    <w:rsid w:val="00064908"/>
    <w:rsid w:val="00064A77"/>
    <w:rsid w:val="000657F3"/>
    <w:rsid w:val="00065E67"/>
    <w:rsid w:val="00066584"/>
    <w:rsid w:val="00066D72"/>
    <w:rsid w:val="000671DB"/>
    <w:rsid w:val="0006744B"/>
    <w:rsid w:val="000705D3"/>
    <w:rsid w:val="00070A4A"/>
    <w:rsid w:val="00070FAE"/>
    <w:rsid w:val="00071A89"/>
    <w:rsid w:val="00071B6F"/>
    <w:rsid w:val="00071F61"/>
    <w:rsid w:val="00072336"/>
    <w:rsid w:val="000729F9"/>
    <w:rsid w:val="00072F4B"/>
    <w:rsid w:val="00072FD6"/>
    <w:rsid w:val="00074592"/>
    <w:rsid w:val="00075560"/>
    <w:rsid w:val="000759C6"/>
    <w:rsid w:val="000762D3"/>
    <w:rsid w:val="000765D9"/>
    <w:rsid w:val="00080B29"/>
    <w:rsid w:val="000811C9"/>
    <w:rsid w:val="0008179A"/>
    <w:rsid w:val="00081C25"/>
    <w:rsid w:val="0008213C"/>
    <w:rsid w:val="000822B8"/>
    <w:rsid w:val="00082325"/>
    <w:rsid w:val="0008300A"/>
    <w:rsid w:val="00083528"/>
    <w:rsid w:val="0008366F"/>
    <w:rsid w:val="000844C3"/>
    <w:rsid w:val="00085ABF"/>
    <w:rsid w:val="00085D8C"/>
    <w:rsid w:val="0008720F"/>
    <w:rsid w:val="000874BF"/>
    <w:rsid w:val="00087D27"/>
    <w:rsid w:val="0009133A"/>
    <w:rsid w:val="00092ED1"/>
    <w:rsid w:val="000945B9"/>
    <w:rsid w:val="000951EA"/>
    <w:rsid w:val="000953BA"/>
    <w:rsid w:val="00095911"/>
    <w:rsid w:val="00095968"/>
    <w:rsid w:val="00095E0F"/>
    <w:rsid w:val="000962E5"/>
    <w:rsid w:val="0009704C"/>
    <w:rsid w:val="0009741F"/>
    <w:rsid w:val="00097495"/>
    <w:rsid w:val="000974FA"/>
    <w:rsid w:val="000977C1"/>
    <w:rsid w:val="000A0318"/>
    <w:rsid w:val="000A143B"/>
    <w:rsid w:val="000A1E8F"/>
    <w:rsid w:val="000A2066"/>
    <w:rsid w:val="000A2548"/>
    <w:rsid w:val="000A271A"/>
    <w:rsid w:val="000A2961"/>
    <w:rsid w:val="000A2FDB"/>
    <w:rsid w:val="000A3BE1"/>
    <w:rsid w:val="000A494D"/>
    <w:rsid w:val="000A4FCB"/>
    <w:rsid w:val="000A63DB"/>
    <w:rsid w:val="000A647F"/>
    <w:rsid w:val="000B03DE"/>
    <w:rsid w:val="000B0E41"/>
    <w:rsid w:val="000B1852"/>
    <w:rsid w:val="000B3537"/>
    <w:rsid w:val="000B4D16"/>
    <w:rsid w:val="000B5993"/>
    <w:rsid w:val="000B65FC"/>
    <w:rsid w:val="000B7134"/>
    <w:rsid w:val="000B7933"/>
    <w:rsid w:val="000B7C8C"/>
    <w:rsid w:val="000B7F7B"/>
    <w:rsid w:val="000C026A"/>
    <w:rsid w:val="000C085F"/>
    <w:rsid w:val="000C0DAE"/>
    <w:rsid w:val="000C1379"/>
    <w:rsid w:val="000C153B"/>
    <w:rsid w:val="000C24AE"/>
    <w:rsid w:val="000C2776"/>
    <w:rsid w:val="000C2F19"/>
    <w:rsid w:val="000C344B"/>
    <w:rsid w:val="000C70FD"/>
    <w:rsid w:val="000C7A67"/>
    <w:rsid w:val="000C7D58"/>
    <w:rsid w:val="000D013A"/>
    <w:rsid w:val="000D0DAB"/>
    <w:rsid w:val="000D1201"/>
    <w:rsid w:val="000D32E2"/>
    <w:rsid w:val="000D33B8"/>
    <w:rsid w:val="000D437B"/>
    <w:rsid w:val="000D4DB8"/>
    <w:rsid w:val="000D4F80"/>
    <w:rsid w:val="000D506C"/>
    <w:rsid w:val="000D52F3"/>
    <w:rsid w:val="000D5C87"/>
    <w:rsid w:val="000D5F30"/>
    <w:rsid w:val="000D612B"/>
    <w:rsid w:val="000D62DB"/>
    <w:rsid w:val="000D6654"/>
    <w:rsid w:val="000D74BA"/>
    <w:rsid w:val="000D752A"/>
    <w:rsid w:val="000E017E"/>
    <w:rsid w:val="000E1BF0"/>
    <w:rsid w:val="000E2479"/>
    <w:rsid w:val="000E2EED"/>
    <w:rsid w:val="000E4791"/>
    <w:rsid w:val="000E4C0A"/>
    <w:rsid w:val="000E568E"/>
    <w:rsid w:val="000E602C"/>
    <w:rsid w:val="000E6297"/>
    <w:rsid w:val="000E78F2"/>
    <w:rsid w:val="000E7915"/>
    <w:rsid w:val="000F0DBB"/>
    <w:rsid w:val="000F1D3D"/>
    <w:rsid w:val="000F1FF1"/>
    <w:rsid w:val="000F2516"/>
    <w:rsid w:val="000F2D05"/>
    <w:rsid w:val="000F3071"/>
    <w:rsid w:val="000F3457"/>
    <w:rsid w:val="000F4AFB"/>
    <w:rsid w:val="000F4B10"/>
    <w:rsid w:val="000F544E"/>
    <w:rsid w:val="000F5665"/>
    <w:rsid w:val="000F57FD"/>
    <w:rsid w:val="000F65CE"/>
    <w:rsid w:val="000F699D"/>
    <w:rsid w:val="000F76CB"/>
    <w:rsid w:val="000F7745"/>
    <w:rsid w:val="00101909"/>
    <w:rsid w:val="00102E80"/>
    <w:rsid w:val="00103432"/>
    <w:rsid w:val="00103B26"/>
    <w:rsid w:val="001044EB"/>
    <w:rsid w:val="001045C2"/>
    <w:rsid w:val="00104C9E"/>
    <w:rsid w:val="00104F6B"/>
    <w:rsid w:val="00105415"/>
    <w:rsid w:val="00105631"/>
    <w:rsid w:val="00105BE6"/>
    <w:rsid w:val="00106CF0"/>
    <w:rsid w:val="00107F57"/>
    <w:rsid w:val="001103CF"/>
    <w:rsid w:val="00111D4D"/>
    <w:rsid w:val="0011212E"/>
    <w:rsid w:val="00112BD8"/>
    <w:rsid w:val="00112DC7"/>
    <w:rsid w:val="00112F2C"/>
    <w:rsid w:val="00113817"/>
    <w:rsid w:val="0011426C"/>
    <w:rsid w:val="001148B5"/>
    <w:rsid w:val="00115466"/>
    <w:rsid w:val="00115D3B"/>
    <w:rsid w:val="001165E3"/>
    <w:rsid w:val="00117736"/>
    <w:rsid w:val="001228CD"/>
    <w:rsid w:val="00122BA3"/>
    <w:rsid w:val="00123810"/>
    <w:rsid w:val="00123F56"/>
    <w:rsid w:val="001241D9"/>
    <w:rsid w:val="00124CE4"/>
    <w:rsid w:val="00125225"/>
    <w:rsid w:val="0012539E"/>
    <w:rsid w:val="001260AF"/>
    <w:rsid w:val="00127305"/>
    <w:rsid w:val="001275A1"/>
    <w:rsid w:val="00127AC4"/>
    <w:rsid w:val="00130D63"/>
    <w:rsid w:val="00131930"/>
    <w:rsid w:val="00132262"/>
    <w:rsid w:val="001327EA"/>
    <w:rsid w:val="001329EE"/>
    <w:rsid w:val="00133339"/>
    <w:rsid w:val="00133578"/>
    <w:rsid w:val="00134002"/>
    <w:rsid w:val="00134342"/>
    <w:rsid w:val="001345DE"/>
    <w:rsid w:val="00134A7A"/>
    <w:rsid w:val="00134B57"/>
    <w:rsid w:val="00135151"/>
    <w:rsid w:val="00137784"/>
    <w:rsid w:val="00140474"/>
    <w:rsid w:val="00140FC9"/>
    <w:rsid w:val="00141E3F"/>
    <w:rsid w:val="00141FA3"/>
    <w:rsid w:val="0014203F"/>
    <w:rsid w:val="00142A1C"/>
    <w:rsid w:val="00142DF3"/>
    <w:rsid w:val="00146385"/>
    <w:rsid w:val="001470D1"/>
    <w:rsid w:val="001473BD"/>
    <w:rsid w:val="00147483"/>
    <w:rsid w:val="0015032C"/>
    <w:rsid w:val="00150D1A"/>
    <w:rsid w:val="00151F80"/>
    <w:rsid w:val="00152566"/>
    <w:rsid w:val="0015398E"/>
    <w:rsid w:val="00153E42"/>
    <w:rsid w:val="0015489E"/>
    <w:rsid w:val="0015533D"/>
    <w:rsid w:val="001562C7"/>
    <w:rsid w:val="00156474"/>
    <w:rsid w:val="00156C32"/>
    <w:rsid w:val="00156E8B"/>
    <w:rsid w:val="00157184"/>
    <w:rsid w:val="001572E4"/>
    <w:rsid w:val="00157E24"/>
    <w:rsid w:val="001606BF"/>
    <w:rsid w:val="0016168C"/>
    <w:rsid w:val="00161726"/>
    <w:rsid w:val="00161A19"/>
    <w:rsid w:val="00162D24"/>
    <w:rsid w:val="0016333C"/>
    <w:rsid w:val="001636D9"/>
    <w:rsid w:val="00163BED"/>
    <w:rsid w:val="00165AF3"/>
    <w:rsid w:val="001668E5"/>
    <w:rsid w:val="00170466"/>
    <w:rsid w:val="001705CF"/>
    <w:rsid w:val="00170728"/>
    <w:rsid w:val="00171EE5"/>
    <w:rsid w:val="00171FBD"/>
    <w:rsid w:val="001724AE"/>
    <w:rsid w:val="0017449C"/>
    <w:rsid w:val="0017508E"/>
    <w:rsid w:val="00176F7E"/>
    <w:rsid w:val="00180B95"/>
    <w:rsid w:val="00181E60"/>
    <w:rsid w:val="00181FD3"/>
    <w:rsid w:val="001823EC"/>
    <w:rsid w:val="001827B3"/>
    <w:rsid w:val="00182F45"/>
    <w:rsid w:val="00183884"/>
    <w:rsid w:val="00185313"/>
    <w:rsid w:val="00185A1B"/>
    <w:rsid w:val="00185DC2"/>
    <w:rsid w:val="001877AA"/>
    <w:rsid w:val="00187E08"/>
    <w:rsid w:val="00190C1B"/>
    <w:rsid w:val="00191782"/>
    <w:rsid w:val="00191A34"/>
    <w:rsid w:val="00191F4F"/>
    <w:rsid w:val="00192B6A"/>
    <w:rsid w:val="001932A2"/>
    <w:rsid w:val="00193F6B"/>
    <w:rsid w:val="001945A5"/>
    <w:rsid w:val="001954A0"/>
    <w:rsid w:val="001961A1"/>
    <w:rsid w:val="00196256"/>
    <w:rsid w:val="0019718F"/>
    <w:rsid w:val="00197564"/>
    <w:rsid w:val="00197C06"/>
    <w:rsid w:val="001A0A79"/>
    <w:rsid w:val="001A0ACB"/>
    <w:rsid w:val="001A0B5D"/>
    <w:rsid w:val="001A1807"/>
    <w:rsid w:val="001A22C3"/>
    <w:rsid w:val="001A357E"/>
    <w:rsid w:val="001A3EF4"/>
    <w:rsid w:val="001A413F"/>
    <w:rsid w:val="001A573A"/>
    <w:rsid w:val="001A6E6D"/>
    <w:rsid w:val="001A77E4"/>
    <w:rsid w:val="001A785D"/>
    <w:rsid w:val="001A7B95"/>
    <w:rsid w:val="001B126B"/>
    <w:rsid w:val="001B1656"/>
    <w:rsid w:val="001B166B"/>
    <w:rsid w:val="001B26C1"/>
    <w:rsid w:val="001B3881"/>
    <w:rsid w:val="001B3D82"/>
    <w:rsid w:val="001B40C7"/>
    <w:rsid w:val="001B43BD"/>
    <w:rsid w:val="001B45A1"/>
    <w:rsid w:val="001B549D"/>
    <w:rsid w:val="001B5BBC"/>
    <w:rsid w:val="001B7869"/>
    <w:rsid w:val="001C011E"/>
    <w:rsid w:val="001C0A24"/>
    <w:rsid w:val="001C0B8A"/>
    <w:rsid w:val="001C15CD"/>
    <w:rsid w:val="001C2292"/>
    <w:rsid w:val="001C3A95"/>
    <w:rsid w:val="001C3CF7"/>
    <w:rsid w:val="001C48D4"/>
    <w:rsid w:val="001C5342"/>
    <w:rsid w:val="001C55A8"/>
    <w:rsid w:val="001C5884"/>
    <w:rsid w:val="001C5EF2"/>
    <w:rsid w:val="001C6586"/>
    <w:rsid w:val="001C7066"/>
    <w:rsid w:val="001C7947"/>
    <w:rsid w:val="001C7AC8"/>
    <w:rsid w:val="001C7DE8"/>
    <w:rsid w:val="001C7FB2"/>
    <w:rsid w:val="001D020B"/>
    <w:rsid w:val="001D05D5"/>
    <w:rsid w:val="001D0AF3"/>
    <w:rsid w:val="001D24BF"/>
    <w:rsid w:val="001D254D"/>
    <w:rsid w:val="001D260F"/>
    <w:rsid w:val="001D2EF2"/>
    <w:rsid w:val="001D45FC"/>
    <w:rsid w:val="001D4BE2"/>
    <w:rsid w:val="001D5DAC"/>
    <w:rsid w:val="001D6A3E"/>
    <w:rsid w:val="001D73A8"/>
    <w:rsid w:val="001E04BE"/>
    <w:rsid w:val="001E1C8C"/>
    <w:rsid w:val="001E254B"/>
    <w:rsid w:val="001E2A35"/>
    <w:rsid w:val="001E31CA"/>
    <w:rsid w:val="001E3D5A"/>
    <w:rsid w:val="001E3ED4"/>
    <w:rsid w:val="001E3F45"/>
    <w:rsid w:val="001E4902"/>
    <w:rsid w:val="001E4A85"/>
    <w:rsid w:val="001E4E7A"/>
    <w:rsid w:val="001E4FCA"/>
    <w:rsid w:val="001E55E1"/>
    <w:rsid w:val="001E5997"/>
    <w:rsid w:val="001E5B4C"/>
    <w:rsid w:val="001E6F65"/>
    <w:rsid w:val="001F0152"/>
    <w:rsid w:val="001F0813"/>
    <w:rsid w:val="001F148D"/>
    <w:rsid w:val="001F1821"/>
    <w:rsid w:val="001F1AF1"/>
    <w:rsid w:val="001F1F17"/>
    <w:rsid w:val="001F31C4"/>
    <w:rsid w:val="001F4AEB"/>
    <w:rsid w:val="001F51F2"/>
    <w:rsid w:val="001F5D7D"/>
    <w:rsid w:val="001F60FF"/>
    <w:rsid w:val="001F7723"/>
    <w:rsid w:val="001F7C58"/>
    <w:rsid w:val="002004C4"/>
    <w:rsid w:val="002007A4"/>
    <w:rsid w:val="0020295E"/>
    <w:rsid w:val="00202BC8"/>
    <w:rsid w:val="00203975"/>
    <w:rsid w:val="00205025"/>
    <w:rsid w:val="002053EE"/>
    <w:rsid w:val="0020571D"/>
    <w:rsid w:val="00205F57"/>
    <w:rsid w:val="002064AA"/>
    <w:rsid w:val="00206A41"/>
    <w:rsid w:val="00206F5E"/>
    <w:rsid w:val="00207477"/>
    <w:rsid w:val="00207E56"/>
    <w:rsid w:val="00207F42"/>
    <w:rsid w:val="002109F6"/>
    <w:rsid w:val="00210D78"/>
    <w:rsid w:val="00211FFB"/>
    <w:rsid w:val="0021280D"/>
    <w:rsid w:val="00212C1E"/>
    <w:rsid w:val="00212F40"/>
    <w:rsid w:val="0021356A"/>
    <w:rsid w:val="002141A7"/>
    <w:rsid w:val="00214483"/>
    <w:rsid w:val="002144C0"/>
    <w:rsid w:val="002149FE"/>
    <w:rsid w:val="00214D95"/>
    <w:rsid w:val="00215DB5"/>
    <w:rsid w:val="00216E06"/>
    <w:rsid w:val="00217A01"/>
    <w:rsid w:val="00217E21"/>
    <w:rsid w:val="00220923"/>
    <w:rsid w:val="0022154F"/>
    <w:rsid w:val="00221D0E"/>
    <w:rsid w:val="00222EF1"/>
    <w:rsid w:val="002247C6"/>
    <w:rsid w:val="00224C3C"/>
    <w:rsid w:val="002261F2"/>
    <w:rsid w:val="002263B7"/>
    <w:rsid w:val="00227E90"/>
    <w:rsid w:val="002306BC"/>
    <w:rsid w:val="00230E03"/>
    <w:rsid w:val="002317FC"/>
    <w:rsid w:val="00231A39"/>
    <w:rsid w:val="00231E10"/>
    <w:rsid w:val="00232038"/>
    <w:rsid w:val="002327EF"/>
    <w:rsid w:val="00232857"/>
    <w:rsid w:val="00232CD7"/>
    <w:rsid w:val="00233067"/>
    <w:rsid w:val="002330F7"/>
    <w:rsid w:val="00233757"/>
    <w:rsid w:val="00233A98"/>
    <w:rsid w:val="0023415D"/>
    <w:rsid w:val="00234681"/>
    <w:rsid w:val="00234993"/>
    <w:rsid w:val="002350E2"/>
    <w:rsid w:val="00240083"/>
    <w:rsid w:val="00240705"/>
    <w:rsid w:val="00240D80"/>
    <w:rsid w:val="00242567"/>
    <w:rsid w:val="00244F80"/>
    <w:rsid w:val="00245F9F"/>
    <w:rsid w:val="002475F6"/>
    <w:rsid w:val="00250065"/>
    <w:rsid w:val="002506F5"/>
    <w:rsid w:val="00250773"/>
    <w:rsid w:val="00250F83"/>
    <w:rsid w:val="0025112D"/>
    <w:rsid w:val="002514EF"/>
    <w:rsid w:val="00251B20"/>
    <w:rsid w:val="00251F89"/>
    <w:rsid w:val="002522F8"/>
    <w:rsid w:val="002538C4"/>
    <w:rsid w:val="00254127"/>
    <w:rsid w:val="00254E74"/>
    <w:rsid w:val="0025539D"/>
    <w:rsid w:val="00255919"/>
    <w:rsid w:val="00256105"/>
    <w:rsid w:val="002561F8"/>
    <w:rsid w:val="00256271"/>
    <w:rsid w:val="002566B4"/>
    <w:rsid w:val="00256D7F"/>
    <w:rsid w:val="00257C2E"/>
    <w:rsid w:val="00257F74"/>
    <w:rsid w:val="00260886"/>
    <w:rsid w:val="00261FCC"/>
    <w:rsid w:val="00261FF0"/>
    <w:rsid w:val="0026225B"/>
    <w:rsid w:val="00262857"/>
    <w:rsid w:val="00262B95"/>
    <w:rsid w:val="00263694"/>
    <w:rsid w:val="00263F42"/>
    <w:rsid w:val="00264B94"/>
    <w:rsid w:val="00264EC5"/>
    <w:rsid w:val="00264F16"/>
    <w:rsid w:val="00264F85"/>
    <w:rsid w:val="00265673"/>
    <w:rsid w:val="00265F47"/>
    <w:rsid w:val="00265FB1"/>
    <w:rsid w:val="0026713E"/>
    <w:rsid w:val="0026739A"/>
    <w:rsid w:val="00267469"/>
    <w:rsid w:val="002676E7"/>
    <w:rsid w:val="0026792A"/>
    <w:rsid w:val="00270192"/>
    <w:rsid w:val="00270E30"/>
    <w:rsid w:val="00271E20"/>
    <w:rsid w:val="0027272B"/>
    <w:rsid w:val="00272D0B"/>
    <w:rsid w:val="0027413C"/>
    <w:rsid w:val="00274D6F"/>
    <w:rsid w:val="00274F92"/>
    <w:rsid w:val="002755D4"/>
    <w:rsid w:val="00275B73"/>
    <w:rsid w:val="002764CF"/>
    <w:rsid w:val="00276865"/>
    <w:rsid w:val="002772FC"/>
    <w:rsid w:val="002779D3"/>
    <w:rsid w:val="00281B3F"/>
    <w:rsid w:val="00282320"/>
    <w:rsid w:val="00282462"/>
    <w:rsid w:val="00282A89"/>
    <w:rsid w:val="00282CE2"/>
    <w:rsid w:val="00283442"/>
    <w:rsid w:val="0028387F"/>
    <w:rsid w:val="00283E84"/>
    <w:rsid w:val="00284231"/>
    <w:rsid w:val="00284385"/>
    <w:rsid w:val="00285832"/>
    <w:rsid w:val="00286E41"/>
    <w:rsid w:val="00286EDB"/>
    <w:rsid w:val="002875D0"/>
    <w:rsid w:val="002877EE"/>
    <w:rsid w:val="00287A6C"/>
    <w:rsid w:val="00287EA2"/>
    <w:rsid w:val="002901A5"/>
    <w:rsid w:val="00290784"/>
    <w:rsid w:val="00290F7A"/>
    <w:rsid w:val="00291030"/>
    <w:rsid w:val="00291D40"/>
    <w:rsid w:val="00294304"/>
    <w:rsid w:val="002944EC"/>
    <w:rsid w:val="00295678"/>
    <w:rsid w:val="002958B6"/>
    <w:rsid w:val="00295BAB"/>
    <w:rsid w:val="002968EA"/>
    <w:rsid w:val="00297064"/>
    <w:rsid w:val="00297763"/>
    <w:rsid w:val="002977F5"/>
    <w:rsid w:val="002A0B4E"/>
    <w:rsid w:val="002A27BA"/>
    <w:rsid w:val="002A2DF2"/>
    <w:rsid w:val="002A365E"/>
    <w:rsid w:val="002A420B"/>
    <w:rsid w:val="002A4AA9"/>
    <w:rsid w:val="002A606E"/>
    <w:rsid w:val="002A6CFD"/>
    <w:rsid w:val="002A7215"/>
    <w:rsid w:val="002A777A"/>
    <w:rsid w:val="002A7851"/>
    <w:rsid w:val="002A78A8"/>
    <w:rsid w:val="002B0487"/>
    <w:rsid w:val="002B0946"/>
    <w:rsid w:val="002B0CBA"/>
    <w:rsid w:val="002B1133"/>
    <w:rsid w:val="002B120B"/>
    <w:rsid w:val="002B1375"/>
    <w:rsid w:val="002B4A42"/>
    <w:rsid w:val="002B5126"/>
    <w:rsid w:val="002B557D"/>
    <w:rsid w:val="002B59C4"/>
    <w:rsid w:val="002B5B9C"/>
    <w:rsid w:val="002B5BDC"/>
    <w:rsid w:val="002B6287"/>
    <w:rsid w:val="002B62BD"/>
    <w:rsid w:val="002B7902"/>
    <w:rsid w:val="002C044A"/>
    <w:rsid w:val="002C0FFF"/>
    <w:rsid w:val="002C142F"/>
    <w:rsid w:val="002C25B1"/>
    <w:rsid w:val="002C2AA4"/>
    <w:rsid w:val="002C2B70"/>
    <w:rsid w:val="002C2F54"/>
    <w:rsid w:val="002C3BF6"/>
    <w:rsid w:val="002C3C89"/>
    <w:rsid w:val="002C40D4"/>
    <w:rsid w:val="002C4AE8"/>
    <w:rsid w:val="002C5A67"/>
    <w:rsid w:val="002C6802"/>
    <w:rsid w:val="002C7081"/>
    <w:rsid w:val="002D06AF"/>
    <w:rsid w:val="002D0700"/>
    <w:rsid w:val="002D0AA3"/>
    <w:rsid w:val="002D0B8A"/>
    <w:rsid w:val="002D2178"/>
    <w:rsid w:val="002D2F00"/>
    <w:rsid w:val="002D3CDC"/>
    <w:rsid w:val="002D3F89"/>
    <w:rsid w:val="002D4E06"/>
    <w:rsid w:val="002D546B"/>
    <w:rsid w:val="002D5B0F"/>
    <w:rsid w:val="002D64F0"/>
    <w:rsid w:val="002D75A4"/>
    <w:rsid w:val="002D7E01"/>
    <w:rsid w:val="002E0029"/>
    <w:rsid w:val="002E18BA"/>
    <w:rsid w:val="002E2279"/>
    <w:rsid w:val="002E388C"/>
    <w:rsid w:val="002E3B5D"/>
    <w:rsid w:val="002E430E"/>
    <w:rsid w:val="002E44D5"/>
    <w:rsid w:val="002E4C90"/>
    <w:rsid w:val="002E5298"/>
    <w:rsid w:val="002E6143"/>
    <w:rsid w:val="002E6F09"/>
    <w:rsid w:val="002F126B"/>
    <w:rsid w:val="002F1477"/>
    <w:rsid w:val="002F29E9"/>
    <w:rsid w:val="002F2E41"/>
    <w:rsid w:val="002F3577"/>
    <w:rsid w:val="002F4203"/>
    <w:rsid w:val="002F4532"/>
    <w:rsid w:val="002F57B7"/>
    <w:rsid w:val="002F788C"/>
    <w:rsid w:val="0030084D"/>
    <w:rsid w:val="00300AD8"/>
    <w:rsid w:val="00301617"/>
    <w:rsid w:val="00301D76"/>
    <w:rsid w:val="00302201"/>
    <w:rsid w:val="003034EF"/>
    <w:rsid w:val="00303684"/>
    <w:rsid w:val="00304A56"/>
    <w:rsid w:val="00304CA0"/>
    <w:rsid w:val="00305049"/>
    <w:rsid w:val="00305C01"/>
    <w:rsid w:val="00305E8C"/>
    <w:rsid w:val="00306A98"/>
    <w:rsid w:val="00310225"/>
    <w:rsid w:val="00310341"/>
    <w:rsid w:val="003116F6"/>
    <w:rsid w:val="00313089"/>
    <w:rsid w:val="0031315A"/>
    <w:rsid w:val="0031413E"/>
    <w:rsid w:val="00314501"/>
    <w:rsid w:val="00314907"/>
    <w:rsid w:val="003156C6"/>
    <w:rsid w:val="00315A0E"/>
    <w:rsid w:val="00316155"/>
    <w:rsid w:val="00317241"/>
    <w:rsid w:val="00317ABC"/>
    <w:rsid w:val="00320780"/>
    <w:rsid w:val="003207DF"/>
    <w:rsid w:val="00321BE2"/>
    <w:rsid w:val="00321D97"/>
    <w:rsid w:val="00322F0F"/>
    <w:rsid w:val="00323F29"/>
    <w:rsid w:val="00326518"/>
    <w:rsid w:val="00326B62"/>
    <w:rsid w:val="00326CA9"/>
    <w:rsid w:val="00327486"/>
    <w:rsid w:val="00327AAC"/>
    <w:rsid w:val="00327AF1"/>
    <w:rsid w:val="00327EE3"/>
    <w:rsid w:val="00327F3E"/>
    <w:rsid w:val="00330554"/>
    <w:rsid w:val="003306CB"/>
    <w:rsid w:val="00330B15"/>
    <w:rsid w:val="00331E53"/>
    <w:rsid w:val="00331F31"/>
    <w:rsid w:val="00332359"/>
    <w:rsid w:val="00332ACE"/>
    <w:rsid w:val="0033331F"/>
    <w:rsid w:val="00333B26"/>
    <w:rsid w:val="003344D2"/>
    <w:rsid w:val="003349EB"/>
    <w:rsid w:val="003367C2"/>
    <w:rsid w:val="00337362"/>
    <w:rsid w:val="003375E8"/>
    <w:rsid w:val="00337C4A"/>
    <w:rsid w:val="00340EB0"/>
    <w:rsid w:val="00341797"/>
    <w:rsid w:val="00342A81"/>
    <w:rsid w:val="00343303"/>
    <w:rsid w:val="003443C9"/>
    <w:rsid w:val="00345182"/>
    <w:rsid w:val="003455BE"/>
    <w:rsid w:val="00345B6E"/>
    <w:rsid w:val="00345CA8"/>
    <w:rsid w:val="00346D34"/>
    <w:rsid w:val="00346F1E"/>
    <w:rsid w:val="0034722E"/>
    <w:rsid w:val="003500A1"/>
    <w:rsid w:val="00350436"/>
    <w:rsid w:val="00351087"/>
    <w:rsid w:val="00351E07"/>
    <w:rsid w:val="00352A4C"/>
    <w:rsid w:val="00353B15"/>
    <w:rsid w:val="00353C7A"/>
    <w:rsid w:val="0035408B"/>
    <w:rsid w:val="0035453A"/>
    <w:rsid w:val="00354C07"/>
    <w:rsid w:val="00355159"/>
    <w:rsid w:val="00355235"/>
    <w:rsid w:val="00355703"/>
    <w:rsid w:val="003558A4"/>
    <w:rsid w:val="003564C5"/>
    <w:rsid w:val="00356B6A"/>
    <w:rsid w:val="00357106"/>
    <w:rsid w:val="003573BE"/>
    <w:rsid w:val="00357987"/>
    <w:rsid w:val="00357CBE"/>
    <w:rsid w:val="003613AF"/>
    <w:rsid w:val="003626FF"/>
    <w:rsid w:val="0036283D"/>
    <w:rsid w:val="00362AC2"/>
    <w:rsid w:val="00362EDB"/>
    <w:rsid w:val="00364177"/>
    <w:rsid w:val="00364D0C"/>
    <w:rsid w:val="00364E6E"/>
    <w:rsid w:val="003654D6"/>
    <w:rsid w:val="00365C99"/>
    <w:rsid w:val="00366EDD"/>
    <w:rsid w:val="00366F6E"/>
    <w:rsid w:val="003717D8"/>
    <w:rsid w:val="00371E69"/>
    <w:rsid w:val="00372600"/>
    <w:rsid w:val="00373577"/>
    <w:rsid w:val="003742FE"/>
    <w:rsid w:val="003750D2"/>
    <w:rsid w:val="0037572B"/>
    <w:rsid w:val="003771E6"/>
    <w:rsid w:val="00377738"/>
    <w:rsid w:val="00380314"/>
    <w:rsid w:val="003812C5"/>
    <w:rsid w:val="00383192"/>
    <w:rsid w:val="00383E5D"/>
    <w:rsid w:val="00385A4C"/>
    <w:rsid w:val="00386A6A"/>
    <w:rsid w:val="00387937"/>
    <w:rsid w:val="00390800"/>
    <w:rsid w:val="00391384"/>
    <w:rsid w:val="00391440"/>
    <w:rsid w:val="00391CCE"/>
    <w:rsid w:val="00392560"/>
    <w:rsid w:val="00392647"/>
    <w:rsid w:val="00393656"/>
    <w:rsid w:val="0039437D"/>
    <w:rsid w:val="00395202"/>
    <w:rsid w:val="0039527D"/>
    <w:rsid w:val="00395450"/>
    <w:rsid w:val="003959DE"/>
    <w:rsid w:val="003973B1"/>
    <w:rsid w:val="00397722"/>
    <w:rsid w:val="00397D11"/>
    <w:rsid w:val="00397E21"/>
    <w:rsid w:val="003A0298"/>
    <w:rsid w:val="003A0C0A"/>
    <w:rsid w:val="003A145A"/>
    <w:rsid w:val="003A1F28"/>
    <w:rsid w:val="003A1F48"/>
    <w:rsid w:val="003A23F9"/>
    <w:rsid w:val="003A243A"/>
    <w:rsid w:val="003A2F9C"/>
    <w:rsid w:val="003A3120"/>
    <w:rsid w:val="003A4099"/>
    <w:rsid w:val="003A4313"/>
    <w:rsid w:val="003A5005"/>
    <w:rsid w:val="003A62A7"/>
    <w:rsid w:val="003A659C"/>
    <w:rsid w:val="003A6775"/>
    <w:rsid w:val="003A67BB"/>
    <w:rsid w:val="003A7500"/>
    <w:rsid w:val="003A75A0"/>
    <w:rsid w:val="003A7AF3"/>
    <w:rsid w:val="003B1CCD"/>
    <w:rsid w:val="003B3B2D"/>
    <w:rsid w:val="003B4391"/>
    <w:rsid w:val="003B51EE"/>
    <w:rsid w:val="003B52E1"/>
    <w:rsid w:val="003B59E3"/>
    <w:rsid w:val="003B7750"/>
    <w:rsid w:val="003C00D9"/>
    <w:rsid w:val="003C0212"/>
    <w:rsid w:val="003C131B"/>
    <w:rsid w:val="003C23AC"/>
    <w:rsid w:val="003C3CFD"/>
    <w:rsid w:val="003C425E"/>
    <w:rsid w:val="003C45E2"/>
    <w:rsid w:val="003C4A1B"/>
    <w:rsid w:val="003C4DA8"/>
    <w:rsid w:val="003C781F"/>
    <w:rsid w:val="003C7BC3"/>
    <w:rsid w:val="003C7C7E"/>
    <w:rsid w:val="003C7D99"/>
    <w:rsid w:val="003D34CA"/>
    <w:rsid w:val="003D3772"/>
    <w:rsid w:val="003D37BF"/>
    <w:rsid w:val="003D4015"/>
    <w:rsid w:val="003D4530"/>
    <w:rsid w:val="003D4DBF"/>
    <w:rsid w:val="003D4F73"/>
    <w:rsid w:val="003D5702"/>
    <w:rsid w:val="003D5C94"/>
    <w:rsid w:val="003D69EB"/>
    <w:rsid w:val="003D6A45"/>
    <w:rsid w:val="003D7306"/>
    <w:rsid w:val="003E04FB"/>
    <w:rsid w:val="003E0938"/>
    <w:rsid w:val="003E09D9"/>
    <w:rsid w:val="003E0D61"/>
    <w:rsid w:val="003E1945"/>
    <w:rsid w:val="003E22C7"/>
    <w:rsid w:val="003E32C7"/>
    <w:rsid w:val="003E4E27"/>
    <w:rsid w:val="003E500F"/>
    <w:rsid w:val="003E5415"/>
    <w:rsid w:val="003E553F"/>
    <w:rsid w:val="003E5A6C"/>
    <w:rsid w:val="003E6F46"/>
    <w:rsid w:val="003E7FE6"/>
    <w:rsid w:val="003F036C"/>
    <w:rsid w:val="003F1507"/>
    <w:rsid w:val="003F37C2"/>
    <w:rsid w:val="003F3CAF"/>
    <w:rsid w:val="003F40EC"/>
    <w:rsid w:val="003F54AF"/>
    <w:rsid w:val="003F6736"/>
    <w:rsid w:val="003F72A3"/>
    <w:rsid w:val="003F72BE"/>
    <w:rsid w:val="003F7B6A"/>
    <w:rsid w:val="004001CA"/>
    <w:rsid w:val="00400E83"/>
    <w:rsid w:val="004011F1"/>
    <w:rsid w:val="00402194"/>
    <w:rsid w:val="004025B7"/>
    <w:rsid w:val="00402AE1"/>
    <w:rsid w:val="00403332"/>
    <w:rsid w:val="00403D98"/>
    <w:rsid w:val="00404095"/>
    <w:rsid w:val="00404E80"/>
    <w:rsid w:val="0040540B"/>
    <w:rsid w:val="00405693"/>
    <w:rsid w:val="00405B4B"/>
    <w:rsid w:val="00405FB0"/>
    <w:rsid w:val="00407DCD"/>
    <w:rsid w:val="004109DC"/>
    <w:rsid w:val="004117FB"/>
    <w:rsid w:val="004120B0"/>
    <w:rsid w:val="00412E61"/>
    <w:rsid w:val="00412FA7"/>
    <w:rsid w:val="00413280"/>
    <w:rsid w:val="00413B71"/>
    <w:rsid w:val="004142B1"/>
    <w:rsid w:val="00414BB9"/>
    <w:rsid w:val="004150A9"/>
    <w:rsid w:val="00415131"/>
    <w:rsid w:val="00415B8A"/>
    <w:rsid w:val="00415CBD"/>
    <w:rsid w:val="004166D9"/>
    <w:rsid w:val="004170E6"/>
    <w:rsid w:val="00420322"/>
    <w:rsid w:val="00420D76"/>
    <w:rsid w:val="00420FFB"/>
    <w:rsid w:val="004211B4"/>
    <w:rsid w:val="0042143C"/>
    <w:rsid w:val="00421527"/>
    <w:rsid w:val="0042156A"/>
    <w:rsid w:val="00421E06"/>
    <w:rsid w:val="0042234A"/>
    <w:rsid w:val="00422B6B"/>
    <w:rsid w:val="00423623"/>
    <w:rsid w:val="00423765"/>
    <w:rsid w:val="00424BE3"/>
    <w:rsid w:val="004251DB"/>
    <w:rsid w:val="00426213"/>
    <w:rsid w:val="00426B7D"/>
    <w:rsid w:val="004270E5"/>
    <w:rsid w:val="00427CDC"/>
    <w:rsid w:val="004319DB"/>
    <w:rsid w:val="00433CC1"/>
    <w:rsid w:val="00433E48"/>
    <w:rsid w:val="00434555"/>
    <w:rsid w:val="00436DE2"/>
    <w:rsid w:val="004374E6"/>
    <w:rsid w:val="00437DDA"/>
    <w:rsid w:val="0044052E"/>
    <w:rsid w:val="0044090D"/>
    <w:rsid w:val="00440A34"/>
    <w:rsid w:val="004410B2"/>
    <w:rsid w:val="0044162A"/>
    <w:rsid w:val="00441B5C"/>
    <w:rsid w:val="004422E8"/>
    <w:rsid w:val="00442520"/>
    <w:rsid w:val="004434C1"/>
    <w:rsid w:val="0044378C"/>
    <w:rsid w:val="00443803"/>
    <w:rsid w:val="00443DF3"/>
    <w:rsid w:val="00444C3D"/>
    <w:rsid w:val="00445887"/>
    <w:rsid w:val="004463CA"/>
    <w:rsid w:val="0044654F"/>
    <w:rsid w:val="00446A71"/>
    <w:rsid w:val="00446DDB"/>
    <w:rsid w:val="00447612"/>
    <w:rsid w:val="00447FF5"/>
    <w:rsid w:val="00450556"/>
    <w:rsid w:val="004520C8"/>
    <w:rsid w:val="004533F1"/>
    <w:rsid w:val="00453D1E"/>
    <w:rsid w:val="004544A2"/>
    <w:rsid w:val="004549E0"/>
    <w:rsid w:val="00454E8A"/>
    <w:rsid w:val="00454FAF"/>
    <w:rsid w:val="00455BA9"/>
    <w:rsid w:val="00455EA0"/>
    <w:rsid w:val="004573ED"/>
    <w:rsid w:val="00460157"/>
    <w:rsid w:val="00460229"/>
    <w:rsid w:val="0046068D"/>
    <w:rsid w:val="004612E1"/>
    <w:rsid w:val="00461788"/>
    <w:rsid w:val="00463FDD"/>
    <w:rsid w:val="00464997"/>
    <w:rsid w:val="00465C96"/>
    <w:rsid w:val="004667C3"/>
    <w:rsid w:val="00466F9E"/>
    <w:rsid w:val="00467228"/>
    <w:rsid w:val="00467962"/>
    <w:rsid w:val="00470868"/>
    <w:rsid w:val="00471DF5"/>
    <w:rsid w:val="0047210D"/>
    <w:rsid w:val="00472A09"/>
    <w:rsid w:val="00473023"/>
    <w:rsid w:val="00474468"/>
    <w:rsid w:val="0047574A"/>
    <w:rsid w:val="0047614D"/>
    <w:rsid w:val="00476492"/>
    <w:rsid w:val="00476783"/>
    <w:rsid w:val="00477451"/>
    <w:rsid w:val="004805E8"/>
    <w:rsid w:val="004812B1"/>
    <w:rsid w:val="00481E7D"/>
    <w:rsid w:val="004822C7"/>
    <w:rsid w:val="00482745"/>
    <w:rsid w:val="00482BCE"/>
    <w:rsid w:val="00483030"/>
    <w:rsid w:val="00483CAE"/>
    <w:rsid w:val="00483E08"/>
    <w:rsid w:val="004842EE"/>
    <w:rsid w:val="00484FDD"/>
    <w:rsid w:val="00485323"/>
    <w:rsid w:val="00485D0C"/>
    <w:rsid w:val="00486E4E"/>
    <w:rsid w:val="00487955"/>
    <w:rsid w:val="00493868"/>
    <w:rsid w:val="00494779"/>
    <w:rsid w:val="004950BF"/>
    <w:rsid w:val="00495FED"/>
    <w:rsid w:val="004961BE"/>
    <w:rsid w:val="004975C5"/>
    <w:rsid w:val="004A01BD"/>
    <w:rsid w:val="004A07B8"/>
    <w:rsid w:val="004A0BCE"/>
    <w:rsid w:val="004A1199"/>
    <w:rsid w:val="004A16F6"/>
    <w:rsid w:val="004A18FE"/>
    <w:rsid w:val="004A1A93"/>
    <w:rsid w:val="004A21A7"/>
    <w:rsid w:val="004A2FCD"/>
    <w:rsid w:val="004A314C"/>
    <w:rsid w:val="004A39F1"/>
    <w:rsid w:val="004A3B52"/>
    <w:rsid w:val="004A46CF"/>
    <w:rsid w:val="004A5D52"/>
    <w:rsid w:val="004A6082"/>
    <w:rsid w:val="004A64F1"/>
    <w:rsid w:val="004A6AF5"/>
    <w:rsid w:val="004A71A9"/>
    <w:rsid w:val="004A7C45"/>
    <w:rsid w:val="004B01C3"/>
    <w:rsid w:val="004B0440"/>
    <w:rsid w:val="004B0DEE"/>
    <w:rsid w:val="004B1923"/>
    <w:rsid w:val="004B32C2"/>
    <w:rsid w:val="004B37F6"/>
    <w:rsid w:val="004B4273"/>
    <w:rsid w:val="004B584E"/>
    <w:rsid w:val="004B5DF5"/>
    <w:rsid w:val="004B6154"/>
    <w:rsid w:val="004B78DA"/>
    <w:rsid w:val="004C092E"/>
    <w:rsid w:val="004C21C4"/>
    <w:rsid w:val="004C2427"/>
    <w:rsid w:val="004C2483"/>
    <w:rsid w:val="004C2A37"/>
    <w:rsid w:val="004C3799"/>
    <w:rsid w:val="004C3E7B"/>
    <w:rsid w:val="004C5931"/>
    <w:rsid w:val="004C5E14"/>
    <w:rsid w:val="004C5F17"/>
    <w:rsid w:val="004C5F73"/>
    <w:rsid w:val="004C6D4B"/>
    <w:rsid w:val="004C74AD"/>
    <w:rsid w:val="004D1045"/>
    <w:rsid w:val="004D16D1"/>
    <w:rsid w:val="004D242E"/>
    <w:rsid w:val="004D25D6"/>
    <w:rsid w:val="004D2720"/>
    <w:rsid w:val="004D35F1"/>
    <w:rsid w:val="004D3EEB"/>
    <w:rsid w:val="004D4405"/>
    <w:rsid w:val="004D5244"/>
    <w:rsid w:val="004D5E70"/>
    <w:rsid w:val="004D6562"/>
    <w:rsid w:val="004D7325"/>
    <w:rsid w:val="004D7932"/>
    <w:rsid w:val="004E068F"/>
    <w:rsid w:val="004E0F80"/>
    <w:rsid w:val="004E11CA"/>
    <w:rsid w:val="004E2C85"/>
    <w:rsid w:val="004E2D04"/>
    <w:rsid w:val="004E3351"/>
    <w:rsid w:val="004E3F02"/>
    <w:rsid w:val="004E3F83"/>
    <w:rsid w:val="004E43D6"/>
    <w:rsid w:val="004E48C4"/>
    <w:rsid w:val="004E50EE"/>
    <w:rsid w:val="004E584F"/>
    <w:rsid w:val="004E5C85"/>
    <w:rsid w:val="004F0236"/>
    <w:rsid w:val="004F053F"/>
    <w:rsid w:val="004F058D"/>
    <w:rsid w:val="004F087C"/>
    <w:rsid w:val="004F09BA"/>
    <w:rsid w:val="004F3049"/>
    <w:rsid w:val="004F3FA4"/>
    <w:rsid w:val="004F4307"/>
    <w:rsid w:val="004F45AC"/>
    <w:rsid w:val="004F4CCD"/>
    <w:rsid w:val="004F6E0A"/>
    <w:rsid w:val="004F6F90"/>
    <w:rsid w:val="004F703A"/>
    <w:rsid w:val="004F719F"/>
    <w:rsid w:val="004F7755"/>
    <w:rsid w:val="004F7EF2"/>
    <w:rsid w:val="00500011"/>
    <w:rsid w:val="00500159"/>
    <w:rsid w:val="005006F8"/>
    <w:rsid w:val="00500BF1"/>
    <w:rsid w:val="00500CCB"/>
    <w:rsid w:val="00501B23"/>
    <w:rsid w:val="005022ED"/>
    <w:rsid w:val="00503284"/>
    <w:rsid w:val="0050481B"/>
    <w:rsid w:val="00504F8D"/>
    <w:rsid w:val="00505217"/>
    <w:rsid w:val="005052B3"/>
    <w:rsid w:val="0050603C"/>
    <w:rsid w:val="0050628B"/>
    <w:rsid w:val="00506415"/>
    <w:rsid w:val="00510117"/>
    <w:rsid w:val="00510353"/>
    <w:rsid w:val="00510964"/>
    <w:rsid w:val="0051107A"/>
    <w:rsid w:val="005125A7"/>
    <w:rsid w:val="00512CC8"/>
    <w:rsid w:val="00512E4A"/>
    <w:rsid w:val="0051380F"/>
    <w:rsid w:val="00514CA2"/>
    <w:rsid w:val="00514E59"/>
    <w:rsid w:val="00516188"/>
    <w:rsid w:val="005163C6"/>
    <w:rsid w:val="00516706"/>
    <w:rsid w:val="005172C7"/>
    <w:rsid w:val="00517840"/>
    <w:rsid w:val="005179B4"/>
    <w:rsid w:val="00517D75"/>
    <w:rsid w:val="00517E0C"/>
    <w:rsid w:val="005204C8"/>
    <w:rsid w:val="00520A5C"/>
    <w:rsid w:val="00521D6D"/>
    <w:rsid w:val="005223E9"/>
    <w:rsid w:val="00522425"/>
    <w:rsid w:val="00522723"/>
    <w:rsid w:val="00522868"/>
    <w:rsid w:val="00522FCD"/>
    <w:rsid w:val="00523306"/>
    <w:rsid w:val="005233E7"/>
    <w:rsid w:val="00524894"/>
    <w:rsid w:val="00525C7C"/>
    <w:rsid w:val="00525E79"/>
    <w:rsid w:val="00526F13"/>
    <w:rsid w:val="005304AF"/>
    <w:rsid w:val="00530683"/>
    <w:rsid w:val="00530B82"/>
    <w:rsid w:val="00530C5F"/>
    <w:rsid w:val="0053136E"/>
    <w:rsid w:val="00533FA6"/>
    <w:rsid w:val="00534E05"/>
    <w:rsid w:val="0053561E"/>
    <w:rsid w:val="00535A42"/>
    <w:rsid w:val="00535B4D"/>
    <w:rsid w:val="00535C9D"/>
    <w:rsid w:val="005367C6"/>
    <w:rsid w:val="005368E1"/>
    <w:rsid w:val="00536CD7"/>
    <w:rsid w:val="00537B9F"/>
    <w:rsid w:val="00537DA4"/>
    <w:rsid w:val="00540EFD"/>
    <w:rsid w:val="005418EB"/>
    <w:rsid w:val="00541B21"/>
    <w:rsid w:val="00541F9C"/>
    <w:rsid w:val="0054277B"/>
    <w:rsid w:val="00542B45"/>
    <w:rsid w:val="00542BC1"/>
    <w:rsid w:val="00543CC6"/>
    <w:rsid w:val="0054417D"/>
    <w:rsid w:val="00544683"/>
    <w:rsid w:val="00544C37"/>
    <w:rsid w:val="00544E1D"/>
    <w:rsid w:val="005457C2"/>
    <w:rsid w:val="00546483"/>
    <w:rsid w:val="0054745D"/>
    <w:rsid w:val="00547472"/>
    <w:rsid w:val="00547619"/>
    <w:rsid w:val="005476E6"/>
    <w:rsid w:val="00547844"/>
    <w:rsid w:val="00550023"/>
    <w:rsid w:val="00550046"/>
    <w:rsid w:val="00550899"/>
    <w:rsid w:val="00551D82"/>
    <w:rsid w:val="00552405"/>
    <w:rsid w:val="00552451"/>
    <w:rsid w:val="005526DA"/>
    <w:rsid w:val="0055353C"/>
    <w:rsid w:val="00554268"/>
    <w:rsid w:val="0055474E"/>
    <w:rsid w:val="00556CFF"/>
    <w:rsid w:val="00557726"/>
    <w:rsid w:val="00557ACE"/>
    <w:rsid w:val="00557DA2"/>
    <w:rsid w:val="00557E3B"/>
    <w:rsid w:val="005600A3"/>
    <w:rsid w:val="005619A7"/>
    <w:rsid w:val="005623D5"/>
    <w:rsid w:val="00562D61"/>
    <w:rsid w:val="005631F3"/>
    <w:rsid w:val="0056359F"/>
    <w:rsid w:val="00564005"/>
    <w:rsid w:val="0056443C"/>
    <w:rsid w:val="00564501"/>
    <w:rsid w:val="00564F15"/>
    <w:rsid w:val="005654F6"/>
    <w:rsid w:val="005662DC"/>
    <w:rsid w:val="00566EE3"/>
    <w:rsid w:val="005675FA"/>
    <w:rsid w:val="00570C4D"/>
    <w:rsid w:val="00571566"/>
    <w:rsid w:val="00573115"/>
    <w:rsid w:val="005737E4"/>
    <w:rsid w:val="00573842"/>
    <w:rsid w:val="00573886"/>
    <w:rsid w:val="00573D82"/>
    <w:rsid w:val="00574791"/>
    <w:rsid w:val="00574A96"/>
    <w:rsid w:val="00574CCA"/>
    <w:rsid w:val="00575B34"/>
    <w:rsid w:val="00576943"/>
    <w:rsid w:val="00577738"/>
    <w:rsid w:val="00577A66"/>
    <w:rsid w:val="00577D01"/>
    <w:rsid w:val="0058074D"/>
    <w:rsid w:val="00581373"/>
    <w:rsid w:val="00581B1E"/>
    <w:rsid w:val="00581CB8"/>
    <w:rsid w:val="00581D55"/>
    <w:rsid w:val="00582F92"/>
    <w:rsid w:val="005836A4"/>
    <w:rsid w:val="0058420F"/>
    <w:rsid w:val="00586AC9"/>
    <w:rsid w:val="005877FA"/>
    <w:rsid w:val="00590142"/>
    <w:rsid w:val="00590B60"/>
    <w:rsid w:val="00590C30"/>
    <w:rsid w:val="00590FD9"/>
    <w:rsid w:val="005924D4"/>
    <w:rsid w:val="00592DB1"/>
    <w:rsid w:val="005930E8"/>
    <w:rsid w:val="005933ED"/>
    <w:rsid w:val="005935CC"/>
    <w:rsid w:val="0059525F"/>
    <w:rsid w:val="005963CA"/>
    <w:rsid w:val="00596B31"/>
    <w:rsid w:val="005A0514"/>
    <w:rsid w:val="005A0D40"/>
    <w:rsid w:val="005A13F3"/>
    <w:rsid w:val="005A1A11"/>
    <w:rsid w:val="005A2DD1"/>
    <w:rsid w:val="005A31AB"/>
    <w:rsid w:val="005A3454"/>
    <w:rsid w:val="005A4AD9"/>
    <w:rsid w:val="005A6E22"/>
    <w:rsid w:val="005A7D1D"/>
    <w:rsid w:val="005B0359"/>
    <w:rsid w:val="005B1CFC"/>
    <w:rsid w:val="005B25E2"/>
    <w:rsid w:val="005B2D2D"/>
    <w:rsid w:val="005B306F"/>
    <w:rsid w:val="005B3134"/>
    <w:rsid w:val="005B3899"/>
    <w:rsid w:val="005B3FF3"/>
    <w:rsid w:val="005B48B3"/>
    <w:rsid w:val="005B4A8F"/>
    <w:rsid w:val="005B524B"/>
    <w:rsid w:val="005B5588"/>
    <w:rsid w:val="005B5E1A"/>
    <w:rsid w:val="005B7F37"/>
    <w:rsid w:val="005C0259"/>
    <w:rsid w:val="005C0A68"/>
    <w:rsid w:val="005C0F57"/>
    <w:rsid w:val="005C2E62"/>
    <w:rsid w:val="005C2FD1"/>
    <w:rsid w:val="005C3C1A"/>
    <w:rsid w:val="005C423E"/>
    <w:rsid w:val="005C4CDD"/>
    <w:rsid w:val="005C5AEA"/>
    <w:rsid w:val="005C6C66"/>
    <w:rsid w:val="005C6D0E"/>
    <w:rsid w:val="005C7139"/>
    <w:rsid w:val="005C7511"/>
    <w:rsid w:val="005D01D8"/>
    <w:rsid w:val="005D0C38"/>
    <w:rsid w:val="005D10F3"/>
    <w:rsid w:val="005D201E"/>
    <w:rsid w:val="005D27EA"/>
    <w:rsid w:val="005D307E"/>
    <w:rsid w:val="005D4C9A"/>
    <w:rsid w:val="005D54BC"/>
    <w:rsid w:val="005D5A76"/>
    <w:rsid w:val="005D6093"/>
    <w:rsid w:val="005D6204"/>
    <w:rsid w:val="005D7024"/>
    <w:rsid w:val="005D7712"/>
    <w:rsid w:val="005E0A36"/>
    <w:rsid w:val="005E29D1"/>
    <w:rsid w:val="005E2F93"/>
    <w:rsid w:val="005E31A3"/>
    <w:rsid w:val="005E3DAE"/>
    <w:rsid w:val="005E4668"/>
    <w:rsid w:val="005E4D8B"/>
    <w:rsid w:val="005E5379"/>
    <w:rsid w:val="005E5A35"/>
    <w:rsid w:val="005E7F37"/>
    <w:rsid w:val="005F0AE5"/>
    <w:rsid w:val="005F0C1C"/>
    <w:rsid w:val="005F1362"/>
    <w:rsid w:val="005F15AA"/>
    <w:rsid w:val="005F1E8E"/>
    <w:rsid w:val="005F377E"/>
    <w:rsid w:val="005F3FD9"/>
    <w:rsid w:val="005F4023"/>
    <w:rsid w:val="005F407B"/>
    <w:rsid w:val="005F44F7"/>
    <w:rsid w:val="005F4629"/>
    <w:rsid w:val="005F4EDA"/>
    <w:rsid w:val="005F59EC"/>
    <w:rsid w:val="005F5D3E"/>
    <w:rsid w:val="005F6569"/>
    <w:rsid w:val="005F777D"/>
    <w:rsid w:val="006014AC"/>
    <w:rsid w:val="00601809"/>
    <w:rsid w:val="0060337E"/>
    <w:rsid w:val="006037FC"/>
    <w:rsid w:val="00603E2F"/>
    <w:rsid w:val="00605FD7"/>
    <w:rsid w:val="00606021"/>
    <w:rsid w:val="00606365"/>
    <w:rsid w:val="00606DBB"/>
    <w:rsid w:val="00607237"/>
    <w:rsid w:val="0060745E"/>
    <w:rsid w:val="00607548"/>
    <w:rsid w:val="00607A6B"/>
    <w:rsid w:val="006102DD"/>
    <w:rsid w:val="00610E75"/>
    <w:rsid w:val="00611410"/>
    <w:rsid w:val="0061250F"/>
    <w:rsid w:val="006132FE"/>
    <w:rsid w:val="00613FA2"/>
    <w:rsid w:val="006146E0"/>
    <w:rsid w:val="00614FD7"/>
    <w:rsid w:val="006157F3"/>
    <w:rsid w:val="00620444"/>
    <w:rsid w:val="006212FE"/>
    <w:rsid w:val="00622578"/>
    <w:rsid w:val="0062281B"/>
    <w:rsid w:val="00623233"/>
    <w:rsid w:val="0062454A"/>
    <w:rsid w:val="00624B71"/>
    <w:rsid w:val="00626DA7"/>
    <w:rsid w:val="00627275"/>
    <w:rsid w:val="00627D27"/>
    <w:rsid w:val="00630C6E"/>
    <w:rsid w:val="006311CA"/>
    <w:rsid w:val="00631F35"/>
    <w:rsid w:val="00632067"/>
    <w:rsid w:val="006325E1"/>
    <w:rsid w:val="00633750"/>
    <w:rsid w:val="00633CEF"/>
    <w:rsid w:val="0063427E"/>
    <w:rsid w:val="00634386"/>
    <w:rsid w:val="00635054"/>
    <w:rsid w:val="00635782"/>
    <w:rsid w:val="00635FAF"/>
    <w:rsid w:val="006370AA"/>
    <w:rsid w:val="00637456"/>
    <w:rsid w:val="006377CB"/>
    <w:rsid w:val="00640827"/>
    <w:rsid w:val="00641BBC"/>
    <w:rsid w:val="00642955"/>
    <w:rsid w:val="00642AD8"/>
    <w:rsid w:val="0064355D"/>
    <w:rsid w:val="00643842"/>
    <w:rsid w:val="00643933"/>
    <w:rsid w:val="00643B5C"/>
    <w:rsid w:val="00643B66"/>
    <w:rsid w:val="0064494E"/>
    <w:rsid w:val="00644A6A"/>
    <w:rsid w:val="00644B79"/>
    <w:rsid w:val="00644C32"/>
    <w:rsid w:val="00644D9A"/>
    <w:rsid w:val="00645089"/>
    <w:rsid w:val="0064518A"/>
    <w:rsid w:val="00645942"/>
    <w:rsid w:val="00646993"/>
    <w:rsid w:val="00646D26"/>
    <w:rsid w:val="006471FD"/>
    <w:rsid w:val="00647B58"/>
    <w:rsid w:val="00650954"/>
    <w:rsid w:val="00650B7F"/>
    <w:rsid w:val="00652047"/>
    <w:rsid w:val="0065314B"/>
    <w:rsid w:val="0065347F"/>
    <w:rsid w:val="00654392"/>
    <w:rsid w:val="00655D9B"/>
    <w:rsid w:val="00657202"/>
    <w:rsid w:val="00657DCE"/>
    <w:rsid w:val="00660ED4"/>
    <w:rsid w:val="006625B4"/>
    <w:rsid w:val="00663722"/>
    <w:rsid w:val="00663F87"/>
    <w:rsid w:val="006641DC"/>
    <w:rsid w:val="0066598C"/>
    <w:rsid w:val="006665C7"/>
    <w:rsid w:val="0066795C"/>
    <w:rsid w:val="00667DE1"/>
    <w:rsid w:val="00671729"/>
    <w:rsid w:val="00671CF0"/>
    <w:rsid w:val="0067269C"/>
    <w:rsid w:val="00672726"/>
    <w:rsid w:val="00673731"/>
    <w:rsid w:val="00675700"/>
    <w:rsid w:val="00676938"/>
    <w:rsid w:val="00677394"/>
    <w:rsid w:val="006774FB"/>
    <w:rsid w:val="00680020"/>
    <w:rsid w:val="00681862"/>
    <w:rsid w:val="006818A3"/>
    <w:rsid w:val="00682495"/>
    <w:rsid w:val="00682BDE"/>
    <w:rsid w:val="00683721"/>
    <w:rsid w:val="00683AD8"/>
    <w:rsid w:val="00684763"/>
    <w:rsid w:val="006854B8"/>
    <w:rsid w:val="0068564B"/>
    <w:rsid w:val="006858C2"/>
    <w:rsid w:val="00686905"/>
    <w:rsid w:val="00686DAF"/>
    <w:rsid w:val="00687480"/>
    <w:rsid w:val="006877C6"/>
    <w:rsid w:val="00690930"/>
    <w:rsid w:val="0069119C"/>
    <w:rsid w:val="0069281E"/>
    <w:rsid w:val="00692DBC"/>
    <w:rsid w:val="00692EF3"/>
    <w:rsid w:val="006932C1"/>
    <w:rsid w:val="0069444C"/>
    <w:rsid w:val="006953A3"/>
    <w:rsid w:val="00695A0E"/>
    <w:rsid w:val="00695B09"/>
    <w:rsid w:val="00696091"/>
    <w:rsid w:val="00696147"/>
    <w:rsid w:val="006967D8"/>
    <w:rsid w:val="00696A7F"/>
    <w:rsid w:val="00697153"/>
    <w:rsid w:val="00697749"/>
    <w:rsid w:val="00697FCF"/>
    <w:rsid w:val="006A025D"/>
    <w:rsid w:val="006A112F"/>
    <w:rsid w:val="006A13DE"/>
    <w:rsid w:val="006A1C86"/>
    <w:rsid w:val="006A200C"/>
    <w:rsid w:val="006A23C5"/>
    <w:rsid w:val="006A2800"/>
    <w:rsid w:val="006A30DF"/>
    <w:rsid w:val="006A4686"/>
    <w:rsid w:val="006A48C0"/>
    <w:rsid w:val="006A6ABD"/>
    <w:rsid w:val="006A784F"/>
    <w:rsid w:val="006A7C36"/>
    <w:rsid w:val="006B0015"/>
    <w:rsid w:val="006B0E7A"/>
    <w:rsid w:val="006B10EB"/>
    <w:rsid w:val="006B1586"/>
    <w:rsid w:val="006B194D"/>
    <w:rsid w:val="006B1CB0"/>
    <w:rsid w:val="006B20AF"/>
    <w:rsid w:val="006B2613"/>
    <w:rsid w:val="006B2884"/>
    <w:rsid w:val="006B2F90"/>
    <w:rsid w:val="006B307E"/>
    <w:rsid w:val="006B34EE"/>
    <w:rsid w:val="006B3751"/>
    <w:rsid w:val="006B3A9F"/>
    <w:rsid w:val="006B3F3D"/>
    <w:rsid w:val="006B42E4"/>
    <w:rsid w:val="006B5125"/>
    <w:rsid w:val="006B7437"/>
    <w:rsid w:val="006B7DB0"/>
    <w:rsid w:val="006C04A7"/>
    <w:rsid w:val="006C07C5"/>
    <w:rsid w:val="006C0B6C"/>
    <w:rsid w:val="006C1227"/>
    <w:rsid w:val="006C1B98"/>
    <w:rsid w:val="006C333D"/>
    <w:rsid w:val="006C3557"/>
    <w:rsid w:val="006C3E3C"/>
    <w:rsid w:val="006C4786"/>
    <w:rsid w:val="006C67E1"/>
    <w:rsid w:val="006C6D43"/>
    <w:rsid w:val="006C7780"/>
    <w:rsid w:val="006D11DB"/>
    <w:rsid w:val="006D13F0"/>
    <w:rsid w:val="006D20AC"/>
    <w:rsid w:val="006D21FD"/>
    <w:rsid w:val="006D2263"/>
    <w:rsid w:val="006D4D75"/>
    <w:rsid w:val="006D50D2"/>
    <w:rsid w:val="006D5DAA"/>
    <w:rsid w:val="006D7432"/>
    <w:rsid w:val="006D793E"/>
    <w:rsid w:val="006E0146"/>
    <w:rsid w:val="006E06C2"/>
    <w:rsid w:val="006E12BE"/>
    <w:rsid w:val="006E1F8E"/>
    <w:rsid w:val="006E257B"/>
    <w:rsid w:val="006E2A52"/>
    <w:rsid w:val="006E3AC8"/>
    <w:rsid w:val="006E4797"/>
    <w:rsid w:val="006E47BD"/>
    <w:rsid w:val="006E4A76"/>
    <w:rsid w:val="006E5C30"/>
    <w:rsid w:val="006E5D3C"/>
    <w:rsid w:val="006E7F0F"/>
    <w:rsid w:val="006F03D0"/>
    <w:rsid w:val="006F0CCE"/>
    <w:rsid w:val="006F2253"/>
    <w:rsid w:val="006F2CF4"/>
    <w:rsid w:val="006F44DC"/>
    <w:rsid w:val="006F4862"/>
    <w:rsid w:val="006F4DB1"/>
    <w:rsid w:val="006F4EA3"/>
    <w:rsid w:val="006F5933"/>
    <w:rsid w:val="006F5E56"/>
    <w:rsid w:val="006F6940"/>
    <w:rsid w:val="007002D1"/>
    <w:rsid w:val="007003EB"/>
    <w:rsid w:val="00700BB2"/>
    <w:rsid w:val="00701AB8"/>
    <w:rsid w:val="00701F04"/>
    <w:rsid w:val="00701F5B"/>
    <w:rsid w:val="007020D1"/>
    <w:rsid w:val="00702BE3"/>
    <w:rsid w:val="007031AD"/>
    <w:rsid w:val="007033AB"/>
    <w:rsid w:val="0070387B"/>
    <w:rsid w:val="0070444F"/>
    <w:rsid w:val="007051F4"/>
    <w:rsid w:val="007057C7"/>
    <w:rsid w:val="00705B3C"/>
    <w:rsid w:val="00705E04"/>
    <w:rsid w:val="0070628A"/>
    <w:rsid w:val="00706305"/>
    <w:rsid w:val="0070643B"/>
    <w:rsid w:val="00706F07"/>
    <w:rsid w:val="00707897"/>
    <w:rsid w:val="00711A77"/>
    <w:rsid w:val="007131B7"/>
    <w:rsid w:val="007133FD"/>
    <w:rsid w:val="007141CE"/>
    <w:rsid w:val="0071464B"/>
    <w:rsid w:val="0071623A"/>
    <w:rsid w:val="0071728A"/>
    <w:rsid w:val="00717788"/>
    <w:rsid w:val="00720522"/>
    <w:rsid w:val="007206D6"/>
    <w:rsid w:val="00720DC0"/>
    <w:rsid w:val="007228D6"/>
    <w:rsid w:val="00723FBF"/>
    <w:rsid w:val="0072416E"/>
    <w:rsid w:val="0072422E"/>
    <w:rsid w:val="00725C31"/>
    <w:rsid w:val="007260C0"/>
    <w:rsid w:val="00726204"/>
    <w:rsid w:val="00726469"/>
    <w:rsid w:val="00726639"/>
    <w:rsid w:val="00726FDB"/>
    <w:rsid w:val="00727058"/>
    <w:rsid w:val="00727FDE"/>
    <w:rsid w:val="0073079F"/>
    <w:rsid w:val="00730B6A"/>
    <w:rsid w:val="00730C4A"/>
    <w:rsid w:val="00730E00"/>
    <w:rsid w:val="00733137"/>
    <w:rsid w:val="00733A45"/>
    <w:rsid w:val="00733E7A"/>
    <w:rsid w:val="00733E85"/>
    <w:rsid w:val="007341E4"/>
    <w:rsid w:val="007346A7"/>
    <w:rsid w:val="00735604"/>
    <w:rsid w:val="007362A3"/>
    <w:rsid w:val="00736EF9"/>
    <w:rsid w:val="007409C8"/>
    <w:rsid w:val="007417BC"/>
    <w:rsid w:val="00741A84"/>
    <w:rsid w:val="00741AC4"/>
    <w:rsid w:val="007423EC"/>
    <w:rsid w:val="00742471"/>
    <w:rsid w:val="00742AB9"/>
    <w:rsid w:val="00743238"/>
    <w:rsid w:val="007437D5"/>
    <w:rsid w:val="00743918"/>
    <w:rsid w:val="00744554"/>
    <w:rsid w:val="007452C2"/>
    <w:rsid w:val="00745339"/>
    <w:rsid w:val="00745800"/>
    <w:rsid w:val="00745954"/>
    <w:rsid w:val="007461DA"/>
    <w:rsid w:val="00746347"/>
    <w:rsid w:val="00746AC8"/>
    <w:rsid w:val="00746C8B"/>
    <w:rsid w:val="007508CF"/>
    <w:rsid w:val="00752471"/>
    <w:rsid w:val="00752952"/>
    <w:rsid w:val="007539D8"/>
    <w:rsid w:val="007539E8"/>
    <w:rsid w:val="00754F44"/>
    <w:rsid w:val="00755A37"/>
    <w:rsid w:val="00755FF1"/>
    <w:rsid w:val="0075662F"/>
    <w:rsid w:val="00756F5C"/>
    <w:rsid w:val="00756F87"/>
    <w:rsid w:val="0075768B"/>
    <w:rsid w:val="00757E02"/>
    <w:rsid w:val="007606B5"/>
    <w:rsid w:val="00760E3E"/>
    <w:rsid w:val="00761824"/>
    <w:rsid w:val="0076196A"/>
    <w:rsid w:val="00762418"/>
    <w:rsid w:val="0076323E"/>
    <w:rsid w:val="00763BD0"/>
    <w:rsid w:val="00763C81"/>
    <w:rsid w:val="007658B6"/>
    <w:rsid w:val="0076602C"/>
    <w:rsid w:val="00767330"/>
    <w:rsid w:val="007675D1"/>
    <w:rsid w:val="00767654"/>
    <w:rsid w:val="00767AF6"/>
    <w:rsid w:val="00770844"/>
    <w:rsid w:val="00771EAE"/>
    <w:rsid w:val="007729F7"/>
    <w:rsid w:val="00773561"/>
    <w:rsid w:val="00773748"/>
    <w:rsid w:val="00773A0D"/>
    <w:rsid w:val="00773EE4"/>
    <w:rsid w:val="00773FAF"/>
    <w:rsid w:val="00774960"/>
    <w:rsid w:val="00774E4E"/>
    <w:rsid w:val="007752ED"/>
    <w:rsid w:val="007771D8"/>
    <w:rsid w:val="0077725D"/>
    <w:rsid w:val="00777E0B"/>
    <w:rsid w:val="0078189F"/>
    <w:rsid w:val="0078274F"/>
    <w:rsid w:val="00782F66"/>
    <w:rsid w:val="00783773"/>
    <w:rsid w:val="00783E5B"/>
    <w:rsid w:val="00783F38"/>
    <w:rsid w:val="00783FD6"/>
    <w:rsid w:val="00784740"/>
    <w:rsid w:val="0078504C"/>
    <w:rsid w:val="00785076"/>
    <w:rsid w:val="00785E26"/>
    <w:rsid w:val="00786427"/>
    <w:rsid w:val="00786886"/>
    <w:rsid w:val="007868B9"/>
    <w:rsid w:val="007876AE"/>
    <w:rsid w:val="00790124"/>
    <w:rsid w:val="00791588"/>
    <w:rsid w:val="00793203"/>
    <w:rsid w:val="007933E6"/>
    <w:rsid w:val="007945BC"/>
    <w:rsid w:val="00795DBE"/>
    <w:rsid w:val="00795E66"/>
    <w:rsid w:val="007963B9"/>
    <w:rsid w:val="00796F58"/>
    <w:rsid w:val="00797024"/>
    <w:rsid w:val="007972C9"/>
    <w:rsid w:val="007976D1"/>
    <w:rsid w:val="00797710"/>
    <w:rsid w:val="007A14A6"/>
    <w:rsid w:val="007A1F29"/>
    <w:rsid w:val="007A1F30"/>
    <w:rsid w:val="007A283B"/>
    <w:rsid w:val="007A2BCB"/>
    <w:rsid w:val="007A2CFF"/>
    <w:rsid w:val="007A455A"/>
    <w:rsid w:val="007A4A28"/>
    <w:rsid w:val="007A4D94"/>
    <w:rsid w:val="007A4DAD"/>
    <w:rsid w:val="007A518B"/>
    <w:rsid w:val="007A5FFA"/>
    <w:rsid w:val="007A6A23"/>
    <w:rsid w:val="007A6A3A"/>
    <w:rsid w:val="007A6FE6"/>
    <w:rsid w:val="007A788E"/>
    <w:rsid w:val="007A78E3"/>
    <w:rsid w:val="007B17FB"/>
    <w:rsid w:val="007B2150"/>
    <w:rsid w:val="007B21DB"/>
    <w:rsid w:val="007B3059"/>
    <w:rsid w:val="007B34F3"/>
    <w:rsid w:val="007B3D88"/>
    <w:rsid w:val="007B4899"/>
    <w:rsid w:val="007B48E6"/>
    <w:rsid w:val="007B4D45"/>
    <w:rsid w:val="007B51FF"/>
    <w:rsid w:val="007B5B22"/>
    <w:rsid w:val="007B62C7"/>
    <w:rsid w:val="007B7181"/>
    <w:rsid w:val="007B7369"/>
    <w:rsid w:val="007C17B5"/>
    <w:rsid w:val="007C18D0"/>
    <w:rsid w:val="007C19E0"/>
    <w:rsid w:val="007C23E6"/>
    <w:rsid w:val="007C2C74"/>
    <w:rsid w:val="007C2E0E"/>
    <w:rsid w:val="007C2E69"/>
    <w:rsid w:val="007C3C64"/>
    <w:rsid w:val="007C4D4E"/>
    <w:rsid w:val="007C5035"/>
    <w:rsid w:val="007C66D2"/>
    <w:rsid w:val="007D00C0"/>
    <w:rsid w:val="007D09FF"/>
    <w:rsid w:val="007D0E4C"/>
    <w:rsid w:val="007D147C"/>
    <w:rsid w:val="007D29EB"/>
    <w:rsid w:val="007D330E"/>
    <w:rsid w:val="007D37B4"/>
    <w:rsid w:val="007D381A"/>
    <w:rsid w:val="007D3F3C"/>
    <w:rsid w:val="007D4B93"/>
    <w:rsid w:val="007D4C63"/>
    <w:rsid w:val="007D595A"/>
    <w:rsid w:val="007D5D93"/>
    <w:rsid w:val="007D655A"/>
    <w:rsid w:val="007D79FE"/>
    <w:rsid w:val="007E03BB"/>
    <w:rsid w:val="007E2960"/>
    <w:rsid w:val="007E2E8A"/>
    <w:rsid w:val="007E32EE"/>
    <w:rsid w:val="007E355A"/>
    <w:rsid w:val="007E3C30"/>
    <w:rsid w:val="007E4E1F"/>
    <w:rsid w:val="007E6672"/>
    <w:rsid w:val="007E6EE4"/>
    <w:rsid w:val="007E7127"/>
    <w:rsid w:val="007F0B81"/>
    <w:rsid w:val="007F0FB1"/>
    <w:rsid w:val="007F13AA"/>
    <w:rsid w:val="007F1893"/>
    <w:rsid w:val="007F213C"/>
    <w:rsid w:val="007F2FA4"/>
    <w:rsid w:val="007F37B6"/>
    <w:rsid w:val="007F3B5B"/>
    <w:rsid w:val="007F443A"/>
    <w:rsid w:val="007F44E9"/>
    <w:rsid w:val="007F46BE"/>
    <w:rsid w:val="007F47EE"/>
    <w:rsid w:val="007F687E"/>
    <w:rsid w:val="007F6B39"/>
    <w:rsid w:val="007F7827"/>
    <w:rsid w:val="007F7ADE"/>
    <w:rsid w:val="007F7CC4"/>
    <w:rsid w:val="008002FE"/>
    <w:rsid w:val="0080092B"/>
    <w:rsid w:val="008009F0"/>
    <w:rsid w:val="00800A02"/>
    <w:rsid w:val="00801186"/>
    <w:rsid w:val="00801C73"/>
    <w:rsid w:val="0080216E"/>
    <w:rsid w:val="0080295F"/>
    <w:rsid w:val="00802A22"/>
    <w:rsid w:val="00803A1B"/>
    <w:rsid w:val="00803C77"/>
    <w:rsid w:val="0080464C"/>
    <w:rsid w:val="0080494C"/>
    <w:rsid w:val="00804D87"/>
    <w:rsid w:val="00805247"/>
    <w:rsid w:val="00806B4F"/>
    <w:rsid w:val="00806D32"/>
    <w:rsid w:val="00807632"/>
    <w:rsid w:val="00807EC7"/>
    <w:rsid w:val="00807F43"/>
    <w:rsid w:val="008101DB"/>
    <w:rsid w:val="008112ED"/>
    <w:rsid w:val="008116B3"/>
    <w:rsid w:val="00811A11"/>
    <w:rsid w:val="0081242F"/>
    <w:rsid w:val="008131C5"/>
    <w:rsid w:val="00814184"/>
    <w:rsid w:val="008144DD"/>
    <w:rsid w:val="0081475E"/>
    <w:rsid w:val="00814DDF"/>
    <w:rsid w:val="00815460"/>
    <w:rsid w:val="0081689D"/>
    <w:rsid w:val="008175E5"/>
    <w:rsid w:val="00820514"/>
    <w:rsid w:val="00820B5F"/>
    <w:rsid w:val="00820CC6"/>
    <w:rsid w:val="00821BEC"/>
    <w:rsid w:val="008225C4"/>
    <w:rsid w:val="008234D7"/>
    <w:rsid w:val="008236C4"/>
    <w:rsid w:val="00824912"/>
    <w:rsid w:val="00824B91"/>
    <w:rsid w:val="00825409"/>
    <w:rsid w:val="00825AFF"/>
    <w:rsid w:val="00826432"/>
    <w:rsid w:val="0082697A"/>
    <w:rsid w:val="00826EC3"/>
    <w:rsid w:val="0082732D"/>
    <w:rsid w:val="008274EF"/>
    <w:rsid w:val="00827F84"/>
    <w:rsid w:val="008302F0"/>
    <w:rsid w:val="00830859"/>
    <w:rsid w:val="0083198F"/>
    <w:rsid w:val="00831EA4"/>
    <w:rsid w:val="0083281D"/>
    <w:rsid w:val="00833378"/>
    <w:rsid w:val="008336BC"/>
    <w:rsid w:val="008346B7"/>
    <w:rsid w:val="008347EB"/>
    <w:rsid w:val="008348DC"/>
    <w:rsid w:val="0083544B"/>
    <w:rsid w:val="00835AB6"/>
    <w:rsid w:val="00837353"/>
    <w:rsid w:val="008406D4"/>
    <w:rsid w:val="008408CB"/>
    <w:rsid w:val="0084113E"/>
    <w:rsid w:val="008415B7"/>
    <w:rsid w:val="00842B5E"/>
    <w:rsid w:val="0084387C"/>
    <w:rsid w:val="00844118"/>
    <w:rsid w:val="00844AA1"/>
    <w:rsid w:val="008450FE"/>
    <w:rsid w:val="00845EF6"/>
    <w:rsid w:val="00846A47"/>
    <w:rsid w:val="00846B02"/>
    <w:rsid w:val="0084714F"/>
    <w:rsid w:val="0084742B"/>
    <w:rsid w:val="008504AC"/>
    <w:rsid w:val="00850899"/>
    <w:rsid w:val="0085163B"/>
    <w:rsid w:val="008516C2"/>
    <w:rsid w:val="00851891"/>
    <w:rsid w:val="0085197C"/>
    <w:rsid w:val="00851A81"/>
    <w:rsid w:val="00851C06"/>
    <w:rsid w:val="00852921"/>
    <w:rsid w:val="008534B7"/>
    <w:rsid w:val="00854AD8"/>
    <w:rsid w:val="00856462"/>
    <w:rsid w:val="008603A7"/>
    <w:rsid w:val="00860DB2"/>
    <w:rsid w:val="00861021"/>
    <w:rsid w:val="0086168E"/>
    <w:rsid w:val="00862BFE"/>
    <w:rsid w:val="008632A0"/>
    <w:rsid w:val="00864827"/>
    <w:rsid w:val="00864FCA"/>
    <w:rsid w:val="00865954"/>
    <w:rsid w:val="00866B70"/>
    <w:rsid w:val="00867ED6"/>
    <w:rsid w:val="0087000B"/>
    <w:rsid w:val="00870675"/>
    <w:rsid w:val="00870918"/>
    <w:rsid w:val="00870E67"/>
    <w:rsid w:val="0087186F"/>
    <w:rsid w:val="00871D4D"/>
    <w:rsid w:val="00872536"/>
    <w:rsid w:val="008729B7"/>
    <w:rsid w:val="00872C8E"/>
    <w:rsid w:val="00873319"/>
    <w:rsid w:val="008766F0"/>
    <w:rsid w:val="00876BD5"/>
    <w:rsid w:val="00876BD7"/>
    <w:rsid w:val="0087735E"/>
    <w:rsid w:val="0088285B"/>
    <w:rsid w:val="00882A49"/>
    <w:rsid w:val="00882C0D"/>
    <w:rsid w:val="00883002"/>
    <w:rsid w:val="008839B3"/>
    <w:rsid w:val="00885494"/>
    <w:rsid w:val="00885555"/>
    <w:rsid w:val="00886D83"/>
    <w:rsid w:val="00886E01"/>
    <w:rsid w:val="0088774A"/>
    <w:rsid w:val="008902D9"/>
    <w:rsid w:val="00890529"/>
    <w:rsid w:val="00890577"/>
    <w:rsid w:val="0089127E"/>
    <w:rsid w:val="00891DFF"/>
    <w:rsid w:val="00892524"/>
    <w:rsid w:val="00892961"/>
    <w:rsid w:val="00892D25"/>
    <w:rsid w:val="00893471"/>
    <w:rsid w:val="00893A9A"/>
    <w:rsid w:val="00893F1F"/>
    <w:rsid w:val="0089476C"/>
    <w:rsid w:val="008958F2"/>
    <w:rsid w:val="00895A1A"/>
    <w:rsid w:val="00895C02"/>
    <w:rsid w:val="00896625"/>
    <w:rsid w:val="008969EB"/>
    <w:rsid w:val="008971B9"/>
    <w:rsid w:val="008A22AD"/>
    <w:rsid w:val="008A26D8"/>
    <w:rsid w:val="008A38F5"/>
    <w:rsid w:val="008A4437"/>
    <w:rsid w:val="008A4D05"/>
    <w:rsid w:val="008A5113"/>
    <w:rsid w:val="008A5293"/>
    <w:rsid w:val="008A6AFA"/>
    <w:rsid w:val="008A6FCB"/>
    <w:rsid w:val="008B00BF"/>
    <w:rsid w:val="008B0373"/>
    <w:rsid w:val="008B08AE"/>
    <w:rsid w:val="008B120B"/>
    <w:rsid w:val="008B1967"/>
    <w:rsid w:val="008B1B26"/>
    <w:rsid w:val="008B2391"/>
    <w:rsid w:val="008B26F0"/>
    <w:rsid w:val="008B41BE"/>
    <w:rsid w:val="008B4638"/>
    <w:rsid w:val="008B5528"/>
    <w:rsid w:val="008B5642"/>
    <w:rsid w:val="008B5B99"/>
    <w:rsid w:val="008B61EF"/>
    <w:rsid w:val="008B6DB7"/>
    <w:rsid w:val="008B70DC"/>
    <w:rsid w:val="008B70F6"/>
    <w:rsid w:val="008B7313"/>
    <w:rsid w:val="008B744D"/>
    <w:rsid w:val="008B781C"/>
    <w:rsid w:val="008C08FC"/>
    <w:rsid w:val="008C0EBF"/>
    <w:rsid w:val="008C0FAB"/>
    <w:rsid w:val="008C1DBA"/>
    <w:rsid w:val="008C292B"/>
    <w:rsid w:val="008C3882"/>
    <w:rsid w:val="008C3A39"/>
    <w:rsid w:val="008C4400"/>
    <w:rsid w:val="008C624B"/>
    <w:rsid w:val="008C69FE"/>
    <w:rsid w:val="008C6BD8"/>
    <w:rsid w:val="008C707E"/>
    <w:rsid w:val="008C79B6"/>
    <w:rsid w:val="008D0C10"/>
    <w:rsid w:val="008D1110"/>
    <w:rsid w:val="008D1A21"/>
    <w:rsid w:val="008D1A67"/>
    <w:rsid w:val="008D281B"/>
    <w:rsid w:val="008D3BB4"/>
    <w:rsid w:val="008D3D71"/>
    <w:rsid w:val="008D42E7"/>
    <w:rsid w:val="008D4659"/>
    <w:rsid w:val="008D48CD"/>
    <w:rsid w:val="008D4AAA"/>
    <w:rsid w:val="008D5C62"/>
    <w:rsid w:val="008D6890"/>
    <w:rsid w:val="008D6E72"/>
    <w:rsid w:val="008E010B"/>
    <w:rsid w:val="008E21C2"/>
    <w:rsid w:val="008E234D"/>
    <w:rsid w:val="008E3054"/>
    <w:rsid w:val="008E3243"/>
    <w:rsid w:val="008E3561"/>
    <w:rsid w:val="008E422C"/>
    <w:rsid w:val="008E4F2C"/>
    <w:rsid w:val="008E5D0A"/>
    <w:rsid w:val="008E6B9C"/>
    <w:rsid w:val="008E6FD4"/>
    <w:rsid w:val="008F030E"/>
    <w:rsid w:val="008F059E"/>
    <w:rsid w:val="008F23FA"/>
    <w:rsid w:val="008F24BD"/>
    <w:rsid w:val="008F24D4"/>
    <w:rsid w:val="008F259A"/>
    <w:rsid w:val="008F2AF3"/>
    <w:rsid w:val="008F3510"/>
    <w:rsid w:val="008F3CE2"/>
    <w:rsid w:val="008F4C97"/>
    <w:rsid w:val="008F5157"/>
    <w:rsid w:val="008F5200"/>
    <w:rsid w:val="008F6627"/>
    <w:rsid w:val="008F6794"/>
    <w:rsid w:val="008F6823"/>
    <w:rsid w:val="008F68C4"/>
    <w:rsid w:val="008F721F"/>
    <w:rsid w:val="00900B5E"/>
    <w:rsid w:val="0090168D"/>
    <w:rsid w:val="00902730"/>
    <w:rsid w:val="00902EBB"/>
    <w:rsid w:val="009043EB"/>
    <w:rsid w:val="0090475B"/>
    <w:rsid w:val="00904792"/>
    <w:rsid w:val="00906FC0"/>
    <w:rsid w:val="00907970"/>
    <w:rsid w:val="00907AD2"/>
    <w:rsid w:val="00910549"/>
    <w:rsid w:val="00911EA6"/>
    <w:rsid w:val="009124CB"/>
    <w:rsid w:val="0091361D"/>
    <w:rsid w:val="0091550A"/>
    <w:rsid w:val="00915F59"/>
    <w:rsid w:val="00916112"/>
    <w:rsid w:val="0091629E"/>
    <w:rsid w:val="00916414"/>
    <w:rsid w:val="009165C1"/>
    <w:rsid w:val="00916B1D"/>
    <w:rsid w:val="00917204"/>
    <w:rsid w:val="009175BF"/>
    <w:rsid w:val="00920798"/>
    <w:rsid w:val="00920A3F"/>
    <w:rsid w:val="00921C88"/>
    <w:rsid w:val="00921D9F"/>
    <w:rsid w:val="009233E1"/>
    <w:rsid w:val="00924AD8"/>
    <w:rsid w:val="00924EBC"/>
    <w:rsid w:val="00927006"/>
    <w:rsid w:val="00930166"/>
    <w:rsid w:val="00930BB8"/>
    <w:rsid w:val="00933429"/>
    <w:rsid w:val="00934A28"/>
    <w:rsid w:val="00935D79"/>
    <w:rsid w:val="00935E3A"/>
    <w:rsid w:val="009361E6"/>
    <w:rsid w:val="009361F6"/>
    <w:rsid w:val="00936BBB"/>
    <w:rsid w:val="00936E73"/>
    <w:rsid w:val="0093700C"/>
    <w:rsid w:val="009375AA"/>
    <w:rsid w:val="00937AFD"/>
    <w:rsid w:val="009410D4"/>
    <w:rsid w:val="009418EE"/>
    <w:rsid w:val="00941DF6"/>
    <w:rsid w:val="00941EF6"/>
    <w:rsid w:val="00942186"/>
    <w:rsid w:val="00942376"/>
    <w:rsid w:val="00942474"/>
    <w:rsid w:val="00942CFD"/>
    <w:rsid w:val="00943303"/>
    <w:rsid w:val="009444AD"/>
    <w:rsid w:val="009445BA"/>
    <w:rsid w:val="00944B24"/>
    <w:rsid w:val="00946859"/>
    <w:rsid w:val="00946F91"/>
    <w:rsid w:val="0094742D"/>
    <w:rsid w:val="00947E05"/>
    <w:rsid w:val="00950CF7"/>
    <w:rsid w:val="00950EA0"/>
    <w:rsid w:val="009512C2"/>
    <w:rsid w:val="00951EA1"/>
    <w:rsid w:val="009538F9"/>
    <w:rsid w:val="009539D8"/>
    <w:rsid w:val="0095449E"/>
    <w:rsid w:val="0095450C"/>
    <w:rsid w:val="00955D06"/>
    <w:rsid w:val="00955F38"/>
    <w:rsid w:val="009567BA"/>
    <w:rsid w:val="0095687A"/>
    <w:rsid w:val="00957015"/>
    <w:rsid w:val="00957876"/>
    <w:rsid w:val="00960E20"/>
    <w:rsid w:val="00961245"/>
    <w:rsid w:val="00961A2A"/>
    <w:rsid w:val="0096222B"/>
    <w:rsid w:val="0096269B"/>
    <w:rsid w:val="00962A25"/>
    <w:rsid w:val="00963048"/>
    <w:rsid w:val="0096347B"/>
    <w:rsid w:val="00964546"/>
    <w:rsid w:val="00964850"/>
    <w:rsid w:val="00964AE4"/>
    <w:rsid w:val="00965437"/>
    <w:rsid w:val="009661C9"/>
    <w:rsid w:val="00966250"/>
    <w:rsid w:val="009669A6"/>
    <w:rsid w:val="009672FE"/>
    <w:rsid w:val="00967A62"/>
    <w:rsid w:val="00970DEF"/>
    <w:rsid w:val="00970E28"/>
    <w:rsid w:val="009710EC"/>
    <w:rsid w:val="009711D0"/>
    <w:rsid w:val="00972982"/>
    <w:rsid w:val="0097394B"/>
    <w:rsid w:val="00973ED2"/>
    <w:rsid w:val="00974625"/>
    <w:rsid w:val="00976F6A"/>
    <w:rsid w:val="009777C5"/>
    <w:rsid w:val="00981A9C"/>
    <w:rsid w:val="00982DB5"/>
    <w:rsid w:val="0098316A"/>
    <w:rsid w:val="009837B6"/>
    <w:rsid w:val="00984644"/>
    <w:rsid w:val="0098492D"/>
    <w:rsid w:val="009851C2"/>
    <w:rsid w:val="00985ACE"/>
    <w:rsid w:val="009864E7"/>
    <w:rsid w:val="009865D9"/>
    <w:rsid w:val="00986F1F"/>
    <w:rsid w:val="00987139"/>
    <w:rsid w:val="0098769C"/>
    <w:rsid w:val="0099013A"/>
    <w:rsid w:val="009901B5"/>
    <w:rsid w:val="00990908"/>
    <w:rsid w:val="00991AE9"/>
    <w:rsid w:val="00992070"/>
    <w:rsid w:val="0099247A"/>
    <w:rsid w:val="00992787"/>
    <w:rsid w:val="0099372C"/>
    <w:rsid w:val="00994094"/>
    <w:rsid w:val="00994155"/>
    <w:rsid w:val="009941F7"/>
    <w:rsid w:val="009951F5"/>
    <w:rsid w:val="00995299"/>
    <w:rsid w:val="0099572E"/>
    <w:rsid w:val="009967B3"/>
    <w:rsid w:val="00996C52"/>
    <w:rsid w:val="00996CA8"/>
    <w:rsid w:val="00997294"/>
    <w:rsid w:val="009975D5"/>
    <w:rsid w:val="00997DDE"/>
    <w:rsid w:val="009A00AD"/>
    <w:rsid w:val="009A1017"/>
    <w:rsid w:val="009A19A2"/>
    <w:rsid w:val="009A1AB1"/>
    <w:rsid w:val="009A21CB"/>
    <w:rsid w:val="009A253B"/>
    <w:rsid w:val="009A3814"/>
    <w:rsid w:val="009A3AF3"/>
    <w:rsid w:val="009A4755"/>
    <w:rsid w:val="009A55F5"/>
    <w:rsid w:val="009A59AE"/>
    <w:rsid w:val="009A602E"/>
    <w:rsid w:val="009A6C2D"/>
    <w:rsid w:val="009A7049"/>
    <w:rsid w:val="009A7D2A"/>
    <w:rsid w:val="009B042F"/>
    <w:rsid w:val="009B0550"/>
    <w:rsid w:val="009B1144"/>
    <w:rsid w:val="009B2560"/>
    <w:rsid w:val="009B2849"/>
    <w:rsid w:val="009B29E2"/>
    <w:rsid w:val="009B440F"/>
    <w:rsid w:val="009B4592"/>
    <w:rsid w:val="009B4C93"/>
    <w:rsid w:val="009B4FB7"/>
    <w:rsid w:val="009B5978"/>
    <w:rsid w:val="009B5C94"/>
    <w:rsid w:val="009B5E9C"/>
    <w:rsid w:val="009B6352"/>
    <w:rsid w:val="009B712D"/>
    <w:rsid w:val="009B7494"/>
    <w:rsid w:val="009B7DCB"/>
    <w:rsid w:val="009C0096"/>
    <w:rsid w:val="009C0C64"/>
    <w:rsid w:val="009C1AB2"/>
    <w:rsid w:val="009C2727"/>
    <w:rsid w:val="009C2AE9"/>
    <w:rsid w:val="009C2D7E"/>
    <w:rsid w:val="009C477A"/>
    <w:rsid w:val="009C4A7F"/>
    <w:rsid w:val="009C4BFE"/>
    <w:rsid w:val="009C51BA"/>
    <w:rsid w:val="009C7784"/>
    <w:rsid w:val="009C7A2B"/>
    <w:rsid w:val="009C7E9C"/>
    <w:rsid w:val="009D0BEE"/>
    <w:rsid w:val="009D15EB"/>
    <w:rsid w:val="009D1B02"/>
    <w:rsid w:val="009D2649"/>
    <w:rsid w:val="009D31FA"/>
    <w:rsid w:val="009D3DDA"/>
    <w:rsid w:val="009D3F93"/>
    <w:rsid w:val="009D5749"/>
    <w:rsid w:val="009D5A97"/>
    <w:rsid w:val="009D6418"/>
    <w:rsid w:val="009D6FC2"/>
    <w:rsid w:val="009D7B6D"/>
    <w:rsid w:val="009D7C5E"/>
    <w:rsid w:val="009D7FE2"/>
    <w:rsid w:val="009E2575"/>
    <w:rsid w:val="009E4066"/>
    <w:rsid w:val="009E4510"/>
    <w:rsid w:val="009E466B"/>
    <w:rsid w:val="009E46B6"/>
    <w:rsid w:val="009E534B"/>
    <w:rsid w:val="009E6788"/>
    <w:rsid w:val="009E6DCD"/>
    <w:rsid w:val="009E6F0A"/>
    <w:rsid w:val="009E7691"/>
    <w:rsid w:val="009E7B35"/>
    <w:rsid w:val="009E7D52"/>
    <w:rsid w:val="009E7EF6"/>
    <w:rsid w:val="009F057B"/>
    <w:rsid w:val="009F1FB7"/>
    <w:rsid w:val="009F2050"/>
    <w:rsid w:val="009F2F2D"/>
    <w:rsid w:val="009F3A9E"/>
    <w:rsid w:val="009F519F"/>
    <w:rsid w:val="009F58F0"/>
    <w:rsid w:val="009F5907"/>
    <w:rsid w:val="009F6065"/>
    <w:rsid w:val="009F608F"/>
    <w:rsid w:val="009F609B"/>
    <w:rsid w:val="009F61C0"/>
    <w:rsid w:val="009F6CC5"/>
    <w:rsid w:val="009F7148"/>
    <w:rsid w:val="00A0049D"/>
    <w:rsid w:val="00A005BF"/>
    <w:rsid w:val="00A00605"/>
    <w:rsid w:val="00A00A5C"/>
    <w:rsid w:val="00A01067"/>
    <w:rsid w:val="00A01275"/>
    <w:rsid w:val="00A014FC"/>
    <w:rsid w:val="00A02065"/>
    <w:rsid w:val="00A0212F"/>
    <w:rsid w:val="00A022B3"/>
    <w:rsid w:val="00A024FE"/>
    <w:rsid w:val="00A0283C"/>
    <w:rsid w:val="00A02C8F"/>
    <w:rsid w:val="00A02D75"/>
    <w:rsid w:val="00A03A59"/>
    <w:rsid w:val="00A04BB6"/>
    <w:rsid w:val="00A0519A"/>
    <w:rsid w:val="00A05F2B"/>
    <w:rsid w:val="00A06128"/>
    <w:rsid w:val="00A06214"/>
    <w:rsid w:val="00A074BF"/>
    <w:rsid w:val="00A07534"/>
    <w:rsid w:val="00A10148"/>
    <w:rsid w:val="00A108E6"/>
    <w:rsid w:val="00A10A32"/>
    <w:rsid w:val="00A10C07"/>
    <w:rsid w:val="00A10C5E"/>
    <w:rsid w:val="00A1137E"/>
    <w:rsid w:val="00A11D24"/>
    <w:rsid w:val="00A126E6"/>
    <w:rsid w:val="00A12A96"/>
    <w:rsid w:val="00A13410"/>
    <w:rsid w:val="00A148AF"/>
    <w:rsid w:val="00A152C4"/>
    <w:rsid w:val="00A155B1"/>
    <w:rsid w:val="00A15C07"/>
    <w:rsid w:val="00A16249"/>
    <w:rsid w:val="00A16697"/>
    <w:rsid w:val="00A1696E"/>
    <w:rsid w:val="00A2252D"/>
    <w:rsid w:val="00A229C5"/>
    <w:rsid w:val="00A229EA"/>
    <w:rsid w:val="00A23364"/>
    <w:rsid w:val="00A2361C"/>
    <w:rsid w:val="00A24DD7"/>
    <w:rsid w:val="00A24F3C"/>
    <w:rsid w:val="00A2547B"/>
    <w:rsid w:val="00A25B4A"/>
    <w:rsid w:val="00A26815"/>
    <w:rsid w:val="00A26B0D"/>
    <w:rsid w:val="00A26D4B"/>
    <w:rsid w:val="00A310DC"/>
    <w:rsid w:val="00A31317"/>
    <w:rsid w:val="00A3134D"/>
    <w:rsid w:val="00A32148"/>
    <w:rsid w:val="00A33920"/>
    <w:rsid w:val="00A3507D"/>
    <w:rsid w:val="00A35590"/>
    <w:rsid w:val="00A35D57"/>
    <w:rsid w:val="00A35F58"/>
    <w:rsid w:val="00A35FAE"/>
    <w:rsid w:val="00A363F1"/>
    <w:rsid w:val="00A36DAC"/>
    <w:rsid w:val="00A3739B"/>
    <w:rsid w:val="00A40E46"/>
    <w:rsid w:val="00A41A0C"/>
    <w:rsid w:val="00A43AF1"/>
    <w:rsid w:val="00A442F3"/>
    <w:rsid w:val="00A443E1"/>
    <w:rsid w:val="00A443EF"/>
    <w:rsid w:val="00A4461B"/>
    <w:rsid w:val="00A45EAF"/>
    <w:rsid w:val="00A46C60"/>
    <w:rsid w:val="00A46C96"/>
    <w:rsid w:val="00A471B6"/>
    <w:rsid w:val="00A473CB"/>
    <w:rsid w:val="00A4771E"/>
    <w:rsid w:val="00A47914"/>
    <w:rsid w:val="00A47A5B"/>
    <w:rsid w:val="00A47B33"/>
    <w:rsid w:val="00A501D4"/>
    <w:rsid w:val="00A5039C"/>
    <w:rsid w:val="00A50582"/>
    <w:rsid w:val="00A53474"/>
    <w:rsid w:val="00A53AE9"/>
    <w:rsid w:val="00A54004"/>
    <w:rsid w:val="00A54080"/>
    <w:rsid w:val="00A54667"/>
    <w:rsid w:val="00A54B57"/>
    <w:rsid w:val="00A551B9"/>
    <w:rsid w:val="00A555BE"/>
    <w:rsid w:val="00A55AEF"/>
    <w:rsid w:val="00A56420"/>
    <w:rsid w:val="00A60376"/>
    <w:rsid w:val="00A60F60"/>
    <w:rsid w:val="00A626BF"/>
    <w:rsid w:val="00A63578"/>
    <w:rsid w:val="00A63E52"/>
    <w:rsid w:val="00A6465D"/>
    <w:rsid w:val="00A64845"/>
    <w:rsid w:val="00A64C2B"/>
    <w:rsid w:val="00A653C0"/>
    <w:rsid w:val="00A66AFB"/>
    <w:rsid w:val="00A67971"/>
    <w:rsid w:val="00A67E6F"/>
    <w:rsid w:val="00A700B1"/>
    <w:rsid w:val="00A71428"/>
    <w:rsid w:val="00A716A1"/>
    <w:rsid w:val="00A71E61"/>
    <w:rsid w:val="00A72D37"/>
    <w:rsid w:val="00A72F2A"/>
    <w:rsid w:val="00A73D40"/>
    <w:rsid w:val="00A75ACE"/>
    <w:rsid w:val="00A75E9B"/>
    <w:rsid w:val="00A777D1"/>
    <w:rsid w:val="00A8088F"/>
    <w:rsid w:val="00A81E9B"/>
    <w:rsid w:val="00A82712"/>
    <w:rsid w:val="00A82CDC"/>
    <w:rsid w:val="00A83E51"/>
    <w:rsid w:val="00A856E2"/>
    <w:rsid w:val="00A86A0C"/>
    <w:rsid w:val="00A86DF3"/>
    <w:rsid w:val="00A90CD0"/>
    <w:rsid w:val="00A90FDE"/>
    <w:rsid w:val="00A9158C"/>
    <w:rsid w:val="00A915C2"/>
    <w:rsid w:val="00A9228B"/>
    <w:rsid w:val="00A92A27"/>
    <w:rsid w:val="00A9352B"/>
    <w:rsid w:val="00A93F78"/>
    <w:rsid w:val="00A94283"/>
    <w:rsid w:val="00A94CDD"/>
    <w:rsid w:val="00A94EEC"/>
    <w:rsid w:val="00A95F87"/>
    <w:rsid w:val="00A963FD"/>
    <w:rsid w:val="00A97821"/>
    <w:rsid w:val="00AA1085"/>
    <w:rsid w:val="00AA165E"/>
    <w:rsid w:val="00AA18D3"/>
    <w:rsid w:val="00AA2633"/>
    <w:rsid w:val="00AA2EFD"/>
    <w:rsid w:val="00AA32F1"/>
    <w:rsid w:val="00AA3313"/>
    <w:rsid w:val="00AA372B"/>
    <w:rsid w:val="00AA3A49"/>
    <w:rsid w:val="00AA3DE4"/>
    <w:rsid w:val="00AA421D"/>
    <w:rsid w:val="00AA4714"/>
    <w:rsid w:val="00AA4AEC"/>
    <w:rsid w:val="00AA4C8D"/>
    <w:rsid w:val="00AA5A2D"/>
    <w:rsid w:val="00AA6602"/>
    <w:rsid w:val="00AA6653"/>
    <w:rsid w:val="00AA74DF"/>
    <w:rsid w:val="00AA75A1"/>
    <w:rsid w:val="00AB03BB"/>
    <w:rsid w:val="00AB07DF"/>
    <w:rsid w:val="00AB13F0"/>
    <w:rsid w:val="00AB1DCD"/>
    <w:rsid w:val="00AB33CC"/>
    <w:rsid w:val="00AB41E7"/>
    <w:rsid w:val="00AB424A"/>
    <w:rsid w:val="00AB55EF"/>
    <w:rsid w:val="00AB6AC2"/>
    <w:rsid w:val="00AB6C4D"/>
    <w:rsid w:val="00AB6CDE"/>
    <w:rsid w:val="00AB6E8E"/>
    <w:rsid w:val="00AC030A"/>
    <w:rsid w:val="00AC08EF"/>
    <w:rsid w:val="00AC0B8B"/>
    <w:rsid w:val="00AC2DBB"/>
    <w:rsid w:val="00AC41FC"/>
    <w:rsid w:val="00AC4BC7"/>
    <w:rsid w:val="00AC4D03"/>
    <w:rsid w:val="00AC561D"/>
    <w:rsid w:val="00AC5A4F"/>
    <w:rsid w:val="00AC5C28"/>
    <w:rsid w:val="00AC640F"/>
    <w:rsid w:val="00AC6B1C"/>
    <w:rsid w:val="00AC6B9A"/>
    <w:rsid w:val="00AD0D54"/>
    <w:rsid w:val="00AD1585"/>
    <w:rsid w:val="00AD1B3A"/>
    <w:rsid w:val="00AD2368"/>
    <w:rsid w:val="00AD34AB"/>
    <w:rsid w:val="00AD5113"/>
    <w:rsid w:val="00AD5374"/>
    <w:rsid w:val="00AD5B3D"/>
    <w:rsid w:val="00AD5E8E"/>
    <w:rsid w:val="00AD5ED0"/>
    <w:rsid w:val="00AD7C58"/>
    <w:rsid w:val="00AE0F9F"/>
    <w:rsid w:val="00AE16EB"/>
    <w:rsid w:val="00AE3116"/>
    <w:rsid w:val="00AE46D3"/>
    <w:rsid w:val="00AE4769"/>
    <w:rsid w:val="00AF0198"/>
    <w:rsid w:val="00AF027A"/>
    <w:rsid w:val="00AF0686"/>
    <w:rsid w:val="00AF14CE"/>
    <w:rsid w:val="00AF18E0"/>
    <w:rsid w:val="00AF31C1"/>
    <w:rsid w:val="00AF3925"/>
    <w:rsid w:val="00AF3933"/>
    <w:rsid w:val="00AF4D42"/>
    <w:rsid w:val="00AF505E"/>
    <w:rsid w:val="00AF525D"/>
    <w:rsid w:val="00B000DC"/>
    <w:rsid w:val="00B000E1"/>
    <w:rsid w:val="00B0016F"/>
    <w:rsid w:val="00B0025E"/>
    <w:rsid w:val="00B0039A"/>
    <w:rsid w:val="00B01A85"/>
    <w:rsid w:val="00B01EB0"/>
    <w:rsid w:val="00B01F4D"/>
    <w:rsid w:val="00B020E2"/>
    <w:rsid w:val="00B02B00"/>
    <w:rsid w:val="00B07C19"/>
    <w:rsid w:val="00B13EB7"/>
    <w:rsid w:val="00B1541E"/>
    <w:rsid w:val="00B160F3"/>
    <w:rsid w:val="00B1649C"/>
    <w:rsid w:val="00B21CEE"/>
    <w:rsid w:val="00B21E17"/>
    <w:rsid w:val="00B22C49"/>
    <w:rsid w:val="00B22D58"/>
    <w:rsid w:val="00B23036"/>
    <w:rsid w:val="00B234A6"/>
    <w:rsid w:val="00B234C2"/>
    <w:rsid w:val="00B23AD0"/>
    <w:rsid w:val="00B23B2E"/>
    <w:rsid w:val="00B23B42"/>
    <w:rsid w:val="00B24129"/>
    <w:rsid w:val="00B249BB"/>
    <w:rsid w:val="00B24BD3"/>
    <w:rsid w:val="00B24D51"/>
    <w:rsid w:val="00B25601"/>
    <w:rsid w:val="00B26C60"/>
    <w:rsid w:val="00B26EC0"/>
    <w:rsid w:val="00B27232"/>
    <w:rsid w:val="00B27D31"/>
    <w:rsid w:val="00B27F9C"/>
    <w:rsid w:val="00B300DA"/>
    <w:rsid w:val="00B30570"/>
    <w:rsid w:val="00B31000"/>
    <w:rsid w:val="00B31BBE"/>
    <w:rsid w:val="00B32EC3"/>
    <w:rsid w:val="00B34E11"/>
    <w:rsid w:val="00B36194"/>
    <w:rsid w:val="00B36975"/>
    <w:rsid w:val="00B36A6E"/>
    <w:rsid w:val="00B372DA"/>
    <w:rsid w:val="00B3744F"/>
    <w:rsid w:val="00B40893"/>
    <w:rsid w:val="00B408BC"/>
    <w:rsid w:val="00B40C44"/>
    <w:rsid w:val="00B40EE9"/>
    <w:rsid w:val="00B4166F"/>
    <w:rsid w:val="00B43790"/>
    <w:rsid w:val="00B43845"/>
    <w:rsid w:val="00B43C82"/>
    <w:rsid w:val="00B45341"/>
    <w:rsid w:val="00B4574C"/>
    <w:rsid w:val="00B45A2C"/>
    <w:rsid w:val="00B45CF0"/>
    <w:rsid w:val="00B45D61"/>
    <w:rsid w:val="00B4622B"/>
    <w:rsid w:val="00B46ACF"/>
    <w:rsid w:val="00B479C1"/>
    <w:rsid w:val="00B50186"/>
    <w:rsid w:val="00B5139C"/>
    <w:rsid w:val="00B51603"/>
    <w:rsid w:val="00B5188D"/>
    <w:rsid w:val="00B51AAD"/>
    <w:rsid w:val="00B535BE"/>
    <w:rsid w:val="00B53EFB"/>
    <w:rsid w:val="00B54EC9"/>
    <w:rsid w:val="00B561ED"/>
    <w:rsid w:val="00B562D2"/>
    <w:rsid w:val="00B565D0"/>
    <w:rsid w:val="00B56B69"/>
    <w:rsid w:val="00B57C46"/>
    <w:rsid w:val="00B6003C"/>
    <w:rsid w:val="00B61129"/>
    <w:rsid w:val="00B613AF"/>
    <w:rsid w:val="00B614E5"/>
    <w:rsid w:val="00B63C8F"/>
    <w:rsid w:val="00B644E8"/>
    <w:rsid w:val="00B655C6"/>
    <w:rsid w:val="00B65661"/>
    <w:rsid w:val="00B65877"/>
    <w:rsid w:val="00B65E0C"/>
    <w:rsid w:val="00B666D2"/>
    <w:rsid w:val="00B667A1"/>
    <w:rsid w:val="00B66BDC"/>
    <w:rsid w:val="00B6701E"/>
    <w:rsid w:val="00B675BE"/>
    <w:rsid w:val="00B676D8"/>
    <w:rsid w:val="00B6777E"/>
    <w:rsid w:val="00B6794C"/>
    <w:rsid w:val="00B67B8E"/>
    <w:rsid w:val="00B70007"/>
    <w:rsid w:val="00B71DA8"/>
    <w:rsid w:val="00B72866"/>
    <w:rsid w:val="00B7290C"/>
    <w:rsid w:val="00B74051"/>
    <w:rsid w:val="00B74FDB"/>
    <w:rsid w:val="00B75A81"/>
    <w:rsid w:val="00B761A0"/>
    <w:rsid w:val="00B77AAF"/>
    <w:rsid w:val="00B77AEC"/>
    <w:rsid w:val="00B80087"/>
    <w:rsid w:val="00B80188"/>
    <w:rsid w:val="00B80F43"/>
    <w:rsid w:val="00B81474"/>
    <w:rsid w:val="00B81B2B"/>
    <w:rsid w:val="00B81D9D"/>
    <w:rsid w:val="00B83E20"/>
    <w:rsid w:val="00B83EBA"/>
    <w:rsid w:val="00B8425B"/>
    <w:rsid w:val="00B846B3"/>
    <w:rsid w:val="00B85B10"/>
    <w:rsid w:val="00B87202"/>
    <w:rsid w:val="00B876DF"/>
    <w:rsid w:val="00B91DE3"/>
    <w:rsid w:val="00B920BD"/>
    <w:rsid w:val="00B92257"/>
    <w:rsid w:val="00B92E24"/>
    <w:rsid w:val="00B93D88"/>
    <w:rsid w:val="00B94896"/>
    <w:rsid w:val="00B94C9C"/>
    <w:rsid w:val="00B96978"/>
    <w:rsid w:val="00B97000"/>
    <w:rsid w:val="00BA08B0"/>
    <w:rsid w:val="00BA0ADB"/>
    <w:rsid w:val="00BA0FEB"/>
    <w:rsid w:val="00BA1BB2"/>
    <w:rsid w:val="00BA1D08"/>
    <w:rsid w:val="00BA2B42"/>
    <w:rsid w:val="00BA4046"/>
    <w:rsid w:val="00BA508A"/>
    <w:rsid w:val="00BA534A"/>
    <w:rsid w:val="00BA5814"/>
    <w:rsid w:val="00BA5B10"/>
    <w:rsid w:val="00BA71F0"/>
    <w:rsid w:val="00BA776D"/>
    <w:rsid w:val="00BB0ABB"/>
    <w:rsid w:val="00BB0FD5"/>
    <w:rsid w:val="00BB1A26"/>
    <w:rsid w:val="00BB337B"/>
    <w:rsid w:val="00BB3C47"/>
    <w:rsid w:val="00BB5AC4"/>
    <w:rsid w:val="00BB5C1D"/>
    <w:rsid w:val="00BB64A6"/>
    <w:rsid w:val="00BB70B4"/>
    <w:rsid w:val="00BB7CE4"/>
    <w:rsid w:val="00BC0D51"/>
    <w:rsid w:val="00BC1CFF"/>
    <w:rsid w:val="00BC1EFF"/>
    <w:rsid w:val="00BC33BC"/>
    <w:rsid w:val="00BC4F46"/>
    <w:rsid w:val="00BC5E15"/>
    <w:rsid w:val="00BC6933"/>
    <w:rsid w:val="00BC7315"/>
    <w:rsid w:val="00BD025B"/>
    <w:rsid w:val="00BD02E2"/>
    <w:rsid w:val="00BD0436"/>
    <w:rsid w:val="00BD089F"/>
    <w:rsid w:val="00BD0B3C"/>
    <w:rsid w:val="00BD0CAC"/>
    <w:rsid w:val="00BD1C0B"/>
    <w:rsid w:val="00BD1E8D"/>
    <w:rsid w:val="00BD2C35"/>
    <w:rsid w:val="00BD2D88"/>
    <w:rsid w:val="00BD34E6"/>
    <w:rsid w:val="00BD3A08"/>
    <w:rsid w:val="00BD4152"/>
    <w:rsid w:val="00BD5390"/>
    <w:rsid w:val="00BD6903"/>
    <w:rsid w:val="00BD713D"/>
    <w:rsid w:val="00BE0B3F"/>
    <w:rsid w:val="00BE1152"/>
    <w:rsid w:val="00BE22A2"/>
    <w:rsid w:val="00BE25AA"/>
    <w:rsid w:val="00BE2A89"/>
    <w:rsid w:val="00BE3252"/>
    <w:rsid w:val="00BE3F0D"/>
    <w:rsid w:val="00BE41A0"/>
    <w:rsid w:val="00BE57C9"/>
    <w:rsid w:val="00BE6294"/>
    <w:rsid w:val="00BE6A88"/>
    <w:rsid w:val="00BE7591"/>
    <w:rsid w:val="00BE76FD"/>
    <w:rsid w:val="00BE7726"/>
    <w:rsid w:val="00BF003F"/>
    <w:rsid w:val="00BF0871"/>
    <w:rsid w:val="00BF0F85"/>
    <w:rsid w:val="00BF1E03"/>
    <w:rsid w:val="00BF2F0D"/>
    <w:rsid w:val="00BF4117"/>
    <w:rsid w:val="00BF4233"/>
    <w:rsid w:val="00BF456B"/>
    <w:rsid w:val="00BF475A"/>
    <w:rsid w:val="00BF5A41"/>
    <w:rsid w:val="00BF5FB6"/>
    <w:rsid w:val="00BF6445"/>
    <w:rsid w:val="00BF6804"/>
    <w:rsid w:val="00C0199F"/>
    <w:rsid w:val="00C02003"/>
    <w:rsid w:val="00C02D0A"/>
    <w:rsid w:val="00C02DBF"/>
    <w:rsid w:val="00C05B3B"/>
    <w:rsid w:val="00C05EFE"/>
    <w:rsid w:val="00C05F3D"/>
    <w:rsid w:val="00C062B3"/>
    <w:rsid w:val="00C06667"/>
    <w:rsid w:val="00C07731"/>
    <w:rsid w:val="00C077A9"/>
    <w:rsid w:val="00C07A92"/>
    <w:rsid w:val="00C105AF"/>
    <w:rsid w:val="00C10E24"/>
    <w:rsid w:val="00C1196C"/>
    <w:rsid w:val="00C11CFA"/>
    <w:rsid w:val="00C129C7"/>
    <w:rsid w:val="00C129E8"/>
    <w:rsid w:val="00C12F93"/>
    <w:rsid w:val="00C130EF"/>
    <w:rsid w:val="00C13397"/>
    <w:rsid w:val="00C13733"/>
    <w:rsid w:val="00C1528B"/>
    <w:rsid w:val="00C15648"/>
    <w:rsid w:val="00C16060"/>
    <w:rsid w:val="00C16699"/>
    <w:rsid w:val="00C16E37"/>
    <w:rsid w:val="00C1703C"/>
    <w:rsid w:val="00C17813"/>
    <w:rsid w:val="00C17979"/>
    <w:rsid w:val="00C20E85"/>
    <w:rsid w:val="00C20F2A"/>
    <w:rsid w:val="00C217F4"/>
    <w:rsid w:val="00C21833"/>
    <w:rsid w:val="00C22A54"/>
    <w:rsid w:val="00C23A5F"/>
    <w:rsid w:val="00C24A87"/>
    <w:rsid w:val="00C25507"/>
    <w:rsid w:val="00C26D08"/>
    <w:rsid w:val="00C26D43"/>
    <w:rsid w:val="00C271BC"/>
    <w:rsid w:val="00C302E1"/>
    <w:rsid w:val="00C30450"/>
    <w:rsid w:val="00C3060A"/>
    <w:rsid w:val="00C306F7"/>
    <w:rsid w:val="00C30E71"/>
    <w:rsid w:val="00C31759"/>
    <w:rsid w:val="00C320F1"/>
    <w:rsid w:val="00C34347"/>
    <w:rsid w:val="00C35E3D"/>
    <w:rsid w:val="00C40BEA"/>
    <w:rsid w:val="00C4100F"/>
    <w:rsid w:val="00C411D8"/>
    <w:rsid w:val="00C415A9"/>
    <w:rsid w:val="00C41CAE"/>
    <w:rsid w:val="00C426F4"/>
    <w:rsid w:val="00C42A00"/>
    <w:rsid w:val="00C438FB"/>
    <w:rsid w:val="00C43C81"/>
    <w:rsid w:val="00C44452"/>
    <w:rsid w:val="00C45FF5"/>
    <w:rsid w:val="00C466FA"/>
    <w:rsid w:val="00C47B9F"/>
    <w:rsid w:val="00C50066"/>
    <w:rsid w:val="00C502D6"/>
    <w:rsid w:val="00C50855"/>
    <w:rsid w:val="00C50CCD"/>
    <w:rsid w:val="00C513B0"/>
    <w:rsid w:val="00C515CE"/>
    <w:rsid w:val="00C52049"/>
    <w:rsid w:val="00C53635"/>
    <w:rsid w:val="00C5373C"/>
    <w:rsid w:val="00C540C0"/>
    <w:rsid w:val="00C5446C"/>
    <w:rsid w:val="00C54AE9"/>
    <w:rsid w:val="00C55B63"/>
    <w:rsid w:val="00C56536"/>
    <w:rsid w:val="00C56CF7"/>
    <w:rsid w:val="00C57D8B"/>
    <w:rsid w:val="00C602F4"/>
    <w:rsid w:val="00C607D9"/>
    <w:rsid w:val="00C60C2E"/>
    <w:rsid w:val="00C6198C"/>
    <w:rsid w:val="00C61EED"/>
    <w:rsid w:val="00C624D7"/>
    <w:rsid w:val="00C63A6E"/>
    <w:rsid w:val="00C63D3A"/>
    <w:rsid w:val="00C64E3E"/>
    <w:rsid w:val="00C6526D"/>
    <w:rsid w:val="00C65C2C"/>
    <w:rsid w:val="00C6750C"/>
    <w:rsid w:val="00C67716"/>
    <w:rsid w:val="00C67F26"/>
    <w:rsid w:val="00C70D4F"/>
    <w:rsid w:val="00C711E2"/>
    <w:rsid w:val="00C71E84"/>
    <w:rsid w:val="00C723EE"/>
    <w:rsid w:val="00C72E79"/>
    <w:rsid w:val="00C7331E"/>
    <w:rsid w:val="00C76529"/>
    <w:rsid w:val="00C76621"/>
    <w:rsid w:val="00C76FAC"/>
    <w:rsid w:val="00C77282"/>
    <w:rsid w:val="00C80494"/>
    <w:rsid w:val="00C80521"/>
    <w:rsid w:val="00C80D4D"/>
    <w:rsid w:val="00C8122B"/>
    <w:rsid w:val="00C8238A"/>
    <w:rsid w:val="00C830FC"/>
    <w:rsid w:val="00C83ADB"/>
    <w:rsid w:val="00C8408D"/>
    <w:rsid w:val="00C84EC6"/>
    <w:rsid w:val="00C855B9"/>
    <w:rsid w:val="00C866E7"/>
    <w:rsid w:val="00C8686B"/>
    <w:rsid w:val="00C8779B"/>
    <w:rsid w:val="00C90F34"/>
    <w:rsid w:val="00C92CF2"/>
    <w:rsid w:val="00C93484"/>
    <w:rsid w:val="00C9411F"/>
    <w:rsid w:val="00C961F2"/>
    <w:rsid w:val="00C9658F"/>
    <w:rsid w:val="00C96B98"/>
    <w:rsid w:val="00C971E7"/>
    <w:rsid w:val="00C9778B"/>
    <w:rsid w:val="00CA0CF6"/>
    <w:rsid w:val="00CA1BF2"/>
    <w:rsid w:val="00CA1DD8"/>
    <w:rsid w:val="00CA3034"/>
    <w:rsid w:val="00CA33E5"/>
    <w:rsid w:val="00CA3D6C"/>
    <w:rsid w:val="00CA45BC"/>
    <w:rsid w:val="00CA4909"/>
    <w:rsid w:val="00CA55E0"/>
    <w:rsid w:val="00CA582F"/>
    <w:rsid w:val="00CA6372"/>
    <w:rsid w:val="00CA73AD"/>
    <w:rsid w:val="00CA7636"/>
    <w:rsid w:val="00CB21FD"/>
    <w:rsid w:val="00CB267A"/>
    <w:rsid w:val="00CB2BB0"/>
    <w:rsid w:val="00CB2C55"/>
    <w:rsid w:val="00CB32CD"/>
    <w:rsid w:val="00CB345B"/>
    <w:rsid w:val="00CB35A2"/>
    <w:rsid w:val="00CB3740"/>
    <w:rsid w:val="00CB4677"/>
    <w:rsid w:val="00CB4B7D"/>
    <w:rsid w:val="00CB547F"/>
    <w:rsid w:val="00CB5FC1"/>
    <w:rsid w:val="00CB67C5"/>
    <w:rsid w:val="00CB7304"/>
    <w:rsid w:val="00CB7638"/>
    <w:rsid w:val="00CB77F6"/>
    <w:rsid w:val="00CB7BEF"/>
    <w:rsid w:val="00CC0442"/>
    <w:rsid w:val="00CC0AC5"/>
    <w:rsid w:val="00CC14E5"/>
    <w:rsid w:val="00CC1DED"/>
    <w:rsid w:val="00CC205A"/>
    <w:rsid w:val="00CC2237"/>
    <w:rsid w:val="00CC25AD"/>
    <w:rsid w:val="00CC29A8"/>
    <w:rsid w:val="00CC2A1E"/>
    <w:rsid w:val="00CC470A"/>
    <w:rsid w:val="00CC4DA3"/>
    <w:rsid w:val="00CC7362"/>
    <w:rsid w:val="00CD1B25"/>
    <w:rsid w:val="00CD2D9C"/>
    <w:rsid w:val="00CD4724"/>
    <w:rsid w:val="00CD4C08"/>
    <w:rsid w:val="00CD52B7"/>
    <w:rsid w:val="00CD5531"/>
    <w:rsid w:val="00CD6110"/>
    <w:rsid w:val="00CE0587"/>
    <w:rsid w:val="00CE07CF"/>
    <w:rsid w:val="00CE08C6"/>
    <w:rsid w:val="00CE0A4B"/>
    <w:rsid w:val="00CE1350"/>
    <w:rsid w:val="00CE1AA3"/>
    <w:rsid w:val="00CE279F"/>
    <w:rsid w:val="00CE2FF1"/>
    <w:rsid w:val="00CE32D3"/>
    <w:rsid w:val="00CE48EA"/>
    <w:rsid w:val="00CE4C37"/>
    <w:rsid w:val="00CE4EC1"/>
    <w:rsid w:val="00CE5F4B"/>
    <w:rsid w:val="00CE6CA8"/>
    <w:rsid w:val="00CE6D77"/>
    <w:rsid w:val="00CE6DBE"/>
    <w:rsid w:val="00CE6DF6"/>
    <w:rsid w:val="00CE7197"/>
    <w:rsid w:val="00CE7404"/>
    <w:rsid w:val="00CE76F9"/>
    <w:rsid w:val="00CE7CB7"/>
    <w:rsid w:val="00CF1251"/>
    <w:rsid w:val="00CF2F4E"/>
    <w:rsid w:val="00CF3510"/>
    <w:rsid w:val="00CF37A1"/>
    <w:rsid w:val="00CF3E13"/>
    <w:rsid w:val="00CF4015"/>
    <w:rsid w:val="00CF42C0"/>
    <w:rsid w:val="00CF5013"/>
    <w:rsid w:val="00CF57AE"/>
    <w:rsid w:val="00CF58E9"/>
    <w:rsid w:val="00CF7DEF"/>
    <w:rsid w:val="00D00313"/>
    <w:rsid w:val="00D0291D"/>
    <w:rsid w:val="00D038A8"/>
    <w:rsid w:val="00D0396F"/>
    <w:rsid w:val="00D03E9B"/>
    <w:rsid w:val="00D0596A"/>
    <w:rsid w:val="00D062E7"/>
    <w:rsid w:val="00D068D7"/>
    <w:rsid w:val="00D06F71"/>
    <w:rsid w:val="00D070AA"/>
    <w:rsid w:val="00D0759F"/>
    <w:rsid w:val="00D075AB"/>
    <w:rsid w:val="00D07E99"/>
    <w:rsid w:val="00D10CE4"/>
    <w:rsid w:val="00D10F8F"/>
    <w:rsid w:val="00D1207C"/>
    <w:rsid w:val="00D12398"/>
    <w:rsid w:val="00D13501"/>
    <w:rsid w:val="00D13F2B"/>
    <w:rsid w:val="00D141AB"/>
    <w:rsid w:val="00D1434C"/>
    <w:rsid w:val="00D1450A"/>
    <w:rsid w:val="00D15AB8"/>
    <w:rsid w:val="00D16DB4"/>
    <w:rsid w:val="00D16E0D"/>
    <w:rsid w:val="00D17ABF"/>
    <w:rsid w:val="00D17B59"/>
    <w:rsid w:val="00D21A48"/>
    <w:rsid w:val="00D2205B"/>
    <w:rsid w:val="00D2259A"/>
    <w:rsid w:val="00D22DFD"/>
    <w:rsid w:val="00D233D3"/>
    <w:rsid w:val="00D248D4"/>
    <w:rsid w:val="00D24A75"/>
    <w:rsid w:val="00D2502E"/>
    <w:rsid w:val="00D25A10"/>
    <w:rsid w:val="00D25BFF"/>
    <w:rsid w:val="00D27810"/>
    <w:rsid w:val="00D318B2"/>
    <w:rsid w:val="00D31E7C"/>
    <w:rsid w:val="00D31FC2"/>
    <w:rsid w:val="00D323B3"/>
    <w:rsid w:val="00D32FD7"/>
    <w:rsid w:val="00D3312B"/>
    <w:rsid w:val="00D341BF"/>
    <w:rsid w:val="00D353C9"/>
    <w:rsid w:val="00D357F0"/>
    <w:rsid w:val="00D3599C"/>
    <w:rsid w:val="00D35A27"/>
    <w:rsid w:val="00D36002"/>
    <w:rsid w:val="00D365DC"/>
    <w:rsid w:val="00D3748D"/>
    <w:rsid w:val="00D37A65"/>
    <w:rsid w:val="00D401EE"/>
    <w:rsid w:val="00D40408"/>
    <w:rsid w:val="00D40D13"/>
    <w:rsid w:val="00D413B7"/>
    <w:rsid w:val="00D41EBB"/>
    <w:rsid w:val="00D42BDA"/>
    <w:rsid w:val="00D4372D"/>
    <w:rsid w:val="00D437DA"/>
    <w:rsid w:val="00D44068"/>
    <w:rsid w:val="00D448CC"/>
    <w:rsid w:val="00D45761"/>
    <w:rsid w:val="00D45AD6"/>
    <w:rsid w:val="00D45BFC"/>
    <w:rsid w:val="00D46947"/>
    <w:rsid w:val="00D46998"/>
    <w:rsid w:val="00D46B88"/>
    <w:rsid w:val="00D46C42"/>
    <w:rsid w:val="00D46CE5"/>
    <w:rsid w:val="00D5010C"/>
    <w:rsid w:val="00D515CB"/>
    <w:rsid w:val="00D51AC2"/>
    <w:rsid w:val="00D5258E"/>
    <w:rsid w:val="00D52916"/>
    <w:rsid w:val="00D52CC3"/>
    <w:rsid w:val="00D53098"/>
    <w:rsid w:val="00D5315E"/>
    <w:rsid w:val="00D53B97"/>
    <w:rsid w:val="00D53DF9"/>
    <w:rsid w:val="00D53F1E"/>
    <w:rsid w:val="00D5437F"/>
    <w:rsid w:val="00D555BB"/>
    <w:rsid w:val="00D568F7"/>
    <w:rsid w:val="00D56CAB"/>
    <w:rsid w:val="00D56D54"/>
    <w:rsid w:val="00D56E5F"/>
    <w:rsid w:val="00D57462"/>
    <w:rsid w:val="00D57AB4"/>
    <w:rsid w:val="00D61054"/>
    <w:rsid w:val="00D61D14"/>
    <w:rsid w:val="00D639B9"/>
    <w:rsid w:val="00D64203"/>
    <w:rsid w:val="00D64969"/>
    <w:rsid w:val="00D64B2B"/>
    <w:rsid w:val="00D6511C"/>
    <w:rsid w:val="00D656F8"/>
    <w:rsid w:val="00D65BA7"/>
    <w:rsid w:val="00D660C7"/>
    <w:rsid w:val="00D71661"/>
    <w:rsid w:val="00D7198F"/>
    <w:rsid w:val="00D71D09"/>
    <w:rsid w:val="00D71D31"/>
    <w:rsid w:val="00D71F0F"/>
    <w:rsid w:val="00D724A3"/>
    <w:rsid w:val="00D727BB"/>
    <w:rsid w:val="00D72B19"/>
    <w:rsid w:val="00D730BB"/>
    <w:rsid w:val="00D73CC8"/>
    <w:rsid w:val="00D74F80"/>
    <w:rsid w:val="00D755AF"/>
    <w:rsid w:val="00D756DE"/>
    <w:rsid w:val="00D75D9D"/>
    <w:rsid w:val="00D7682B"/>
    <w:rsid w:val="00D76E82"/>
    <w:rsid w:val="00D77547"/>
    <w:rsid w:val="00D8163E"/>
    <w:rsid w:val="00D81F6D"/>
    <w:rsid w:val="00D8234E"/>
    <w:rsid w:val="00D829FE"/>
    <w:rsid w:val="00D83246"/>
    <w:rsid w:val="00D834D8"/>
    <w:rsid w:val="00D836B8"/>
    <w:rsid w:val="00D84269"/>
    <w:rsid w:val="00D84EF6"/>
    <w:rsid w:val="00D850BD"/>
    <w:rsid w:val="00D857C1"/>
    <w:rsid w:val="00D85EFA"/>
    <w:rsid w:val="00D86710"/>
    <w:rsid w:val="00D874B5"/>
    <w:rsid w:val="00D87515"/>
    <w:rsid w:val="00D87622"/>
    <w:rsid w:val="00D91EFC"/>
    <w:rsid w:val="00D92AA6"/>
    <w:rsid w:val="00D92FA9"/>
    <w:rsid w:val="00D93614"/>
    <w:rsid w:val="00D945F2"/>
    <w:rsid w:val="00D949BE"/>
    <w:rsid w:val="00D95292"/>
    <w:rsid w:val="00D9633F"/>
    <w:rsid w:val="00D96592"/>
    <w:rsid w:val="00D97152"/>
    <w:rsid w:val="00D97A18"/>
    <w:rsid w:val="00DA1013"/>
    <w:rsid w:val="00DA1319"/>
    <w:rsid w:val="00DA2097"/>
    <w:rsid w:val="00DA22C6"/>
    <w:rsid w:val="00DA2772"/>
    <w:rsid w:val="00DA2CE2"/>
    <w:rsid w:val="00DA304A"/>
    <w:rsid w:val="00DA4607"/>
    <w:rsid w:val="00DA4ABA"/>
    <w:rsid w:val="00DA5451"/>
    <w:rsid w:val="00DA549C"/>
    <w:rsid w:val="00DA5AE3"/>
    <w:rsid w:val="00DA5DC9"/>
    <w:rsid w:val="00DA5F23"/>
    <w:rsid w:val="00DA602C"/>
    <w:rsid w:val="00DA67F1"/>
    <w:rsid w:val="00DA7445"/>
    <w:rsid w:val="00DA7564"/>
    <w:rsid w:val="00DA775E"/>
    <w:rsid w:val="00DB0495"/>
    <w:rsid w:val="00DB053A"/>
    <w:rsid w:val="00DB0B9F"/>
    <w:rsid w:val="00DB0CFF"/>
    <w:rsid w:val="00DB2D07"/>
    <w:rsid w:val="00DB3F5A"/>
    <w:rsid w:val="00DB4480"/>
    <w:rsid w:val="00DB4510"/>
    <w:rsid w:val="00DB4EB2"/>
    <w:rsid w:val="00DB6EA7"/>
    <w:rsid w:val="00DB7023"/>
    <w:rsid w:val="00DB77D5"/>
    <w:rsid w:val="00DB7AD4"/>
    <w:rsid w:val="00DC0C5B"/>
    <w:rsid w:val="00DC0C7A"/>
    <w:rsid w:val="00DC0E42"/>
    <w:rsid w:val="00DC0E91"/>
    <w:rsid w:val="00DC131E"/>
    <w:rsid w:val="00DC1936"/>
    <w:rsid w:val="00DC1C0C"/>
    <w:rsid w:val="00DC5211"/>
    <w:rsid w:val="00DC65C2"/>
    <w:rsid w:val="00DC766F"/>
    <w:rsid w:val="00DC7775"/>
    <w:rsid w:val="00DD00C8"/>
    <w:rsid w:val="00DD2580"/>
    <w:rsid w:val="00DD28B3"/>
    <w:rsid w:val="00DD3685"/>
    <w:rsid w:val="00DD7718"/>
    <w:rsid w:val="00DE076C"/>
    <w:rsid w:val="00DE0BFC"/>
    <w:rsid w:val="00DE1A25"/>
    <w:rsid w:val="00DE2166"/>
    <w:rsid w:val="00DE3118"/>
    <w:rsid w:val="00DE3C60"/>
    <w:rsid w:val="00DE3CA4"/>
    <w:rsid w:val="00DE3F21"/>
    <w:rsid w:val="00DE4456"/>
    <w:rsid w:val="00DE450E"/>
    <w:rsid w:val="00DE54BF"/>
    <w:rsid w:val="00DE65BF"/>
    <w:rsid w:val="00DE6B9D"/>
    <w:rsid w:val="00DE7515"/>
    <w:rsid w:val="00DF01CD"/>
    <w:rsid w:val="00DF0B85"/>
    <w:rsid w:val="00DF139A"/>
    <w:rsid w:val="00DF1847"/>
    <w:rsid w:val="00DF33C7"/>
    <w:rsid w:val="00DF39C1"/>
    <w:rsid w:val="00DF3DF3"/>
    <w:rsid w:val="00DF452C"/>
    <w:rsid w:val="00DF4737"/>
    <w:rsid w:val="00DF5B6C"/>
    <w:rsid w:val="00DF7AC5"/>
    <w:rsid w:val="00E011E3"/>
    <w:rsid w:val="00E016F9"/>
    <w:rsid w:val="00E01732"/>
    <w:rsid w:val="00E030B9"/>
    <w:rsid w:val="00E042BA"/>
    <w:rsid w:val="00E0504A"/>
    <w:rsid w:val="00E051FD"/>
    <w:rsid w:val="00E07DA5"/>
    <w:rsid w:val="00E1051A"/>
    <w:rsid w:val="00E108EC"/>
    <w:rsid w:val="00E10F33"/>
    <w:rsid w:val="00E11FD7"/>
    <w:rsid w:val="00E1345A"/>
    <w:rsid w:val="00E13ABF"/>
    <w:rsid w:val="00E145A5"/>
    <w:rsid w:val="00E153D3"/>
    <w:rsid w:val="00E15780"/>
    <w:rsid w:val="00E15DCE"/>
    <w:rsid w:val="00E1600E"/>
    <w:rsid w:val="00E16108"/>
    <w:rsid w:val="00E167C7"/>
    <w:rsid w:val="00E203A6"/>
    <w:rsid w:val="00E21753"/>
    <w:rsid w:val="00E21894"/>
    <w:rsid w:val="00E221AE"/>
    <w:rsid w:val="00E22285"/>
    <w:rsid w:val="00E224DF"/>
    <w:rsid w:val="00E23A03"/>
    <w:rsid w:val="00E25A1C"/>
    <w:rsid w:val="00E25AD0"/>
    <w:rsid w:val="00E25D12"/>
    <w:rsid w:val="00E26E4F"/>
    <w:rsid w:val="00E272E7"/>
    <w:rsid w:val="00E2763B"/>
    <w:rsid w:val="00E27A2B"/>
    <w:rsid w:val="00E27AFE"/>
    <w:rsid w:val="00E27D0C"/>
    <w:rsid w:val="00E31463"/>
    <w:rsid w:val="00E31796"/>
    <w:rsid w:val="00E319E4"/>
    <w:rsid w:val="00E31CB5"/>
    <w:rsid w:val="00E31E9A"/>
    <w:rsid w:val="00E3280B"/>
    <w:rsid w:val="00E33674"/>
    <w:rsid w:val="00E33973"/>
    <w:rsid w:val="00E343E6"/>
    <w:rsid w:val="00E35287"/>
    <w:rsid w:val="00E35383"/>
    <w:rsid w:val="00E363D7"/>
    <w:rsid w:val="00E37EE6"/>
    <w:rsid w:val="00E4014F"/>
    <w:rsid w:val="00E4045B"/>
    <w:rsid w:val="00E439F0"/>
    <w:rsid w:val="00E44600"/>
    <w:rsid w:val="00E446DE"/>
    <w:rsid w:val="00E44A4C"/>
    <w:rsid w:val="00E4584D"/>
    <w:rsid w:val="00E458F8"/>
    <w:rsid w:val="00E45E00"/>
    <w:rsid w:val="00E45E95"/>
    <w:rsid w:val="00E466AC"/>
    <w:rsid w:val="00E47A95"/>
    <w:rsid w:val="00E47E5E"/>
    <w:rsid w:val="00E5068E"/>
    <w:rsid w:val="00E517D9"/>
    <w:rsid w:val="00E51BD9"/>
    <w:rsid w:val="00E52394"/>
    <w:rsid w:val="00E52467"/>
    <w:rsid w:val="00E5391C"/>
    <w:rsid w:val="00E53D92"/>
    <w:rsid w:val="00E54270"/>
    <w:rsid w:val="00E54F35"/>
    <w:rsid w:val="00E55542"/>
    <w:rsid w:val="00E55AA4"/>
    <w:rsid w:val="00E56E31"/>
    <w:rsid w:val="00E579AC"/>
    <w:rsid w:val="00E60ACC"/>
    <w:rsid w:val="00E60DD2"/>
    <w:rsid w:val="00E612B7"/>
    <w:rsid w:val="00E6310C"/>
    <w:rsid w:val="00E6396B"/>
    <w:rsid w:val="00E6471B"/>
    <w:rsid w:val="00E6483A"/>
    <w:rsid w:val="00E64BF5"/>
    <w:rsid w:val="00E64D91"/>
    <w:rsid w:val="00E6504C"/>
    <w:rsid w:val="00E653ED"/>
    <w:rsid w:val="00E65A4C"/>
    <w:rsid w:val="00E65B76"/>
    <w:rsid w:val="00E65BCB"/>
    <w:rsid w:val="00E65D57"/>
    <w:rsid w:val="00E6643A"/>
    <w:rsid w:val="00E665DF"/>
    <w:rsid w:val="00E6707F"/>
    <w:rsid w:val="00E709B5"/>
    <w:rsid w:val="00E70C17"/>
    <w:rsid w:val="00E71944"/>
    <w:rsid w:val="00E71C8D"/>
    <w:rsid w:val="00E72C6D"/>
    <w:rsid w:val="00E73ABB"/>
    <w:rsid w:val="00E74AD2"/>
    <w:rsid w:val="00E7701E"/>
    <w:rsid w:val="00E7735C"/>
    <w:rsid w:val="00E80045"/>
    <w:rsid w:val="00E8123D"/>
    <w:rsid w:val="00E82161"/>
    <w:rsid w:val="00E8358E"/>
    <w:rsid w:val="00E84FC0"/>
    <w:rsid w:val="00E85F22"/>
    <w:rsid w:val="00E86449"/>
    <w:rsid w:val="00E86BB1"/>
    <w:rsid w:val="00E87F18"/>
    <w:rsid w:val="00E908BD"/>
    <w:rsid w:val="00E908D9"/>
    <w:rsid w:val="00E90FC1"/>
    <w:rsid w:val="00E91300"/>
    <w:rsid w:val="00E91346"/>
    <w:rsid w:val="00E91507"/>
    <w:rsid w:val="00E93ACC"/>
    <w:rsid w:val="00E955B7"/>
    <w:rsid w:val="00E96792"/>
    <w:rsid w:val="00E96AAB"/>
    <w:rsid w:val="00E97071"/>
    <w:rsid w:val="00E975F7"/>
    <w:rsid w:val="00EA0FEF"/>
    <w:rsid w:val="00EA2223"/>
    <w:rsid w:val="00EA23D0"/>
    <w:rsid w:val="00EA2794"/>
    <w:rsid w:val="00EA2A57"/>
    <w:rsid w:val="00EA2D0D"/>
    <w:rsid w:val="00EA2F7A"/>
    <w:rsid w:val="00EA390C"/>
    <w:rsid w:val="00EA3EB0"/>
    <w:rsid w:val="00EA5E02"/>
    <w:rsid w:val="00EA5FC5"/>
    <w:rsid w:val="00EA615D"/>
    <w:rsid w:val="00EA6B5D"/>
    <w:rsid w:val="00EA756D"/>
    <w:rsid w:val="00EA7CED"/>
    <w:rsid w:val="00EB04A1"/>
    <w:rsid w:val="00EB139A"/>
    <w:rsid w:val="00EB1E68"/>
    <w:rsid w:val="00EB2320"/>
    <w:rsid w:val="00EB2BDA"/>
    <w:rsid w:val="00EB2CF9"/>
    <w:rsid w:val="00EB3442"/>
    <w:rsid w:val="00EB3673"/>
    <w:rsid w:val="00EB5581"/>
    <w:rsid w:val="00EB6C9C"/>
    <w:rsid w:val="00EB6D46"/>
    <w:rsid w:val="00EC096B"/>
    <w:rsid w:val="00EC09E9"/>
    <w:rsid w:val="00EC0ED1"/>
    <w:rsid w:val="00EC184A"/>
    <w:rsid w:val="00EC1B19"/>
    <w:rsid w:val="00EC226A"/>
    <w:rsid w:val="00EC2B4B"/>
    <w:rsid w:val="00EC2B6C"/>
    <w:rsid w:val="00EC3AC1"/>
    <w:rsid w:val="00EC43AD"/>
    <w:rsid w:val="00EC450D"/>
    <w:rsid w:val="00EC4CDB"/>
    <w:rsid w:val="00EC6394"/>
    <w:rsid w:val="00EC65C5"/>
    <w:rsid w:val="00EC6D68"/>
    <w:rsid w:val="00EC70B5"/>
    <w:rsid w:val="00EC73CC"/>
    <w:rsid w:val="00EC7D91"/>
    <w:rsid w:val="00ED0797"/>
    <w:rsid w:val="00ED0FF0"/>
    <w:rsid w:val="00ED18A2"/>
    <w:rsid w:val="00ED235B"/>
    <w:rsid w:val="00ED33B6"/>
    <w:rsid w:val="00ED3582"/>
    <w:rsid w:val="00ED380B"/>
    <w:rsid w:val="00ED3E4E"/>
    <w:rsid w:val="00ED41A4"/>
    <w:rsid w:val="00ED5119"/>
    <w:rsid w:val="00ED52C5"/>
    <w:rsid w:val="00ED6244"/>
    <w:rsid w:val="00ED7B4B"/>
    <w:rsid w:val="00ED7E03"/>
    <w:rsid w:val="00EE08F2"/>
    <w:rsid w:val="00EE0939"/>
    <w:rsid w:val="00EE0A0E"/>
    <w:rsid w:val="00EE0C2F"/>
    <w:rsid w:val="00EE17A2"/>
    <w:rsid w:val="00EE1FF3"/>
    <w:rsid w:val="00EE2438"/>
    <w:rsid w:val="00EE26B0"/>
    <w:rsid w:val="00EE2810"/>
    <w:rsid w:val="00EE2A96"/>
    <w:rsid w:val="00EE4031"/>
    <w:rsid w:val="00EE568D"/>
    <w:rsid w:val="00EE6368"/>
    <w:rsid w:val="00EE650F"/>
    <w:rsid w:val="00EE6E50"/>
    <w:rsid w:val="00EF19B1"/>
    <w:rsid w:val="00EF25B9"/>
    <w:rsid w:val="00EF45F4"/>
    <w:rsid w:val="00EF50C6"/>
    <w:rsid w:val="00EF6348"/>
    <w:rsid w:val="00EF6DAC"/>
    <w:rsid w:val="00F0052D"/>
    <w:rsid w:val="00F010A4"/>
    <w:rsid w:val="00F01557"/>
    <w:rsid w:val="00F01B71"/>
    <w:rsid w:val="00F01CED"/>
    <w:rsid w:val="00F034DD"/>
    <w:rsid w:val="00F03DEB"/>
    <w:rsid w:val="00F04511"/>
    <w:rsid w:val="00F04AB2"/>
    <w:rsid w:val="00F0556D"/>
    <w:rsid w:val="00F05C86"/>
    <w:rsid w:val="00F06829"/>
    <w:rsid w:val="00F0720D"/>
    <w:rsid w:val="00F07349"/>
    <w:rsid w:val="00F07AC7"/>
    <w:rsid w:val="00F07D43"/>
    <w:rsid w:val="00F108C3"/>
    <w:rsid w:val="00F11182"/>
    <w:rsid w:val="00F11440"/>
    <w:rsid w:val="00F127C5"/>
    <w:rsid w:val="00F12F74"/>
    <w:rsid w:val="00F13317"/>
    <w:rsid w:val="00F13938"/>
    <w:rsid w:val="00F14059"/>
    <w:rsid w:val="00F140C0"/>
    <w:rsid w:val="00F15217"/>
    <w:rsid w:val="00F15851"/>
    <w:rsid w:val="00F15A6C"/>
    <w:rsid w:val="00F16A53"/>
    <w:rsid w:val="00F17787"/>
    <w:rsid w:val="00F201BB"/>
    <w:rsid w:val="00F207D7"/>
    <w:rsid w:val="00F20A51"/>
    <w:rsid w:val="00F20ECF"/>
    <w:rsid w:val="00F2187B"/>
    <w:rsid w:val="00F24691"/>
    <w:rsid w:val="00F25921"/>
    <w:rsid w:val="00F2594F"/>
    <w:rsid w:val="00F268A6"/>
    <w:rsid w:val="00F272A3"/>
    <w:rsid w:val="00F27676"/>
    <w:rsid w:val="00F27706"/>
    <w:rsid w:val="00F32646"/>
    <w:rsid w:val="00F32701"/>
    <w:rsid w:val="00F33020"/>
    <w:rsid w:val="00F333F6"/>
    <w:rsid w:val="00F33709"/>
    <w:rsid w:val="00F3620A"/>
    <w:rsid w:val="00F3620F"/>
    <w:rsid w:val="00F36AFA"/>
    <w:rsid w:val="00F36FFD"/>
    <w:rsid w:val="00F37C03"/>
    <w:rsid w:val="00F37C94"/>
    <w:rsid w:val="00F40473"/>
    <w:rsid w:val="00F40D92"/>
    <w:rsid w:val="00F41430"/>
    <w:rsid w:val="00F426AC"/>
    <w:rsid w:val="00F42A8B"/>
    <w:rsid w:val="00F4365E"/>
    <w:rsid w:val="00F43797"/>
    <w:rsid w:val="00F4411E"/>
    <w:rsid w:val="00F44E9A"/>
    <w:rsid w:val="00F4524C"/>
    <w:rsid w:val="00F45895"/>
    <w:rsid w:val="00F4635C"/>
    <w:rsid w:val="00F463D1"/>
    <w:rsid w:val="00F465EF"/>
    <w:rsid w:val="00F47228"/>
    <w:rsid w:val="00F474AD"/>
    <w:rsid w:val="00F47F61"/>
    <w:rsid w:val="00F511C8"/>
    <w:rsid w:val="00F511EB"/>
    <w:rsid w:val="00F51629"/>
    <w:rsid w:val="00F522FA"/>
    <w:rsid w:val="00F5238C"/>
    <w:rsid w:val="00F52699"/>
    <w:rsid w:val="00F5345D"/>
    <w:rsid w:val="00F538A6"/>
    <w:rsid w:val="00F53E0B"/>
    <w:rsid w:val="00F53E6D"/>
    <w:rsid w:val="00F5566C"/>
    <w:rsid w:val="00F55797"/>
    <w:rsid w:val="00F559DD"/>
    <w:rsid w:val="00F55E29"/>
    <w:rsid w:val="00F56252"/>
    <w:rsid w:val="00F5658A"/>
    <w:rsid w:val="00F56975"/>
    <w:rsid w:val="00F56CC8"/>
    <w:rsid w:val="00F57888"/>
    <w:rsid w:val="00F606EE"/>
    <w:rsid w:val="00F62145"/>
    <w:rsid w:val="00F624D5"/>
    <w:rsid w:val="00F62EF4"/>
    <w:rsid w:val="00F62F7E"/>
    <w:rsid w:val="00F6329F"/>
    <w:rsid w:val="00F64665"/>
    <w:rsid w:val="00F64A29"/>
    <w:rsid w:val="00F65E50"/>
    <w:rsid w:val="00F6633B"/>
    <w:rsid w:val="00F67EDC"/>
    <w:rsid w:val="00F67FC6"/>
    <w:rsid w:val="00F70176"/>
    <w:rsid w:val="00F716F7"/>
    <w:rsid w:val="00F71D2C"/>
    <w:rsid w:val="00F7289A"/>
    <w:rsid w:val="00F72B3D"/>
    <w:rsid w:val="00F72D0D"/>
    <w:rsid w:val="00F745EE"/>
    <w:rsid w:val="00F751EE"/>
    <w:rsid w:val="00F754B4"/>
    <w:rsid w:val="00F76110"/>
    <w:rsid w:val="00F7623A"/>
    <w:rsid w:val="00F76342"/>
    <w:rsid w:val="00F76A4B"/>
    <w:rsid w:val="00F775D8"/>
    <w:rsid w:val="00F8079A"/>
    <w:rsid w:val="00F8136A"/>
    <w:rsid w:val="00F82332"/>
    <w:rsid w:val="00F82A1D"/>
    <w:rsid w:val="00F82F30"/>
    <w:rsid w:val="00F83C7E"/>
    <w:rsid w:val="00F84521"/>
    <w:rsid w:val="00F84862"/>
    <w:rsid w:val="00F84878"/>
    <w:rsid w:val="00F84C6C"/>
    <w:rsid w:val="00F858DA"/>
    <w:rsid w:val="00F859DB"/>
    <w:rsid w:val="00F86166"/>
    <w:rsid w:val="00F861F1"/>
    <w:rsid w:val="00F90D96"/>
    <w:rsid w:val="00F91EAA"/>
    <w:rsid w:val="00F926EF"/>
    <w:rsid w:val="00F9281E"/>
    <w:rsid w:val="00F92E14"/>
    <w:rsid w:val="00F93779"/>
    <w:rsid w:val="00F9385F"/>
    <w:rsid w:val="00F94519"/>
    <w:rsid w:val="00F958C6"/>
    <w:rsid w:val="00FA10AF"/>
    <w:rsid w:val="00FA1920"/>
    <w:rsid w:val="00FA1B7C"/>
    <w:rsid w:val="00FA215C"/>
    <w:rsid w:val="00FA23E9"/>
    <w:rsid w:val="00FA2B8A"/>
    <w:rsid w:val="00FA5454"/>
    <w:rsid w:val="00FA652B"/>
    <w:rsid w:val="00FA6D94"/>
    <w:rsid w:val="00FA7101"/>
    <w:rsid w:val="00FA7374"/>
    <w:rsid w:val="00FA73CD"/>
    <w:rsid w:val="00FB0C98"/>
    <w:rsid w:val="00FB1BFA"/>
    <w:rsid w:val="00FB1CB1"/>
    <w:rsid w:val="00FB2A1A"/>
    <w:rsid w:val="00FB3145"/>
    <w:rsid w:val="00FB35C8"/>
    <w:rsid w:val="00FB4108"/>
    <w:rsid w:val="00FB4F28"/>
    <w:rsid w:val="00FB53BE"/>
    <w:rsid w:val="00FB7533"/>
    <w:rsid w:val="00FB7D1F"/>
    <w:rsid w:val="00FC0EC0"/>
    <w:rsid w:val="00FC1E9A"/>
    <w:rsid w:val="00FC2295"/>
    <w:rsid w:val="00FC3BB1"/>
    <w:rsid w:val="00FC53C1"/>
    <w:rsid w:val="00FC6000"/>
    <w:rsid w:val="00FC6420"/>
    <w:rsid w:val="00FC6869"/>
    <w:rsid w:val="00FC75AE"/>
    <w:rsid w:val="00FC7827"/>
    <w:rsid w:val="00FC78AF"/>
    <w:rsid w:val="00FD0362"/>
    <w:rsid w:val="00FD061C"/>
    <w:rsid w:val="00FD0BC0"/>
    <w:rsid w:val="00FD21C2"/>
    <w:rsid w:val="00FD3AEC"/>
    <w:rsid w:val="00FD3E52"/>
    <w:rsid w:val="00FD4989"/>
    <w:rsid w:val="00FD58E5"/>
    <w:rsid w:val="00FD5A54"/>
    <w:rsid w:val="00FD733D"/>
    <w:rsid w:val="00FD75E2"/>
    <w:rsid w:val="00FD75FB"/>
    <w:rsid w:val="00FE08CF"/>
    <w:rsid w:val="00FE0CDB"/>
    <w:rsid w:val="00FE1004"/>
    <w:rsid w:val="00FE112B"/>
    <w:rsid w:val="00FE1941"/>
    <w:rsid w:val="00FE1E72"/>
    <w:rsid w:val="00FE2854"/>
    <w:rsid w:val="00FE3932"/>
    <w:rsid w:val="00FE42F6"/>
    <w:rsid w:val="00FE56E3"/>
    <w:rsid w:val="00FE5E09"/>
    <w:rsid w:val="00FE69CF"/>
    <w:rsid w:val="00FE7112"/>
    <w:rsid w:val="00FE7B62"/>
    <w:rsid w:val="00FE7E50"/>
    <w:rsid w:val="00FF0575"/>
    <w:rsid w:val="00FF0789"/>
    <w:rsid w:val="00FF1233"/>
    <w:rsid w:val="00FF1EA1"/>
    <w:rsid w:val="00FF2A57"/>
    <w:rsid w:val="00FF2C67"/>
    <w:rsid w:val="00FF2E53"/>
    <w:rsid w:val="00FF6778"/>
    <w:rsid w:val="00FF7366"/>
    <w:rsid w:val="00FF75B1"/>
    <w:rsid w:val="00FF7606"/>
    <w:rsid w:val="0327BEC9"/>
    <w:rsid w:val="09B26C37"/>
    <w:rsid w:val="0F014407"/>
    <w:rsid w:val="19F3E939"/>
    <w:rsid w:val="21529DC6"/>
    <w:rsid w:val="24DE9BE7"/>
    <w:rsid w:val="2F46BD9A"/>
    <w:rsid w:val="36987D98"/>
    <w:rsid w:val="40263781"/>
    <w:rsid w:val="43D1C229"/>
    <w:rsid w:val="44AD8E78"/>
    <w:rsid w:val="452B22C3"/>
    <w:rsid w:val="4547DFAA"/>
    <w:rsid w:val="46957905"/>
    <w:rsid w:val="493FBF7C"/>
    <w:rsid w:val="4BEBB4C9"/>
    <w:rsid w:val="4FA854DD"/>
    <w:rsid w:val="54A6C1A2"/>
    <w:rsid w:val="57863765"/>
    <w:rsid w:val="5A05AE8C"/>
    <w:rsid w:val="5CBBE429"/>
    <w:rsid w:val="620006B1"/>
    <w:rsid w:val="66E9CF8F"/>
    <w:rsid w:val="6C310D74"/>
    <w:rsid w:val="7A2F09D1"/>
    <w:rsid w:val="7C4784F2"/>
    <w:rsid w:val="7E1BBAD2"/>
    <w:rsid w:val="7E5C6C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2E2279"/>
    <w:pPr>
      <w:ind w:left="720"/>
      <w:contextualSpacing/>
    </w:pPr>
  </w:style>
  <w:style w:type="character" w:styleId="PlaceholderText">
    <w:name w:val="Placeholder Text"/>
    <w:basedOn w:val="DefaultParagraphFont"/>
    <w:uiPriority w:val="99"/>
    <w:semiHidden/>
    <w:rsid w:val="003D3772"/>
    <w:rPr>
      <w:color w:val="808080"/>
    </w:rPr>
  </w:style>
  <w:style w:type="table" w:styleId="TableGrid">
    <w:name w:val="Table Grid"/>
    <w:basedOn w:val="TableNormal"/>
    <w:uiPriority w:val="59"/>
    <w:rsid w:val="00BB70B4"/>
    <w:pPr>
      <w:widowControl/>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24F3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630C6E"/>
    <w:rPr>
      <w:color w:val="800080" w:themeColor="followedHyperlink"/>
      <w:u w:val="single"/>
    </w:rPr>
  </w:style>
  <w:style w:type="character" w:styleId="CommentReference">
    <w:name w:val="annotation reference"/>
    <w:basedOn w:val="DefaultParagraphFont"/>
    <w:uiPriority w:val="99"/>
    <w:semiHidden/>
    <w:unhideWhenUsed/>
    <w:rsid w:val="00FE08CF"/>
    <w:rPr>
      <w:sz w:val="16"/>
      <w:szCs w:val="16"/>
    </w:rPr>
  </w:style>
  <w:style w:type="paragraph" w:styleId="CommentText">
    <w:name w:val="annotation text"/>
    <w:basedOn w:val="Normal"/>
    <w:link w:val="CommentTextChar"/>
    <w:uiPriority w:val="99"/>
    <w:unhideWhenUsed/>
    <w:rsid w:val="00FE08CF"/>
    <w:rPr>
      <w:sz w:val="20"/>
      <w:szCs w:val="20"/>
    </w:rPr>
  </w:style>
  <w:style w:type="character" w:customStyle="1" w:styleId="CommentTextChar">
    <w:name w:val="Comment Text Char"/>
    <w:basedOn w:val="DefaultParagraphFont"/>
    <w:link w:val="CommentText"/>
    <w:uiPriority w:val="99"/>
    <w:rsid w:val="00FE08CF"/>
    <w:rPr>
      <w:sz w:val="20"/>
      <w:szCs w:val="20"/>
    </w:rPr>
  </w:style>
  <w:style w:type="paragraph" w:styleId="CommentSubject">
    <w:name w:val="annotation subject"/>
    <w:basedOn w:val="CommentText"/>
    <w:next w:val="CommentText"/>
    <w:link w:val="CommentSubjectChar"/>
    <w:uiPriority w:val="99"/>
    <w:semiHidden/>
    <w:unhideWhenUsed/>
    <w:rsid w:val="00FE08CF"/>
    <w:rPr>
      <w:b/>
      <w:bCs/>
    </w:rPr>
  </w:style>
  <w:style w:type="character" w:customStyle="1" w:styleId="CommentSubjectChar">
    <w:name w:val="Comment Subject Char"/>
    <w:basedOn w:val="CommentTextChar"/>
    <w:link w:val="CommentSubject"/>
    <w:uiPriority w:val="99"/>
    <w:semiHidden/>
    <w:rsid w:val="00FE08CF"/>
    <w:rPr>
      <w:b/>
      <w:bCs/>
      <w:sz w:val="20"/>
      <w:szCs w:val="20"/>
    </w:rPr>
  </w:style>
  <w:style w:type="paragraph" w:styleId="EndnoteText">
    <w:name w:val="endnote text"/>
    <w:basedOn w:val="Normal"/>
    <w:link w:val="EndnoteTextChar"/>
    <w:uiPriority w:val="99"/>
    <w:semiHidden/>
    <w:unhideWhenUsed/>
    <w:rsid w:val="001D45FC"/>
    <w:rPr>
      <w:sz w:val="20"/>
      <w:szCs w:val="20"/>
    </w:rPr>
  </w:style>
  <w:style w:type="character" w:customStyle="1" w:styleId="EndnoteTextChar">
    <w:name w:val="Endnote Text Char"/>
    <w:basedOn w:val="DefaultParagraphFont"/>
    <w:link w:val="EndnoteText"/>
    <w:uiPriority w:val="99"/>
    <w:semiHidden/>
    <w:rsid w:val="001D45FC"/>
    <w:rPr>
      <w:sz w:val="20"/>
      <w:szCs w:val="20"/>
    </w:rPr>
  </w:style>
  <w:style w:type="character" w:styleId="EndnoteReference">
    <w:name w:val="endnote reference"/>
    <w:basedOn w:val="DefaultParagraphFont"/>
    <w:uiPriority w:val="99"/>
    <w:semiHidden/>
    <w:unhideWhenUsed/>
    <w:rsid w:val="001D45FC"/>
    <w:rPr>
      <w:vertAlign w:val="superscript"/>
    </w:rPr>
  </w:style>
  <w:style w:type="character" w:customStyle="1" w:styleId="ls0">
    <w:name w:val="ls0"/>
    <w:basedOn w:val="DefaultParagraphFont"/>
    <w:rsid w:val="000962E5"/>
  </w:style>
  <w:style w:type="paragraph" w:styleId="Header">
    <w:name w:val="header"/>
    <w:basedOn w:val="Normal"/>
    <w:link w:val="HeaderChar"/>
    <w:uiPriority w:val="99"/>
    <w:semiHidden/>
    <w:unhideWhenUsed/>
    <w:rsid w:val="003344D2"/>
    <w:pPr>
      <w:tabs>
        <w:tab w:val="center" w:pos="4513"/>
        <w:tab w:val="right" w:pos="9026"/>
      </w:tabs>
    </w:pPr>
  </w:style>
  <w:style w:type="character" w:customStyle="1" w:styleId="HeaderChar">
    <w:name w:val="Header Char"/>
    <w:basedOn w:val="DefaultParagraphFont"/>
    <w:link w:val="Header"/>
    <w:uiPriority w:val="99"/>
    <w:semiHidden/>
    <w:rsid w:val="003344D2"/>
  </w:style>
  <w:style w:type="paragraph" w:styleId="Footer">
    <w:name w:val="footer"/>
    <w:basedOn w:val="Normal"/>
    <w:link w:val="FooterChar"/>
    <w:uiPriority w:val="99"/>
    <w:unhideWhenUsed/>
    <w:rsid w:val="003344D2"/>
    <w:pPr>
      <w:tabs>
        <w:tab w:val="center" w:pos="4513"/>
        <w:tab w:val="right" w:pos="9026"/>
      </w:tabs>
    </w:pPr>
  </w:style>
  <w:style w:type="character" w:customStyle="1" w:styleId="FooterChar">
    <w:name w:val="Footer Char"/>
    <w:basedOn w:val="DefaultParagraphFont"/>
    <w:link w:val="Footer"/>
    <w:uiPriority w:val="99"/>
    <w:rsid w:val="003344D2"/>
  </w:style>
  <w:style w:type="paragraph" w:styleId="Revision">
    <w:name w:val="Revision"/>
    <w:hidden/>
    <w:uiPriority w:val="99"/>
    <w:semiHidden/>
    <w:rsid w:val="00B613AF"/>
    <w:pPr>
      <w:widowControl/>
      <w:jc w:val="left"/>
    </w:pPr>
  </w:style>
  <w:style w:type="character" w:styleId="Strong">
    <w:name w:val="Strong"/>
    <w:basedOn w:val="DefaultParagraphFont"/>
    <w:uiPriority w:val="22"/>
    <w:qFormat/>
    <w:rsid w:val="00FD75E2"/>
    <w:rPr>
      <w:b/>
      <w:bCs/>
    </w:rPr>
  </w:style>
  <w:style w:type="character" w:customStyle="1" w:styleId="normaltextrun">
    <w:name w:val="normaltextrun"/>
    <w:basedOn w:val="DefaultParagraphFont"/>
    <w:rsid w:val="00B07C19"/>
  </w:style>
  <w:style w:type="paragraph" w:styleId="NormalWeb">
    <w:name w:val="Normal (Web)"/>
    <w:basedOn w:val="Normal"/>
    <w:uiPriority w:val="99"/>
    <w:semiHidden/>
    <w:unhideWhenUsed/>
    <w:rsid w:val="009124CB"/>
    <w:pPr>
      <w:widowControl/>
      <w:spacing w:before="100" w:beforeAutospacing="1" w:after="100" w:afterAutospacing="1"/>
      <w:jc w:val="left"/>
    </w:pPr>
    <w:rPr>
      <w:rFonts w:ascii="Times New Roman" w:eastAsia="Times New Roman" w:hAnsi="Times New Roman" w:cs="Times New Roman"/>
      <w:lang w:val="en-GB" w:eastAsia="en-GB"/>
    </w:rPr>
  </w:style>
  <w:style w:type="character" w:styleId="LineNumber">
    <w:name w:val="line number"/>
    <w:basedOn w:val="DefaultParagraphFont"/>
    <w:uiPriority w:val="99"/>
    <w:semiHidden/>
    <w:unhideWhenUsed/>
    <w:rsid w:val="005204C8"/>
  </w:style>
  <w:style w:type="paragraph" w:styleId="BalloonText">
    <w:name w:val="Balloon Text"/>
    <w:basedOn w:val="Normal"/>
    <w:link w:val="BalloonTextChar"/>
    <w:uiPriority w:val="99"/>
    <w:semiHidden/>
    <w:unhideWhenUsed/>
    <w:rsid w:val="00E835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35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988007">
      <w:bodyDiv w:val="1"/>
      <w:marLeft w:val="0"/>
      <w:marRight w:val="0"/>
      <w:marTop w:val="0"/>
      <w:marBottom w:val="0"/>
      <w:divBdr>
        <w:top w:val="none" w:sz="0" w:space="0" w:color="auto"/>
        <w:left w:val="none" w:sz="0" w:space="0" w:color="auto"/>
        <w:bottom w:val="none" w:sz="0" w:space="0" w:color="auto"/>
        <w:right w:val="none" w:sz="0" w:space="0" w:color="auto"/>
      </w:divBdr>
    </w:div>
    <w:div w:id="560604216">
      <w:bodyDiv w:val="1"/>
      <w:marLeft w:val="0"/>
      <w:marRight w:val="0"/>
      <w:marTop w:val="0"/>
      <w:marBottom w:val="0"/>
      <w:divBdr>
        <w:top w:val="none" w:sz="0" w:space="0" w:color="auto"/>
        <w:left w:val="none" w:sz="0" w:space="0" w:color="auto"/>
        <w:bottom w:val="none" w:sz="0" w:space="0" w:color="auto"/>
        <w:right w:val="none" w:sz="0" w:space="0" w:color="auto"/>
      </w:divBdr>
    </w:div>
    <w:div w:id="638144717">
      <w:bodyDiv w:val="1"/>
      <w:marLeft w:val="0"/>
      <w:marRight w:val="0"/>
      <w:marTop w:val="0"/>
      <w:marBottom w:val="0"/>
      <w:divBdr>
        <w:top w:val="none" w:sz="0" w:space="0" w:color="auto"/>
        <w:left w:val="none" w:sz="0" w:space="0" w:color="auto"/>
        <w:bottom w:val="none" w:sz="0" w:space="0" w:color="auto"/>
        <w:right w:val="none" w:sz="0" w:space="0" w:color="auto"/>
      </w:divBdr>
    </w:div>
    <w:div w:id="789473803">
      <w:bodyDiv w:val="1"/>
      <w:marLeft w:val="0"/>
      <w:marRight w:val="0"/>
      <w:marTop w:val="0"/>
      <w:marBottom w:val="0"/>
      <w:divBdr>
        <w:top w:val="none" w:sz="0" w:space="0" w:color="auto"/>
        <w:left w:val="none" w:sz="0" w:space="0" w:color="auto"/>
        <w:bottom w:val="none" w:sz="0" w:space="0" w:color="auto"/>
        <w:right w:val="none" w:sz="0" w:space="0" w:color="auto"/>
      </w:divBdr>
    </w:div>
    <w:div w:id="890927014">
      <w:bodyDiv w:val="1"/>
      <w:marLeft w:val="0"/>
      <w:marRight w:val="0"/>
      <w:marTop w:val="0"/>
      <w:marBottom w:val="0"/>
      <w:divBdr>
        <w:top w:val="none" w:sz="0" w:space="0" w:color="auto"/>
        <w:left w:val="none" w:sz="0" w:space="0" w:color="auto"/>
        <w:bottom w:val="none" w:sz="0" w:space="0" w:color="auto"/>
        <w:right w:val="none" w:sz="0" w:space="0" w:color="auto"/>
      </w:divBdr>
    </w:div>
    <w:div w:id="932712114">
      <w:bodyDiv w:val="1"/>
      <w:marLeft w:val="0"/>
      <w:marRight w:val="0"/>
      <w:marTop w:val="0"/>
      <w:marBottom w:val="0"/>
      <w:divBdr>
        <w:top w:val="none" w:sz="0" w:space="0" w:color="auto"/>
        <w:left w:val="none" w:sz="0" w:space="0" w:color="auto"/>
        <w:bottom w:val="none" w:sz="0" w:space="0" w:color="auto"/>
        <w:right w:val="none" w:sz="0" w:space="0" w:color="auto"/>
      </w:divBdr>
    </w:div>
    <w:div w:id="1124693685">
      <w:bodyDiv w:val="1"/>
      <w:marLeft w:val="0"/>
      <w:marRight w:val="0"/>
      <w:marTop w:val="0"/>
      <w:marBottom w:val="0"/>
      <w:divBdr>
        <w:top w:val="none" w:sz="0" w:space="0" w:color="auto"/>
        <w:left w:val="none" w:sz="0" w:space="0" w:color="auto"/>
        <w:bottom w:val="none" w:sz="0" w:space="0" w:color="auto"/>
        <w:right w:val="none" w:sz="0" w:space="0" w:color="auto"/>
      </w:divBdr>
    </w:div>
    <w:div w:id="1473980887">
      <w:bodyDiv w:val="1"/>
      <w:marLeft w:val="0"/>
      <w:marRight w:val="0"/>
      <w:marTop w:val="0"/>
      <w:marBottom w:val="0"/>
      <w:divBdr>
        <w:top w:val="none" w:sz="0" w:space="0" w:color="auto"/>
        <w:left w:val="none" w:sz="0" w:space="0" w:color="auto"/>
        <w:bottom w:val="none" w:sz="0" w:space="0" w:color="auto"/>
        <w:right w:val="none" w:sz="0" w:space="0" w:color="auto"/>
      </w:divBdr>
    </w:div>
    <w:div w:id="1586719927">
      <w:bodyDiv w:val="1"/>
      <w:marLeft w:val="0"/>
      <w:marRight w:val="0"/>
      <w:marTop w:val="0"/>
      <w:marBottom w:val="0"/>
      <w:divBdr>
        <w:top w:val="none" w:sz="0" w:space="0" w:color="auto"/>
        <w:left w:val="none" w:sz="0" w:space="0" w:color="auto"/>
        <w:bottom w:val="none" w:sz="0" w:space="0" w:color="auto"/>
        <w:right w:val="none" w:sz="0" w:space="0" w:color="auto"/>
      </w:divBdr>
    </w:div>
    <w:div w:id="1938438597">
      <w:bodyDiv w:val="1"/>
      <w:marLeft w:val="0"/>
      <w:marRight w:val="0"/>
      <w:marTop w:val="0"/>
      <w:marBottom w:val="0"/>
      <w:divBdr>
        <w:top w:val="none" w:sz="0" w:space="0" w:color="auto"/>
        <w:left w:val="none" w:sz="0" w:space="0" w:color="auto"/>
        <w:bottom w:val="none" w:sz="0" w:space="0" w:color="auto"/>
        <w:right w:val="none" w:sz="0" w:space="0" w:color="auto"/>
      </w:divBdr>
    </w:div>
    <w:div w:id="19467706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vid.hughes@cn-bio.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ucy.young@cn-bio.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ul.silva@cn-bio.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289EEC73E1EA439C85CEA2DBDF53D6" ma:contentTypeVersion="13" ma:contentTypeDescription="Create a new document." ma:contentTypeScope="" ma:versionID="9cfa1d608f399660e9dec3bdb5ad9ad9">
  <xsd:schema xmlns:xsd="http://www.w3.org/2001/XMLSchema" xmlns:xs="http://www.w3.org/2001/XMLSchema" xmlns:p="http://schemas.microsoft.com/office/2006/metadata/properties" xmlns:ns2="fe5b421a-de7e-4887-94dc-1b84d1a43c64" xmlns:ns3="0eafc08e-3fed-4eb2-9a75-586a65d85845" targetNamespace="http://schemas.microsoft.com/office/2006/metadata/properties" ma:root="true" ma:fieldsID="2283f9264d492e85d74f67a968534e0d" ns2:_="" ns3:_="">
    <xsd:import namespace="fe5b421a-de7e-4887-94dc-1b84d1a43c64"/>
    <xsd:import namespace="0eafc08e-3fed-4eb2-9a75-586a65d8584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5b421a-de7e-4887-94dc-1b84d1a43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afc08e-3fed-4eb2-9a75-586a65d8584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b:Tag>Ong07</b:Tag>
    <b:SourceType>JournalArticle</b:SourceType>
    <b:Guid>{8136C34D-75E8-4AF7-BC73-7968BDD100A2}</b:Guid>
    <b:Author>
      <b:Author>
        <b:NameList>
          <b:Person>
            <b:Last>Ong MM</b:Last>
            <b:First>Latchoumycandane</b:First>
            <b:Middle>C, Boelsterli UA.</b:Middle>
          </b:Person>
        </b:NameList>
      </b:Author>
    </b:Author>
    <b:Title>Troglitazone-induced hepatic necrosis in an animal model of silent genetic mitochondrial abnormalities.</b:Title>
    <b:JournalName>Toxicol Sci. </b:JournalName>
    <b:Year>2007</b:Year>
    <b:Pages>97(1):205-13</b:Pages>
    <b:RefOrder>1</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SharedWithUsers xmlns="0eafc08e-3fed-4eb2-9a75-586a65d85845">
      <UserInfo>
        <DisplayName/>
        <AccountId xsi:nil="true"/>
        <AccountType/>
      </UserInfo>
    </SharedWithUsers>
  </documentManagement>
</p:properties>
</file>

<file path=customXml/itemProps1.xml><?xml version="1.0" encoding="utf-8"?>
<ds:datastoreItem xmlns:ds="http://schemas.openxmlformats.org/officeDocument/2006/customXml" ds:itemID="{AB927CD6-2D00-43DD-8C81-076198247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5b421a-de7e-4887-94dc-1b84d1a43c64"/>
    <ds:schemaRef ds:uri="0eafc08e-3fed-4eb2-9a75-586a65d858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AB77A7-438F-41F2-B8AC-8F37F36910E8}">
  <ds:schemaRefs>
    <ds:schemaRef ds:uri="http://schemas.microsoft.com/sharepoint/v3/contenttype/forms"/>
  </ds:schemaRefs>
</ds:datastoreItem>
</file>

<file path=customXml/itemProps3.xml><?xml version="1.0" encoding="utf-8"?>
<ds:datastoreItem xmlns:ds="http://schemas.openxmlformats.org/officeDocument/2006/customXml" ds:itemID="{7B41624B-C322-4399-9CFB-0B142A50FCBB}">
  <ds:schemaRefs>
    <ds:schemaRef ds:uri="http://schemas.openxmlformats.org/officeDocument/2006/bibliography"/>
  </ds:schemaRefs>
</ds:datastoreItem>
</file>

<file path=customXml/itemProps4.xml><?xml version="1.0" encoding="utf-8"?>
<ds:datastoreItem xmlns:ds="http://schemas.openxmlformats.org/officeDocument/2006/customXml" ds:itemID="{EB1FD712-8AE7-4F32-B44C-8A974B5D0E7E}">
  <ds:schemaRefs>
    <ds:schemaRef ds:uri="http://schemas.microsoft.com/office/2006/metadata/properties"/>
    <ds:schemaRef ds:uri="http://schemas.microsoft.com/office/infopath/2007/PartnerControls"/>
    <ds:schemaRef ds:uri="0eafc08e-3fed-4eb2-9a75-586a65d8584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27966</Words>
  <Characters>159410</Characters>
  <Application>Microsoft Office Word</Application>
  <DocSecurity>0</DocSecurity>
  <Lines>1328</Lines>
  <Paragraphs>374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2021-12-23T15:04:00Z</dcterms:created>
  <dcterms:modified xsi:type="dcterms:W3CDTF">2021-12-23T15:50:00Z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0x0101009D289EEC73E1EA439C85CEA2DBDF53D6</vt:lpwstr>
  </property>
  <property fmtid="{D5CDD505-2E9C-101B-9397-08002B2CF9AE}" pid="3" name="Mendeley Document_1">
    <vt:lpwstr>True</vt:lpwstr>
  </property>
  <property fmtid="{D5CDD505-2E9C-101B-9397-08002B2CF9AE}" pid="4" name="Mendeley Unique User Id_1">
    <vt:lpwstr>302091d9-d19b-30b0-a38f-45938ed35efb</vt:lpwstr>
  </property>
  <property fmtid="{D5CDD505-2E9C-101B-9397-08002B2CF9AE}" pid="5" name="Mendeley Citation Style_1">
    <vt:lpwstr>http://www.zotero.org/styles/journal-of-visualized-experiments</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http://www.zotero.org/styles/apa</vt:lpwstr>
  </property>
  <property fmtid="{D5CDD505-2E9C-101B-9397-08002B2CF9AE}" pid="9" name="Mendeley Recent Style Name 1_1">
    <vt:lpwstr>American Psychological Association 7th edition</vt:lpwstr>
  </property>
  <property fmtid="{D5CDD505-2E9C-101B-9397-08002B2CF9AE}" pid="10" name="Mendeley Recent Style Id 2_1">
    <vt:lpwstr>http://www.zotero.org/styles/american-sociological-association</vt:lpwstr>
  </property>
  <property fmtid="{D5CDD505-2E9C-101B-9397-08002B2CF9AE}" pid="11" name="Mendeley Recent Style Name 2_1">
    <vt:lpwstr>American Sociological Association 6th edition</vt:lpwstr>
  </property>
  <property fmtid="{D5CDD505-2E9C-101B-9397-08002B2CF9AE}" pid="12" name="Mendeley Recent Style Id 3_1">
    <vt:lpwstr>http://www.zotero.org/styles/chicago-author-date</vt:lpwstr>
  </property>
  <property fmtid="{D5CDD505-2E9C-101B-9397-08002B2CF9AE}" pid="13" name="Mendeley Recent Style Name 3_1">
    <vt:lpwstr>Chicago Manual of Style 17th edition (author-date)</vt:lpwstr>
  </property>
  <property fmtid="{D5CDD505-2E9C-101B-9397-08002B2CF9AE}" pid="14" name="Mendeley Recent Style Id 4_1">
    <vt:lpwstr>http://www.zotero.org/styles/harvard-cite-them-right</vt:lpwstr>
  </property>
  <property fmtid="{D5CDD505-2E9C-101B-9397-08002B2CF9AE}" pid="15" name="Mendeley Recent Style Name 4_1">
    <vt:lpwstr>Cite Them Right 10th edition - Harvard</vt:lpwstr>
  </property>
  <property fmtid="{D5CDD505-2E9C-101B-9397-08002B2CF9AE}" pid="16" name="Mendeley Recent Style Id 5_1">
    <vt:lpwstr>http://www.zotero.org/styles/ieee</vt:lpwstr>
  </property>
  <property fmtid="{D5CDD505-2E9C-101B-9397-08002B2CF9AE}" pid="17" name="Mendeley Recent Style Name 5_1">
    <vt:lpwstr>IEEE</vt:lpwstr>
  </property>
  <property fmtid="{D5CDD505-2E9C-101B-9397-08002B2CF9AE}" pid="18" name="Mendeley Recent Style Id 6_1">
    <vt:lpwstr>http://www.zotero.org/styles/journal-of-visualized-experiments</vt:lpwstr>
  </property>
  <property fmtid="{D5CDD505-2E9C-101B-9397-08002B2CF9AE}" pid="19" name="Mendeley Recent Style Name 6_1">
    <vt:lpwstr>Journal of Visualized Experiments</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