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Simultaneous Visualization of the Dynamics of Crosslinked and Single Microtubules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by TIRF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Nandini Mani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Michelle F. Marchan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Radhika Subramanian</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Molecular Biology, Massachusetts General Hospital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Genetics, Harvard Medical School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Radhika Subramanian</w:t>
        <w:tab/>
        <w:t xml:space="preserve">(radhika@molbio.mgh.harvard.edu)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Nandini Mani</w:t>
        <w:tab/>
        <w:tab/>
        <w:t xml:space="preserve">(mani@molbio.mgh.harvard.edu)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Michelle F. Marchan</w:t>
        <w:tab/>
        <w:t xml:space="preserve">(</w:t>
      </w:r>
      <w:r>
        <w:rPr>
          <w:rFonts w:ascii="Calibri" w:hAnsi="Calibri" w:cs="Calibri" w:eastAsia="Calibri"/>
          <w:color w:val="000000"/>
          <w:spacing w:val="0"/>
          <w:position w:val="0"/>
          <w:sz w:val="24"/>
          <w:shd w:fill="auto" w:val="clear"/>
        </w:rPr>
        <w:t xml:space="preserve">marchan@molbio.mgh.harvard.edu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Radhika Subramanian</w:t>
        <w:tab/>
        <w:t xml:space="preserve">(radhika@molbio.mgh.harvard.edu)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TIRF microscopy-based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reconstitution assay is presented to simultaneously quantify and compare the dynamics of two microtubule populations. A method is described to simultaneously view the collective activity of multiple microtubule-associated proteins on crosslinked microtubule bundles and single microtubules.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Microtubules are polymers of &amp;#945;&amp;#946;-tubulin heterodimers that organize into distinct structures in cells. Microtubule-based architectures and networks can consist of subsets of microtubule arrays that differ in their dynamic properties. For example, in dividing cells, stable bundles of crosslinked microtubules coexist in close proximity to dynamic non-crosslinked microtubules. TIRF-microscopy-based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reconstitution studies enable the simultaneous visualization of dynamics of these different microtubule arrays. In this assay, an imaging chamber is assembled with surface-immobilized crosslinked microtubule bundles and non-crosslinked single microtubules. Introduction of tubulin, nucleotides, and protein regulators allows direct visualization of the dynamic properties of and protein localization on single and crosslinked microtubules. Furthermore, changes that occur as dynamic single microtubules organize into a bundle can be monitored in real-time. The method described here allows for a systematic evaluation of the activity and localization of individual proteins, as well as synergistic effects of protein regulators on two different microtubule subsets under identical experimental conditions, thereby providing mechanistic insights that are inaccessible by other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Microtubules are biopolymers that form structural scaffolds essential for multiple cellular processes, ranging from intracellular transport and organelle positioning to cell division and elongation. To execute these diverse functions, individual microtubules are organized into micron-sized arrays, such as mitotic spindles, ciliary axonemes, neuronal bundles, interphase arrays, and plant cortical arrays. A ubiquitous architectural motif found in these structures is a bundle of microtubules crosslinked along their lengths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 intriguing feature of several microtubule-based structures is the coexistence of bundled microtubules and non-crosslinked single microtubules in close spatial proximity. These microtubule subpopulations can display starkly different polymerization dynamics from each other, as needed for their proper function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instance, within the mitotic spindle, stable crosslinked bundles and dynamic single microtubules are present within a micron-sized region at the cell center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Studying how the dynamic properties of coexisting microtubule populations are specified is, therefore, central to understanding the assembly and function of microtubule-based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Microtubules are dynamic polymers that cycle between phases of polymerization and depolymerization, switching between the two phases in events known as catastrophe and rescue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dynamics of cellular microtubules are regulated by myriad Microtubule Associated Proteins (MAPs) that regulate the rates of microtubule polymerization and depolymerization and the frequencies of catastrophe and rescue events. It is challenging to investigate the activity of MAPs on spatially proximal arrays in cells, owing to the high density of microtubules in micron-sized regions, and the limitations of spatial resolution in light microscopy. Moreover, the presence of multiple MAPs in the same cellular region hinders interpretations of cell biological studies. These difficulties are circumvented by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reconstitution assays performed in conjunction with Total Internal Reflection Fluorescence (TIRF) microscopy. Here, the dynamics of microtubules assembled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are examined in the presence of one or more MAPs under controlled conditions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conventional reconstitution assays are typically performed on single microtubules or on one type of array, which do not permit the visualization of coexisting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 </w:t>
      </w:r>
      <w:r>
        <w:rPr>
          <w:rFonts w:ascii="Calibri" w:hAnsi="Calibri" w:cs="Calibri" w:eastAsia="Calibri"/>
          <w:i/>
          <w:color w:val="auto"/>
          <w:spacing w:val="0"/>
          <w:position w:val="0"/>
          <w:sz w:val="24"/>
          <w:shd w:fill="auto" w:val="clear"/>
        </w:rPr>
        <w:t xml:space="preserve">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vitro</w:t>
      </w:r>
      <w:r>
        <w:rPr>
          <w:rFonts w:ascii="Calibri" w:hAnsi="Calibri" w:cs="Calibri" w:eastAsia="Calibri"/>
          <w:color w:val="auto"/>
          <w:spacing w:val="0"/>
          <w:position w:val="0"/>
          <w:sz w:val="24"/>
          <w:shd w:fill="auto" w:val="clear"/>
        </w:rPr>
        <w:t xml:space="preserve"> reconstitution assays are presented to enable the simultaneous visualization of two microtubule populations under the same solution conditions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 method is described to simultaneously view the collective activity of multiple MAPs on single microtubules, and on microtubule bundles crosslinked by the mitotic spindle-associated protein PRC1, which preferentially binds to and cross-links anti-parallel microtubules. Briefly, this protocol consists of the following steps: (i) preparation of stock solutions and reagents, (ii) cleaning and surface treatment of coverslips used to create the imaging chamber for microscopy experiments, (iii) preparation of stable microtubule “seeds” from which polymerization is initiated during the experiment, (iv) specification of TIRF microscope settings to visualize microtubule dynamics, (v) immobilization of microtubule seeds and generation of crosslinked microtubule bundles in the imaging chamber, and (vi) visualization of microtubule dynamics in the imaging chamber through TIRF microscopy, upon addition of soluble tubulin, MAPS, and nucleotides. These assays enable the qualitative evaluation and quantitative examination of MAP localization and their effect on the dynamics of two microtubule populations. Additionally, they facilitate the evaluation of synergistic effects of multiple MAPs on these microtubule populations, across a wide range of experimental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Prepare reagents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buffers and reagents as outlined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During the experiment, keep all solutions on ice unless otherwise noted.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1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2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Prepare Biotin-PEG slides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imaging chambers as close to the start of an experiment as possible, and not more than 2 weeks in advance.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Clean coverslips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Position an equal number of 24 x 60 mm and 18 x 18 mm #1.5 coverslips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 in slide-staining jars and slide-washing racks, respectively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 Place the slide-washing racks containing 18 x 18 mm coverslips in a 100 mL beaker.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Rinse all coverslips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times in ultrapure water (18.2 M&amp;#937;-cm resistivity) and remove excess liquid after each rinse with a pipette tip attached to a vacuum tube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Fill beakers and slide-staining jars containing the coverslips with ultrapure water, seal with parafilm, and sonicate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Fill two 150 mL beakers with 200-proof ethanol. Using tweezers, dip each coverslip into one beaker filled with ethanol, and then the other.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Using tweezers, transfer coverslips to the slide-drying rack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dry them under nitrogen gas stream and incubate at 37 &amp;#176;C until completely dry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Place the dried coverslips in a single layer inside the plasma cleaner. Form vacuum seal, and then set the Radio Frequency (RF) level of the plasma cleaner to ~8 MHz.</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 Once the plasma is generated, leave coverslips in plasma cleaner for 5 min. Switch off the plasma cleaner and release the vacuum slowly.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 Once the vacuum seal is released, flip the coverslips over and repeat the plasma cleaning for 5 min for the other side of the coverslips.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2.1.9. Alternative to plasma cleaning: In place of steps 2.1.2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 sonicate coverslips in a warm solution of 2% detergent (in ultrapure water) for 10 min. Then, thoroughly wash coverslips with ultrapure water and sonicate in ultrapure water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times (10 min each). Next, wash in ethanol and dry as in steps 2.1.4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2.1.5. Skip steps 2.1.6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Biotin-PEG treatment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Immediately before use, dissolve 400 &amp;#181;L of </w:t>
      </w:r>
      <w:r>
        <w:rPr>
          <w:rFonts w:ascii="Calibri" w:hAnsi="Calibri" w:cs="Calibri" w:eastAsia="Calibri"/>
          <w:color w:val="auto"/>
          <w:spacing w:val="0"/>
          <w:position w:val="0"/>
          <w:sz w:val="24"/>
          <w:shd w:fill="auto" w:val="clear"/>
        </w:rPr>
        <w:t xml:space="preserve">3-Aminopropyltriethoxysilane </w:t>
      </w:r>
      <w:r>
        <w:rPr>
          <w:rFonts w:ascii="Calibri" w:hAnsi="Calibri" w:cs="Calibri" w:eastAsia="Calibri"/>
          <w:color w:val="000000"/>
          <w:spacing w:val="0"/>
          <w:position w:val="0"/>
          <w:sz w:val="24"/>
          <w:shd w:fill="auto" w:val="clear"/>
        </w:rPr>
        <w:t xml:space="preserve">in 40 mL of acetone. Using tweezers, move plasma-cleaned coverslips into the slide-washing rack and slide-staining jars. Submerge coverslips in </w:t>
      </w:r>
      <w:r>
        <w:rPr>
          <w:rFonts w:ascii="Calibri" w:hAnsi="Calibri" w:cs="Calibri" w:eastAsia="Calibri"/>
          <w:color w:val="auto"/>
          <w:spacing w:val="0"/>
          <w:position w:val="0"/>
          <w:sz w:val="24"/>
          <w:shd w:fill="auto" w:val="clear"/>
        </w:rPr>
        <w:t xml:space="preserve">3-Aminopropyltriethoxysilane </w:t>
      </w:r>
      <w:r>
        <w:rPr>
          <w:rFonts w:ascii="Calibri" w:hAnsi="Calibri" w:cs="Calibri" w:eastAsia="Calibri"/>
          <w:color w:val="000000"/>
          <w:spacing w:val="0"/>
          <w:position w:val="0"/>
          <w:sz w:val="24"/>
          <w:shd w:fill="auto" w:val="clear"/>
        </w:rPr>
        <w:t xml:space="preserve">solution and incubate for 5 min</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Wash all coverslips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times with ultrapure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Transfer coverslips to the slide-drying rack, dry them under a nitrogen gas stream and incubate at 37 &amp;#176;C until completely dry (~20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Lay the dried coverslips on delicate task wipes and label each coverslip on one corner, e.g., ‘p’ on each 18 x 18 mm coverslip and ‘b’ on each 24 x 60 mm coverslip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 On the day of the experiment, prepare a fresh 0.1 M sodium bicarbonate solution by dissolving 0.84 mg of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in 10 mL of ultrapure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 Bring aliquots of mPEG-Succinimidyl Valerate (PEG-SVA) and Biotin-PEG-SVA to room temperature, immediately before use. See notes on Polyethylene Glycol (PEG) aliquot preparation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br/>
        <w:br/>
        <w:t xml:space="preserve">NOTE: Work quickly because the hydrolysis half-life of the Succinimidyl Valerate (SVA) moiety is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 Add 102 &amp;#181;L of 0.1 M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to 34 mg of PEG-SVA, spin in a benchtop microcentrifuge at 2,656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20 s, and then mix by pipetting up and down. Dissolve 3 mg of Biotin-PEG-SVA in 27 &amp;#181;L of 0.1 M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by pipetting up and down. Adjust dilution volumes according to the exact weight of PEG noted on the tubes (see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 Prepare 100:1 w/w PEG:biotin-PEG mixture by combining 75 &amp;#181;L of PEG-SVA solution and 2.25 &amp;#181;L of Biotin-PEG-SVA solution for 20 coverslips, 100 &amp;#181;L and 3 &amp;#181;L for 30 coverslips, or 125 &amp;#181;L and 3.75 &amp;#181;L for 40 coverslips.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2.2.9. Construct a hydration chamber by placing wet paper towels beneath the tip rack in the bottom of an empty 10 &amp;#181;L tip box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This will prevent evaporation of the PEG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2.2.10. Pipette 6 &amp;#181;L of 100:1 PEG-SVA:biotin-PEG mixture onto the center of one 24 x 60 mm coverslip on the labeled side. Place another 24 x 60 mm coverslip on top of the first coverslip such that the pair forms an X-shape, with the sides labeled ‘b’ facing each other. Place the pair on an empty tip rack in the hydration chamber and repeat for the remaining 24 x 60 mm coverslips.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2.2.11. Pipette 6 &amp;#181;L of PEG-SVA onto the center of one 18 x 18 mm coverslip on the labeled side. Place another 18 x 18 mm coverslip on top of the first coverslip, with the sides labeled ‘p’ facing each other. Place the pair on an empty tip rack in the hydration chamber and repeat for the remaining 18 x 18 mm coverslips.</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2.2.12. Close the hydration chamber and incubate for 3 h or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2.2.13. Separate the pairs of coverslips and rinse in </w:t>
      </w:r>
      <w:r>
        <w:rPr>
          <w:rFonts w:ascii="Calibri" w:hAnsi="Calibri" w:cs="Calibri" w:eastAsia="Calibri"/>
          <w:color w:val="auto"/>
          <w:spacing w:val="0"/>
          <w:position w:val="0"/>
          <w:sz w:val="24"/>
          <w:shd w:fill="auto" w:val="clear"/>
        </w:rPr>
        <w:t xml:space="preserve">ultrapure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2.2.14. Dry coverslips with a nitrogen stream and place them in a 37 &amp;#176;C incubator to fully dry.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2.2.15. To construct the imaging chamber, stick three strips of double-sided tape on a 24 x 60 mm coverslip on the side labeled ‘b’. To the other side of tape strips, attach an 18 x 18 mm coverslip with its side labeled ‘p’ facing the larger coverslip. This forms two lanes for microscopy experiments, with treated surfaces facing each other (</w:t>
      </w:r>
      <w:r>
        <w:rPr>
          <w:rFonts w:ascii="Calibri" w:hAnsi="Calibri" w:cs="Calibri" w:eastAsia="Calibri"/>
          <w:b/>
          <w:color w:val="000000"/>
          <w:spacing w:val="0"/>
          <w:position w:val="0"/>
          <w:sz w:val="24"/>
          <w:shd w:fill="auto" w:val="clear"/>
        </w:rPr>
        <w:t xml:space="preserve">Figure 2 and Figure 1G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Polymerize microtubules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Prepare GMPCPP seeds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GMPCPP seeds in a cold room, keeping all reagents, tips, and tubes at 4 &amp;#176;C. GMPCPP seeds can be prepared in advance and stored at -80 &amp;#176;C for up to 1 year.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Resuspend lyophilized tubulin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to ~10 mg/mL in 1x BRB80, immediately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Mix components of GMPCPP seeds as described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all tubulin components on ice as much as possible to minimize the polymerization of soluble tubulin.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3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Clarify mix in a fixed-angle ultracentrifuge rotor at 352,700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Separate the supernatant into 5 &amp;#181;L aliquots, snap freeze them in liquid nitrogen, and store them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Polymerize seeds on the day of the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Warm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mL of BRB80-DTT to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Place 5 &amp;#181;L aliquot of GMPCPP seeds (-80 &amp;#176;C) from step 3.1.4 on ice and immediately dissolve in 20 &amp;#181;L of warm BRB80-DTT. Spin at 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s at room temperature and tap to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Initial dilution volume may vary between 13 &amp;#181;L and 21 &amp;#181;L and is empirically determined for each batch of seeds. If seeds fail to polymerize, troubleshoot by supplementing initial dilution buffer (step 3.2.2) with 0.5 &amp;#181;M GMPCPP.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Protect from light and incubate at 37 &amp;#176;C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length of the microtubules depends on the duration of incubation. For short microtubules, the incubation time can be as short as 15 min. For long microtubules, the incubation time can be as long as 2 h. Biotinylated microtubules tend to require longer incubation times than non-biotinylated microtubules.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Place fixed-angle ultracentrifuge rotor, containing 500 &amp;#181;L centrifuge tubes, in ultracentrifuge and pre-warm to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After incubation, add 50 &amp;#181;L of warm BRB80-DTT (step 3.2.1) to the polymerized GMPCPP seeds and transfer the mixture to a 500 &amp;#181;L centrifuge tube. Add 50 &amp;#181;L of warm BRB80-DTT to an empty tube, pipette up and down, and add this buffer to the centrifuge tube containing the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Before spinning, mark the rim of the centrifuge tube to indicate where the pellet will be (the pellet will be too small to see). Spin for 10 min at 244,900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30 &amp;#176;C</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Discard the supernatant and resuspend the pellet in 100 &amp;#181;L of BRB80-DTT. Tap to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 Spin for 10 min at 244,900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30 &amp;#176;C, aligning the marking with the rotor to pellet in the same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 Remove the supernatant and resuspend the pellet in 16 &amp;#181;L of BRB80-DTT. Transfer the microtubule solution to a clean 0.6 mL microcentrifuge tube. Protect from light and keep at or above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polymerization, keep microtubules at or above room temperature. If they get cold, they will depolymerize. Incubate at 28 &amp;#176;C for added stability.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Check microtubules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TIRF microscopy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Pipette a mixture of 4.5 &amp;#181;L of BRB80-DTT and 1 &amp;#181;L of microtubule solution (step 3.2.9) onto a microscope slide. Cover with an 18 x 18 mm coverslip and seal the edges with either clear nail polish or a 1:1:1 mixture of petrolatum, lanolin, and paraffin (valap sealant), which is solid at room temperature and liquid at 95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Position the TIRF objective beneath the coverslip (see step 4 for recommended microscope settings) and visualize the newly polymerized microtubules at wavelength appropriate for the fluorescently labeled tubulin in the Bright mix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to determine what dilution of microtubules to use in the upcoming experiments.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Microscope settings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Temperature: Set the microscope temperature to 28 &amp;#176;C to view dynamic microtubules.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Filters: Use the best combination of filter cubes and emission filters, depending on the fluorescent channels to be imaged. To visualize 488 nm, 560 nm, and 647 nm wavelengths in the same experiment, use a 405/488/560/647 nm Laser Quad Band Set, coupled with emission filters for the designated wavelengths.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Align Lasers: Ensure that the TIRF illuminator is aligned. Determine the Laser intensity for the experiment empirically, such that all fluorescent proteins are illuminated, but do not undergo significant photobleaching over the time course of the experiment.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Objective: Use lens paper to clean a 100x objective with 70% ethanol. Prior to imaging, add a drop of microscope immersion oil to the objective.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Set up an imaging sequence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 For an experiment with 647 nm fluorophore-labeled biotinylated microtubules, 560 nm fluorophore-labeled non-biotinylated microtubules and soluble tubulin, and GFP-labeled protein of interest, image for 20 min. Image the 560 nm and 488 nm channels every 10 s, and the 647 nm channel every 30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 To capture a reference image of bundles before the addition of soluble tubulin and MAPs, set up a sequence with one image each in 560 nm and 647 nm wavelengths.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Generate surface-immobilized microtubule bundles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For the following steps, flow all solutions into the imaging chamber by pipetting into one open side, while placing a filter paper against the other side. Protect the imaging chamber from light to reduce photobleaching of fluorescently labeled proteins. Tape the prepared imaging chamber to a slide holder (</w:t>
      </w:r>
      <w:r>
        <w:rPr>
          <w:rFonts w:ascii="Calibri" w:hAnsi="Calibri" w:cs="Calibri" w:eastAsia="Calibri"/>
          <w:b/>
          <w:color w:val="000000"/>
          <w:spacing w:val="0"/>
          <w:position w:val="0"/>
          <w:sz w:val="24"/>
          <w:shd w:fill="FFFF00" w:val="clear"/>
        </w:rPr>
        <w:t xml:space="preserve">Figure 1G,H</w:t>
      </w:r>
      <w:r>
        <w:rPr>
          <w:rFonts w:ascii="Calibri" w:hAnsi="Calibri" w:cs="Calibri" w:eastAsia="Calibri"/>
          <w:color w:val="000000"/>
          <w:spacing w:val="0"/>
          <w:position w:val="0"/>
          <w:sz w:val="24"/>
          <w:shd w:fill="FFFF00" w:val="clear"/>
        </w:rPr>
        <w:t xml:space="preserve">). Follow the steps in </w:t>
      </w:r>
      <w:r>
        <w:rPr>
          <w:rFonts w:ascii="Calibri" w:hAnsi="Calibri" w:cs="Calibri" w:eastAsia="Calibri"/>
          <w:b/>
          <w:color w:val="000000"/>
          <w:spacing w:val="0"/>
          <w:position w:val="0"/>
          <w:sz w:val="24"/>
          <w:shd w:fill="FFFF00" w:val="clear"/>
        </w:rPr>
        <w:t xml:space="preserve">Table 4</w:t>
      </w:r>
      <w:r>
        <w:rPr>
          <w:rFonts w:ascii="Calibri" w:hAnsi="Calibri" w:cs="Calibri" w:eastAsia="Calibri"/>
          <w:color w:val="000000"/>
          <w:spacing w:val="0"/>
          <w:position w:val="0"/>
          <w:sz w:val="24"/>
          <w:shd w:fill="FFFF00" w:val="clear"/>
        </w:rPr>
        <w:t xml:space="preserve">, which correspond to protocol</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steps 5.2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Prepare soluble tubulin mix according to </w:t>
      </w:r>
      <w:r>
        <w:rPr>
          <w:rFonts w:ascii="Calibri" w:hAnsi="Calibri" w:cs="Calibri" w:eastAsia="Calibri"/>
          <w:b/>
          <w:color w:val="000000"/>
          <w:spacing w:val="0"/>
          <w:position w:val="0"/>
          <w:sz w:val="24"/>
          <w:shd w:fill="FFFF00" w:val="clear"/>
        </w:rPr>
        <w:t xml:space="preserve">Table 5</w:t>
      </w:r>
      <w:r>
        <w:rPr>
          <w:rFonts w:ascii="Calibri" w:hAnsi="Calibri" w:cs="Calibri" w:eastAsia="Calibri"/>
          <w:color w:val="000000"/>
          <w:spacing w:val="0"/>
          <w:position w:val="0"/>
          <w:sz w:val="24"/>
          <w:shd w:fill="FFFF00" w:val="clear"/>
        </w:rPr>
        <w:t xml:space="preserve"> and keep it on ice.</w:t>
        <w:br/>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5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Soluble tubulin must always be placed on ice to prevent polymerization. Prepare a fresh soluble tubulin mix approximately every 2 h, or when microtubules are no longer polymerizing.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To immobilize microtubules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a biotin-neutravidin-biotin linkage, first flow in Neutravidin (NA) solution until the chamber is filled (~7.5 &amp;#181;L) and incubate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Wash with 10 &amp;#181;L of MB-cold.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Flow in 7.5 &amp;#181;L of the blocking protein </w:t>
      </w:r>
      <w:r>
        <w:rPr>
          <w:rFonts w:ascii="Calibri" w:hAnsi="Calibri" w:cs="Calibri" w:eastAsia="Calibri"/>
          <w:color w:val="auto"/>
          <w:spacing w:val="0"/>
          <w:position w:val="0"/>
          <w:sz w:val="24"/>
          <w:shd w:fill="FFFF00" w:val="clear"/>
        </w:rPr>
        <w:t xml:space="preserve">&amp;#954;</w:t>
      </w:r>
      <w:r>
        <w:rPr>
          <w:rFonts w:ascii="Calibri" w:hAnsi="Calibri" w:cs="Calibri" w:eastAsia="Calibri"/>
          <w:color w:val="000000"/>
          <w:spacing w:val="0"/>
          <w:position w:val="0"/>
          <w:sz w:val="24"/>
          <w:shd w:fill="FFFF00" w:val="clear"/>
        </w:rPr>
        <w:t xml:space="preserve">-casein (KC) and incubate for 2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Wash with 10 &amp;#181;L of MB-warm to prepare the chamber for the introduction of microtubules.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Dilute the stock of biotinylated microtubules (according to observations in step 3.3.2) in 1X BRB80-DTT and add 1 &amp;#181;L of this dilution to 9 &amp;#181;L of MB-warm. Flow the mixture into the chamber and incubate for 10 min. Use a higher concentration of microtubules for more bundles.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Wash away non-immobilized microtubules with 10 &amp;#181;L of MB-warm.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 Flow 7.5 &amp;#181;L of warm KC into the chamber and incubate for 2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 During the incubation, prepare a 2 nM solution of the cross-linker protein PRC1 in KC. Flow 10 &amp;#181;L of this solution into the imaging chamber and incubate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Recombinant PRC1 is expressed and purified from bacterial cells as previously described</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5.10. To make bundles, flow 10 &amp;#181;L of non-biotinylated microtubules into the chamber and incubate for 10 min. PRC1 will cross-link the non-biotinylated and immobilized biotinylated microtubules</w:t>
      </w:r>
      <w:r>
        <w:rPr>
          <w:rFonts w:ascii="Calibri" w:hAnsi="Calibri" w:cs="Calibri" w:eastAsia="Calibri"/>
          <w:color w:val="000000"/>
          <w:spacing w:val="0"/>
          <w:position w:val="0"/>
          <w:sz w:val="24"/>
          <w:shd w:fill="FFFF00" w:val="clear"/>
          <w:vertAlign w:val="superscript"/>
        </w:rPr>
        <w:t xml:space="preserve">15,16</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step 6.1 for preparing the assay mix during the incubation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 Wash the chamber twice with 10 &amp;#181;L of MB-warm. The attached microtubules are stable for around 20 min from this point.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4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Image microtubule dynamics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During the 10 min incubation time in step 5.10, prepare 10 &amp;#181;L of assay mix containing proteins of interest, soluble tubulin, nucleotides, oxygen scavengers</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and antioxidants according to </w:t>
      </w:r>
      <w:r>
        <w:rPr>
          <w:rFonts w:ascii="Calibri" w:hAnsi="Calibri" w:cs="Calibri" w:eastAsia="Calibri"/>
          <w:b/>
          <w:color w:val="auto"/>
          <w:spacing w:val="0"/>
          <w:position w:val="0"/>
          <w:sz w:val="24"/>
          <w:shd w:fill="FFFF00" w:val="clear"/>
        </w:rPr>
        <w:t xml:space="preserve">Table 6</w:t>
      </w:r>
      <w:r>
        <w:rPr>
          <w:rFonts w:ascii="Calibri" w:hAnsi="Calibri" w:cs="Calibri" w:eastAsia="Calibri"/>
          <w:color w:val="auto"/>
          <w:spacing w:val="0"/>
          <w:position w:val="0"/>
          <w:sz w:val="24"/>
          <w:shd w:fill="FFFF00" w:val="clear"/>
        </w:rPr>
        <w:t xml:space="preserve">. Keep the mix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6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Load the prepared imaging chamber, taped to slide holder, on the 100x TIRF objective. Use the 560 nm and 647 nm channels to find a field of view that contains an optimum number and density of single microtubules and bundles.</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both biotinylated and non-biotinylated microtubules are labeled with the same fluorophore, line-scan analyses of fluorescence intensities can distinguish between single microtubules and bundles.</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Once a field of view is identified, take a reference image.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Carefully flow in the assay mix without disturbing the imaging chamber.</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Seal the open ends of the chamber with valap sealant.</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Start the imaging sequence as described in step 4.5.1.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 described above was performed using 647 nm fluorophore-labeled biotinylated microtubules, 560 nm fluorophore-labeled non-biotinylated microtubules, and 560 nm fluorophore-labeled soluble tubulin mix. Microtubules were crosslinked by the crosslinker protein PRC1 (GFP-labeled). After surface-immobilized bundles and single microtubules were generated (step 5.11), the imaging chamber was mounted on a 100x TIRF objective and viewed in the 560 nm and 647 nm fluorescence channels. Single microtubules were identified by their fluorescence signal in the 647 nm channel. Microtubules with fluorescence signals in both channels were identified as pre-formed bundles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If experiments are performed with biotinylated and non-biotinylated microtubules with the same fluorescent label, detected fluorescence intensities for bundles will be around two-fold or higher than that of single microtubules. Based on the proportion and density of each population, the concentration of microtubule seeds in steps 5.6 and 5.10 can be optimized.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an imaging sequence has been acquired, analyze the video to ensure that microtubules are dynamic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Adjust assay components (tubulin volume in soluble tubulin mix, nucleotide stocks, protein concentrations) according to observations. For example, if microtubules do not polymerize, increase concentration of soluble tubulin and/or GTP in soluble tubulin mix. Similarly, increase working concentrations of fluorescently labeled MAPs if they are not visible on microtubules, and decrease concentrations if their background fluorescence intensity in the field of view is comparable to their intensity on microtubules. When visualizing motile motor proteins, increase ATP concentrations if motors do not exhibit motility on microtubules. Adjust Laser intensity for the excitation channels corresponding to microtubule fluorescence to ensure that differences in fluorescence intensity between single microtubules and bundles can be captured within the dynamic range of the detector.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representative example shown in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a field of view containing single microtubules and crosslinked bundles is shown. It is found that under these assay conditions (assay mix containing 0.5 nM PRC1, 50 mM KCl, and MAPs of interest: 200 nM GFP-labeled CLASP1, 10 nM Kinesin Kif4A), single microtubules elongate over the course of the assay, whereas the growth of crosslinked microtubules is stalled.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quantitative analysis of microtubule dynamics, open microscopy files in the FIJI software, and select single microtubules and bundles for analysis. Use the following criteria to exclude single microtubules and bundles from further analysis: exclude microtubules or bundles (i) found at the edges of the field of view, (ii) obscured by protein aggregates, or (iii) whose filaments move in the z-direction out of the TIRF range. Parameters of microtubule dynamics, such as length, growth rate, rescue frequency, and catastrophe frequency, can be obtained by constructing and analyzing kymographs for each single microtubule or microtubule pair</w:t>
      </w:r>
      <w:r>
        <w:rPr>
          <w:rFonts w:ascii="Calibri" w:hAnsi="Calibri" w:cs="Calibri" w:eastAsia="Calibri"/>
          <w:color w:val="auto"/>
          <w:spacing w:val="0"/>
          <w:position w:val="0"/>
          <w:sz w:val="24"/>
          <w:shd w:fill="auto" w:val="clear"/>
          <w:vertAlign w:val="superscript"/>
        </w:rPr>
        <w:t xml:space="preserve">11,15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Equipment for coverslip treatment and imaging chamber preparation.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slide-staining jar for 24 x 60 mm coverslips,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slide-washing racks for 18 x 18 mm coverslips,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vacuum set-up,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slide-drying rack,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hydration chamber,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coverslips,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imaging chamber,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slide holder.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for preparation of imaging chambers using double-sided tape (gray) and PEG/Biotin-PEG treated coverslips</w:t>
      </w:r>
      <w:r>
        <w:rPr>
          <w:rFonts w:ascii="Calibri" w:hAnsi="Calibri" w:cs="Calibri" w:eastAsia="Calibri"/>
          <w:color w:val="000000"/>
          <w:spacing w:val="0"/>
          <w:position w:val="0"/>
          <w:sz w:val="24"/>
          <w:shd w:fill="auto" w:val="clear"/>
        </w:rPr>
        <w:t xml:space="preserve">. Created with BioRender.com.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of addition of assay components to make and image fluorescently labeled bundles and single microtubules.</w:t>
      </w:r>
      <w:r>
        <w:rPr>
          <w:rFonts w:ascii="Calibri" w:hAnsi="Calibri" w:cs="Calibri" w:eastAsia="Calibri"/>
          <w:color w:val="000000"/>
          <w:spacing w:val="0"/>
          <w:position w:val="0"/>
          <w:sz w:val="24"/>
          <w:shd w:fill="auto" w:val="clear"/>
        </w:rPr>
        <w:t xml:space="preserve"> Biotinylated seeds are shown in blue, non-biotinylated seeds and soluble tubulin in red, PRC1 in black, and protein of interest in cyan. Step numbers in figure correspond to those in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Panel corresponding to step 9 shows a pre-formed bundle (lower left); step 11 shows a newly formed bundle (upper left). Created with BioRender.com.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Identification of single microtubules and crosslinked microtubules in the field of view. </w:t>
      </w:r>
      <w:r>
        <w:rPr>
          <w:rFonts w:ascii="Calibri" w:hAnsi="Calibri" w:cs="Calibri" w:eastAsia="Calibri"/>
          <w:color w:val="000000"/>
          <w:spacing w:val="0"/>
          <w:position w:val="0"/>
          <w:sz w:val="24"/>
          <w:shd w:fill="auto" w:val="clear"/>
        </w:rPr>
        <w:t xml:space="preserve">Representative field of view showing </w:t>
      </w:r>
      <w:r>
        <w:rPr>
          <w:rFonts w:ascii="Calibri" w:hAnsi="Calibri" w:cs="Calibri" w:eastAsia="Calibri"/>
          <w:color w:val="auto"/>
          <w:spacing w:val="0"/>
          <w:position w:val="0"/>
          <w:sz w:val="24"/>
          <w:shd w:fill="auto" w:val="clear"/>
        </w:rPr>
        <w:t xml:space="preserve">647 nm</w:t>
      </w:r>
      <w:r>
        <w:rPr>
          <w:rFonts w:ascii="Calibri" w:hAnsi="Calibri" w:cs="Calibri" w:eastAsia="Calibri"/>
          <w:color w:val="000000"/>
          <w:spacing w:val="0"/>
          <w:position w:val="0"/>
          <w:sz w:val="24"/>
          <w:shd w:fill="auto" w:val="clear"/>
        </w:rPr>
        <w:t xml:space="preserve"> (left), 560 nm (center), and merged (right) channels. Single microtubules (yellow arrowheads) and bundles (white arrowheads) are indicated in the merged channel. Scale bar represents 2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List of Buffers used in this protocol and their components.</w:t>
      </w:r>
      <w:r>
        <w:rPr>
          <w:rFonts w:ascii="Calibri" w:hAnsi="Calibri" w:cs="Calibri" w:eastAsia="Calibri"/>
          <w:color w:val="000000"/>
          <w:spacing w:val="0"/>
          <w:position w:val="0"/>
          <w:sz w:val="24"/>
          <w:shd w:fill="auto" w:val="clear"/>
        </w:rPr>
        <w:t xml:space="preserve"> See the “Recommended Storage Duration” column for guidance on how far in advance each buffer can be prepared.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List of reagents used in this protocol</w:t>
      </w:r>
      <w:r>
        <w:rPr>
          <w:rFonts w:ascii="Calibri" w:hAnsi="Calibri" w:cs="Calibri" w:eastAsia="Calibri"/>
          <w:color w:val="000000"/>
          <w:spacing w:val="0"/>
          <w:position w:val="0"/>
          <w:sz w:val="24"/>
          <w:shd w:fill="auto" w:val="clear"/>
        </w:rPr>
        <w:t xml:space="preserve">. Included are the recommended storage conditions and concentrations, working concentrations used during the experiment, and final concentration in the imaging chamber. Additional notes are given in the far-right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GMPCPP seed mix</w:t>
      </w:r>
      <w:r>
        <w:rPr>
          <w:rFonts w:ascii="Calibri" w:hAnsi="Calibri" w:cs="Calibri" w:eastAsia="Calibri"/>
          <w:color w:val="000000"/>
          <w:spacing w:val="0"/>
          <w:position w:val="0"/>
          <w:sz w:val="24"/>
          <w:shd w:fill="auto" w:val="clear"/>
        </w:rPr>
        <w:t xml:space="preserve">. Components of GMPCPP microtubule seeds, including volume and order of addition. Prepare 5 &amp;#181;L aliquots and store for up to 1 year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Assay steps.</w:t>
      </w:r>
      <w:r>
        <w:rPr>
          <w:rFonts w:ascii="Calibri" w:hAnsi="Calibri" w:cs="Calibri" w:eastAsia="Calibri"/>
          <w:color w:val="000000"/>
          <w:spacing w:val="0"/>
          <w:position w:val="0"/>
          <w:sz w:val="24"/>
          <w:shd w:fill="auto" w:val="clear"/>
        </w:rPr>
        <w:t xml:space="preserve"> List of reagents added to the imaging chamber, with indication of wash or incubation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Soluble tubulin mix components</w:t>
      </w:r>
      <w:r>
        <w:rPr>
          <w:rFonts w:ascii="Calibri" w:hAnsi="Calibri" w:cs="Calibri" w:eastAsia="Calibri"/>
          <w:color w:val="000000"/>
          <w:spacing w:val="0"/>
          <w:position w:val="0"/>
          <w:sz w:val="24"/>
          <w:shd w:fill="auto" w:val="clear"/>
        </w:rPr>
        <w:t xml:space="preserve">. Mix at the start of the experiment and keep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6: Assay mix components</w:t>
      </w:r>
      <w:r>
        <w:rPr>
          <w:rFonts w:ascii="Calibri" w:hAnsi="Calibri" w:cs="Calibri" w:eastAsia="Calibri"/>
          <w:color w:val="000000"/>
          <w:spacing w:val="0"/>
          <w:position w:val="0"/>
          <w:sz w:val="24"/>
          <w:shd w:fill="auto" w:val="clear"/>
        </w:rPr>
        <w:t xml:space="preserve">. Mix, flow into imaging chamber, and image microtubule dynamics, within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Dynamics of single microtubules and PRC1-crosslinked bundles.</w:t>
      </w:r>
      <w:r>
        <w:rPr>
          <w:rFonts w:ascii="Calibri" w:hAnsi="Calibri" w:cs="Calibri" w:eastAsia="Calibri"/>
          <w:color w:val="000000"/>
          <w:spacing w:val="0"/>
          <w:position w:val="0"/>
          <w:sz w:val="24"/>
          <w:shd w:fill="auto" w:val="clear"/>
        </w:rPr>
        <w:t xml:space="preserve"> Representative video showing microtubule dynamics, with </w:t>
      </w:r>
      <w:r>
        <w:rPr>
          <w:rFonts w:ascii="Calibri" w:hAnsi="Calibri" w:cs="Calibri" w:eastAsia="Calibri"/>
          <w:color w:val="auto"/>
          <w:spacing w:val="0"/>
          <w:position w:val="0"/>
          <w:sz w:val="24"/>
          <w:shd w:fill="auto" w:val="clear"/>
        </w:rPr>
        <w:t xml:space="preserve">647 nm fluorophore</w:t>
      </w:r>
      <w:r>
        <w:rPr>
          <w:rFonts w:ascii="Calibri" w:hAnsi="Calibri" w:cs="Calibri" w:eastAsia="Calibri"/>
          <w:color w:val="000000"/>
          <w:spacing w:val="0"/>
          <w:position w:val="0"/>
          <w:sz w:val="24"/>
          <w:shd w:fill="auto" w:val="clear"/>
        </w:rPr>
        <w:t xml:space="preserve">-labeled biotinylated microtubule seeds (blue), </w:t>
      </w:r>
      <w:r>
        <w:rPr>
          <w:rFonts w:ascii="Calibri" w:hAnsi="Calibri" w:cs="Calibri" w:eastAsia="Calibri"/>
          <w:color w:val="auto"/>
          <w:spacing w:val="0"/>
          <w:position w:val="0"/>
          <w:sz w:val="24"/>
          <w:shd w:fill="auto" w:val="clear"/>
        </w:rPr>
        <w:t xml:space="preserve">560 nm fluorophore</w:t>
      </w:r>
      <w:r>
        <w:rPr>
          <w:rFonts w:ascii="Calibri" w:hAnsi="Calibri" w:cs="Calibri" w:eastAsia="Calibri"/>
          <w:color w:val="000000"/>
          <w:spacing w:val="0"/>
          <w:position w:val="0"/>
          <w:sz w:val="24"/>
          <w:shd w:fill="auto" w:val="clear"/>
        </w:rPr>
        <w:t xml:space="preserve">-labeled non-biotinylated microtubule seeds and </w:t>
      </w:r>
      <w:r>
        <w:rPr>
          <w:rFonts w:ascii="Calibri" w:hAnsi="Calibri" w:cs="Calibri" w:eastAsia="Calibri"/>
          <w:color w:val="auto"/>
          <w:spacing w:val="0"/>
          <w:position w:val="0"/>
          <w:sz w:val="24"/>
          <w:shd w:fill="auto" w:val="clear"/>
        </w:rPr>
        <w:t xml:space="preserve">560 nm fluorophore-</w:t>
      </w:r>
      <w:r>
        <w:rPr>
          <w:rFonts w:ascii="Calibri" w:hAnsi="Calibri" w:cs="Calibri" w:eastAsia="Calibri"/>
          <w:color w:val="000000"/>
          <w:spacing w:val="0"/>
          <w:position w:val="0"/>
          <w:sz w:val="24"/>
          <w:shd w:fill="auto" w:val="clear"/>
        </w:rPr>
        <w:t xml:space="preserve">labeled soluble tubulin (red), and GFP-labeled PRC1 (green). Single and crosslinked microtubules are indicated by white and yellow arrows, respectively. The movie was recorded over 10 min (61 frames) and displayed at a rate of 12 frames/second. Assay conditions: 0.5 nM GFP-PRC1, 50 mM KCl and 37 &amp;#176;C. Scale bar: 5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Differences in dynamics of single microtubules and PRC1-crosslinked bundles in the presence of the MAPs, CLASP1, and Kif4A.</w:t>
      </w:r>
      <w:r>
        <w:rPr>
          <w:rFonts w:ascii="Calibri" w:hAnsi="Calibri" w:cs="Calibri" w:eastAsia="Calibri"/>
          <w:color w:val="000000"/>
          <w:spacing w:val="0"/>
          <w:position w:val="0"/>
          <w:sz w:val="24"/>
          <w:shd w:fill="auto" w:val="clear"/>
        </w:rPr>
        <w:t xml:space="preserve"> Representative video showing microtubule dynamics, with </w:t>
      </w:r>
      <w:r>
        <w:rPr>
          <w:rFonts w:ascii="Calibri" w:hAnsi="Calibri" w:cs="Calibri" w:eastAsia="Calibri"/>
          <w:color w:val="auto"/>
          <w:spacing w:val="0"/>
          <w:position w:val="0"/>
          <w:sz w:val="24"/>
          <w:shd w:fill="auto" w:val="clear"/>
        </w:rPr>
        <w:t xml:space="preserve">647 nm fluorophore</w:t>
      </w:r>
      <w:r>
        <w:rPr>
          <w:rFonts w:ascii="Calibri" w:hAnsi="Calibri" w:cs="Calibri" w:eastAsia="Calibri"/>
          <w:color w:val="000000"/>
          <w:spacing w:val="0"/>
          <w:position w:val="0"/>
          <w:sz w:val="24"/>
          <w:shd w:fill="auto" w:val="clear"/>
        </w:rPr>
        <w:t xml:space="preserve">-labeled biotinylated microtubule seeds (blue), and </w:t>
      </w:r>
      <w:r>
        <w:rPr>
          <w:rFonts w:ascii="Calibri" w:hAnsi="Calibri" w:cs="Calibri" w:eastAsia="Calibri"/>
          <w:color w:val="auto"/>
          <w:spacing w:val="0"/>
          <w:position w:val="0"/>
          <w:sz w:val="24"/>
          <w:shd w:fill="auto" w:val="clear"/>
        </w:rPr>
        <w:t xml:space="preserve">560 nm fluorophore</w:t>
      </w:r>
      <w:r>
        <w:rPr>
          <w:rFonts w:ascii="Calibri" w:hAnsi="Calibri" w:cs="Calibri" w:eastAsia="Calibri"/>
          <w:color w:val="000000"/>
          <w:spacing w:val="0"/>
          <w:position w:val="0"/>
          <w:sz w:val="24"/>
          <w:shd w:fill="auto" w:val="clear"/>
        </w:rPr>
        <w:t xml:space="preserve">-labeled non-biotinylated microtubule seeds and </w:t>
      </w:r>
      <w:r>
        <w:rPr>
          <w:rFonts w:ascii="Calibri" w:hAnsi="Calibri" w:cs="Calibri" w:eastAsia="Calibri"/>
          <w:color w:val="auto"/>
          <w:spacing w:val="0"/>
          <w:position w:val="0"/>
          <w:sz w:val="24"/>
          <w:shd w:fill="auto" w:val="clear"/>
        </w:rPr>
        <w:t xml:space="preserve">560 nm fluorophore-</w:t>
      </w:r>
      <w:r>
        <w:rPr>
          <w:rFonts w:ascii="Calibri" w:hAnsi="Calibri" w:cs="Calibri" w:eastAsia="Calibri"/>
          <w:color w:val="000000"/>
          <w:spacing w:val="0"/>
          <w:position w:val="0"/>
          <w:sz w:val="24"/>
          <w:shd w:fill="auto" w:val="clear"/>
        </w:rPr>
        <w:t xml:space="preserve">labeled soluble tubulin (red). Single and crosslinked microtubules are indicated by white and yellow arrows, respectively. The movie was recorded over 20 min (121 frames) and displayed at a rate of 20 frames/second. Assay conditions: 200 nM CLASP1-GFP, 0.5 nM PRC1, and 10 nM Kif4A. Scale bar: 2 &amp;#181;m. Video is reproduced from reference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 described here significantly expands the scope and complexity of conventional microtubule reconstitution assays, which are traditionally performed on single microtubules or on one type of array. The current assay provides a framework to simultaneously quantify and compare the regulatory MAP activity on two populations, namely, single microtubules and crosslinked bundles. Further, this assay allows for the examination of two types of bundles: those that are pre-formed from stable seeds before the initiation of dynamics, and those that are newly formed when two growing ends encounter each other and crosslink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Moreover, in addition to conventional experimental variables, such as protein concentrations and buffer conditions, these assays enable the evaluation of the effects of geometrical features of microtubule arrays, such as the lengths and angles between adjacent filaments in a bundle, which are emerging as important determinants of microtubule dynamics and MAP activity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auto" w:val="clear"/>
        </w:rPr>
        <w:t xml:space="preserve">In order to extend this experimental method for the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reconstitution of multiple microtubule-based structures, the following key issues need to be addressed: (i) PRC1 preferentially crosslinks microtubules that are oriented anti-parallel to each other. While such bundles are found at the cell center during mitosis, bundles of parallel microtubules are a common feature in other microtubule-based structures within neuronal axons and the mitotic spindle. The protocol described above can be readily adapted to generate cross-linked parallel microtubules using recombinant crosslinkers such as Kinesin-1 and TRIM46</w:t>
      </w:r>
      <w:r>
        <w:rPr>
          <w:rFonts w:ascii="Calibri" w:hAnsi="Calibri" w:cs="Calibri" w:eastAsia="Calibri"/>
          <w:color w:val="auto"/>
          <w:spacing w:val="0"/>
          <w:position w:val="0"/>
          <w:sz w:val="24"/>
          <w:shd w:fill="auto" w:val="clear"/>
          <w:vertAlign w:val="superscript"/>
        </w:rPr>
        <w:t xml:space="preserve">10,17</w:t>
      </w:r>
      <w:r>
        <w:rPr>
          <w:rFonts w:ascii="Calibri" w:hAnsi="Calibri" w:cs="Calibri" w:eastAsia="Calibri"/>
          <w:color w:val="auto"/>
          <w:spacing w:val="0"/>
          <w:position w:val="0"/>
          <w:sz w:val="24"/>
          <w:shd w:fill="auto" w:val="clear"/>
        </w:rPr>
        <w:t xml:space="preserve">. (ii) In these reconstitution assays, differences in fluorescence intensity can be used to distinguish between single microtubules and pairs of microtubules</w:t>
      </w:r>
      <w:r>
        <w:rPr>
          <w:rFonts w:ascii="Calibri" w:hAnsi="Calibri" w:cs="Calibri" w:eastAsia="Calibri"/>
          <w:color w:val="auto"/>
          <w:spacing w:val="0"/>
          <w:position w:val="0"/>
          <w:sz w:val="24"/>
          <w:shd w:fill="auto" w:val="clear"/>
          <w:vertAlign w:val="superscript"/>
        </w:rPr>
        <w:t xml:space="preserve">11,15</w:t>
      </w:r>
      <w:r>
        <w:rPr>
          <w:rFonts w:ascii="Calibri" w:hAnsi="Calibri" w:cs="Calibri" w:eastAsia="Calibri"/>
          <w:color w:val="auto"/>
          <w:spacing w:val="0"/>
          <w:position w:val="0"/>
          <w:sz w:val="24"/>
          <w:shd w:fill="auto" w:val="clear"/>
        </w:rPr>
        <w:t xml:space="preserve">. Under the experimental conditions used here, intensity analyses indicate that most bundles contain two cross-linked microtubules, and line scan analyses provide information on their relative positioning. However, when there are more than two or three filaments in a bundle, the spatial resolution of standard TIRF-based imaging systems hinders identification of the ends and polarity of individual microtubules (~25 nm diameter)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Moreover, while it is possible to identify the plus-ends of cross-linked anti-parallel microtubules from the direction of their growth, distinguishing the ends of cross-linked parallel microtubules growing in the same direction is hindered by the spatial resolution of optical microscopy. An extension of the experiment described here is to use polarity-marked microtubules or microtubule tip-binding proteins to position individual microtubules. For bundles with tens of microtubules, complementing the high temporal resolution of TIRF-based assays with techniques that have high spatial resolution, such as Atomic Force Microscopy, promises to yield new insights into the dynamics of individual microtubules within a bundle.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grant from the NIH (no. 1DP2GM126894-01), and by funds from the Pew Charitable Trusts and the Smith Family Foundation to R.S. The authors thank Shuo Jiang for his contribution toward development and optimization of the protocols.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Subramanian, R., Kapoor, T. M. Building complexity: insights into self-organized assembly of microtubule-based architectures. </w:t>
      </w:r>
      <w:r>
        <w:rPr>
          <w:rFonts w:ascii="Calibri" w:hAnsi="Calibri" w:cs="Calibri" w:eastAsia="Calibri"/>
          <w:i/>
          <w:color w:val="auto"/>
          <w:spacing w:val="0"/>
          <w:position w:val="0"/>
          <w:sz w:val="22"/>
          <w:shd w:fill="auto" w:val="clear"/>
        </w:rPr>
        <w:t xml:space="preserve">Developmental Cell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(5), 874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885 (2012).</w:t>
      </w:r>
    </w:p>
    <w:p>
      <w:pPr>
        <w:widowControl w:val="false"/>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Baas, P. W., Rao, A. N., Matamoros, A. J., Leo, L. Stability properties of neuronal microtubules. </w:t>
      </w:r>
      <w:r>
        <w:rPr>
          <w:rFonts w:ascii="Calibri" w:hAnsi="Calibri" w:cs="Calibri" w:eastAsia="Calibri"/>
          <w:i/>
          <w:color w:val="auto"/>
          <w:spacing w:val="0"/>
          <w:position w:val="0"/>
          <w:sz w:val="22"/>
          <w:shd w:fill="auto" w:val="clear"/>
        </w:rPr>
        <w:t xml:space="preserve">Cytoskeleton (Hoboken)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(9), 442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460 (2016).</w:t>
      </w:r>
    </w:p>
    <w:p>
      <w:pPr>
        <w:widowControl w:val="false"/>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Bitan, A., Rosenbaum, I., Abdu, U. Stable and dynamic microtubules coordinately determine and maintain Drosophila bristle shape. </w:t>
      </w:r>
      <w:r>
        <w:rPr>
          <w:rFonts w:ascii="Calibri" w:hAnsi="Calibri" w:cs="Calibri" w:eastAsia="Calibri"/>
          <w:i/>
          <w:color w:val="auto"/>
          <w:spacing w:val="0"/>
          <w:position w:val="0"/>
          <w:sz w:val="22"/>
          <w:shd w:fill="auto" w:val="clear"/>
        </w:rPr>
        <w:t xml:space="preserve">Development</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(11), 1987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1996 (2012).</w:t>
      </w:r>
    </w:p>
    <w:p>
      <w:pPr>
        <w:widowControl w:val="false"/>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Foe, V. E., von Dassow, G. Stable and dynamic microtubules coordinately shape the myosin activation zone during cytokinetic furrow formation. </w:t>
      </w:r>
      <w:r>
        <w:rPr>
          <w:rFonts w:ascii="Calibri" w:hAnsi="Calibri" w:cs="Calibri" w:eastAsia="Calibri"/>
          <w:i/>
          <w:color w:val="auto"/>
          <w:spacing w:val="0"/>
          <w:position w:val="0"/>
          <w:sz w:val="22"/>
          <w:shd w:fill="auto" w:val="clear"/>
        </w:rPr>
        <w:t xml:space="preserve">The Journal of Cell Biology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(3), 457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470 (2008).</w:t>
      </w:r>
    </w:p>
    <w:p>
      <w:pPr>
        <w:widowControl w:val="false"/>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Pous, C.</w:t>
      </w:r>
      <w:r>
        <w:rPr>
          <w:rFonts w:ascii="Calibri" w:hAnsi="Calibri" w:cs="Calibri" w:eastAsia="Calibri"/>
          <w: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al. Functional specialization of stable and dynamic microtubules in protein traffic in WIF-B cells. </w:t>
      </w:r>
      <w:r>
        <w:rPr>
          <w:rFonts w:ascii="Calibri" w:hAnsi="Calibri" w:cs="Calibri" w:eastAsia="Calibri"/>
          <w:i/>
          <w:color w:val="auto"/>
          <w:spacing w:val="0"/>
          <w:position w:val="0"/>
          <w:sz w:val="22"/>
          <w:shd w:fill="auto" w:val="clear"/>
        </w:rPr>
        <w:t xml:space="preserve">The Journal of Cell Biology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(1), 153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 (1998).</w:t>
      </w:r>
    </w:p>
    <w:p>
      <w:pPr>
        <w:widowControl w:val="false"/>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Uehara, R., Goshima, G. Functional central spindle assembly requires de novo microtubule generation in the interchromosomal region during anaphase. </w:t>
      </w:r>
      <w:r>
        <w:rPr>
          <w:rFonts w:ascii="Calibri" w:hAnsi="Calibri" w:cs="Calibri" w:eastAsia="Calibri"/>
          <w:i/>
          <w:color w:val="auto"/>
          <w:spacing w:val="0"/>
          <w:position w:val="0"/>
          <w:sz w:val="22"/>
          <w:shd w:fill="auto" w:val="clear"/>
        </w:rPr>
        <w:t xml:space="preserve">The Journal of Cell Biology.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(2), 259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267 (2010).</w:t>
      </w:r>
    </w:p>
    <w:p>
      <w:pPr>
        <w:widowControl w:val="false"/>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Mitchison, T., Kirschner, M. Dynamic instability of microtubule growth. </w:t>
      </w:r>
      <w:r>
        <w:rPr>
          <w:rFonts w:ascii="Calibri" w:hAnsi="Calibri" w:cs="Calibri" w:eastAsia="Calibri"/>
          <w:i/>
          <w:color w:val="auto"/>
          <w:spacing w:val="0"/>
          <w:position w:val="0"/>
          <w:sz w:val="22"/>
          <w:shd w:fill="auto" w:val="clear"/>
        </w:rPr>
        <w:t xml:space="preserve">Nature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 (5991), 237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242 (1984).</w:t>
      </w:r>
    </w:p>
    <w:p>
      <w:pPr>
        <w:widowControl w:val="false"/>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Bieling, P.</w:t>
      </w:r>
      <w:r>
        <w:rPr>
          <w:rFonts w:ascii="Calibri" w:hAnsi="Calibri" w:cs="Calibri" w:eastAsia="Calibri"/>
          <w: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al. Reconstitution of a microtubule plus-end tracking system in vitro. </w:t>
      </w:r>
      <w:r>
        <w:rPr>
          <w:rFonts w:ascii="Calibri" w:hAnsi="Calibri" w:cs="Calibri" w:eastAsia="Calibri"/>
          <w:i/>
          <w:color w:val="auto"/>
          <w:spacing w:val="0"/>
          <w:position w:val="0"/>
          <w:sz w:val="22"/>
          <w:shd w:fill="auto" w:val="clear"/>
        </w:rPr>
        <w:t xml:space="preserve">Nature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450</w:t>
      </w:r>
      <w:r>
        <w:rPr>
          <w:rFonts w:ascii="Calibri" w:hAnsi="Calibri" w:cs="Calibri" w:eastAsia="Calibri"/>
          <w:color w:val="auto"/>
          <w:spacing w:val="0"/>
          <w:position w:val="0"/>
          <w:sz w:val="22"/>
          <w:shd w:fill="auto" w:val="clear"/>
        </w:rPr>
        <w:t xml:space="preserve"> (7172), 1100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1105 (2007).</w:t>
      </w:r>
    </w:p>
    <w:p>
      <w:pPr>
        <w:widowControl w:val="false"/>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Bieling, P., Telley, I. A., Surrey, T. A minimal midzone protein module controls formation and length of antiparallel microtubule overlaps. </w:t>
      </w:r>
      <w:r>
        <w:rPr>
          <w:rFonts w:ascii="Calibri" w:hAnsi="Calibri" w:cs="Calibri" w:eastAsia="Calibri"/>
          <w:i/>
          <w:color w:val="auto"/>
          <w:spacing w:val="0"/>
          <w:position w:val="0"/>
          <w:sz w:val="22"/>
          <w:shd w:fill="auto" w:val="clear"/>
        </w:rPr>
        <w:t xml:space="preserve">Cell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(3), 420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432 (2010).</w:t>
      </w:r>
    </w:p>
    <w:p>
      <w:pPr>
        <w:widowControl w:val="false"/>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Shimamoto, Y., Forth, S., Kapoor, T. M. Measuring pushing and braking forces generated by ensembles of Kinesin-5 crosslinking two microtubules. </w:t>
      </w:r>
      <w:r>
        <w:rPr>
          <w:rFonts w:ascii="Calibri" w:hAnsi="Calibri" w:cs="Calibri" w:eastAsia="Calibri"/>
          <w:i/>
          <w:color w:val="auto"/>
          <w:spacing w:val="0"/>
          <w:position w:val="0"/>
          <w:sz w:val="22"/>
          <w:shd w:fill="auto" w:val="clear"/>
        </w:rPr>
        <w:t xml:space="preserve">Developmental Cell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(6), 669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681 (2015).</w:t>
      </w:r>
    </w:p>
    <w:p>
      <w:pPr>
        <w:widowControl w:val="false"/>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Mani, N., Jiang, S., Neary, A. E., Wijeratne, S. S., Subramanian, R. Differential regulation of single microtubules and bundles by a three-protein module. </w:t>
      </w:r>
      <w:r>
        <w:rPr>
          <w:rFonts w:ascii="Calibri" w:hAnsi="Calibri" w:cs="Calibri" w:eastAsia="Calibri"/>
          <w:i/>
          <w:color w:val="auto"/>
          <w:spacing w:val="0"/>
          <w:position w:val="0"/>
          <w:sz w:val="22"/>
          <w:shd w:fill="auto" w:val="clear"/>
        </w:rPr>
        <w:t xml:space="preserve">Nature Chemical Biology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(9), 964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974 (2021).</w:t>
      </w:r>
    </w:p>
    <w:p>
      <w:pPr>
        <w:widowControl w:val="false"/>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Hyman, A. A., Salser, S., Drechsel, D., Unwin, N., Mitchison, T. J. Role of GTP hydrolysis in microtubule dynamics: information from a slowly hydrolyzable analogue, GMPCPP. </w:t>
      </w:r>
      <w:r>
        <w:rPr>
          <w:rFonts w:ascii="Calibri" w:hAnsi="Calibri" w:cs="Calibri" w:eastAsia="Calibri"/>
          <w:i/>
          <w:color w:val="auto"/>
          <w:spacing w:val="0"/>
          <w:position w:val="0"/>
          <w:sz w:val="22"/>
          <w:shd w:fill="auto" w:val="clear"/>
        </w:rPr>
        <w:t xml:space="preserve">Molecular Biology of the Cell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(10), 1155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1167 (1992).</w:t>
      </w:r>
    </w:p>
    <w:p>
      <w:pPr>
        <w:widowControl w:val="false"/>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Subramanian, R.</w:t>
      </w:r>
      <w:r>
        <w:rPr>
          <w:rFonts w:ascii="Calibri" w:hAnsi="Calibri" w:cs="Calibri" w:eastAsia="Calibri"/>
          <w: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al. Insights into antiparallel microtubule crosslinking by PRC1, a conserved nonmotor microtubule binding protein. </w:t>
      </w:r>
      <w:r>
        <w:rPr>
          <w:rFonts w:ascii="Calibri" w:hAnsi="Calibri" w:cs="Calibri" w:eastAsia="Calibri"/>
          <w:i/>
          <w:color w:val="auto"/>
          <w:spacing w:val="0"/>
          <w:position w:val="0"/>
          <w:sz w:val="22"/>
          <w:shd w:fill="auto" w:val="clear"/>
        </w:rPr>
        <w:t xml:space="preserve">Cell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(3), 433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443 (2010).</w:t>
      </w:r>
    </w:p>
    <w:p>
      <w:pPr>
        <w:widowControl w:val="false"/>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Rasnik, I., McKinney, S. A., Ha, T. Nonblinking and long-lasting single-molecule fluorescence imaging. </w:t>
      </w:r>
      <w:r>
        <w:rPr>
          <w:rFonts w:ascii="Calibri" w:hAnsi="Calibri" w:cs="Calibri" w:eastAsia="Calibri"/>
          <w:i/>
          <w:color w:val="auto"/>
          <w:spacing w:val="0"/>
          <w:position w:val="0"/>
          <w:sz w:val="22"/>
          <w:shd w:fill="auto" w:val="clear"/>
        </w:rPr>
        <w:t xml:space="preserve">Nature Methods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(11), 891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893 (2006).</w:t>
      </w:r>
    </w:p>
    <w:p>
      <w:pPr>
        <w:widowControl w:val="false"/>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tab/>
        <w:t xml:space="preserve">Wijeratne, S., Subramanian, R. Geometry of antiparallel microtubule bundles regulates relative sliding and stalling by PRC1 and Kif4A. </w:t>
      </w:r>
      <w:r>
        <w:rPr>
          <w:rFonts w:ascii="Calibri" w:hAnsi="Calibri" w:cs="Calibri" w:eastAsia="Calibri"/>
          <w:i/>
          <w:color w:val="auto"/>
          <w:spacing w:val="0"/>
          <w:position w:val="0"/>
          <w:sz w:val="22"/>
          <w:shd w:fill="auto" w:val="clear"/>
        </w:rPr>
        <w:t xml:space="preserve">eLife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e32595 (2018).</w:t>
      </w:r>
    </w:p>
    <w:p>
      <w:pPr>
        <w:widowControl w:val="false"/>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tab/>
        <w:t xml:space="preserve">Mani, N., Wijeratne, S. S., Subramanian, R. Micron-scale geometrical features of microtubules as regulators of microtubule organization. </w:t>
      </w:r>
      <w:r>
        <w:rPr>
          <w:rFonts w:ascii="Calibri" w:hAnsi="Calibri" w:cs="Calibri" w:eastAsia="Calibri"/>
          <w:i/>
          <w:color w:val="auto"/>
          <w:spacing w:val="0"/>
          <w:position w:val="0"/>
          <w:sz w:val="22"/>
          <w:shd w:fill="auto" w:val="clear"/>
        </w:rPr>
        <w:t xml:space="preserve">eLife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e63880 (2021).</w:t>
      </w:r>
    </w:p>
    <w:p>
      <w:pPr>
        <w:widowControl w:val="false"/>
        <w:spacing w:before="0" w:after="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tab/>
        <w:t xml:space="preserve">Freal, A.</w:t>
      </w:r>
      <w:r>
        <w:rPr>
          <w:rFonts w:ascii="Calibri" w:hAnsi="Calibri" w:cs="Calibri" w:eastAsia="Calibri"/>
          <w: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al. Feedback-driven assembly of the axon initial segment. </w:t>
      </w:r>
      <w:r>
        <w:rPr>
          <w:rFonts w:ascii="Calibri" w:hAnsi="Calibri" w:cs="Calibri" w:eastAsia="Calibri"/>
          <w:i/>
          <w:color w:val="auto"/>
          <w:spacing w:val="0"/>
          <w:position w:val="0"/>
          <w:sz w:val="22"/>
          <w:shd w:fill="auto" w:val="clear"/>
        </w:rPr>
        <w:t xml:space="preserve">Neuron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(2), 305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321 e308 (2019).</w:t>
      </w:r>
    </w:p>
    <w:p>
      <w:pPr>
        <w:widowControl w:val="false"/>
        <w:spacing w:before="0" w:after="160" w:line="240"/>
        <w:ind w:right="0" w:left="72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tab/>
        <w:t xml:space="preserve">Ledbetter, M., Porter, K. A "microtubule" in plant cell fine structure. </w:t>
      </w:r>
      <w:r>
        <w:rPr>
          <w:rFonts w:ascii="Calibri" w:hAnsi="Calibri" w:cs="Calibri" w:eastAsia="Calibri"/>
          <w:i/>
          <w:color w:val="auto"/>
          <w:spacing w:val="0"/>
          <w:position w:val="0"/>
          <w:sz w:val="22"/>
          <w:shd w:fill="auto" w:val="clear"/>
        </w:rPr>
        <w:t xml:space="preserve">The Journal of Cell Biology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(1), 239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250 (1963).</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