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Profiling of Human Primary Mesenteric Arterial Endothelial Cells at the Transcriptome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Naseeb Kaur Malhi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Yingjun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Xiaofang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Kiran Sriram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Riccardo Calandrelli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Sheng Zhong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Zhen Bouman Chen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Diabetes Complications and Metabolism, City of Hope, Duarte, California, USA.</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Department of Bioengineering, University of California San Diego, 9500 Gilman Dr., La Jolla, CA, 92093, USA.</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Irell and Manella Graduate School of Biological Sciences, City of Hope, Duarte, California,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Naseeb Kaur Malhi</w:t>
        <w:tab/>
        <w:tab/>
        <w:t xml:space="preserve">(nmalhi@coh.org)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Yingjun Luo</w:t>
        <w:tab/>
        <w:tab/>
        <w:tab/>
        <w:t xml:space="preserve">(yluo@coh.org)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Xiaofang Tang</w:t>
        <w:tab/>
        <w:tab/>
        <w:tab/>
        <w:t xml:space="preserve">(xtang@coh.org)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Kiran Sriram</w:t>
        <w:tab/>
        <w:tab/>
        <w:tab/>
        <w:t xml:space="preserve">(ksriram@coh.org)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Riccardo Calandrelli</w:t>
        <w:tab/>
        <w:tab/>
        <w:t xml:space="preserve">(rcalandrelli@eng.ucsd.edu)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Zhong</w:t>
        <w:tab/>
        <w:tab/>
        <w:tab/>
        <w:t xml:space="preserve">(szhong@eng.ucsd.edu)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Bouman Chen</w:t>
        <w:tab/>
        <w:tab/>
        <w:t xml:space="preserve">(zhenchen@coh.org)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Bouman Chen</w:t>
        <w:tab/>
        <w:tab/>
        <w:t xml:space="preserve">(zhenchen@coh.org)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isolation, culture, and profiling of endothelial cells from human mesenteric artery. Additionally, a method is provided to prepare human artery for spatial transcriptomics. Proteomics, transcriptomics, and functional assays can be performed on isolated cells. This protocol can be repurposed for any medium- or large-size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cells (ECs) are crucial for vascular and whole-body function through their dynamic response to environmental cues. Elucidating the transcriptome and epigenome of ECs is paramount to understanding their role in development, health, and disease, but is limited in the availability of isolated primary cells. Recent technologies have enabled the high-throughput profiling of EC transcriptome and epigenome, leading to the identification of previously unknown EC cell subpopulations and developmental trajectories. While EC cultures are a useful tool in the exploration of EC function and dysfunction, the culture conditions and multiple passages can introduce external variables that alter the properties of native EC, including morphology, epigenetic state, and gene expression program. To overcome this limitation, the present paper demonstrates a method of isolating human primary ECs from donor mesenteric arteries aiming to capture their native state. ECs in the intimal layer are dissociated mechanically and biochemically with the use of particular enzymes. The resultant cells can be directly used for bulk RNA or single-cell RNA-sequencing. Alternatively, the isolated cells can be plated for culture, with minimal contamination of cells, confirmed through fluorescence-activated cell scanning (FACS) and immunofluorescence. In addition, a workflow is described for the preparation of human arterial tissue for spatial transcriptomics, specifically for a commercially available platform, although this method is suitable for other spatial transcriptome profiling techniques. This methodology can be applied to different vessels collected from a variety of donors in health or disease stages to gain insights into EC transcriptional and epigenetic regulation, a pivotal aspect of endothelial cell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Lining the lumen of blood vessels, endothelial cells (ECs) are crucial regulators of vascular tone and tissue perfusion. ECs are remarkable in their ability to react to the extracellular environment and adapt to changes in the dynamics and composition of blood flow. These dynamic responses are mediated through a network of intracellular signaling events, including transcriptional and post-transcriptional modulations with spatio-temporal resolution. The dysregulation of these responses is implicated in many pathologies, including but not limited to cardiovascular disease, diabetes, and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 proportion of studies make use of cell lines or animal models to interrogate EC transcriptome. The former is a useful tool, given the relative ease of use and inexpensiveness. However, serial culturing can introduce phenotypic alterations to ECs, such as fibroblastic features and a lack of polarization, disconnecting them from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primary cells, e.g., human umbilical vein EC (HUVEC) have been a popular choice since the 1980s but are derived from a developmental vascular bed that does not exist in adults, thus unlikely to represent mature ECs. Animals, especially mouse models, better represent the physiological or pathophysiological environment of ECs and allow interrogation of transcriptomes as a result of genetic perturbation. Murine ECs can be isolated from various tissues, including the aorta, lungs, and adipose tissues using enzyme-based procedures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isolated cells cannot be used for multiple passages unless transformed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are often limited in numbers, which requires pooling from multiple animals</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new technologies exploring the vessel architecture at a transcriptomic level, particularly with single-cell resolution, has enabled a new era of endothelial biology by revealing novel functions and properties of ECs</w:t>
      </w:r>
      <w:r>
        <w:rPr>
          <w:rFonts w:ascii="Calibri" w:hAnsi="Calibri" w:cs="Calibri" w:eastAsia="Calibri"/>
          <w:color w:val="auto"/>
          <w:spacing w:val="0"/>
          <w:position w:val="0"/>
          <w:sz w:val="24"/>
          <w:shd w:fill="auto" w:val="clear"/>
          <w:vertAlign w:val="superscript"/>
        </w:rPr>
        <w:t xml:space="preserve">5, 10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rich resource built by Tabula Muris and investigators collected single-cell transcriptomic profiles of 100,000 cells including ECs across 20 different murine organs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revealed both common EC marker genes and unique transcriptomic signatures with inter-and intra-tissue differences</w:t>
      </w:r>
      <w:r>
        <w:rPr>
          <w:rFonts w:ascii="Calibri" w:hAnsi="Calibri" w:cs="Calibri" w:eastAsia="Calibri"/>
          <w:color w:val="auto"/>
          <w:spacing w:val="0"/>
          <w:position w:val="0"/>
          <w:sz w:val="24"/>
          <w:shd w:fill="auto" w:val="clear"/>
          <w:vertAlign w:val="superscript"/>
        </w:rPr>
        <w:t xml:space="preserve">5,13</w:t>
      </w:r>
      <w:r>
        <w:rPr>
          <w:rFonts w:ascii="Calibri" w:hAnsi="Calibri" w:cs="Calibri" w:eastAsia="Calibri"/>
          <w:color w:val="auto"/>
          <w:spacing w:val="0"/>
          <w:position w:val="0"/>
          <w:sz w:val="24"/>
          <w:shd w:fill="auto" w:val="clear"/>
        </w:rPr>
        <w:t xml:space="preserve">. Nevertheless, there are clear differences between mouse and human in genome, epigenome, and transcriptome, especially in the non-coding regions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aforementioned drawbacks emphasize the importance of analysis of ECs using human samples in order to gain a faithful profile of ECs in their native state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EC isolation methods rely on physical dissociation through homogenization, finely cutting, and mincing the tissue before incubation with proteolytic enzymes for differing times. The enzymes and conditions also vary considerably between tissue types, from trypsin to collagenase, used alone or in combination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 antibody-based enrichment or purification are often included to increase the purity of ECs. Typically, antibodies against EC membrane markers, e.g., CD144 and CD31 are conjugated to magnetic beads and added to the cell suspension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Such a strategy can be generally adapted for EC isolation from multiple human and mouse tissues, including the techniques introduced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their native state, ECs interact with multiple cell types and may exist in vascular niches where cell proximity is crucial for function. While single-cell and single-nuclear RNA-sequencing (scRNA and snRNA-seq) studies have been paramount to the recent breakthroughs in describing EC heterogeneity, the dissociation process disrupts tissue context and cell-cell contact, which are also important to understand EC biology. Developed in 2012 and named Method of the Year in 2020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spatial transcriptome profiling has been utilized to profile global gene expression while retaining the spatial features in various tissues including brain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tumor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adipose tissue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technologies can be targeted, using specialized probes specific for particular RNA sequences attached to affinity reagents or fluorescent tags, thus detecting select genes at subcellular resolution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They can also be untargeted</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which typically use spatially barcoded oligonucleotides to capture RNA, which together get converted to cDNA for subsequent sequencing library preparation and hence has the advantage of deducing whole tissue gene expression in an unbiased manner. However, spatial resolution is not currently achieved at a single cellular level with commercially available technologies. This can be overcome to some extent with data integration with scRNA-seq data, ultimately allowing the mapping of single-cell transcriptome in a complex tissue context while retaining its original spatial information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 workflow is described to profile EC transcriptome using human superior mesenteric artery, a peripheral artery that has been used to study vasodilation, vascular remodeling, oxidative stress, and inflammation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Two techniques are described: 1) to isolate and enrich ECs from the intima of blood vessels combining mechanical dissociation and enzymatic digestion suitable for single-cell transcriptome sequencing or subsequent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2) to prepare arterial sections for spatial transcriptome profiling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two techniques can be performed independently or complementarily to profile ECs and their surrounding cells. Furthermore, this workflow can be adapted for use on any major medium or large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Human tissue studies were conducted on deidentified specimens obtained from the Southern California Islet Cell Resource Center at City of Hope. The research consents for the use of postmortem human tissues were obtained from the donors’ next of kin, and ethical approval for this study was granted by the Institutional Review Board of City of Hope (IRB No. 01046).</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auto"/>
          <w:spacing w:val="0"/>
          <w:position w:val="0"/>
          <w:sz w:val="24"/>
          <w:shd w:fill="FFFFFF" w:val="clear"/>
        </w:rPr>
        <w:t xml:space="preserve">Physical dissociation (estimated time: 1</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2 h)</w:t>
        <w:br/>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FFFFFF" w:val="clear"/>
        </w:rPr>
        <w:t xml:space="preserve">Place a fresh artery on a 10 cm dish and wash with sterile Dulbecco’s phosphate-buffered saline (D-PBS).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FFFFFF" w:val="clear"/>
        </w:rPr>
        <w:t xml:space="preserve">With sterile forceps and dissection scissors, remove the fat and outer connective tissues until the vessel is clean. Measure the length of the vessel with a ruler placed outside of the dish and take pictures for records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1.3.</w:t>
        <w:tab/>
        <w:t xml:space="preserve">Pre-warm appropriate digestion buffer to 37 &amp;#176;C: for scRNA-seq use cell-dissociation enzyme; for cell culture assays use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mg/mL of Collagenase D, 3 mg/mL of bacteria derived protease, 100 mM of HEPES, 120 mM of NaCl, 50 mM of KCl, 5 mM of glucose, with 1 mM of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vertAlign w:val="superscript"/>
        </w:rPr>
        <w:t xml:space="preserve">6,38</w:t>
      </w:r>
      <w:r>
        <w:rPr>
          <w:rFonts w:ascii="Calibri" w:hAnsi="Calibri" w:cs="Calibri" w:eastAsia="Calibri"/>
          <w:color w:val="auto"/>
          <w:spacing w:val="0"/>
          <w:position w:val="0"/>
          <w:sz w:val="24"/>
          <w:shd w:fill="FFFF00" w:val="clear"/>
        </w:rPr>
        <w:t xml:space="preserve"> (pH 7.0, does not require adjustment) added 5 min prior to use.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1.4.</w:t>
        <w:tab/>
        <w:t xml:space="preserve">Take the mesenteric artery (typically with a diameter of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mm) and cut lengthwise with scissors to open the vessel lumen vertically.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1.5.</w:t>
        <w:tab/>
        <w:t xml:space="preserve">Using needles, attach the vessel onto black wax on all four corners, leaving the intima exposed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1.6.</w:t>
        <w:tab/>
        <w:t xml:space="preserve">Add 1 mL of pre-warmed digestion buffer to intima. Take a sterile scalpel and scrape the lumen of the vessel gently twice.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purpose of this procedure is to dissociate the intimal layer, which may need practice. Enough force needs to be exerted to remove endothelium, but not so much that the deeper layers of tissue are also removed, which will reduce the EC representation.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1.7.</w:t>
        <w:tab/>
        <w:t xml:space="preserve">Transfer the digestion buffer into a 5 mL tube. Add 1 mL of digestion buffer to the intima and pipette up and down carefully to collect the remaining cells and add to the 5 mL tube. Incubate cells at 37 &amp;#176;C, rotating at 150 rpm for 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1.8.</w:t>
        <w:tab/>
        <w:t xml:space="preserve">Add 2 mL of M199 medium (or D-PBS if proceeding with scRNA-seq) to the cell suspension to quench the enzymatic reaction. Mix gently and centrifuge at 4 &amp;#176;C, 600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1.9.</w:t>
        <w:tab/>
        <w:t xml:space="preserve">Remove the supernatant and store the supernatant separately to culture as a control to observe if all cells are captured in the pellet in step 1.8. Resuspend the cell pellet in 1 mL of M199 medium (or D-PBS if proceeding with scRNA-seq).</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1.10.</w:t>
        <w:tab/>
        <w:t xml:space="preserve">Assess the cell viability by mixing 10 &amp;#181;L of trypan blue with 10 &amp;#181;L of cell stock. Observe the cell morphology and count the cells using a hemocytometer.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cells can be used for protein or RNA quantification or cultured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EC culture media following standard protocols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Alternatively, they can be prepared for sequencing as described in the next 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1.11.</w:t>
        <w:tab/>
        <w:t xml:space="preserve">For the culture, coat two wells of a 6-well plate by pipetting 500 &amp;#181;L of attachment reagent into wells for 30 min at room temperature. After removal of attachment reagent and washing with sterile D-PBS, dispense the full cell stock into one well, and the supernatant kept as a control into the second well.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t xml:space="preserve">Preparation for RNA-seq studies </w:t>
      </w:r>
      <w:r>
        <w:rPr>
          <w:rFonts w:ascii="Calibri" w:hAnsi="Calibri" w:cs="Calibri" w:eastAsia="Calibri"/>
          <w:b/>
          <w:color w:val="auto"/>
          <w:spacing w:val="0"/>
          <w:position w:val="0"/>
          <w:sz w:val="24"/>
          <w:shd w:fill="FFFFFF" w:val="clear"/>
        </w:rPr>
        <w:t xml:space="preserve">(estimated time: 3</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4 h)</w:t>
        <w:br/>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FFFFFF" w:val="clear"/>
        </w:rPr>
        <w:t xml:space="preserve">Centrifuge the cell stock from step 1.11 at </w:t>
      </w:r>
      <w:r>
        <w:rPr>
          <w:rFonts w:ascii="Calibri" w:hAnsi="Calibri" w:cs="Calibri" w:eastAsia="Calibri"/>
          <w:color w:val="auto"/>
          <w:spacing w:val="0"/>
          <w:position w:val="0"/>
          <w:sz w:val="24"/>
          <w:shd w:fill="FFFF00" w:val="clear"/>
        </w:rPr>
        <w:t xml:space="preserve">4 &amp;#176;C, 600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Remove the supernatant and resuspend the pellet gently with a P1000 pipette and wide-bore tip in 1 mL of 0.04% bovine serum albumin (BSA) in D-PBS. Mix well to ensure a single-cell suspension.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auto"/>
          <w:spacing w:val="0"/>
          <w:position w:val="0"/>
          <w:sz w:val="24"/>
          <w:shd w:fill="FFFFFF" w:val="clear"/>
        </w:rPr>
        <w:t xml:space="preserve">Pass the solution through a 40 &amp;#181;m strainer to remove cell debris. If debris remains, pass through a second strainer into 4 mL of 0.04% </w:t>
      </w:r>
      <w:r>
        <w:rPr>
          <w:rFonts w:ascii="Calibri" w:hAnsi="Calibri" w:cs="Calibri" w:eastAsia="Calibri"/>
          <w:color w:val="auto"/>
          <w:spacing w:val="0"/>
          <w:position w:val="0"/>
          <w:sz w:val="24"/>
          <w:shd w:fill="FFFF00" w:val="clear"/>
        </w:rPr>
        <w:t xml:space="preserve">BSA in D-PBS.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tab/>
        <w:t xml:space="preserve">Centrifuge at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4 &amp;#176;C, 600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Remove the supernatant and resuspend the pellet in 500 &amp;#181;L of 0.04% BSA in D-PBS using a P1000 pipette with a wide-bore pipette tip. Mix well to ensure a single-cell suspension.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w:t>
        <w:tab/>
        <w:t xml:space="preserve">Assess the cell viability by mixing 10 &amp;#181;L of cell stock with 10 &amp;#181;L of trypan blue. Using a hemocytometer, observe the morphology, determine whether there is a single-cell suspension without clusters, check for tissue debris, and calculate the number of living and dead cells.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2.5.</w:t>
        <w:tab/>
        <w:t xml:space="preserve">If cells are clusters or debris remains, repeat washing with 0.04% BSA in D-PBS or pass through </w:t>
      </w:r>
      <w:r>
        <w:rPr>
          <w:rFonts w:ascii="Calibri" w:hAnsi="Calibri" w:cs="Calibri" w:eastAsia="Calibri"/>
          <w:color w:val="auto"/>
          <w:spacing w:val="0"/>
          <w:position w:val="0"/>
          <w:sz w:val="24"/>
          <w:shd w:fill="FFFFFF" w:val="clear"/>
        </w:rPr>
        <w:t xml:space="preserve">40 &amp;#181;m strainer again.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While this will reduce the yield, it is important that cells exist in a clean single-cell suspension for optimal sequencing.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2.6.</w:t>
        <w:tab/>
        <w:t xml:space="preserve">Single-cells can be used for scRNA-seq.</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Spatial transcriptome profiling (estimated time: 3</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4 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Add isopentane (2-methylbutane) to a metal canister and chill in liquid nitrogen (LN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or dry ice (LN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is preferred as it will bring the temperature lower than dry ice). Pour optimal cutting temperature compound (OCT) in wells of labeled plastic cryomolds taking care to not create bubbles and remove those that appear. Leave cryomold on dry ice to chill.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Cut at least two coronal sections, 1 cm in length of the vessel. Using long (12”) forceps, submerge the tissue in isopentane until frozen. Quickly submerge the tissue in OCT at orientation with the lumen visible in the center. Take care to remove any bubbles, especially those next to the tissue.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FFFFFF" w:val="clear"/>
        </w:rPr>
        <w:t xml:space="preserve">Using long (12”) forceps, grasp the cryomolds, and hold them in the metal canister. While the base of the molds should be in the liquid, it should not be too deep to allow isopentane to run over the tissue. Observe the freezing, the OCT will become white progressively from the outside in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4"/>
          <w:shd w:fill="FFFFFF" w:val="clear"/>
        </w:rPr>
        <w:t xml:space="preserve">Store these sections in a sealed container at -80 &amp;#176;C for up to 6 months.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Maintain samples on dry ice at all times and do not allow more than one freeze-thaw cycle. This tissue can be used for histological analysis, RNA/DNA fluorescence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hybridization (FISH), or spatial transcriptomics, which will be described now.</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auto"/>
          <w:spacing w:val="0"/>
          <w:position w:val="0"/>
          <w:sz w:val="24"/>
          <w:shd w:fill="FFFFFF" w:val="clear"/>
        </w:rPr>
        <w:t xml:space="preserve">Set up the cryostat temperature to -20 &amp;#176;C for the chamber and -10 &amp;#176;C for the specimen head. Equilibrate OCT embedded vessel sections, knives, brushes, and slides to -20 &amp;#176;C in the cryostat for approximately 30 min. While equilibrating, clean the machine and all equipment that may touch the sections, including the blade, with 70% ethanol followed by RNase decontamination solution.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auto"/>
          <w:spacing w:val="0"/>
          <w:position w:val="0"/>
          <w:sz w:val="24"/>
          <w:shd w:fill="FFFFFF" w:val="clear"/>
        </w:rPr>
        <w:t xml:space="preserve">Attach the sample by dispensing a small amount of OCT onto the circular cryostat block and placing the sample on top before it freezes. Place the block into the center of the specimen head and screw the block in place using a tall black handle on the left. Cutaway any excess OCT surrounding the vessel.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3.7.</w:t>
        <w:tab/>
      </w:r>
      <w:r>
        <w:rPr>
          <w:rFonts w:ascii="Calibri" w:hAnsi="Calibri" w:cs="Calibri" w:eastAsia="Calibri"/>
          <w:color w:val="auto"/>
          <w:spacing w:val="0"/>
          <w:position w:val="0"/>
          <w:sz w:val="24"/>
          <w:shd w:fill="FFFFFF" w:val="clear"/>
        </w:rPr>
        <w:t xml:space="preserve">Setting the cutting thickness to 10 &amp;#181;m on the cryostat, cut approximately 60 sections and place them in a pre-cooled 1.5 mL tube. These sections will be used to assess the RNA quality. Upon removal from cryostat, immediately add 1 mL of RNA extraction reagent and vortex until the sections are completely dissolved.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auto"/>
          <w:spacing w:val="0"/>
          <w:position w:val="0"/>
          <w:sz w:val="24"/>
          <w:shd w:fill="FFFFFF" w:val="clear"/>
        </w:rPr>
        <w:t xml:space="preserve">Add 200 &amp;#181;L of chloroform and mix until the solution resembles a strawberry milkshake. Centrifuge at 11,200 </w:t>
      </w:r>
      <w:r>
        <w:rPr>
          <w:rFonts w:ascii="Calibri" w:hAnsi="Calibri" w:cs="Calibri" w:eastAsia="Calibri"/>
          <w:i/>
          <w:color w:val="auto"/>
          <w:spacing w:val="0"/>
          <w:position w:val="0"/>
          <w:sz w:val="24"/>
          <w:shd w:fill="FFFFFF" w:val="clear"/>
        </w:rPr>
        <w:t xml:space="preserve">x g</w:t>
      </w:r>
      <w:r>
        <w:rPr>
          <w:rFonts w:ascii="Calibri" w:hAnsi="Calibri" w:cs="Calibri" w:eastAsia="Calibri"/>
          <w:color w:val="auto"/>
          <w:spacing w:val="0"/>
          <w:position w:val="0"/>
          <w:sz w:val="24"/>
          <w:shd w:fill="FFFFFF" w:val="clear"/>
        </w:rPr>
        <w:t xml:space="preserve"> 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3.9.</w:t>
        <w:tab/>
      </w:r>
      <w:r>
        <w:rPr>
          <w:rFonts w:ascii="Calibri" w:hAnsi="Calibri" w:cs="Calibri" w:eastAsia="Calibri"/>
          <w:color w:val="auto"/>
          <w:spacing w:val="0"/>
          <w:position w:val="0"/>
          <w:sz w:val="24"/>
          <w:shd w:fill="FFFFFF" w:val="clear"/>
        </w:rPr>
        <w:t xml:space="preserve">Collect the aqueous phase (clear phase on top of white and pink layers) and add 500 &amp;#181;L of isopropanol to it. Mix by pipetting or vortexing and place at -80 &amp;#176;C for at least 20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3.10.</w:t>
        <w:tab/>
      </w:r>
      <w:r>
        <w:rPr>
          <w:rFonts w:ascii="Calibri" w:hAnsi="Calibri" w:cs="Calibri" w:eastAsia="Calibri"/>
          <w:color w:val="auto"/>
          <w:spacing w:val="0"/>
          <w:position w:val="0"/>
          <w:sz w:val="24"/>
          <w:shd w:fill="FFFFFF" w:val="clear"/>
        </w:rPr>
        <w:t xml:space="preserve">Centrifuge at 11,200 </w:t>
      </w:r>
      <w:r>
        <w:rPr>
          <w:rFonts w:ascii="Calibri" w:hAnsi="Calibri" w:cs="Calibri" w:eastAsia="Calibri"/>
          <w:i/>
          <w:color w:val="auto"/>
          <w:spacing w:val="0"/>
          <w:position w:val="0"/>
          <w:sz w:val="24"/>
          <w:shd w:fill="FFFFFF" w:val="clear"/>
        </w:rPr>
        <w:t xml:space="preserve">x </w:t>
      </w:r>
      <w:r>
        <w:rPr>
          <w:rFonts w:ascii="Calibri" w:hAnsi="Calibri" w:cs="Calibri" w:eastAsia="Calibri"/>
          <w:color w:val="auto"/>
          <w:spacing w:val="0"/>
          <w:position w:val="0"/>
          <w:sz w:val="24"/>
          <w:shd w:fill="FFFFFF" w:val="clear"/>
        </w:rPr>
        <w:t xml:space="preserve">g for 10 min at 4 &amp;#176;C. Dissolve the purified RNA pellet in 5 &amp;#181;L of RNase-free water. Examine the RNA Integrity Number (RIN).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Samples with RIN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 are preferred, but RIN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6 is acceptable based on experience. </w:t>
      </w:r>
      <w:r>
        <w:rPr>
          <w:rFonts w:ascii="Calibri" w:hAnsi="Calibri" w:cs="Calibri" w:eastAsia="Calibri"/>
          <w:color w:val="auto"/>
          <w:spacing w:val="0"/>
          <w:position w:val="0"/>
          <w:sz w:val="24"/>
          <w:shd w:fill="auto" w:val="clear"/>
        </w:rPr>
        <w:t xml:space="preserve">The number of tissue sections and volume of solution for RNA dissolving may require optimization depending on the system used to ensure the final RNA concentration is within the RIN function range to allow for accurate RIN evaluation.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auto"/>
          <w:spacing w:val="0"/>
          <w:position w:val="0"/>
          <w:sz w:val="24"/>
          <w:shd w:fill="FFFFFF" w:val="clear"/>
        </w:rPr>
        <w:t xml:space="preserve">Practice cutting and placing sections properly within the fiducial frames using plain glass slides before proceeding to commercially available tissue optimization or gene expression slides. This can be achieved by drawing 6.5 mm x 6.5 mm squares on a plain glass slide, cooling to -20 &amp;#176;C in the cryostat, and placing sections in this capture area.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auto"/>
          <w:spacing w:val="0"/>
          <w:position w:val="0"/>
          <w:sz w:val="24"/>
          <w:shd w:fill="FFFFFF" w:val="clear"/>
        </w:rPr>
        <w:t xml:space="preserve">Cut 10 &amp;#181;m sections with anti-roll plate in place, flip and carefully flatten by gently touching the section through the surrounding OCT.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3.13.</w:t>
        <w:tab/>
      </w:r>
      <w:r>
        <w:rPr>
          <w:rFonts w:ascii="Calibri" w:hAnsi="Calibri" w:cs="Calibri" w:eastAsia="Calibri"/>
          <w:color w:val="auto"/>
          <w:spacing w:val="0"/>
          <w:position w:val="0"/>
          <w:sz w:val="24"/>
          <w:shd w:fill="FFFFFF" w:val="clear"/>
        </w:rPr>
        <w:t xml:space="preserve">Using RNase-free cryostat brushes place the tissue section within the square, using only the surrounding OCT. Immediately place one finger (in gloves) on the backside of the capture area to melt the section to the slide.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3.14.</w:t>
        <w:tab/>
      </w:r>
      <w:r>
        <w:rPr>
          <w:rFonts w:ascii="Calibri" w:hAnsi="Calibri" w:cs="Calibri" w:eastAsia="Calibri"/>
          <w:color w:val="auto"/>
          <w:spacing w:val="0"/>
          <w:position w:val="0"/>
          <w:sz w:val="24"/>
          <w:shd w:fill="FFFFFF" w:val="clear"/>
        </w:rPr>
        <w:t xml:space="preserve">Once the section has adhered, place the side onto the cryobar to allow the section to freeze. Care must be taken to avoid tissue folding and tissue overlying the demarcated edges of the fiducial frame. If necessary, cut the tissue into halves or quarters along the lumen using a blade to ensure the vessel section fits within the 6.5 mm x 6.5 mm frame.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3.15.</w:t>
        <w:tab/>
      </w:r>
      <w:r>
        <w:rPr>
          <w:rFonts w:ascii="Calibri" w:hAnsi="Calibri" w:cs="Calibri" w:eastAsia="Calibri"/>
          <w:color w:val="auto"/>
          <w:spacing w:val="0"/>
          <w:position w:val="0"/>
          <w:sz w:val="24"/>
          <w:shd w:fill="FFFFFF" w:val="clear"/>
        </w:rPr>
        <w:t xml:space="preserve">Cut 10 &amp;#181;m sections of tissue as per 3.12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3.14 onto tissue optimization or gene expression slides. Transfer the slide to a slide mailer placed on dry ice. Store slides at -80 &amp;#176;C for up to 4 weeks before proceeding with published spatial protocols</w:t>
      </w:r>
      <w:r>
        <w:rPr>
          <w:rFonts w:ascii="Calibri" w:hAnsi="Calibri" w:cs="Calibri" w:eastAsia="Calibri"/>
          <w:color w:val="auto"/>
          <w:spacing w:val="0"/>
          <w:position w:val="0"/>
          <w:sz w:val="24"/>
          <w:shd w:fill="FFFFFF" w:val="clear"/>
          <w:vertAlign w:val="superscript"/>
        </w:rPr>
        <w:t xml:space="preserve">33,34</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FF" w:val="clear"/>
        </w:rPr>
        <w:t xml:space="preserve">Sequencing data analysis (estimated time: up to 1 week depending on familiarity with software)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spatial transcriptomic analysis only, skip to step 4.8. scRNA-seq data is processed using the standardized pipeline aligned to human hg38 reference transcriptome. The R package Seurat (v3.2.2) is used to analyze scRNA-seq data following published guidelines</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FF" w:val="clear"/>
        </w:rPr>
        <w:t xml:space="preserve">Filter using well-established quality control metrics: rare cells with very high numbers of genes (potentially multiplets) and cells with high mitochondrial percentages (low-quality or dying cells often present mitochondrial contamination) are removed.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FF" w:val="clear"/>
        </w:rPr>
        <w:t xml:space="preserve">Normalize data using “sctransform”, a method to improve sample integration compared to log-normalization. These normalized data are used for dimensionality reduction and clustering, while log-normalized expression levels are used for analysis based on gene expression levels, such as cell-type classification</w:t>
      </w:r>
      <w:r>
        <w:rPr>
          <w:rFonts w:ascii="Calibri" w:hAnsi="Calibri" w:cs="Calibri" w:eastAsia="Calibri"/>
          <w:color w:val="auto"/>
          <w:spacing w:val="0"/>
          <w:position w:val="0"/>
          <w:sz w:val="24"/>
          <w:shd w:fill="FFFFFF" w:val="clear"/>
          <w:vertAlign w:val="superscript"/>
        </w:rPr>
        <w:t xml:space="preserve">41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FF" w:val="clear"/>
        </w:rPr>
        <w:t xml:space="preserve">Select marker genes per cell type, for example, </w:t>
      </w:r>
      <w:r>
        <w:rPr>
          <w:rFonts w:ascii="Calibri" w:hAnsi="Calibri" w:cs="Calibri" w:eastAsia="Calibri"/>
          <w:i/>
          <w:color w:val="auto"/>
          <w:spacing w:val="0"/>
          <w:position w:val="0"/>
          <w:sz w:val="24"/>
          <w:shd w:fill="FFFFFF" w:val="clear"/>
        </w:rPr>
        <w:t xml:space="preserve">platelet endothelial cell adhesion molecule-1</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PECAM1</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von Willebrand factor</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VWF</w:t>
      </w:r>
      <w:r>
        <w:rPr>
          <w:rFonts w:ascii="Calibri" w:hAnsi="Calibri" w:cs="Calibri" w:eastAsia="Calibri"/>
          <w:color w:val="auto"/>
          <w:spacing w:val="0"/>
          <w:position w:val="0"/>
          <w:sz w:val="24"/>
          <w:shd w:fill="FFFFFF" w:val="clear"/>
        </w:rPr>
        <w:t xml:space="preserve">) for ECs, </w:t>
      </w:r>
      <w:r>
        <w:rPr>
          <w:rFonts w:ascii="Calibri" w:hAnsi="Calibri" w:cs="Calibri" w:eastAsia="Calibri"/>
          <w:i/>
          <w:color w:val="auto"/>
          <w:spacing w:val="0"/>
          <w:position w:val="0"/>
          <w:sz w:val="24"/>
          <w:shd w:fill="FFFFFF" w:val="clear"/>
        </w:rPr>
        <w:t xml:space="preserve">lumican</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LUM</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procollagen C-Endopeptidase Enhancer</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PCOLCE</w:t>
      </w:r>
      <w:r>
        <w:rPr>
          <w:rFonts w:ascii="Calibri" w:hAnsi="Calibri" w:cs="Calibri" w:eastAsia="Calibri"/>
          <w:color w:val="auto"/>
          <w:spacing w:val="0"/>
          <w:position w:val="0"/>
          <w:sz w:val="24"/>
          <w:shd w:fill="FFFFFF" w:val="clear"/>
        </w:rPr>
        <w:t xml:space="preserve">) for fibroblasts, </w:t>
      </w:r>
      <w:r>
        <w:rPr>
          <w:rFonts w:ascii="Calibri" w:hAnsi="Calibri" w:cs="Calibri" w:eastAsia="Calibri"/>
          <w:i/>
          <w:color w:val="auto"/>
          <w:spacing w:val="0"/>
          <w:position w:val="0"/>
          <w:sz w:val="24"/>
          <w:shd w:fill="FFFFFF" w:val="clear"/>
        </w:rPr>
        <w:t xml:space="preserve">B-cell translocation gene 1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BTG1</w:t>
      </w:r>
      <w:r>
        <w:rPr>
          <w:rFonts w:ascii="Calibri" w:hAnsi="Calibri" w:cs="Calibri" w:eastAsia="Calibri"/>
          <w:color w:val="auto"/>
          <w:spacing w:val="0"/>
          <w:position w:val="0"/>
          <w:sz w:val="24"/>
          <w:shd w:fill="FFFFFF" w:val="clear"/>
        </w:rPr>
        <w:t xml:space="preserve">) and CD52 for macrophages, C1QA and C1QB for monocytes, and </w:t>
      </w:r>
      <w:r>
        <w:rPr>
          <w:rFonts w:ascii="Calibri" w:hAnsi="Calibri" w:cs="Calibri" w:eastAsia="Calibri"/>
          <w:i/>
          <w:color w:val="auto"/>
          <w:spacing w:val="0"/>
          <w:position w:val="0"/>
          <w:sz w:val="24"/>
          <w:shd w:fill="FFFFFF" w:val="clear"/>
        </w:rPr>
        <w:t xml:space="preserve">myosin heavy chain 11</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MYH11</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transgelin</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TAGLN</w:t>
      </w:r>
      <w:r>
        <w:rPr>
          <w:rFonts w:ascii="Calibri" w:hAnsi="Calibri" w:cs="Calibri" w:eastAsia="Calibri"/>
          <w:color w:val="auto"/>
          <w:spacing w:val="0"/>
          <w:position w:val="0"/>
          <w:sz w:val="24"/>
          <w:shd w:fill="FFFFFF" w:val="clear"/>
        </w:rPr>
        <w:t xml:space="preserve">) for vascular smooth muscle cells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Compute the average expression level across single cells between each pair of markers in order to have a single marker with an average expression level associated with each cell type</w:t>
      </w:r>
      <w:r>
        <w:rPr>
          <w:rFonts w:ascii="Calibri" w:hAnsi="Calibri" w:cs="Calibri" w:eastAsia="Calibri"/>
          <w:color w:val="auto"/>
          <w:spacing w:val="0"/>
          <w:position w:val="0"/>
          <w:sz w:val="24"/>
          <w:shd w:fill="FFFFFF" w:val="clear"/>
          <w:vertAlign w:val="superscript"/>
        </w:rPr>
        <w:t xml:space="preserve">42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FF" w:val="clear"/>
        </w:rPr>
        <w:t xml:space="preserve">Apply a Gaussian Mixture Model (GMM) with two components to the expression data of each marker across single cells in order to separate cells into two sets, namely, highly expressing the marker and lowly expressing the marker. In this way, for each marker, each single-cell is assigned to one of the two components</w:t>
      </w:r>
      <w:r>
        <w:rPr>
          <w:rFonts w:ascii="Calibri" w:hAnsi="Calibri" w:cs="Calibri" w:eastAsia="Calibri"/>
          <w:color w:val="auto"/>
          <w:spacing w:val="0"/>
          <w:position w:val="0"/>
          <w:sz w:val="24"/>
          <w:shd w:fill="FFFFFF" w:val="clear"/>
          <w:vertAlign w:val="superscript"/>
        </w:rPr>
        <w:t xml:space="preserve">42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FF" w:val="clear"/>
        </w:rPr>
        <w:t xml:space="preserve">Use statistical enrichment for the set of marker genes, a Fisher's exact test, to assign a cell type to each cluster. By doing so, a set of p-values are obtained per cluster, each corresponding to a cell type. The cell type with the lowest p-value is assigned to that cluster.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FF" w:val="clear"/>
        </w:rPr>
        <w:t xml:space="preserve">Process the spatial transcriptomic data using the Space Ranger pipelines resulting in spatial de-barcoding and generation of quality control (QC) metrics, including total aligned reads to hg38 human transcriptome, the median number of Unique Molecular Identifier (UMI) or genes per spot</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 package Seurat (v3.2.2) is used to analyze the Space Ranger-processed data following published guidelines</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FF" w:val="clear"/>
        </w:rPr>
        <w:t xml:space="preserve">Normalize data using “sctransform”, a method which is demonstrated to improve the downstream analysis compared to log-normalization given the heterogeneity of the tissue and the very high variance in counts across the spots.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ECs from mesenteric artery using a combination of mechanical and enzymatical dissociation or cryopreservation for use in various downstream assays is depicted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ECs can be profiled in mesenteric arteries using the following steps: A) mechanical dissociation from the intima coupled with collagenase digestion to culture cells; B) generation of single-cell suspension for scRNA-seq; or C) cross-sections of the artery can be embedded in OCT to be cryosectioned to profile spatial transcriptome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ECs cultured using the described protocol display a distinct cobblestone-like morphology with minimal contaminating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Expression of EC marker vascular endothelial (VE)-Cadherin was confirmed using immunofluorescence visualizing cell-cell junctions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Isolated ECs were subjected to flow cytometry analysis for CD31. As negative controls, unstained HUVECs (without antibody) produced a 1.1% signal and HUVECs incubated with IgG yielded a 0.8% signal. As a positive control, HUVECs stained with CD31 antibody displayed 99% purity and were used to gate the channels for human mesenteric arterial endothelial cells (HMAECs). Approximately 80% of cells were CD31 positive indicating HMAECs made up the majority of the freshly isolated cell population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Unsuccessful isolations, through either scraping too hard/deep, seeding the cells at too low a density, or maintaining the culture beyond passage 3 results in cells with disturbed morphology, potentially expressing mesenchymal markers (&amp;#945;SMA) or elongating resembling a fibroblastic state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ECs isolated using cell-dissociation enzyme underwent scRNA-seq.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a representative uniform manifold approximation and projection (UMAP) isolated from mesenteric artery using the present protocol for scRNA-seq on isolated HMAECs, with 34% cells clustered as ECs using PECAM1 and VWF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respectively) as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For spatial transcriptomic workflow, extracted RNA from tissue sections was electrophorized on a gel to visualize RNA quality. A weak signal or absence of 18S and 28S ribosomal RNA bands, and the presence of degradation products observed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lane A1, is an example of poor-quality RNA and should not be processed further. Samples with a concentration out of the range could lead to lower RIN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lane B1). However, diluting the RNA by two times increased RIN sufficient for proceeding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lane C1). </w:t>
      </w:r>
      <w:r>
        <w:rPr>
          <w:rFonts w:ascii="Calibri" w:hAnsi="Calibri" w:cs="Calibri" w:eastAsia="Calibri"/>
          <w:color w:val="auto"/>
          <w:spacing w:val="0"/>
          <w:position w:val="0"/>
          <w:sz w:val="24"/>
          <w:shd w:fill="FFFFFF" w:val="clear"/>
        </w:rPr>
        <w:t xml:space="preserve">Before determining gene expression, a tissue optimization was performed to determine the optimal permeabilization time to release RNA to be captured by the oligonucleotides on the gene expression slide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Based on the fluorescence imaging of complementary DNA (cDNA) footprint, 18 min permeabilization produced the lowest background but strongest signal, and thus was selected to be the optimal duration. Hematoxylin and eosin (H&amp;amp;E) staining visualized the morphology of the vessel allowing regions of interest to be identified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 Library quality was assessed (</w:t>
      </w:r>
      <w:r>
        <w:rPr>
          <w:rFonts w:ascii="Calibri" w:hAnsi="Calibri" w:cs="Calibri" w:eastAsia="Calibri"/>
          <w:b/>
          <w:color w:val="auto"/>
          <w:spacing w:val="0"/>
          <w:position w:val="0"/>
          <w:sz w:val="24"/>
          <w:shd w:fill="FFFFFF" w:val="clear"/>
        </w:rPr>
        <w:t xml:space="preserve">Figure 5D</w:t>
      </w:r>
      <w:r>
        <w:rPr>
          <w:rFonts w:ascii="Calibri" w:hAnsi="Calibri" w:cs="Calibri" w:eastAsia="Calibri"/>
          <w:color w:val="auto"/>
          <w:spacing w:val="0"/>
          <w:position w:val="0"/>
          <w:sz w:val="24"/>
          <w:shd w:fill="FFFFFF" w:val="clear"/>
        </w:rPr>
        <w:t xml:space="preserve">) and determined to be suitable for sequencing. UMI counts per spot, number of reads per spot, and total genes are quality metrics produced by the Space Ranger pipeline, the variability of each displayed in </w:t>
      </w:r>
      <w:r>
        <w:rPr>
          <w:rFonts w:ascii="Calibri" w:hAnsi="Calibri" w:cs="Calibri" w:eastAsia="Calibri"/>
          <w:b/>
          <w:color w:val="auto"/>
          <w:spacing w:val="0"/>
          <w:position w:val="0"/>
          <w:sz w:val="24"/>
          <w:shd w:fill="FFFFFF" w:val="clear"/>
        </w:rPr>
        <w:t xml:space="preserve">Figure 5E</w:t>
      </w:r>
      <w:r>
        <w:rPr>
          <w:rFonts w:ascii="Calibri" w:hAnsi="Calibri" w:cs="Calibri" w:eastAsia="Calibri"/>
          <w:color w:val="auto"/>
          <w:spacing w:val="0"/>
          <w:position w:val="0"/>
          <w:sz w:val="24"/>
          <w:shd w:fill="FFFFFF" w:val="clear"/>
        </w:rPr>
        <w:t xml:space="preserve">. Finally, gene expression (using </w:t>
      </w:r>
      <w:r>
        <w:rPr>
          <w:rFonts w:ascii="Calibri" w:hAnsi="Calibri" w:cs="Calibri" w:eastAsia="Calibri"/>
          <w:i/>
          <w:color w:val="auto"/>
          <w:spacing w:val="0"/>
          <w:position w:val="0"/>
          <w:sz w:val="24"/>
          <w:shd w:fill="FFFFFF" w:val="clear"/>
        </w:rPr>
        <w:t xml:space="preserve">Actin alpha-2</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ACTA2)</w:t>
      </w:r>
      <w:r>
        <w:rPr>
          <w:rFonts w:ascii="Calibri" w:hAnsi="Calibri" w:cs="Calibri" w:eastAsia="Calibri"/>
          <w:color w:val="auto"/>
          <w:spacing w:val="0"/>
          <w:position w:val="0"/>
          <w:sz w:val="24"/>
          <w:shd w:fill="FFFFFF" w:val="clear"/>
        </w:rPr>
        <w:t xml:space="preserve"> as an example, </w:t>
      </w:r>
      <w:r>
        <w:rPr>
          <w:rFonts w:ascii="Calibri" w:hAnsi="Calibri" w:cs="Calibri" w:eastAsia="Calibri"/>
          <w:b/>
          <w:color w:val="auto"/>
          <w:spacing w:val="0"/>
          <w:position w:val="0"/>
          <w:sz w:val="24"/>
          <w:shd w:fill="FFFFFF" w:val="clear"/>
        </w:rPr>
        <w:t xml:space="preserve">Figure 5F</w:t>
      </w:r>
      <w:r>
        <w:rPr>
          <w:rFonts w:ascii="Calibri" w:hAnsi="Calibri" w:cs="Calibri" w:eastAsia="Calibri"/>
          <w:color w:val="auto"/>
          <w:spacing w:val="0"/>
          <w:position w:val="0"/>
          <w:sz w:val="24"/>
          <w:shd w:fill="FFFFFF" w:val="clear"/>
        </w:rPr>
        <w:t xml:space="preserve">) was visualized with spatial anchoring on the H&amp;amp;E stained vessel.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Arterial tissue processing and spatial profiling.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cleaned-up mesenteric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Vessel cut open to expose intima.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Hematoxylin and Eosin (H&amp;amp;E) staining of mesenteric artery cross-section in the fiducial frame. Image captured using a 5x lens under widefield fluorescence inverted 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Space Ranger output file of total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Overview of EC isolation and profiling techniques.</w:t>
      </w:r>
      <w:r>
        <w:rPr>
          <w:rFonts w:ascii="Calibri" w:hAnsi="Calibri" w:cs="Calibri" w:eastAsia="Calibri"/>
          <w:color w:val="auto"/>
          <w:spacing w:val="0"/>
          <w:position w:val="0"/>
          <w:sz w:val="24"/>
          <w:shd w:fill="auto" w:val="clear"/>
        </w:rPr>
        <w:t xml:space="preserve"> Flow diagram showing different methods of processing mesenteric artery. Processing techniques result in cell suspensions suitable for single-cell (sc) RNA-seq, endothelial cell (EC) culture, or whole tissue is embedded in optimal cutting temperature (OCT) compound for spatial transcriptome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Validation of isolated cultured mesenteric arterial ECs.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of isolated ECs, 10x lens,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of VE-Cadherin expression 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(DAPI) as a nuclear marker. Image captured using a 10x lens under widefield fluorescence inverted microscope. Scale bar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FACS plots of unstained HUVEC (top left), HUVEC stained with IgG control (top right), HUVEC stained with CD31 (bottom left), and the isolated human mesenteric arterial endothelial cells (HMAEC) stained with CD31 (bottom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Immunofluorescence images of HMAECs with DAPI (nuclear marker), alpha-smooth muscle actin (&amp;#945;SMA) and CD31. 40x lens,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scRNA-seq of mesenteric arterial ECs.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Uniform Manifold Approximation and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Projection (</w:t>
      </w:r>
      <w:r>
        <w:rPr>
          <w:rFonts w:ascii="Calibri" w:hAnsi="Calibri" w:cs="Calibri" w:eastAsia="Calibri"/>
          <w:color w:val="auto"/>
          <w:spacing w:val="0"/>
          <w:position w:val="0"/>
          <w:sz w:val="24"/>
          <w:shd w:fill="auto" w:val="clear"/>
        </w:rPr>
        <w:t xml:space="preserve">UMAP) plot of scRNA-seq data from mesenteric artery. A 2-dimensional projection of the manifold in a high dimensional space, where each point represents a single cell and the proximity to other points indicate how similar the transcriptome is with each other. Cells are color-coded by their cell-type.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PECAM1 expression projected onto UMAP.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VWF expression projected onto UMAP. Color bars represent the expression of levels of genes where the RNA levels are depicted by log-normalized unique molecular identifier counts.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Spatial transcriptomic workflow and representative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Quality assessment of RNA extracted from two samples of mesenteric artery, A1 from one sample, B1 from the second sample, C1 diluted 2x from B1. Red arrows indicate ribosomal 28S and 18S bands.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Spatial tissue optimization (TO) workflow.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Gene expression (GEX) slides showing the tissue sections (left panel); H&amp;amp;E images of the tissue sections loaded on the GEX slide before permeabilization for 18 min, reverse transcription and library construction (right panel), scale bar = 1cm.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Quality assessment of the libraries prepared.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Output metrics from Space Ranger show range between average reads, UMIs, and genes per spot for different libraries. Error bars denote min and max.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ACTA2</w:t>
      </w:r>
      <w:r>
        <w:rPr>
          <w:rFonts w:ascii="Calibri" w:hAnsi="Calibri" w:cs="Calibri" w:eastAsia="Calibri"/>
          <w:color w:val="auto"/>
          <w:spacing w:val="0"/>
          <w:position w:val="0"/>
          <w:sz w:val="24"/>
          <w:shd w:fill="auto" w:val="clear"/>
        </w:rPr>
        <w:t xml:space="preserve"> expression across vessel section. All microscopy images were taken using a widefield inverted microscope, from a 5x lens, tilescan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presented workflow details a set of techniques to profile ECs from a single piece of human artery with single-cell and spatial resolution. There are several critical steps and limiting factors in the protocol. One key to transcriptome profiling is the freshness of the tissue and RNA integrity. It is important to maintain tissues on ice as much as possible prior to processing to minimize RNA degradation. Typically, the post-mortem tissues are processed between 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 h after the time of death. However, beginning the isolation or the cryopreservation as soon as possible post extraction from the donors is recommended. Specifically for spatial transcriptome mapping, </w:t>
      </w:r>
      <w:r>
        <w:rPr>
          <w:rFonts w:ascii="Calibri" w:hAnsi="Calibri" w:cs="Calibri" w:eastAsia="Calibri"/>
          <w:color w:val="auto"/>
          <w:spacing w:val="0"/>
          <w:position w:val="0"/>
          <w:sz w:val="24"/>
          <w:shd w:fill="auto" w:val="clear"/>
        </w:rPr>
        <w:t xml:space="preserve">the tissue should be kept on dry ice and more than one freeze-thaw cycle should not be allowed, and more than one vessel cross-section should be embedded in OCT, to allow repeats if necessary.</w:t>
      </w:r>
      <w:r>
        <w:rPr>
          <w:rFonts w:ascii="Calibri" w:hAnsi="Calibri" w:cs="Calibri" w:eastAsia="Calibri"/>
          <w:color w:val="auto"/>
          <w:spacing w:val="0"/>
          <w:position w:val="0"/>
          <w:sz w:val="24"/>
          <w:shd w:fill="FFFFFF" w:val="clear"/>
        </w:rPr>
        <w:t xml:space="preserve"> Efforts should also be made to promote an RNase-free environment during tissue processing and cell isolation. Secondly, the size of the vessels can be a limiting factor. For spatial transcriptomics, the protocol can be performed on 1 mm of the vessel in total, regardless of the diameter. For the dissociation protocol for cell culture and scRNA-seq, the lower limit would be if the vessel is too narrow (i.e., below 50 mm in diameter) to enable insertion of dissection scissors. Based on these principles, the dissociation protocol can be adapted for any </w:t>
      </w:r>
      <w:r>
        <w:rPr>
          <w:rFonts w:ascii="Calibri" w:hAnsi="Calibri" w:cs="Calibri" w:eastAsia="Calibri"/>
          <w:color w:val="auto"/>
          <w:spacing w:val="0"/>
          <w:position w:val="0"/>
          <w:sz w:val="24"/>
          <w:shd w:fill="auto" w:val="clear"/>
        </w:rPr>
        <w:t xml:space="preserve">medium or larger size artery or vein as long as the size of vessels allows the opening up, and the spatial transcriptome procedure can be applied to any vessels that can fit either entirely or partially into the fiducial frame.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process tissue for single-cell transcriptome analysis, several groups have described the use of liberase and elastase to obtain all cell populations within the vessel wall</w:t>
      </w:r>
      <w:r>
        <w:rPr>
          <w:rFonts w:ascii="Calibri" w:hAnsi="Calibri" w:cs="Calibri" w:eastAsia="Calibri"/>
          <w:color w:val="auto"/>
          <w:spacing w:val="0"/>
          <w:position w:val="0"/>
          <w:sz w:val="24"/>
          <w:shd w:fill="FFFFFF" w:val="clear"/>
          <w:vertAlign w:val="superscript"/>
        </w:rPr>
        <w:t xml:space="preserve">9, 4344</w:t>
      </w:r>
      <w:r>
        <w:rPr>
          <w:rFonts w:ascii="Calibri" w:hAnsi="Calibri" w:cs="Calibri" w:eastAsia="Calibri"/>
          <w:color w:val="auto"/>
          <w:spacing w:val="0"/>
          <w:position w:val="0"/>
          <w:sz w:val="24"/>
          <w:shd w:fill="FFFFFF" w:val="clear"/>
        </w:rPr>
        <w:t xml:space="preserve">. However, the resulting datasets contain on average only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 of the total cell population annotated as ECs</w:t>
      </w:r>
      <w:r>
        <w:rPr>
          <w:rFonts w:ascii="Calibri" w:hAnsi="Calibri" w:cs="Calibri" w:eastAsia="Calibri"/>
          <w:color w:val="auto"/>
          <w:spacing w:val="0"/>
          <w:position w:val="0"/>
          <w:sz w:val="24"/>
          <w:shd w:fill="FFFFFF" w:val="clear"/>
          <w:vertAlign w:val="superscript"/>
        </w:rPr>
        <w:t xml:space="preserve">9,45</w:t>
      </w:r>
      <w:r>
        <w:rPr>
          <w:rFonts w:ascii="Calibri" w:hAnsi="Calibri" w:cs="Calibri" w:eastAsia="Calibri"/>
          <w:color w:val="auto"/>
          <w:spacing w:val="0"/>
          <w:position w:val="0"/>
          <w:sz w:val="24"/>
          <w:shd w:fill="FFFFFF" w:val="clear"/>
        </w:rPr>
        <w:t xml:space="preserve">. One way to improve the limited EC representation in the scRNA-seq data is by enriching the EC fraction by leveraging the EC surface markers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FACS</w:t>
      </w:r>
      <w:r>
        <w:rPr>
          <w:rFonts w:ascii="Calibri" w:hAnsi="Calibri" w:cs="Calibri" w:eastAsia="Calibri"/>
          <w:color w:val="auto"/>
          <w:spacing w:val="0"/>
          <w:position w:val="0"/>
          <w:sz w:val="24"/>
          <w:shd w:fill="FFFFFF" w:val="clear"/>
          <w:vertAlign w:val="superscript"/>
        </w:rPr>
        <w:t xml:space="preserve">44,46</w:t>
      </w:r>
      <w:r>
        <w:rPr>
          <w:rFonts w:ascii="Calibri" w:hAnsi="Calibri" w:cs="Calibri" w:eastAsia="Calibri"/>
          <w:color w:val="auto"/>
          <w:spacing w:val="0"/>
          <w:position w:val="0"/>
          <w:sz w:val="24"/>
          <w:shd w:fill="FFFFFF" w:val="clear"/>
        </w:rPr>
        <w:t xml:space="preserve">. However, this usually requires large amounts of starting tissue and expensive equipment that may not be routinely available for all laboratories. This protocol takes advantage of the unique anatomical position of ECs, </w:t>
      </w:r>
      <w:r>
        <w:rPr>
          <w:rFonts w:ascii="Calibri" w:hAnsi="Calibri" w:cs="Calibri" w:eastAsia="Calibri"/>
          <w:i/>
          <w:color w:val="auto"/>
          <w:spacing w:val="0"/>
          <w:position w:val="0"/>
          <w:sz w:val="24"/>
          <w:shd w:fill="FFFFFF" w:val="clear"/>
        </w:rPr>
        <w:t xml:space="preserve">viz.</w:t>
      </w:r>
      <w:r>
        <w:rPr>
          <w:rFonts w:ascii="Calibri" w:hAnsi="Calibri" w:cs="Calibri" w:eastAsia="Calibri"/>
          <w:color w:val="auto"/>
          <w:spacing w:val="0"/>
          <w:position w:val="0"/>
          <w:sz w:val="24"/>
          <w:shd w:fill="FFFFFF" w:val="clear"/>
        </w:rPr>
        <w:t xml:space="preserve"> primarily in the intimal layer, which allows for enrichment of ECs without the need for harsh tissue digestion and enhances cell viability for scRNA-seq or subsequent culture. The percentage of ECs in the final cell mixture for scRNA-seq can be increased by adding a step using VE-Cadherin/CD144 antibody-conjugated magnetic beads. However, this step may not exclude all other cells that interact with ECs due to the native cell-cell interaction. Nonetheless, although traditionally the other cell types (e.g., macrophages, smooth muscle cells, fibroblasts) would be regarded as “contamination” in EC isolation, they can provide useful information for cell-cell interactions in the tissue context. In the scRNA-seq data analysis, ECs can be efficiently annotated using the EC markers and the cell-cell interactions can be inferred bioinformatically using several popular bioinformatics methods (e.g., CellChat</w:t>
      </w:r>
      <w:r>
        <w:rPr>
          <w:rFonts w:ascii="Calibri" w:hAnsi="Calibri" w:cs="Calibri" w:eastAsia="Calibri"/>
          <w:color w:val="auto"/>
          <w:spacing w:val="0"/>
          <w:position w:val="0"/>
          <w:sz w:val="24"/>
          <w:shd w:fill="FFFFFF" w:val="clear"/>
          <w:vertAlign w:val="superscript"/>
        </w:rPr>
        <w:t xml:space="preserve">47</w:t>
      </w:r>
      <w:r>
        <w:rPr>
          <w:rFonts w:ascii="Calibri" w:hAnsi="Calibri" w:cs="Calibri" w:eastAsia="Calibri"/>
          <w:color w:val="auto"/>
          <w:spacing w:val="0"/>
          <w:position w:val="0"/>
          <w:sz w:val="24"/>
          <w:shd w:fill="FFFFFF" w:val="clear"/>
        </w:rPr>
        <w:t xml:space="preserve">, CellphoneDB</w:t>
      </w:r>
      <w:r>
        <w:rPr>
          <w:rFonts w:ascii="Calibri" w:hAnsi="Calibri" w:cs="Calibri" w:eastAsia="Calibri"/>
          <w:color w:val="auto"/>
          <w:spacing w:val="0"/>
          <w:position w:val="0"/>
          <w:sz w:val="24"/>
          <w:shd w:fill="FFFFFF" w:val="clear"/>
          <w:vertAlign w:val="superscript"/>
        </w:rPr>
        <w:t xml:space="preserve">48</w:t>
      </w:r>
      <w:r>
        <w:rPr>
          <w:rFonts w:ascii="Calibri" w:hAnsi="Calibri" w:cs="Calibri" w:eastAsia="Calibri"/>
          <w:color w:val="auto"/>
          <w:spacing w:val="0"/>
          <w:position w:val="0"/>
          <w:sz w:val="24"/>
          <w:shd w:fill="FFFFFF" w:val="clear"/>
        </w:rPr>
        <w:t xml:space="preserve">, CytoTalk</w:t>
      </w:r>
      <w:r>
        <w:rPr>
          <w:rFonts w:ascii="Calibri" w:hAnsi="Calibri" w:cs="Calibri" w:eastAsia="Calibri"/>
          <w:color w:val="auto"/>
          <w:spacing w:val="0"/>
          <w:position w:val="0"/>
          <w:sz w:val="24"/>
          <w:shd w:fill="FFFFFF" w:val="clear"/>
          <w:vertAlign w:val="superscript"/>
        </w:rPr>
        <w:t xml:space="preserve">49</w:t>
      </w:r>
      <w:r>
        <w:rPr>
          <w:rFonts w:ascii="Calibri" w:hAnsi="Calibri" w:cs="Calibri" w:eastAsia="Calibri"/>
          <w:color w:val="auto"/>
          <w:spacing w:val="0"/>
          <w:position w:val="0"/>
          <w:sz w:val="24"/>
          <w:shd w:fill="FFFFFF" w:val="clear"/>
        </w:rPr>
        <w:t xml:space="preserve"> among others). Furthermore, the inclusion of these data can enable more effective integration with and deconvolution of the spatial transcriptome profiling data, which are not at single-cell resolution (see below)</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spatial transcriptome, there is currently no gold standard for preparing any tissue for this technique and limited research in preparing vasculature, with most of the published research using animal tissue</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The technique requires commercially available slides with specialized fudicial frames with a capture area containing approximately 5,000 barcoded spots with a diameter of 55 &amp;#181;m. The spots are placed 100 &amp;#181;m apart from the center of the spot to adjacent spots leaving approximately 45 &amp;#181;m gaps between spots that will not be profiled, limiting the resolution. Furthermore, a single spot will contain multiple cells, as the majority of the cells are below 55 &amp;#181;m in area. Thus, as aforementioned, this is not a single-cell sequencing technique. However, by integrating the data with scRNA-seq, the resolution can be enhanced, and the heterogeneity within a spot can be revealed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the present protocol focuses on one spatial transcriptomic profiling assay, this technique could be adapted for other emerging spatial profiling methods</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as the protein and RNA quality is maintained in this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 is a founder and board member of Genemo,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R01HL121365, R01HL108735, R01HL106089 (to Z.B.C.); DP1DK126138 and DP1HD087990 (to S.Z.); an Ella Fitzgerald Foundation grant and a Wanek Family Project (to Z.B.C.); and a Human Cell Atlas seed network grant (to Z.B.C. and S.Z.). Research reported in this publication included work performed in the Integrative Genomics Core at City of Hope supported by the National Cancer Institute of the National Institutes of Health under award number P30CA033572. The authors would like to thank Dr. Ismail Al-Abdullah and Dr. Meirigeng Qi of the islet transplantation team at City of Hope for isolation of human tissues, Dr. Dongqiang Yuan at City of Hope for his assistance with scRNA-seq analysis, and Dr. Marc Halushka at the Division of Cardiovascular Pathology, Johns Hopkins University School of Medicine for his invaluable insights into vascular histology.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 Thorin, E., Shreeve, S. M. Heterogeneity of vascular endothelial cells in normal and disease states.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(1998).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Deanfield, J. E., Halcox, J. P., Rabelink, T. J. Endothelial function and dysfunction: testing and clinical relevance. </w:t>
      </w:r>
      <w:r>
        <w:rPr>
          <w:rFonts w:ascii="Calibri" w:hAnsi="Calibri" w:cs="Calibri" w:eastAsia="Calibri"/>
          <w:i/>
          <w:color w:val="auto"/>
          <w:spacing w:val="0"/>
          <w:position w:val="0"/>
          <w:sz w:val="24"/>
          <w:shd w:fill="FFFFFF" w:val="clear"/>
        </w:rPr>
        <w:t xml:space="preserve">Circulation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115</w:t>
      </w:r>
      <w:r>
        <w:rPr>
          <w:rFonts w:ascii="Calibri" w:hAnsi="Calibri" w:cs="Calibri" w:eastAsia="Calibri"/>
          <w:color w:val="auto"/>
          <w:spacing w:val="0"/>
          <w:position w:val="0"/>
          <w:sz w:val="24"/>
          <w:shd w:fill="FFFFFF" w:val="clear"/>
        </w:rPr>
        <w:t xml:space="preserve"> (10), 1285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1295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Hillen, H. F., Melotte, V., van Beijnum, J. R., Griffioen, A. W. </w:t>
      </w:r>
      <w:r>
        <w:rPr>
          <w:rFonts w:ascii="Calibri" w:hAnsi="Calibri" w:cs="Calibri" w:eastAsia="Calibri"/>
          <w:color w:val="auto"/>
          <w:spacing w:val="0"/>
          <w:position w:val="0"/>
          <w:sz w:val="24"/>
          <w:shd w:fill="FAFAFA" w:val="clear"/>
        </w:rPr>
        <w:t xml:space="preserve">Endothelial cell biology. </w:t>
      </w:r>
      <w:r>
        <w:rPr>
          <w:rFonts w:ascii="Calibri" w:hAnsi="Calibri" w:cs="Calibri" w:eastAsia="Calibri"/>
          <w:i/>
          <w:color w:val="auto"/>
          <w:spacing w:val="0"/>
          <w:position w:val="0"/>
          <w:sz w:val="24"/>
          <w:shd w:fill="FFFFFF" w:val="clear"/>
        </w:rPr>
        <w:t xml:space="preserve">Angiogenesis Assays: A Critical Appraisal of Current Techniques</w:t>
      </w:r>
      <w:r>
        <w:rPr>
          <w:rFonts w:ascii="Calibri" w:hAnsi="Calibri" w:cs="Calibri" w:eastAsia="Calibri"/>
          <w:color w:val="auto"/>
          <w:spacing w:val="0"/>
          <w:position w:val="0"/>
          <w:sz w:val="24"/>
          <w:shd w:fill="FFFFFF" w:val="clear"/>
        </w:rPr>
        <w:t xml:space="preserve">. John Wiley &amp;amp; Sons, Chichester, West Sussex, UK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Nam, D. et al. Partial carotid ligation is a model of acutely induced disturbed flow, leading to rapid endothelial dysfunction and atherosclerosis. </w:t>
      </w:r>
      <w:r>
        <w:rPr>
          <w:rFonts w:ascii="Calibri" w:hAnsi="Calibri" w:cs="Calibri" w:eastAsia="Calibri"/>
          <w:i/>
          <w:color w:val="auto"/>
          <w:spacing w:val="0"/>
          <w:position w:val="0"/>
          <w:sz w:val="24"/>
          <w:shd w:fill="FFFFFF" w:val="clear"/>
        </w:rPr>
        <w:t xml:space="preserve">American Journal of Physiology-Heart and Circulatory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297</w:t>
      </w:r>
      <w:r>
        <w:rPr>
          <w:rFonts w:ascii="Calibri" w:hAnsi="Calibri" w:cs="Calibri" w:eastAsia="Calibri"/>
          <w:color w:val="auto"/>
          <w:spacing w:val="0"/>
          <w:position w:val="0"/>
          <w:sz w:val="24"/>
          <w:shd w:fill="FFFFFF" w:val="clear"/>
        </w:rPr>
        <w:t xml:space="preserve"> (4), H1535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H1543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Kalucka, J. et al. Single-cell transcriptome atlas of murine endothelial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(4),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Tang, X. et al. Suppression of endothelial AGO1 promotes adipose tissue browning and improves metabolic dysfunction.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(4),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Ni, C. W., Kumar, S., Ankeny, C. J., Jo, H. Development of immortalized mouse aortic endothelial cell lines. </w:t>
      </w:r>
      <w:r>
        <w:rPr>
          <w:rFonts w:ascii="Calibri" w:hAnsi="Calibri" w:cs="Calibri" w:eastAsia="Calibri"/>
          <w:i/>
          <w:color w:val="auto"/>
          <w:spacing w:val="0"/>
          <w:position w:val="0"/>
          <w:sz w:val="24"/>
          <w:shd w:fill="auto" w:val="clear"/>
        </w:rPr>
        <w:t xml:space="preserve">Vascular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Kalluri, A. S. et al. Single-cell analysis of the normal mouse aorta reveals functionally distinct endothelial cell populations.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 Wirka, R. C. et al. Atheroprotective roles of smooth muscle cell phenotypic modulation and the TCF21 disease gene as revealed by single-cell analysis.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10. </w:t>
      </w:r>
      <w:r>
        <w:rPr>
          <w:rFonts w:ascii="Calibri" w:hAnsi="Calibri" w:cs="Calibri" w:eastAsia="Calibri"/>
          <w:color w:val="auto"/>
          <w:spacing w:val="0"/>
          <w:position w:val="0"/>
          <w:sz w:val="24"/>
          <w:shd w:fill="auto" w:val="clear"/>
        </w:rPr>
        <w:t xml:space="preserve">Widyantoro, B. et al. Endothelial cell-derived endothelin-1 promotes cardiac fibrosis in diabetic hearts through stimulation of endothelial-to-mesenchymal transition.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(22), 2407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Zeisberg, E. M. et al. Endothelial-to-mesenchymal transition contributes to cardiac fibrosis.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Stuart, T., Satija, R. Integrative single-cell analysis.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Paik, D. T. et al. Single-cell RNA sequencing unveils unique transcriptomic signatures of organ-specific endothelial cells.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(19), 1848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 Palikuqi, B. et al. Adaptable haemodynamic endothelial cells for organogenesis and tumorigenesis.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(7825),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The Tabula Muris Consortium. et al. Single-cell transcriptomics of 20 mouse organs creates a Tabula Muris. </w:t>
      </w:r>
      <w:r>
        <w:rPr>
          <w:rFonts w:ascii="Calibri" w:hAnsi="Calibri" w:cs="Calibri" w:eastAsia="Calibri"/>
          <w:i/>
          <w:color w:val="auto"/>
          <w:spacing w:val="0"/>
          <w:position w:val="0"/>
          <w:sz w:val="24"/>
          <w:shd w:fill="FFFFFF" w:val="clear"/>
        </w:rPr>
        <w:t xml:space="preserve">Nature. </w:t>
      </w:r>
      <w:r>
        <w:rPr>
          <w:rFonts w:ascii="Calibri" w:hAnsi="Calibri" w:cs="Calibri" w:eastAsia="Calibri"/>
          <w:b/>
          <w:color w:val="auto"/>
          <w:spacing w:val="0"/>
          <w:position w:val="0"/>
          <w:sz w:val="24"/>
          <w:shd w:fill="FFFFFF" w:val="clear"/>
        </w:rPr>
        <w:t xml:space="preserve">562</w:t>
      </w:r>
      <w:r>
        <w:rPr>
          <w:rFonts w:ascii="Calibri" w:hAnsi="Calibri" w:cs="Calibri" w:eastAsia="Calibri"/>
          <w:color w:val="auto"/>
          <w:spacing w:val="0"/>
          <w:position w:val="0"/>
          <w:sz w:val="24"/>
          <w:shd w:fill="FFFFFF" w:val="clear"/>
        </w:rPr>
        <w:t xml:space="preserve"> (7727), 367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Hezroni, H. et al. Principles of long noncoding RNA evolution derived from direct comparison of transcriptomes in 17 species.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(7), 1110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1122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Washietl, S., Kellis, M., Garber, M. Evolutionary dynamics and tissue specificity of human long noncoding RNAs in six mammals. </w:t>
      </w:r>
      <w:r>
        <w:rPr>
          <w:rFonts w:ascii="Calibri" w:hAnsi="Calibri" w:cs="Calibri" w:eastAsia="Calibri"/>
          <w:i/>
          <w:color w:val="auto"/>
          <w:spacing w:val="0"/>
          <w:position w:val="0"/>
          <w:sz w:val="24"/>
          <w:shd w:fill="FFFFFF" w:val="clear"/>
        </w:rPr>
        <w:t xml:space="preserve">Genome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w:t>
      </w:r>
      <w:r>
        <w:rPr>
          <w:rFonts w:ascii="Calibri" w:hAnsi="Calibri" w:cs="Calibri" w:eastAsia="Calibri"/>
          <w:color w:val="auto"/>
          <w:spacing w:val="0"/>
          <w:position w:val="0"/>
          <w:sz w:val="24"/>
          <w:shd w:fill="FFFFFF" w:val="clear"/>
        </w:rPr>
        <w:t xml:space="preserve"> (4), 616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628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Chen, J. et al. Evolutionary analysis across mammals reveals distinct classes of long non-coding RNAs. </w:t>
      </w:r>
      <w:r>
        <w:rPr>
          <w:rFonts w:ascii="Calibri" w:hAnsi="Calibri" w:cs="Calibri" w:eastAsia="Calibri"/>
          <w:i/>
          <w:color w:val="auto"/>
          <w:spacing w:val="0"/>
          <w:position w:val="0"/>
          <w:sz w:val="24"/>
          <w:shd w:fill="FFFFFF" w:val="clear"/>
        </w:rPr>
        <w:t xml:space="preserve">Genome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(19), 19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Drake, B. L., Loke, Y. W. Isolation of endothelial cells from first trimester decidua using immunomagnetic beads. </w:t>
      </w:r>
      <w:r>
        <w:rPr>
          <w:rFonts w:ascii="Calibri" w:hAnsi="Calibri" w:cs="Calibri" w:eastAsia="Calibri"/>
          <w:i/>
          <w:color w:val="auto"/>
          <w:spacing w:val="0"/>
          <w:position w:val="0"/>
          <w:sz w:val="24"/>
          <w:shd w:fill="FFFFFF" w:val="clear"/>
        </w:rPr>
        <w:t xml:space="preserve">Human Reproduction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1156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1159 (1991).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McDouall, R. M., Yacoub, M., Rose, M. L. Isolation, culture and characterization of MHC class II-positive microvascular endothelial cells from the human heart. </w:t>
      </w:r>
      <w:r>
        <w:rPr>
          <w:rFonts w:ascii="Calibri" w:hAnsi="Calibri" w:cs="Calibri" w:eastAsia="Calibri"/>
          <w:i/>
          <w:color w:val="auto"/>
          <w:spacing w:val="0"/>
          <w:position w:val="0"/>
          <w:sz w:val="24"/>
          <w:shd w:fill="FFFFFF" w:val="clear"/>
        </w:rPr>
        <w:t xml:space="preserve">Microvascular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51</w:t>
      </w:r>
      <w:r>
        <w:rPr>
          <w:rFonts w:ascii="Calibri" w:hAnsi="Calibri" w:cs="Calibri" w:eastAsia="Calibri"/>
          <w:color w:val="auto"/>
          <w:spacing w:val="0"/>
          <w:position w:val="0"/>
          <w:sz w:val="24"/>
          <w:shd w:fill="FFFFFF" w:val="clear"/>
        </w:rPr>
        <w:t xml:space="preserve">, 137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152 (1996).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Sokol, L. et al. Protocols for endothelial cell isolation from mouse tissues: small intestine, colon, heart, and liver. </w:t>
      </w:r>
      <w:r>
        <w:rPr>
          <w:rFonts w:ascii="Calibri" w:hAnsi="Calibri" w:cs="Calibri" w:eastAsia="Calibri"/>
          <w:i/>
          <w:color w:val="auto"/>
          <w:spacing w:val="0"/>
          <w:position w:val="0"/>
          <w:sz w:val="24"/>
          <w:shd w:fill="FFFFFF" w:val="clear"/>
        </w:rPr>
        <w:t xml:space="preserve">STAR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(2), 100489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Springhorn, J. P., Madri, J. A., Squinto, S. P. Human capillary endothelial cells from abdominal wall adipose tissue: isolation using an anti-pecam antibody. </w:t>
      </w:r>
      <w:r>
        <w:rPr>
          <w:rFonts w:ascii="Calibri" w:hAnsi="Calibri" w:cs="Calibri" w:eastAsia="Calibri"/>
          <w:i/>
          <w:color w:val="auto"/>
          <w:spacing w:val="0"/>
          <w:position w:val="0"/>
          <w:sz w:val="24"/>
          <w:shd w:fill="FFFFFF" w:val="clear"/>
        </w:rPr>
        <w:t xml:space="preserve">In Vitro Cellular Developmental Biology Animal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w:t>
      </w:r>
      <w:r>
        <w:rPr>
          <w:rFonts w:ascii="Calibri" w:hAnsi="Calibri" w:cs="Calibri" w:eastAsia="Calibri"/>
          <w:color w:val="auto"/>
          <w:spacing w:val="0"/>
          <w:position w:val="0"/>
          <w:sz w:val="24"/>
          <w:shd w:fill="FFFFFF" w:val="clear"/>
        </w:rPr>
        <w:t xml:space="preserve"> (6), 473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481 (1995).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Hewett, P. W., Murray, J. C. Immunomagnetic purification of human microvessel endothelial cells using Dynabeads coated with monoclonal antibodies to PECAM-1. </w:t>
      </w:r>
      <w:r>
        <w:rPr>
          <w:rFonts w:ascii="Calibri" w:hAnsi="Calibri" w:cs="Calibri" w:eastAsia="Calibri"/>
          <w:i/>
          <w:color w:val="auto"/>
          <w:spacing w:val="0"/>
          <w:position w:val="0"/>
          <w:sz w:val="24"/>
          <w:shd w:fill="FFFFFF" w:val="clear"/>
        </w:rPr>
        <w:t xml:space="preserve">European Journal of Cell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w:t>
      </w:r>
      <w:r>
        <w:rPr>
          <w:rFonts w:ascii="Calibri" w:hAnsi="Calibri" w:cs="Calibri" w:eastAsia="Calibri"/>
          <w:color w:val="auto"/>
          <w:spacing w:val="0"/>
          <w:position w:val="0"/>
          <w:sz w:val="24"/>
          <w:shd w:fill="FFFFFF" w:val="clear"/>
        </w:rPr>
        <w:t xml:space="preserve"> (2), 451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454 (1993).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Marx, V. Method of the Year: spatially resolved transcriptomics.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(1), 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Maynard, K. R. et al. Transcriptome-scale spatial gene expression in the human dorsolateral prefrontal cortex. </w:t>
      </w:r>
      <w:r>
        <w:rPr>
          <w:rFonts w:ascii="Calibri" w:hAnsi="Calibri" w:cs="Calibri" w:eastAsia="Calibri"/>
          <w:i/>
          <w:color w:val="auto"/>
          <w:spacing w:val="0"/>
          <w:position w:val="0"/>
          <w:sz w:val="24"/>
          <w:shd w:fill="FFFFFF" w:val="clear"/>
        </w:rPr>
        <w:t xml:space="preserve">Nature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w:t>
      </w:r>
      <w:r>
        <w:rPr>
          <w:rFonts w:ascii="Calibri" w:hAnsi="Calibri" w:cs="Calibri" w:eastAsia="Calibri"/>
          <w:color w:val="auto"/>
          <w:spacing w:val="0"/>
          <w:position w:val="0"/>
          <w:sz w:val="24"/>
          <w:shd w:fill="FFFFFF" w:val="clear"/>
        </w:rPr>
        <w:t xml:space="preserve"> (3), 425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Ji, A. L. et al. Multimodal analysis of composition and spatial architecture in human squamous cell carcinoma.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(2),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B&amp;#228;ckdahl, J. et al. Spatial mapping reveals human adipocyte subpopulations with distinct sensitivities to insulin.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1869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1882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 Wang, J. et al. RNAscope: a novel in situ RNA analysis platform for formalin-fixed, paraffin-embedded tissues. </w:t>
      </w:r>
      <w:r>
        <w:rPr>
          <w:rFonts w:ascii="Calibri" w:hAnsi="Calibri" w:cs="Calibri" w:eastAsia="Calibri"/>
          <w:i/>
          <w:color w:val="auto"/>
          <w:spacing w:val="0"/>
          <w:position w:val="0"/>
          <w:sz w:val="24"/>
          <w:shd w:fill="FFFFFF" w:val="clear"/>
        </w:rPr>
        <w:t xml:space="preserve">Journal of Molecular Diagnostics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 Codeluppi, S. et al. Spatial organization of the somatosensory cortex revealed by osmFISH.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932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935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Eng, C. H. L. et al. Transcriptome-scale super-resolved imaging in tissues by RNA seqFISH+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568</w:t>
      </w:r>
      <w:r>
        <w:rPr>
          <w:rFonts w:ascii="Calibri" w:hAnsi="Calibri" w:cs="Calibri" w:eastAsia="Calibri"/>
          <w:color w:val="auto"/>
          <w:spacing w:val="0"/>
          <w:position w:val="0"/>
          <w:sz w:val="24"/>
          <w:shd w:fill="FFFFFF" w:val="clear"/>
        </w:rPr>
        <w:t xml:space="preserve">, 235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239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Eng, C. H. L., Shah, S., Thomassie, J., Cai, L. Profiling the transcriptome with RNA SPOTs.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1153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1155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Rodriques, S. G. et al. Slide-seq: a scalable technology for measuring genome-wide expression at high spatial resolution.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363</w:t>
      </w:r>
      <w:r>
        <w:rPr>
          <w:rFonts w:ascii="Calibri" w:hAnsi="Calibri" w:cs="Calibri" w:eastAsia="Calibri"/>
          <w:color w:val="auto"/>
          <w:spacing w:val="0"/>
          <w:position w:val="0"/>
          <w:sz w:val="24"/>
          <w:shd w:fill="FFFFFF" w:val="clear"/>
        </w:rPr>
        <w:t xml:space="preserve"> (6434), 1463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1467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Ståhl, P. L. et al. Visualization and analysis of gene expression in tissue sections by spatial transcriptomics.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353</w:t>
      </w:r>
      <w:r>
        <w:rPr>
          <w:rFonts w:ascii="Calibri" w:hAnsi="Calibri" w:cs="Calibri" w:eastAsia="Calibri"/>
          <w:color w:val="auto"/>
          <w:spacing w:val="0"/>
          <w:position w:val="0"/>
          <w:sz w:val="24"/>
          <w:shd w:fill="FFFFFF" w:val="clear"/>
        </w:rPr>
        <w:t xml:space="preserve"> (6294), 78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82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Rao, A. et al. Exploring tissue architecture using spatial transcriptomics.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596</w:t>
      </w:r>
      <w:r>
        <w:rPr>
          <w:rFonts w:ascii="Calibri" w:hAnsi="Calibri" w:cs="Calibri" w:eastAsia="Calibri"/>
          <w:color w:val="auto"/>
          <w:spacing w:val="0"/>
          <w:position w:val="0"/>
          <w:sz w:val="24"/>
          <w:shd w:fill="FFFFFF" w:val="clear"/>
        </w:rPr>
        <w:t xml:space="preserve"> (7871), 211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Sachidanandam, K. et al. Differential effects of diet-induced dyslipidemia and hyperglycemia on mesenteric resistance artery structure and function in type 2 diabetes. </w:t>
      </w:r>
      <w:r>
        <w:rPr>
          <w:rFonts w:ascii="Calibri" w:hAnsi="Calibri" w:cs="Calibri" w:eastAsia="Calibri"/>
          <w:i/>
          <w:color w:val="auto"/>
          <w:spacing w:val="0"/>
          <w:position w:val="0"/>
          <w:sz w:val="24"/>
          <w:shd w:fill="FFFFFF" w:val="clear"/>
        </w:rPr>
        <w:t xml:space="preserve">Journal of Pharmacology and Experimental Therapeutics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328</w:t>
      </w:r>
      <w:r>
        <w:rPr>
          <w:rFonts w:ascii="Calibri" w:hAnsi="Calibri" w:cs="Calibri" w:eastAsia="Calibri"/>
          <w:color w:val="auto"/>
          <w:spacing w:val="0"/>
          <w:position w:val="0"/>
          <w:sz w:val="24"/>
          <w:shd w:fill="FFFFFF" w:val="clear"/>
        </w:rPr>
        <w:t xml:space="preserve"> (1), 123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36. Calandrelli, R. et al. Stress-induced RNA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chromatin interactions promote endothelial dysfunction. </w:t>
      </w:r>
      <w:r>
        <w:rPr>
          <w:rFonts w:ascii="Calibri" w:hAnsi="Calibri" w:cs="Calibri" w:eastAsia="Calibri"/>
          <w:i/>
          <w:color w:val="auto"/>
          <w:spacing w:val="0"/>
          <w:position w:val="0"/>
          <w:sz w:val="24"/>
          <w:shd w:fill="FFFFFF" w:val="clear"/>
        </w:rPr>
        <w:t xml:space="preserve">Nature Communications.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(1), 5211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Souza-Smith, F. M. et al. Mesenteric resistance arteries in Type 2 diabetic db/db mice undergo outward remodeling.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w:t>
      </w:r>
      <w:r>
        <w:rPr>
          <w:rFonts w:ascii="Calibri" w:hAnsi="Calibri" w:cs="Calibri" w:eastAsia="Calibri"/>
          <w:color w:val="auto"/>
          <w:spacing w:val="0"/>
          <w:position w:val="0"/>
          <w:sz w:val="24"/>
          <w:shd w:fill="FFFFFF" w:val="clear"/>
        </w:rPr>
        <w:t xml:space="preserve">e23337</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FF" w:val="clear"/>
        </w:rPr>
        <w:t xml:space="preserve">Asterholm, I. et al. Adipocyte inflammation is essential for healthy adipose tissue expansion and remodeling. </w:t>
      </w:r>
      <w:r>
        <w:rPr>
          <w:rFonts w:ascii="Calibri" w:hAnsi="Calibri" w:cs="Calibri" w:eastAsia="Calibri"/>
          <w:i/>
          <w:color w:val="auto"/>
          <w:spacing w:val="0"/>
          <w:position w:val="0"/>
          <w:sz w:val="24"/>
          <w:shd w:fill="FFFFFF" w:val="clear"/>
        </w:rPr>
        <w:t xml:space="preserve">Cell Metabolism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 103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Marin, V. et al. Endothelial cell culture: protocol to obtain and cultivate human umbilical endothelial cells.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Stuart, T. et al. Comprehensive integration of single-cell data.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(7),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FF" w:val="clear"/>
        </w:rPr>
        <w:t xml:space="preserve">Hafemeister, C., Satija, R. Normalization and variance stabilization of single-cell RNA-seq data using regularized negative binomial regression. </w:t>
      </w:r>
      <w:r>
        <w:rPr>
          <w:rFonts w:ascii="Calibri" w:hAnsi="Calibri" w:cs="Calibri" w:eastAsia="Calibri"/>
          <w:i/>
          <w:color w:val="auto"/>
          <w:spacing w:val="0"/>
          <w:position w:val="0"/>
          <w:sz w:val="24"/>
          <w:shd w:fill="FFFFFF" w:val="clear"/>
        </w:rPr>
        <w:t xml:space="preserve">Genome Biology.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 296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Bonnycastle, L. L. et al. Single-cell transcriptomics from human pancreatic islets: sample preparation matters. </w:t>
      </w:r>
      <w:r>
        <w:rPr>
          <w:rFonts w:ascii="Calibri" w:hAnsi="Calibri" w:cs="Calibri" w:eastAsia="Calibri"/>
          <w:i/>
          <w:color w:val="auto"/>
          <w:spacing w:val="0"/>
          <w:position w:val="0"/>
          <w:sz w:val="24"/>
          <w:shd w:fill="FFFFFF" w:val="clear"/>
        </w:rPr>
        <w:t xml:space="preserve">Biology Methods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(1), bpz019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Espitia, O. et al. Implication of molecular vascular smooth muscle cell heterogeneity among arterial beds in arterial calcification.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e0191976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 Engelbrecht, E. et al. Sphingosine 1-phosphate-regulated transcriptomes in heterogenous arterial and lymphatic endothelium of the aorta.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e52690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 Hu, H. et al. Single-cell transcriptomic atlas of different human cardiac arteries identifies cell types associated with vascular physiology.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41</w:t>
      </w:r>
      <w:r>
        <w:rPr>
          <w:rFonts w:ascii="Calibri" w:hAnsi="Calibri" w:cs="Calibri" w:eastAsia="Calibri"/>
          <w:color w:val="auto"/>
          <w:spacing w:val="0"/>
          <w:position w:val="0"/>
          <w:sz w:val="24"/>
          <w:shd w:fill="FFFFFF" w:val="clear"/>
        </w:rPr>
        <w:t xml:space="preserve"> (4), 1408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1427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 van Beijnum, J. et al. Isolation of endothelial cells from fresh tissues.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(6), 1085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1091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47. Jin, S. et al. Inference and analysis of cell-cell communication using CellChat. </w:t>
      </w:r>
      <w:r>
        <w:rPr>
          <w:rFonts w:ascii="Calibri" w:hAnsi="Calibri" w:cs="Calibri" w:eastAsia="Calibri"/>
          <w:i/>
          <w:color w:val="auto"/>
          <w:spacing w:val="0"/>
          <w:position w:val="0"/>
          <w:sz w:val="24"/>
          <w:shd w:fill="FFFFFF" w:val="clear"/>
        </w:rPr>
        <w:t xml:space="preserve">Nature Communications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(1), 1088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48. Efremova, M., Vento-Tormo, M., Teichmann, S. A., Vento-Tormo, R. CellPhoneDB: inferring cell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cell communication from combined expression of multi-subunit ligand</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receptor complexes.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(4), 1484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1506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 Hu, Y., Peng, T., Gao, L., Tan, K. CytoTalk: de novo construction of signal transduction networks using single-cell RNA-Seq data. </w:t>
      </w:r>
      <w:r>
        <w:rPr>
          <w:rFonts w:ascii="Calibri" w:hAnsi="Calibri" w:cs="Calibri" w:eastAsia="Calibri"/>
          <w:i/>
          <w:color w:val="auto"/>
          <w:spacing w:val="0"/>
          <w:position w:val="0"/>
          <w:sz w:val="24"/>
          <w:shd w:fill="FFFFFF" w:val="clear"/>
        </w:rPr>
        <w:t xml:space="preserve">Science Advances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(16), eabf1356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Sanchez-Ferras, O. et al. A coordinated progression of progenitor cell states initiates urinary tract development.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2627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Mantri, M. et al. Spatiotemporal single-cell RNA sequencing of developing chicken hearts identifies interplay between cellular differentiation and morphogenesis.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1771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Merritt, C. R. et al. Multiplex digital spatial profiling of proteins and RNA in fixed tissue.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Moffit, J. R. et al. High-throughput MERFISH.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(39), 11046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11051 (2016).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