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Alleviation of Diabetic Tendon Injury via Activation of Tendon Fibroblasts Autophagy under Berberine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Mei-Dong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Jia-Qin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Fu-Chen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Sheng-Hua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Cheng Zhao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Vascular Surgery, Yueyang Hospital of Integrated Traditional Chinese and Western Medicine, Shanghai University of Traditional Chinese Medicine, Shanghai,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Yueyang Clinical Medical College, Shanghai University of Traditional Chinese Medicine, Shanghai,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Vascular Disease, Shanghai TCM-Integrated Hospital, Shanghai University of Traditional Chinese Medicine, Shanghai, PR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Joint first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Mei-Dong Zhu </w:t>
        <w:tab/>
        <w:tab/>
        <w:t xml:space="preserve">(zmd_doc@163.com)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 Li </w:t>
        <w:tab/>
        <w:tab/>
        <w:tab/>
        <w:tab/>
        <w:t xml:space="preserve">(leeqi10@163.com)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Jia-Qin Yuan </w:t>
        <w:tab/>
        <w:tab/>
        <w:t xml:space="preserve">(yuanjiaqin20117@163.com)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Fu-Chen Song </w:t>
        <w:tab/>
        <w:tab/>
        <w:t xml:space="preserve">(songfuchen81@163.com)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Sheng-Hua Liu </w:t>
        <w:tab/>
        <w:tab/>
        <w:t xml:space="preserve">(1544623088@qq.com)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Zhang </w:t>
        <w:tab/>
        <w:tab/>
        <w:tab/>
        <w:t xml:space="preserve">(zhanglei@shutcm.edu.cn)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Zhao </w:t>
        <w:tab/>
        <w:tab/>
        <w:t xml:space="preserve">(chengzhao_79@163.com)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Zhang </w:t>
        <w:tab/>
        <w:tab/>
        <w:tab/>
        <w:t xml:space="preserve">(zhanglei@shutcm.edu.cn)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Cheng Zhao </w:t>
        <w:tab/>
        <w:tab/>
        <w:t xml:space="preserve">(chengzhao_79@163.com)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berberine, diabetes mellitus, tendon injury, tendon fibroblasts, autophagy.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Berberine (BBR) is an isoquinoline alkaloid isolated from </w:t>
      </w:r>
      <w:r>
        <w:rPr>
          <w:rFonts w:ascii="Calibri" w:hAnsi="Calibri" w:cs="Calibri" w:eastAsia="Calibri"/>
          <w:i/>
          <w:color w:val="auto"/>
          <w:spacing w:val="0"/>
          <w:position w:val="0"/>
          <w:sz w:val="24"/>
          <w:shd w:fill="auto" w:val="clear"/>
        </w:rPr>
        <w:t xml:space="preserve">Coptis chinensis </w:t>
      </w:r>
      <w:r>
        <w:rPr>
          <w:rFonts w:ascii="Calibri" w:hAnsi="Calibri" w:cs="Calibri" w:eastAsia="Calibri"/>
          <w:color w:val="auto"/>
          <w:spacing w:val="0"/>
          <w:position w:val="0"/>
          <w:sz w:val="24"/>
          <w:shd w:fill="auto" w:val="clear"/>
        </w:rPr>
        <w:t xml:space="preserve">and possesses valuable</w:t>
      </w:r>
      <w:r>
        <w:rPr>
          <w:rFonts w:ascii="Calibri" w:hAnsi="Calibri" w:cs="Calibri" w:eastAsia="Calibri"/>
          <w:color w:val="333333"/>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pharmacological activities, including anti-inflammatory, anti-tumor, and alleviating several complications of type 2 diabetes mellitus (T2DM). However, the role of BBR in regulating diabetic tendon injury remains poorly understood. In this study, a rat model of T2DM was constructed, and cell apoptosis and autophagy were assessed in tendon tissues after BBR treatment through TdT-Mediated dUTP nick-end labeling (TUNEL) assay and immunohistochemical analysis. Tendon fibroblasts were obtained from the rat Achilles tendon, and the role of BBR in regulating cell apoptosis, the production of inflammatory cytokines, and autophagy activation were assessed using flow cytometry, quantitative real-time PCR (qRT-PCR), and western blot analysis. We demonstrated that BBR treatment significantly increased autophagy activation and decreased cell apoptosis in tendon tissues of T2DM rats. In tendon fibroblasts, BBR repressed High glucose (HG)-induced cell apoptosis and production of proinflammatory cytokines. HG treatment resulted in a decrease of autophagy activation in tendon fibroblasts, whereas BBR restored autophagy activation. More important, pharmacological inhibition of autophagy by 3-MA weakened the protective effects of BBR against HG-induced tendon fibroblasts injury. Taken together, the current results demonstrate that BBR helps relieve diabetic tendon injury by activating autophagy of tendon fibroblasts.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Diabetes (diabetes mellitus, DM) is a systemic metabolic disorder characterized by hyperglycaemia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present, diabetes has become one of the main diseases threatening human health and life expectancy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More than 90% of cases are type 2 diabetes, a metabolic disease characterized by chronic inflammation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insulin resistance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damage to islet &amp;#946;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prevalence is increasing each year worldwide.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Type 2 diabetes brings a series of serious complications, which have serious effects on the cardiovascular system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eye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kidney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nerves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putting diabetic patients at risk for multiple disabilities and even life-threatening health risks. There have been few studies on the musculoskeletal system, especially on the pathological changes in diabetic tendons. In recent years, the incidence of chronic tendinopathy has increased significantly. Tendons can dynamically regulate their capacity to store and deliver energy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tendon tissues, tendon fibroblasts play an important role in modulating tendon adaption and tendon repair after injury</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At present, the function of tendon fibroblasts on tendon injury remains unclear.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isoquinoline alkaloid, BBR exerts pharmacological effects in a variety of physiological processes, including lowering blood glucose, lowering lipids, lowering cholesterol, anti-inflammatory effects, antibacterial effects, removing reactive oxygen species, and antagonizing nervous system dysfunction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BBR can increase the uptake and utilization of glucose in adipose tissue and skeletal muscle cells, upregulate the expression of the insulin receptor in liver and skeletal muscle cells, increase the expression of LDL receptor in the liver, and reduce the levels of cholesterol and sugar in plasma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Although BBR possesses valuable</w:t>
      </w:r>
      <w:r>
        <w:rPr>
          <w:rFonts w:ascii="Calibri" w:hAnsi="Calibri" w:cs="Calibri" w:eastAsia="Calibri"/>
          <w:color w:val="333333"/>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pharmacological activities in alleviating several complications of DM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role of BBR in regulating diabetic tendon injury remains poorly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Autophagy must occur at the baseline level in most tissues to withdraw damaged organelles and provide metabolites to maintain metabolic homeostasis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Autophagy acts as a crucial role in &amp;#946;-cell health, and impaired autophagy is correlated with &amp;#946;-cell dysfunction and diabetes progression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Emerging studies have demonstrated that BBR-induced activation of autophagy contributes to improving diabetic nephropathy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Based on the above findings, we explored whether BBR is helpful in alleviating diabetic tendon injury through regulating autophagy. The current results demonstrated that BBR reduced HG-induced tendon fibroblasts injury and the inflammatory response. HG decreased autophagy activation of tendon fibroblasts, whereas BBR treatment restored autophagy activation and resulted in a subsequent increase of tendon fibroblasts viability and reduction of proinflammatory cytokines.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Research Ethics Committee at the Yueyang Hospital of Integrated Traditional Chinese and Western Medicine, Shanghai University of Traditional Chinese Medicine.</w:t>
      </w:r>
      <w:r>
        <w:rPr>
          <w:rFonts w:ascii="Calibri" w:hAnsi="Calibri" w:cs="Calibri" w:eastAsia="Calibri"/>
          <w:color w:val="000000"/>
          <w:spacing w:val="0"/>
          <w:position w:val="0"/>
          <w:sz w:val="24"/>
          <w:shd w:fill="FFFFFF" w:val="clear"/>
        </w:rPr>
        <w:t xml:space="preserve"> All animal experiments were approved by the Ethics Committee of </w:t>
      </w:r>
      <w:r>
        <w:rPr>
          <w:rFonts w:ascii="Calibri" w:hAnsi="Calibri" w:cs="Calibri" w:eastAsia="Calibri"/>
          <w:color w:val="auto"/>
          <w:spacing w:val="0"/>
          <w:position w:val="0"/>
          <w:sz w:val="24"/>
          <w:shd w:fill="auto" w:val="clear"/>
        </w:rPr>
        <w:t xml:space="preserve">the Yueyang Hospital of Integrated Traditional Chinese and Western Medicine, Shanghai University of Traditional Chinese Medicine (IACUC number: YYLAC-2019-1)</w:t>
      </w:r>
      <w:r>
        <w:rPr>
          <w:rFonts w:ascii="Calibri" w:hAnsi="Calibri" w:cs="Calibri" w:eastAsia="Calibri"/>
          <w:color w:val="000000"/>
          <w:spacing w:val="0"/>
          <w:position w:val="0"/>
          <w:sz w:val="24"/>
          <w:shd w:fill="FFFFFF" w:val="clear"/>
        </w:rPr>
        <w:t xml:space="preserve">. Male Wistar rats (200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240 g</w:t>
      </w:r>
      <w:r>
        <w:rPr>
          <w:rFonts w:ascii="Calibri" w:hAnsi="Calibri" w:cs="Calibri" w:eastAsia="Calibri"/>
          <w:color w:val="000000"/>
          <w:spacing w:val="0"/>
          <w:position w:val="0"/>
          <w:sz w:val="24"/>
          <w:shd w:fill="FFFFFF" w:val="clear"/>
        </w:rPr>
        <w:t xml:space="preserve">, 8 weeks old) were purchased from Shanghai SLAC Laboratory Animal Center.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Rat model of T2DM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000000"/>
          <w:spacing w:val="0"/>
          <w:position w:val="0"/>
          <w:sz w:val="24"/>
          <w:shd w:fill="FFFFFF" w:val="clear"/>
        </w:rPr>
        <w:t xml:space="preserve">Maintain male Wistar rats (200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240 g</w:t>
      </w:r>
      <w:r>
        <w:rPr>
          <w:rFonts w:ascii="Calibri" w:hAnsi="Calibri" w:cs="Calibri" w:eastAsia="Calibri"/>
          <w:color w:val="000000"/>
          <w:spacing w:val="0"/>
          <w:position w:val="0"/>
          <w:sz w:val="24"/>
          <w:shd w:fill="FFFFFF" w:val="clear"/>
        </w:rPr>
        <w:t xml:space="preserve">, 8 weeks old) in </w:t>
      </w:r>
      <w:r>
        <w:rPr>
          <w:rFonts w:ascii="Calibri" w:hAnsi="Calibri" w:cs="Calibri" w:eastAsia="Calibri"/>
          <w:color w:val="000000"/>
          <w:spacing w:val="0"/>
          <w:position w:val="0"/>
          <w:sz w:val="24"/>
          <w:shd w:fill="FFFF00" w:val="clear"/>
        </w:rPr>
        <w:t xml:space="preserve">a </w:t>
      </w:r>
      <w:r>
        <w:rPr>
          <w:rFonts w:ascii="Calibri" w:hAnsi="Calibri" w:cs="Calibri" w:eastAsia="Calibri"/>
          <w:color w:val="000000"/>
          <w:spacing w:val="0"/>
          <w:position w:val="0"/>
          <w:sz w:val="24"/>
          <w:shd w:fill="FFFFFF" w:val="clear"/>
        </w:rPr>
        <w:t xml:space="preserve">climate-controlled environment with </w:t>
      </w:r>
      <w:r>
        <w:rPr>
          <w:rFonts w:ascii="Calibri" w:hAnsi="Calibri" w:cs="Calibri" w:eastAsia="Calibri"/>
          <w:color w:val="000000"/>
          <w:spacing w:val="0"/>
          <w:position w:val="0"/>
          <w:sz w:val="24"/>
          <w:shd w:fill="FFFF00" w:val="clear"/>
        </w:rPr>
        <w:t xml:space="preserve">a </w:t>
      </w:r>
      <w:r>
        <w:rPr>
          <w:rFonts w:ascii="Calibri" w:hAnsi="Calibri" w:cs="Calibri" w:eastAsia="Calibri"/>
          <w:color w:val="000000"/>
          <w:spacing w:val="0"/>
          <w:position w:val="0"/>
          <w:sz w:val="24"/>
          <w:shd w:fill="FFFFFF" w:val="clear"/>
        </w:rPr>
        <w:t xml:space="preserve">12 h light/dark cycle (20 &amp;plusmn; 2 &amp;#176;C and 50%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60%</w:t>
      </w:r>
      <w:r>
        <w:rPr>
          <w:rFonts w:ascii="Calibri" w:hAnsi="Calibri" w:cs="Calibri" w:eastAsia="Calibri"/>
          <w:color w:val="000000"/>
          <w:spacing w:val="0"/>
          <w:position w:val="0"/>
          <w:sz w:val="24"/>
          <w:shd w:fill="FFFFFF" w:val="clear"/>
        </w:rPr>
        <w:t xml:space="preserve"> relative humidity)</w:t>
      </w:r>
      <w:r>
        <w:rPr>
          <w:rFonts w:ascii="Calibri" w:hAnsi="Calibri" w:cs="Calibri" w:eastAsia="Calibri"/>
          <w:color w:val="000000"/>
          <w:spacing w:val="0"/>
          <w:position w:val="0"/>
          <w:sz w:val="24"/>
          <w:shd w:fill="FFFF00" w:val="clear"/>
        </w:rPr>
        <w:t xml:space="preserve">. Provide</w:t>
      </w:r>
      <w:r>
        <w:rPr>
          <w:rFonts w:ascii="Calibri" w:hAnsi="Calibri" w:cs="Calibri" w:eastAsia="Calibri"/>
          <w:color w:val="000000"/>
          <w:spacing w:val="0"/>
          <w:position w:val="0"/>
          <w:sz w:val="24"/>
          <w:shd w:fill="FFFFFF" w:val="clear"/>
        </w:rPr>
        <w:t xml:space="preserve"> food and water </w:t>
      </w:r>
      <w:r>
        <w:rPr>
          <w:rFonts w:ascii="Calibri" w:hAnsi="Calibri" w:cs="Calibri" w:eastAsia="Calibri"/>
          <w:i/>
          <w:color w:val="000000"/>
          <w:spacing w:val="0"/>
          <w:position w:val="0"/>
          <w:sz w:val="24"/>
          <w:shd w:fill="FFFFFF" w:val="clear"/>
        </w:rPr>
        <w:t xml:space="preserve">ad libitum</w:t>
      </w:r>
      <w:r>
        <w:rPr>
          <w:rFonts w:ascii="Calibri" w:hAnsi="Calibri" w:cs="Calibri" w:eastAsia="Calibri"/>
          <w:color w:val="000000"/>
          <w:spacing w:val="0"/>
          <w:position w:val="0"/>
          <w:sz w:val="24"/>
          <w:shd w:fill="FFFFFF" w:val="clear"/>
        </w:rPr>
        <w:t xml:space="preserve"> during the experimental period.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000000"/>
          <w:spacing w:val="0"/>
          <w:position w:val="0"/>
          <w:sz w:val="24"/>
          <w:shd w:fill="FFFFFF" w:val="clear"/>
        </w:rPr>
        <w:t xml:space="preserve">Make efforts to minimize animal suffering, including gentle handling, daily cage cleaning, and monitoring. </w:t>
      </w:r>
    </w:p>
    <w:p>
      <w:pPr>
        <w:spacing w:before="0" w:after="0" w:line="240"/>
        <w:ind w:right="0" w:left="0" w:firstLine="48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000000"/>
          <w:spacing w:val="0"/>
          <w:position w:val="0"/>
          <w:sz w:val="24"/>
          <w:shd w:fill="FFFFFF" w:val="clear"/>
        </w:rPr>
        <w:t xml:space="preserve">Randomly assign the rats to 3 groups: the control group (n = 5), DM model group (n = 5), </w:t>
      </w:r>
      <w:r>
        <w:rPr>
          <w:rFonts w:ascii="Calibri" w:hAnsi="Calibri" w:cs="Calibri" w:eastAsia="Calibri"/>
          <w:color w:val="000000"/>
          <w:spacing w:val="0"/>
          <w:position w:val="0"/>
          <w:sz w:val="24"/>
          <w:shd w:fill="FFFF00" w:val="clear"/>
        </w:rPr>
        <w:t xml:space="preserve">and</w:t>
      </w:r>
      <w:r>
        <w:rPr>
          <w:rFonts w:ascii="Calibri" w:hAnsi="Calibri" w:cs="Calibri" w:eastAsia="Calibri"/>
          <w:color w:val="000000"/>
          <w:spacing w:val="0"/>
          <w:position w:val="0"/>
          <w:sz w:val="24"/>
          <w:shd w:fill="FFFFFF" w:val="clear"/>
        </w:rPr>
        <w:t xml:space="preserve"> diabetic model treated with </w:t>
      </w:r>
      <w:r>
        <w:rPr>
          <w:rFonts w:ascii="Calibri" w:hAnsi="Calibri" w:cs="Calibri" w:eastAsia="Calibri"/>
          <w:color w:val="000000"/>
          <w:spacing w:val="0"/>
          <w:position w:val="0"/>
          <w:sz w:val="24"/>
          <w:shd w:fill="FFFF00" w:val="clear"/>
        </w:rPr>
        <w:t xml:space="preserve">BBR</w:t>
      </w:r>
      <w:r>
        <w:rPr>
          <w:rFonts w:ascii="Calibri" w:hAnsi="Calibri" w:cs="Calibri" w:eastAsia="Calibri"/>
          <w:color w:val="000000"/>
          <w:spacing w:val="0"/>
          <w:position w:val="0"/>
          <w:sz w:val="24"/>
          <w:shd w:fill="FFFFFF" w:val="clear"/>
        </w:rPr>
        <w:t xml:space="preserve"> group (n = 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000000"/>
          <w:spacing w:val="0"/>
          <w:position w:val="0"/>
          <w:sz w:val="24"/>
          <w:shd w:fill="FFFF00" w:val="clear"/>
        </w:rPr>
        <w:t xml:space="preserve">Establish the </w:t>
      </w:r>
      <w:r>
        <w:rPr>
          <w:rFonts w:ascii="Calibri" w:hAnsi="Calibri" w:cs="Calibri" w:eastAsia="Calibri"/>
          <w:color w:val="000000"/>
          <w:spacing w:val="0"/>
          <w:position w:val="0"/>
          <w:sz w:val="24"/>
          <w:shd w:fill="FFFFFF" w:val="clear"/>
        </w:rPr>
        <w:t xml:space="preserve">rat DM model according to </w:t>
      </w:r>
      <w:r>
        <w:rPr>
          <w:rFonts w:ascii="Calibri" w:hAnsi="Calibri" w:cs="Calibri" w:eastAsia="Calibri"/>
          <w:color w:val="000000"/>
          <w:spacing w:val="0"/>
          <w:position w:val="0"/>
          <w:sz w:val="24"/>
          <w:shd w:fill="FFFF00" w:val="clear"/>
        </w:rPr>
        <w:t xml:space="preserve">a</w:t>
      </w:r>
      <w:r>
        <w:rPr>
          <w:rFonts w:ascii="Calibri" w:hAnsi="Calibri" w:cs="Calibri" w:eastAsia="Calibri"/>
          <w:color w:val="000000"/>
          <w:spacing w:val="0"/>
          <w:position w:val="0"/>
          <w:sz w:val="24"/>
          <w:shd w:fill="FFFFFF" w:val="clear"/>
        </w:rPr>
        <w:t xml:space="preserve"> previous description</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48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r>
      <w:r>
        <w:rPr>
          <w:rFonts w:ascii="Calibri" w:hAnsi="Calibri" w:cs="Calibri" w:eastAsia="Calibri"/>
          <w:color w:val="000000"/>
          <w:spacing w:val="0"/>
          <w:position w:val="0"/>
          <w:sz w:val="24"/>
          <w:shd w:fill="FFFF00" w:val="clear"/>
        </w:rPr>
        <w:t xml:space="preserve">Administer the </w:t>
      </w:r>
      <w:r>
        <w:rPr>
          <w:rFonts w:ascii="Calibri" w:hAnsi="Calibri" w:cs="Calibri" w:eastAsia="Calibri"/>
          <w:color w:val="000000"/>
          <w:spacing w:val="0"/>
          <w:position w:val="0"/>
          <w:sz w:val="24"/>
          <w:shd w:fill="FFFFFF" w:val="clear"/>
        </w:rPr>
        <w:t xml:space="preserve">rats with a single intravenous injection of streptozotocin (STZ) dissolved in freshly prepared sodium citrate buffer (w/v: 2%) at a dose of 30 mg/kg</w:t>
      </w:r>
      <w:r>
        <w:rPr>
          <w:rFonts w:ascii="Calibri" w:hAnsi="Calibri" w:cs="Calibri" w:eastAsia="Calibri"/>
          <w:color w:val="auto"/>
          <w:spacing w:val="0"/>
          <w:position w:val="0"/>
          <w:sz w:val="24"/>
          <w:shd w:fill="FFFF00" w:val="clear"/>
        </w:rPr>
        <w:t xml:space="preserve">. Inject the control group intraperitoneally with an equal volume of citrate sodium citrate buffer without STZ.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Assess the blood glucose using a blood gas analyzer. Use the rats with the indicated blood glucose level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16.7 mmol/L, continuously for 10 days) for the T2DM model.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After 1 week, randomly divide the T2DM rats into two groups (n = 5 of each group): untreated rats or rats administered 200 mg/kg/day of BBR by gavage for 4 weeks.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Primary tendon fibroblasts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Sacrifice the rats under anesthesia through intraperitoneal injection of barbiturate (40 mg/kg) and obtain the Achilles tendon as </w:t>
      </w:r>
      <w:r>
        <w:rPr>
          <w:rFonts w:ascii="Calibri" w:hAnsi="Calibri" w:cs="Calibri" w:eastAsia="Calibri"/>
          <w:color w:val="000000"/>
          <w:spacing w:val="0"/>
          <w:position w:val="0"/>
          <w:sz w:val="24"/>
          <w:shd w:fill="auto" w:val="clear"/>
        </w:rPr>
        <w:t xml:space="preserve">previously reported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Isolate tendon fibroblasts from tendon tissues</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Shred</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the tendon tissues manually and place them in DMEM containing 0.2% type II collagenase. Agitate vigorously for 3 h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Remove the medium by centrifugation and add DMEM containing 10% FBS and 1% penicillin/streptomycin to the digested tissue</w:t>
      </w:r>
      <w:r>
        <w:rPr>
          <w:rFonts w:ascii="Calibri" w:hAnsi="Calibri" w:cs="Calibri" w:eastAsia="Calibri"/>
          <w:color w:val="auto"/>
          <w:spacing w:val="0"/>
          <w:position w:val="0"/>
          <w:sz w:val="21"/>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Filter the tendon tissues by a 100 &amp;#181;m strainer, pour the filtered solution into 6-well plates, and maintain the tendon fibroblasts in a humidified incubator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Cell viability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Cell counting kit-8 (CCK-8) assay was used to measure cell viability according to the manufacturer’s instructions.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After</w:t>
      </w:r>
      <w:r>
        <w:rPr>
          <w:rFonts w:ascii="Calibri" w:hAnsi="Calibri" w:cs="Calibri" w:eastAsia="Calibri"/>
          <w:color w:val="auto"/>
          <w:spacing w:val="0"/>
          <w:position w:val="0"/>
          <w:sz w:val="24"/>
          <w:shd w:fill="FFFF00" w:val="clear"/>
        </w:rPr>
        <w:t xml:space="preserve"> trypsinization</w:t>
      </w:r>
      <w:r>
        <w:rPr>
          <w:rFonts w:ascii="Calibri" w:hAnsi="Calibri" w:cs="Calibri" w:eastAsia="Calibri"/>
          <w:color w:val="auto"/>
          <w:spacing w:val="0"/>
          <w:position w:val="0"/>
          <w:sz w:val="21"/>
          <w:shd w:fill="FFFF00" w:val="clear"/>
        </w:rPr>
        <w:t xml:space="preserve">, plate the </w:t>
      </w:r>
      <w:r>
        <w:rPr>
          <w:rFonts w:ascii="Calibri" w:hAnsi="Calibri" w:cs="Calibri" w:eastAsia="Calibri"/>
          <w:color w:val="auto"/>
          <w:spacing w:val="0"/>
          <w:position w:val="0"/>
          <w:sz w:val="24"/>
          <w:shd w:fill="FFFF00" w:val="clear"/>
        </w:rPr>
        <w:t xml:space="preserve">tendon fibroblasts </w:t>
      </w:r>
      <w:r>
        <w:rPr>
          <w:rFonts w:ascii="Calibri" w:hAnsi="Calibri" w:cs="Calibri" w:eastAsia="Calibri"/>
          <w:color w:val="000000"/>
          <w:spacing w:val="0"/>
          <w:position w:val="0"/>
          <w:sz w:val="24"/>
          <w:shd w:fill="FFFFFF" w:val="clear"/>
        </w:rPr>
        <w:t xml:space="preserve">in 96-well plates </w:t>
      </w:r>
      <w:r>
        <w:rPr>
          <w:rFonts w:ascii="Calibri" w:hAnsi="Calibri" w:cs="Calibri" w:eastAsia="Calibri"/>
          <w:color w:val="auto"/>
          <w:spacing w:val="0"/>
          <w:position w:val="0"/>
          <w:sz w:val="24"/>
          <w:shd w:fill="FFFF00" w:val="clear"/>
        </w:rPr>
        <w:t xml:space="preserve">(4 x 10</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cells/well)</w:t>
      </w:r>
      <w:r>
        <w:rPr>
          <w:rFonts w:ascii="Calibri" w:hAnsi="Calibri" w:cs="Calibri" w:eastAsia="Calibri"/>
          <w:color w:val="000000"/>
          <w:spacing w:val="0"/>
          <w:position w:val="0"/>
          <w:sz w:val="24"/>
          <w:shd w:fill="FFFFFF" w:val="clear"/>
        </w:rPr>
        <w:t xml:space="preserve"> and then treat them with different doses of glucose (0, 5, 10, 20, 30, and 50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in the presence or absence of </w:t>
      </w:r>
      <w:r>
        <w:rPr>
          <w:rFonts w:ascii="Calibri" w:hAnsi="Calibri" w:cs="Calibri" w:eastAsia="Calibri"/>
          <w:color w:val="000000"/>
          <w:spacing w:val="0"/>
          <w:position w:val="0"/>
          <w:sz w:val="24"/>
          <w:shd w:fill="FFFF00" w:val="clear"/>
        </w:rPr>
        <w:t xml:space="preserve">BBR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00" w:val="clear"/>
        </w:rPr>
        <w:t xml:space="preserve">(0, 5, 10, 20, 40, and 80 &amp;#181;M) for </w:t>
      </w:r>
      <w:r>
        <w:rPr>
          <w:rFonts w:ascii="Calibri" w:hAnsi="Calibri" w:cs="Calibri" w:eastAsia="Calibri"/>
          <w:color w:val="000000"/>
          <w:spacing w:val="0"/>
          <w:position w:val="0"/>
          <w:sz w:val="24"/>
          <w:shd w:fill="FFFFFF" w:val="clear"/>
        </w:rPr>
        <w:t xml:space="preserve">48 h</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Glucose and BBR were dissolved in DMEM.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Add CCK-8 solution (</w:t>
      </w:r>
      <w:r>
        <w:rPr>
          <w:rFonts w:ascii="Calibri" w:hAnsi="Calibri" w:cs="Calibri" w:eastAsia="Calibri"/>
          <w:color w:val="auto"/>
          <w:spacing w:val="0"/>
          <w:position w:val="0"/>
          <w:sz w:val="24"/>
          <w:shd w:fill="FFFF00" w:val="clear"/>
        </w:rPr>
        <w:t xml:space="preserve">10 &amp;#181;L</w:t>
      </w:r>
      <w:r>
        <w:rPr>
          <w:rFonts w:ascii="Calibri" w:hAnsi="Calibri" w:cs="Calibri" w:eastAsia="Calibri"/>
          <w:color w:val="000000"/>
          <w:spacing w:val="0"/>
          <w:position w:val="0"/>
          <w:sz w:val="24"/>
          <w:shd w:fill="FFFF00" w:val="clear"/>
        </w:rPr>
        <w:t xml:space="preserve">) to each well, and incubate </w:t>
      </w:r>
      <w:r>
        <w:rPr>
          <w:rFonts w:ascii="Calibri" w:hAnsi="Calibri" w:cs="Calibri" w:eastAsia="Calibri"/>
          <w:color w:val="auto"/>
          <w:spacing w:val="0"/>
          <w:position w:val="0"/>
          <w:sz w:val="24"/>
          <w:shd w:fill="FFFF00" w:val="clear"/>
        </w:rPr>
        <w:t xml:space="preserve">the cells </w:t>
      </w:r>
      <w:r>
        <w:rPr>
          <w:rFonts w:ascii="Calibri" w:hAnsi="Calibri" w:cs="Calibri" w:eastAsia="Calibri"/>
          <w:color w:val="000000"/>
          <w:spacing w:val="0"/>
          <w:position w:val="0"/>
          <w:sz w:val="24"/>
          <w:shd w:fill="FFFF00" w:val="clear"/>
        </w:rPr>
        <w:t xml:space="preserve">for another 2 h</w:t>
      </w:r>
      <w:r>
        <w:rPr>
          <w:rFonts w:ascii="Calibri" w:hAnsi="Calibri" w:cs="Calibri" w:eastAsia="Calibri"/>
          <w:color w:val="auto"/>
          <w:spacing w:val="0"/>
          <w:position w:val="0"/>
          <w:sz w:val="24"/>
          <w:shd w:fill="FFFF00" w:val="clear"/>
        </w:rPr>
        <w:t xml:space="preserve"> at 37</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w:t>
      </w:r>
    </w:p>
    <w:p>
      <w:pPr>
        <w:spacing w:before="0" w:after="0" w:line="240"/>
        <w:ind w:right="0" w:left="0" w:firstLine="48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Subsequently, measure the absorbance of each well with a microplate reader </w:t>
      </w:r>
      <w:r>
        <w:rPr>
          <w:rFonts w:ascii="Calibri" w:hAnsi="Calibri" w:cs="Calibri" w:eastAsia="Calibri"/>
          <w:color w:val="auto"/>
          <w:spacing w:val="0"/>
          <w:position w:val="0"/>
          <w:sz w:val="24"/>
          <w:shd w:fill="FFFF00" w:val="clear"/>
        </w:rPr>
        <w:t xml:space="preserve">at a wavelength of 450 nm</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Cell apoptosis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propidium iodide (PI) and annexin V-FITC flow cytometry assay was used to analyze the apoptosis rate of tendon fibroblasts.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Seed the tendon fibroblasts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6-well plates in DMEM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Aspirate and discard DMEM from each well. Treat the cells with fresh DMEM containing </w:t>
      </w:r>
      <w:r>
        <w:rPr>
          <w:rFonts w:ascii="Calibri" w:hAnsi="Calibri" w:cs="Calibri" w:eastAsia="Calibri"/>
          <w:color w:val="000000"/>
          <w:spacing w:val="0"/>
          <w:position w:val="0"/>
          <w:sz w:val="24"/>
          <w:shd w:fill="FFFFFF" w:val="clear"/>
        </w:rPr>
        <w:t xml:space="preserve">HG (30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w:t>
      </w:r>
      <w:r>
        <w:rPr>
          <w:rFonts w:ascii="Calibri" w:hAnsi="Calibri" w:cs="Calibri" w:eastAsia="Calibri"/>
          <w:color w:val="auto"/>
          <w:spacing w:val="0"/>
          <w:position w:val="0"/>
          <w:sz w:val="24"/>
          <w:shd w:fill="FFFF00" w:val="clear"/>
        </w:rPr>
        <w:t xml:space="preserve"> in the presence or absence of </w:t>
      </w:r>
      <w:r>
        <w:rPr>
          <w:rFonts w:ascii="Calibri" w:hAnsi="Calibri" w:cs="Calibri" w:eastAsia="Calibri"/>
          <w:color w:val="000000"/>
          <w:spacing w:val="0"/>
          <w:position w:val="0"/>
          <w:sz w:val="24"/>
          <w:shd w:fill="FFFF00" w:val="clear"/>
        </w:rPr>
        <w:t xml:space="preserve">BBR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00" w:val="clear"/>
        </w:rPr>
        <w:t xml:space="preserve">(20 &amp;#181;M) for 24 h</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Detach the cells with 0.25% trypsin in 1x PBS, harvest the cells with PBS, and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Resuspend the cells in binding buffer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stain with 10 &amp;#181;L of FITC-conjugated annexin V and 5 &amp;#181;L of PI in the dark for 15 min at room temperature (RT).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Then, analyze the cells by a flow cytometer.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Quantitative real-time polymerase chain reaction (qRT-PCR)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Harvest the tendon fibroblasts and homogenize using an RNA extraction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according to the manufacturer’s recommendations.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Perform reverse transcriptional PCR with Moloney’s murine leukemia virus reverse transcriptase and Oligo (dT) primers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Carry out qRT-PCR using SYBR green qPCR Mix on real-time PCR System. The cycle conditions are denaturation at 95 &amp;#176;C for 10 min and 45 cycles at 95 &amp;#176;C for 20 s, 55 &amp;#176;C for 20 s, and 72 &amp;#176;C for 30 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details of the primers for IL-1&amp;#946;, IL-6 and IL-10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&amp;#946;-actin was used as the reference gene.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Calculate the relative expression level using the 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ΔΔCT </w:t>
      </w:r>
      <w:r>
        <w:rPr>
          <w:rFonts w:ascii="Calibri" w:hAnsi="Calibri" w:cs="Calibri" w:eastAsia="Calibri"/>
          <w:color w:val="auto"/>
          <w:spacing w:val="0"/>
          <w:position w:val="0"/>
          <w:sz w:val="24"/>
          <w:shd w:fill="FFFF00" w:val="clear"/>
        </w:rPr>
        <w:t xml:space="preserve">formula, as previously described</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Western blot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After treatment with </w:t>
      </w:r>
      <w:r>
        <w:rPr>
          <w:rFonts w:ascii="Calibri" w:hAnsi="Calibri" w:cs="Calibri" w:eastAsia="Calibri"/>
          <w:color w:val="000000"/>
          <w:spacing w:val="0"/>
          <w:position w:val="0"/>
          <w:sz w:val="24"/>
          <w:shd w:fill="FFFFFF" w:val="clear"/>
        </w:rPr>
        <w:t xml:space="preserve">HG (30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w:t>
      </w:r>
      <w:r>
        <w:rPr>
          <w:rFonts w:ascii="Calibri" w:hAnsi="Calibri" w:cs="Calibri" w:eastAsia="Calibri"/>
          <w:color w:val="auto"/>
          <w:spacing w:val="0"/>
          <w:position w:val="0"/>
          <w:sz w:val="24"/>
          <w:shd w:fill="FFFF00" w:val="clear"/>
        </w:rPr>
        <w:t xml:space="preserve"> in the presence or absence of </w:t>
      </w:r>
      <w:r>
        <w:rPr>
          <w:rFonts w:ascii="Calibri" w:hAnsi="Calibri" w:cs="Calibri" w:eastAsia="Calibri"/>
          <w:color w:val="000000"/>
          <w:spacing w:val="0"/>
          <w:position w:val="0"/>
          <w:sz w:val="24"/>
          <w:shd w:fill="FFFF00" w:val="clear"/>
        </w:rPr>
        <w:t xml:space="preserve">BBR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00" w:val="clear"/>
        </w:rPr>
        <w:t xml:space="preserve">(20 &amp;#181;M) for 24 h,</w:t>
      </w:r>
      <w:r>
        <w:rPr>
          <w:rFonts w:ascii="Calibri" w:hAnsi="Calibri" w:cs="Calibri" w:eastAsia="Calibri"/>
          <w:color w:val="auto"/>
          <w:spacing w:val="0"/>
          <w:position w:val="0"/>
          <w:sz w:val="24"/>
          <w:shd w:fill="FFFF00" w:val="clear"/>
        </w:rPr>
        <w:t xml:space="preserve"> lyse the tendon fibroblasts with RIPA buffer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quantify the total protein concentration using the bicinchoninic acid assay.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Separate equivalent amounts of proteins (50 &amp;#181;g) from each sample by 10% SDS-PAGE at RT and then transfer to polyvinylidene fluoride (PVDF) membranes at 4 &amp;#176;C for 2 h.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Block the membranes in 5% non-fat dried milk in TBST and then incubate overnight at 4 &amp;#176;C with the following primary antibodies: anti-LC3B (1:1500), anti-p62 (1:2000), and anti-&amp;#946;-actin (1:3500) antibody.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After being washed with TBST, incubate the membranes with goat anti-rabbit H&amp;amp;L HRP-conjugated secondary antibodies (1:5000) at RT for 1 h.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Use an ECL chemiluminescence kit to visualize the specific blots and quantify the autoradiograms by densitometry.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Immunohistochemical analysis (IHC)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7.1.</w:t>
        <w:tab/>
      </w:r>
      <w:r>
        <w:rPr>
          <w:rFonts w:ascii="Calibri" w:hAnsi="Calibri" w:cs="Calibri" w:eastAsia="Calibri"/>
          <w:color w:val="000000"/>
          <w:spacing w:val="0"/>
          <w:position w:val="0"/>
          <w:sz w:val="24"/>
          <w:shd w:fill="FFFFFF" w:val="clear"/>
        </w:rPr>
        <w:t xml:space="preserve">Cut the paraffin-embedded </w:t>
      </w:r>
      <w:r>
        <w:rPr>
          <w:rFonts w:ascii="Calibri" w:hAnsi="Calibri" w:cs="Calibri" w:eastAsia="Calibri"/>
          <w:color w:val="auto"/>
          <w:spacing w:val="0"/>
          <w:position w:val="0"/>
          <w:sz w:val="24"/>
          <w:shd w:fill="FFFF00" w:val="clear"/>
        </w:rPr>
        <w:t xml:space="preserve">foot tendon tissues into 6 &amp;#181;m-thick sections.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7.2.</w:t>
        <w:tab/>
      </w:r>
      <w:r>
        <w:rPr>
          <w:rFonts w:ascii="Calibri" w:hAnsi="Calibri" w:cs="Calibri" w:eastAsia="Calibri"/>
          <w:color w:val="auto"/>
          <w:spacing w:val="0"/>
          <w:position w:val="0"/>
          <w:sz w:val="24"/>
          <w:shd w:fill="FFFF00" w:val="clear"/>
        </w:rPr>
        <w:t xml:space="preserve">After fixing </w:t>
      </w:r>
      <w:r>
        <w:rPr>
          <w:rFonts w:ascii="Calibri" w:hAnsi="Calibri" w:cs="Calibri" w:eastAsia="Calibri"/>
          <w:color w:val="000000"/>
          <w:spacing w:val="0"/>
          <w:position w:val="0"/>
          <w:sz w:val="24"/>
          <w:shd w:fill="FFFFFF" w:val="clear"/>
        </w:rPr>
        <w:t xml:space="preserve">the sections in 4% formalin,</w:t>
      </w:r>
      <w:r>
        <w:rPr>
          <w:rFonts w:ascii="Calibri" w:hAnsi="Calibri" w:cs="Calibri" w:eastAsia="Calibri"/>
          <w:color w:val="auto"/>
          <w:spacing w:val="0"/>
          <w:position w:val="0"/>
          <w:sz w:val="24"/>
          <w:shd w:fill="FFFF00" w:val="clear"/>
        </w:rPr>
        <w:t xml:space="preserve"> incubate the sections with anti-LC3 antibody (1:200) overnight at 4 &amp;#176;C.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7.3.</w:t>
        <w:tab/>
      </w:r>
      <w:r>
        <w:rPr>
          <w:rFonts w:ascii="Calibri" w:hAnsi="Calibri" w:cs="Calibri" w:eastAsia="Calibri"/>
          <w:color w:val="auto"/>
          <w:spacing w:val="0"/>
          <w:position w:val="0"/>
          <w:sz w:val="24"/>
          <w:shd w:fill="FFFF00" w:val="clear"/>
        </w:rPr>
        <w:t xml:space="preserve">After washing three times using 10 mM PBS (pH7.4 with Tween 20), incubate all sections with goat anti-rabbit HRP-conjugated secondary antibody (1:1000) for 1 h at 37 &amp;#176;C and stain with </w:t>
      </w:r>
      <w:r>
        <w:rPr>
          <w:rFonts w:ascii="Calibri" w:hAnsi="Calibri" w:cs="Calibri" w:eastAsia="Calibri"/>
          <w:color w:val="000000"/>
          <w:spacing w:val="0"/>
          <w:position w:val="0"/>
          <w:sz w:val="24"/>
          <w:shd w:fill="FFFFFF" w:val="clear"/>
        </w:rPr>
        <w:t xml:space="preserve">DAB and hematoxylin for 60 min at RT</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7.4.</w:t>
        <w:tab/>
      </w:r>
      <w:r>
        <w:rPr>
          <w:rFonts w:ascii="Calibri" w:hAnsi="Calibri" w:cs="Calibri" w:eastAsia="Calibri"/>
          <w:color w:val="000000"/>
          <w:spacing w:val="0"/>
          <w:position w:val="0"/>
          <w:sz w:val="24"/>
          <w:shd w:fill="FFFFFF" w:val="clear"/>
        </w:rPr>
        <w:t xml:space="preserve">Image the stained slides at 20x magnification using an inverted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TUNEL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apoptosis in tendon tissue was analyzed using a TUNEL assay kit according to the manufacturer’s instructions.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000000"/>
          <w:spacing w:val="0"/>
          <w:position w:val="0"/>
          <w:sz w:val="24"/>
          <w:shd w:fill="FFFFFF" w:val="clear"/>
        </w:rPr>
        <w:t xml:space="preserve">Cut the paraffin-embedded </w:t>
      </w:r>
      <w:r>
        <w:rPr>
          <w:rFonts w:ascii="Calibri" w:hAnsi="Calibri" w:cs="Calibri" w:eastAsia="Calibri"/>
          <w:color w:val="auto"/>
          <w:spacing w:val="0"/>
          <w:position w:val="0"/>
          <w:sz w:val="24"/>
          <w:shd w:fill="auto" w:val="clear"/>
        </w:rPr>
        <w:t xml:space="preserve">foot tendon tissues into 6 &amp;#181;m-thick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De-paraffinize the sections in xylene and rehydrate them in a graded series of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After immersing with 3% hydrogen peroxide at RT, incubate the sections with TUNEL reaction mixture for 1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Counterstain the nuclei using DAPI. Observe the stained cells under a fluorescence microscope (20x) and determine the percentage of TUNEL-positive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Use appropriate software applications to perform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data are presented as the mean &amp;plusmn; standard deviation (SD) of three independent experiments. Statistical analyses were performed with SPSS 23.0. Student’s t-test was performed to compare differences between groups, and one-way analysis of variance (ANOVA) was performed for multiple group analyses. The difference was statistically significant when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pharmacological role of BBR in relieving diabetic tendon injury, cell apoptosis and autophagy activation in foot tendon tissues of DM rats were assessed in the presence or absence of BBR.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showed that the protein level of LC3 (an autophagy marker) was decreased in tendons tissues of DM rats compared with control rats, whereas BBR treatment significantly restored autophagy activation. In addition, cell apoptosis was elevated in tendons tissues of DM rats compared with normal tissues, whereas BBR significantly decreased cell apoptosis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These results demonstrate that BBR increases autophagy activation and decreases cell apoptosis in tendon tissues of DM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Then the role of BBR in regulating </w:t>
      </w:r>
      <w:r>
        <w:rPr>
          <w:rFonts w:ascii="Calibri" w:hAnsi="Calibri" w:cs="Calibri" w:eastAsia="Calibri"/>
          <w:color w:val="auto"/>
          <w:spacing w:val="0"/>
          <w:position w:val="0"/>
          <w:sz w:val="24"/>
          <w:shd w:fill="auto" w:val="clear"/>
        </w:rPr>
        <w:t xml:space="preserve">tendon fibroblasts viability and apoptosis was assessed</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showed that tendon fibroblast viability was decreased in a dose-dependent manner and that 30 mM of HG was suitable to induce tendon fibroblast damage. The protective role of BBR against tendon fibroblast in the presence of HG was next investigated.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pre-treatment of tendon fibroblasts with BBR contributed to an increase in cell viability in the presence of HG (30 mM) in a dose-dependent manner. </w:t>
      </w:r>
      <w:r>
        <w:rPr>
          <w:rFonts w:ascii="Calibri" w:hAnsi="Calibri" w:cs="Calibri" w:eastAsia="Calibri"/>
          <w:color w:val="000000"/>
          <w:spacing w:val="0"/>
          <w:position w:val="0"/>
          <w:sz w:val="24"/>
          <w:shd w:fill="auto" w:val="clear"/>
        </w:rPr>
        <w:t xml:space="preserve">BBR (</w:t>
      </w:r>
      <w:r>
        <w:rPr>
          <w:rFonts w:ascii="Calibri" w:hAnsi="Calibri" w:cs="Calibri" w:eastAsia="Calibri"/>
          <w:color w:val="auto"/>
          <w:spacing w:val="0"/>
          <w:position w:val="0"/>
          <w:sz w:val="24"/>
          <w:shd w:fill="auto" w:val="clear"/>
        </w:rPr>
        <w:t xml:space="preserve">20 &amp;#181;M)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used to treat tendon fibroblasts in the follow-up study. </w:t>
      </w:r>
      <w:r>
        <w:rPr>
          <w:rFonts w:ascii="Calibri" w:hAnsi="Calibri" w:cs="Calibri" w:eastAsia="Calibri"/>
          <w:color w:val="000000"/>
          <w:spacing w:val="0"/>
          <w:position w:val="0"/>
          <w:sz w:val="24"/>
          <w:shd w:fill="auto" w:val="clear"/>
        </w:rPr>
        <w:t xml:space="preserve">Furthermore, tendon </w:t>
      </w:r>
      <w:r>
        <w:rPr>
          <w:rFonts w:ascii="Calibri" w:hAnsi="Calibri" w:cs="Calibri" w:eastAsia="Calibri"/>
          <w:color w:val="auto"/>
          <w:spacing w:val="0"/>
          <w:position w:val="0"/>
          <w:sz w:val="24"/>
          <w:shd w:fill="auto" w:val="clear"/>
        </w:rPr>
        <w:t xml:space="preserve">fibroblast </w:t>
      </w:r>
      <w:r>
        <w:rPr>
          <w:rFonts w:ascii="Calibri" w:hAnsi="Calibri" w:cs="Calibri" w:eastAsia="Calibri"/>
          <w:color w:val="000000"/>
          <w:spacing w:val="0"/>
          <w:position w:val="0"/>
          <w:sz w:val="24"/>
          <w:shd w:fill="auto" w:val="clear"/>
        </w:rPr>
        <w:t xml:space="preserve">apoptosis was measured in the presence of HG or/and BBR using flow cytometry.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 revealed that the proportion of apoptotic cells was significantly increased after HG treatment, whereas BBR decreased HG-induced tendon </w:t>
      </w:r>
      <w:r>
        <w:rPr>
          <w:rFonts w:ascii="Calibri" w:hAnsi="Calibri" w:cs="Calibri" w:eastAsia="Calibri"/>
          <w:color w:val="auto"/>
          <w:spacing w:val="0"/>
          <w:position w:val="0"/>
          <w:sz w:val="24"/>
          <w:shd w:fill="auto" w:val="clear"/>
        </w:rPr>
        <w:t xml:space="preserve">fibroblast </w:t>
      </w:r>
      <w:r>
        <w:rPr>
          <w:rFonts w:ascii="Calibri" w:hAnsi="Calibri" w:cs="Calibri" w:eastAsia="Calibri"/>
          <w:color w:val="000000"/>
          <w:spacing w:val="0"/>
          <w:position w:val="0"/>
          <w:sz w:val="24"/>
          <w:shd w:fill="auto" w:val="clear"/>
        </w:rPr>
        <w:t xml:space="preserve">apoptosis.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inflammation is a characteristic of type 2 diabetes that is linked to diabetic complications and contributes to insulin resistance. Therefore, the inflammatory factors IL-1&amp;#946;, IL-6, and IL-10 in the HG-treated tendon </w:t>
      </w:r>
      <w:r>
        <w:rPr>
          <w:rFonts w:ascii="Calibri" w:hAnsi="Calibri" w:cs="Calibri" w:eastAsia="Calibri"/>
          <w:color w:val="auto"/>
          <w:spacing w:val="0"/>
          <w:position w:val="0"/>
          <w:sz w:val="24"/>
          <w:shd w:fill="auto" w:val="clear"/>
        </w:rPr>
        <w:t xml:space="preserve">fibroblasts</w:t>
      </w:r>
      <w:r>
        <w:rPr>
          <w:rFonts w:ascii="Calibri" w:hAnsi="Calibri" w:cs="Calibri" w:eastAsia="Calibri"/>
          <w:color w:val="000000"/>
          <w:spacing w:val="0"/>
          <w:position w:val="0"/>
          <w:sz w:val="24"/>
          <w:shd w:fill="auto" w:val="clear"/>
        </w:rPr>
        <w:t xml:space="preserve"> were measured to determine the effect of BBR on the inflammatory response. The results from qRT-PCR showed that the proinflammatory cytokines IL-1&amp;#946; and IL-6 were significantly increased. In contrast, anti-inflammatory cytokine IL-10 was decreased after HG treatment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indicating that HG triggered a proinflammatory response in tendon </w:t>
      </w:r>
      <w:r>
        <w:rPr>
          <w:rFonts w:ascii="Calibri" w:hAnsi="Calibri" w:cs="Calibri" w:eastAsia="Calibri"/>
          <w:color w:val="auto"/>
          <w:spacing w:val="0"/>
          <w:position w:val="0"/>
          <w:sz w:val="24"/>
          <w:shd w:fill="auto" w:val="clear"/>
        </w:rPr>
        <w:t xml:space="preserve">fibroblasts. More important, BBR treatment repressed HG-induced</w:t>
      </w:r>
      <w:r>
        <w:rPr>
          <w:rFonts w:ascii="Calibri" w:hAnsi="Calibri" w:cs="Calibri" w:eastAsia="Calibri"/>
          <w:color w:val="000000"/>
          <w:spacing w:val="0"/>
          <w:position w:val="0"/>
          <w:sz w:val="24"/>
          <w:shd w:fill="auto" w:val="clear"/>
        </w:rPr>
        <w:t xml:space="preserve"> proinflammatory response in </w:t>
      </w:r>
      <w:r>
        <w:rPr>
          <w:rFonts w:ascii="Calibri" w:hAnsi="Calibri" w:cs="Calibri" w:eastAsia="Calibri"/>
          <w:color w:val="auto"/>
          <w:spacing w:val="0"/>
          <w:position w:val="0"/>
          <w:sz w:val="24"/>
          <w:shd w:fill="auto" w:val="clear"/>
        </w:rPr>
        <w:t xml:space="preserve">tendon fibroblasts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role of BBR in regulating autophagy activation of tendon fibroblasts, tendon fibroblasts were treated with HG in the presence or absence of BBR, and then autophagy activation was assayed.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HG treatment decreased autophagy activation in tendon fibroblasts as evidenced by decreased LC3 green puncta, whereas BBR obviously restored the activation of autophagy in HG-treated tendon fibroblasts. Furthermore, the autophagy marker LC3-II and autophagy substrate p62 were assessed using western blot analysis.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showed that HG decreased LC3 </w:t>
      </w:r>
      <w:r>
        <w:rPr>
          <w:rFonts w:ascii="SimSun" w:hAnsi="SimSun" w:cs="SimSun" w:eastAsia="SimSun"/>
          <w:color w:val="auto"/>
          <w:spacing w:val="0"/>
          <w:position w:val="0"/>
          <w:sz w:val="24"/>
          <w:shd w:fill="auto" w:val="clear"/>
        </w:rPr>
        <w:t xml:space="preserve">Ⅱ</w:t>
      </w:r>
      <w:r>
        <w:rPr>
          <w:rFonts w:ascii="Calibri" w:hAnsi="Calibri" w:cs="Calibri" w:eastAsia="Calibri"/>
          <w:color w:val="auto"/>
          <w:spacing w:val="0"/>
          <w:position w:val="0"/>
          <w:sz w:val="24"/>
          <w:shd w:fill="auto" w:val="clear"/>
        </w:rPr>
        <w:t xml:space="preserve"> protein expression and enhanced p62 protein expression in tendon fibroblasts, indicating that HG inactivated autophagy of tendon fibroblasts. As expected, BBR restored autophagy activation in HG-treated tendon fibroblasts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whether autophagy-mediated the role of BBR in alleviating HG-induced injury of tendon fibroblasts was investigated. To this end, a specific inhibitor of autophagy, 3-MA, was used to inactivate autophagy in the presence of BBR, and then cell viability and proinflammatory cytokines were assessed.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pharmacological inhibition of autophagy increased tendon fibroblast apoptosis compared with BBR treatment alone. Similarly, 3-MA treatment resulted in a significantly decreased tendon fibroblast viability compared with BBR treatment alone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3-MA treatment also increased the level of proinflammatory cytokines compared with BBR treatment alone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Taken together, these data demonstrate that BBR relieves diabetic tendon injury by activating autophagy of tendon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BBR increased autophagy activation and decreased cell apoptosis in tendon tissues of DM rats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Immunohistochemical analysis of LC3 protein expression in foot tendon tissues of control rats (n = 5), DM rats (n = 5), and BBR-treated DM rats (n = 5). Scan bar = 50 &amp;#181;m.</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Magnification 20x.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apoptosis was analyzed using TUNEL staining in foot tendon tissues of control rats (n = 5), DM rats (n = 5), and BBR-treated DM rats (n = 5). Scan bar = 20 &amp;#181;m.  Magnification 20x.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BBR decreased HG-induced apoptosis of tendon fibroblasts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Tendon </w:t>
      </w:r>
      <w:r>
        <w:rPr>
          <w:rFonts w:ascii="Calibri" w:hAnsi="Calibri" w:cs="Calibri" w:eastAsia="Calibri"/>
          <w:color w:val="auto"/>
          <w:spacing w:val="0"/>
          <w:position w:val="0"/>
          <w:sz w:val="24"/>
          <w:shd w:fill="auto" w:val="clear"/>
        </w:rPr>
        <w:t xml:space="preserve">fibroblast </w:t>
      </w:r>
      <w:r>
        <w:rPr>
          <w:rFonts w:ascii="Calibri" w:hAnsi="Calibri" w:cs="Calibri" w:eastAsia="Calibri"/>
          <w:color w:val="000000"/>
          <w:spacing w:val="0"/>
          <w:position w:val="0"/>
          <w:sz w:val="24"/>
          <w:shd w:fill="auto" w:val="clear"/>
        </w:rPr>
        <w:t xml:space="preserve">viability was assessed using CCK-8 assay after treatment with different doses of HG (0, 5, 10, 20, 30, 50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Tendon </w:t>
      </w:r>
      <w:r>
        <w:rPr>
          <w:rFonts w:ascii="Calibri" w:hAnsi="Calibri" w:cs="Calibri" w:eastAsia="Calibri"/>
          <w:color w:val="auto"/>
          <w:spacing w:val="0"/>
          <w:position w:val="0"/>
          <w:sz w:val="24"/>
          <w:shd w:fill="auto" w:val="clear"/>
        </w:rPr>
        <w:t xml:space="preserve">fibroblast </w:t>
      </w:r>
      <w:r>
        <w:rPr>
          <w:rFonts w:ascii="Calibri" w:hAnsi="Calibri" w:cs="Calibri" w:eastAsia="Calibri"/>
          <w:color w:val="000000"/>
          <w:spacing w:val="0"/>
          <w:position w:val="0"/>
          <w:sz w:val="24"/>
          <w:shd w:fill="auto" w:val="clear"/>
        </w:rPr>
        <w:t xml:space="preserve">viability was assessed using CCK-8 assay after treatment with 30 mM of HG in the presence of BBR (0, 5, 10, 20, 40, and 80 &amp;#181;M).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Cell a</w:t>
      </w:r>
      <w:r>
        <w:rPr>
          <w:rFonts w:ascii="Calibri" w:hAnsi="Calibri" w:cs="Calibri" w:eastAsia="Calibri"/>
          <w:color w:val="000000"/>
          <w:spacing w:val="0"/>
          <w:position w:val="0"/>
          <w:sz w:val="24"/>
          <w:shd w:fill="auto" w:val="clear"/>
        </w:rPr>
        <w:t xml:space="preserve">poptosis of tendon </w:t>
      </w:r>
      <w:r>
        <w:rPr>
          <w:rFonts w:ascii="Calibri" w:hAnsi="Calibri" w:cs="Calibri" w:eastAsia="Calibri"/>
          <w:color w:val="auto"/>
          <w:spacing w:val="0"/>
          <w:position w:val="0"/>
          <w:sz w:val="24"/>
          <w:shd w:fill="auto" w:val="clear"/>
        </w:rPr>
        <w:t xml:space="preserve">fibroblast</w:t>
      </w:r>
      <w:r>
        <w:rPr>
          <w:rFonts w:ascii="Calibri" w:hAnsi="Calibri" w:cs="Calibri" w:eastAsia="Calibri"/>
          <w:color w:val="000000"/>
          <w:spacing w:val="0"/>
          <w:position w:val="0"/>
          <w:sz w:val="24"/>
          <w:shd w:fill="auto" w:val="clear"/>
        </w:rPr>
        <w:t xml:space="preserve">s was assessed using flow cytometry after treatment with HG (30 mM) in the presence or absence of BBR (20 &amp;#181;M).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BBR </w:t>
      </w:r>
      <w:r>
        <w:rPr>
          <w:rFonts w:ascii="Calibri" w:hAnsi="Calibri" w:cs="Calibri" w:eastAsia="Calibri"/>
          <w:b/>
          <w:color w:val="000000"/>
          <w:spacing w:val="0"/>
          <w:position w:val="0"/>
          <w:sz w:val="24"/>
          <w:shd w:fill="auto" w:val="clear"/>
        </w:rPr>
        <w:t xml:space="preserve">alleviated </w:t>
      </w:r>
      <w:r>
        <w:rPr>
          <w:rFonts w:ascii="Calibri" w:hAnsi="Calibri" w:cs="Calibri" w:eastAsia="Calibri"/>
          <w:b/>
          <w:color w:val="auto"/>
          <w:spacing w:val="0"/>
          <w:position w:val="0"/>
          <w:sz w:val="24"/>
          <w:shd w:fill="auto" w:val="clear"/>
        </w:rPr>
        <w:t xml:space="preserve">HG-induced</w:t>
      </w:r>
      <w:r>
        <w:rPr>
          <w:rFonts w:ascii="Calibri" w:hAnsi="Calibri" w:cs="Calibri" w:eastAsia="Calibri"/>
          <w:b/>
          <w:color w:val="000000"/>
          <w:spacing w:val="0"/>
          <w:position w:val="0"/>
          <w:sz w:val="24"/>
          <w:shd w:fill="auto" w:val="clear"/>
        </w:rPr>
        <w:t xml:space="preserve"> inflammatory response in </w:t>
      </w:r>
      <w:r>
        <w:rPr>
          <w:rFonts w:ascii="Calibri" w:hAnsi="Calibri" w:cs="Calibri" w:eastAsia="Calibri"/>
          <w:b/>
          <w:color w:val="auto"/>
          <w:spacing w:val="0"/>
          <w:position w:val="0"/>
          <w:sz w:val="24"/>
          <w:shd w:fill="auto" w:val="clear"/>
        </w:rPr>
        <w:t xml:space="preserve">tendon fibroblasts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mRNA levels of the inflammatory factors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IL-1&amp;#946;,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IL-6,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IL-10 in tendon </w:t>
      </w:r>
      <w:r>
        <w:rPr>
          <w:rFonts w:ascii="Calibri" w:hAnsi="Calibri" w:cs="Calibri" w:eastAsia="Calibri"/>
          <w:color w:val="auto"/>
          <w:spacing w:val="0"/>
          <w:position w:val="0"/>
          <w:sz w:val="24"/>
          <w:shd w:fill="auto" w:val="clear"/>
        </w:rPr>
        <w:t xml:space="preserve">fibroblast</w:t>
      </w:r>
      <w:r>
        <w:rPr>
          <w:rFonts w:ascii="Calibri" w:hAnsi="Calibri" w:cs="Calibri" w:eastAsia="Calibri"/>
          <w:color w:val="000000"/>
          <w:spacing w:val="0"/>
          <w:position w:val="0"/>
          <w:sz w:val="24"/>
          <w:shd w:fill="auto" w:val="clear"/>
        </w:rPr>
        <w:t xml:space="preserve">s were measured by qRT-PCR after treatment with HG (30 mM) in the presence or absence of BBR (20 &amp;#181;M).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BBR restored autophagy activation in HG-treated tendon fibroblasts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LC3 level was assessed by immunofluorescence analysis in tendon fibroblasts </w:t>
      </w:r>
      <w:r>
        <w:rPr>
          <w:rFonts w:ascii="Calibri" w:hAnsi="Calibri" w:cs="Calibri" w:eastAsia="Calibri"/>
          <w:color w:val="000000"/>
          <w:spacing w:val="0"/>
          <w:position w:val="0"/>
          <w:sz w:val="24"/>
          <w:shd w:fill="auto" w:val="clear"/>
        </w:rPr>
        <w:t xml:space="preserve">after treatment with HG (30 mM) in the presence or absence of BBR (20 &amp;#181;M)</w:t>
      </w:r>
      <w:r>
        <w:rPr>
          <w:rFonts w:ascii="Calibri" w:hAnsi="Calibri" w:cs="Calibri" w:eastAsia="Calibri"/>
          <w:color w:val="auto"/>
          <w:spacing w:val="0"/>
          <w:position w:val="0"/>
          <w:sz w:val="24"/>
          <w:shd w:fill="auto" w:val="clear"/>
        </w:rPr>
        <w:t xml:space="preserve">.  Scan bar = 10 nm. Magnification 60x.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analysis for the protein levels of LC3 and P62 in tendon fibroblasts </w:t>
      </w:r>
      <w:r>
        <w:rPr>
          <w:rFonts w:ascii="Calibri" w:hAnsi="Calibri" w:cs="Calibri" w:eastAsia="Calibri"/>
          <w:color w:val="000000"/>
          <w:spacing w:val="0"/>
          <w:position w:val="0"/>
          <w:sz w:val="24"/>
          <w:shd w:fill="auto" w:val="clear"/>
        </w:rPr>
        <w:t xml:space="preserve">after treatment with HG (30 mM) in the presence or absence of BBR (20 &amp;#181;M).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1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BBR alleviated HG-induced injury of tendon fibroblasts by activating autophagy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a</w:t>
      </w:r>
      <w:r>
        <w:rPr>
          <w:rFonts w:ascii="Calibri" w:hAnsi="Calibri" w:cs="Calibri" w:eastAsia="Calibri"/>
          <w:color w:val="000000"/>
          <w:spacing w:val="0"/>
          <w:position w:val="0"/>
          <w:sz w:val="24"/>
          <w:shd w:fill="auto" w:val="clear"/>
        </w:rPr>
        <w:t xml:space="preserve">poptosis of tendon </w:t>
      </w:r>
      <w:r>
        <w:rPr>
          <w:rFonts w:ascii="Calibri" w:hAnsi="Calibri" w:cs="Calibri" w:eastAsia="Calibri"/>
          <w:color w:val="auto"/>
          <w:spacing w:val="0"/>
          <w:position w:val="0"/>
          <w:sz w:val="24"/>
          <w:shd w:fill="auto" w:val="clear"/>
        </w:rPr>
        <w:t xml:space="preserve">fibroblast</w:t>
      </w:r>
      <w:r>
        <w:rPr>
          <w:rFonts w:ascii="Calibri" w:hAnsi="Calibri" w:cs="Calibri" w:eastAsia="Calibri"/>
          <w:color w:val="000000"/>
          <w:spacing w:val="0"/>
          <w:position w:val="0"/>
          <w:sz w:val="24"/>
          <w:shd w:fill="auto" w:val="clear"/>
        </w:rPr>
        <w:t xml:space="preserve">s was assessed using flow cytometry after treatment with BBR (20 &amp;#181;M) alone or BBR plus 3-MA (5 Mm) in the presence of HG (30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Tendon </w:t>
      </w:r>
      <w:r>
        <w:rPr>
          <w:rFonts w:ascii="Calibri" w:hAnsi="Calibri" w:cs="Calibri" w:eastAsia="Calibri"/>
          <w:color w:val="auto"/>
          <w:spacing w:val="0"/>
          <w:position w:val="0"/>
          <w:sz w:val="24"/>
          <w:shd w:fill="auto" w:val="clear"/>
        </w:rPr>
        <w:t xml:space="preserve">fibroblast </w:t>
      </w:r>
      <w:r>
        <w:rPr>
          <w:rFonts w:ascii="Calibri" w:hAnsi="Calibri" w:cs="Calibri" w:eastAsia="Calibri"/>
          <w:color w:val="000000"/>
          <w:spacing w:val="0"/>
          <w:position w:val="0"/>
          <w:sz w:val="24"/>
          <w:shd w:fill="auto" w:val="clear"/>
        </w:rPr>
        <w:t xml:space="preserve">viability was assessed using CCK-8 assay after treatment with BBR (20 &amp;#181;M) alone or BBR plus 3-MA (5 Mm) in the presence of HG (30 mM).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qPCR analysis of the IL-1&amp;#946; and IL-6 mRNA level in tendon </w:t>
      </w:r>
      <w:r>
        <w:rPr>
          <w:rFonts w:ascii="Calibri" w:hAnsi="Calibri" w:cs="Calibri" w:eastAsia="Calibri"/>
          <w:color w:val="auto"/>
          <w:spacing w:val="0"/>
          <w:position w:val="0"/>
          <w:sz w:val="24"/>
          <w:shd w:fill="auto" w:val="clear"/>
        </w:rPr>
        <w:t xml:space="preserve">fibroblasts </w:t>
      </w:r>
      <w:r>
        <w:rPr>
          <w:rFonts w:ascii="Calibri" w:hAnsi="Calibri" w:cs="Calibri" w:eastAsia="Calibri"/>
          <w:color w:val="000000"/>
          <w:spacing w:val="0"/>
          <w:position w:val="0"/>
          <w:sz w:val="24"/>
          <w:shd w:fill="auto" w:val="clear"/>
        </w:rPr>
        <w:t xml:space="preserve">after treatment with BBR (20 &amp;#181;M) alone or BBR plus 3-MA (5 Mm) in the presence of HG (30 mM). **</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Tendon injury is a common complication in patients with DM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Tendon fibroblasts play an important role in the wound healing process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current study verified that i) BBR increased autophagy activation and decreased cell apoptosis in tendon tissues of DM rats, ii) BBR decreased HG-induced apoptosis of tendon fibroblasts, iii) BBR alleviated HG-induced inflammatory response in tendon fibroblasts, iv) BBR restored autophagy activation in HG-treated tendon fibroblasts, v) BBR alleviated HG-induced injury of tendon fibroblasts by activating autophagy. The current results revealed the important role of BBR in regulating tendon fibroblasts autophagy in tendon injury and might provide a novel opportunity for the treatment of diabetic tendon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study, a rat model of T2DM was used to investigate the protective role of BBR against tendon injury.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T2DM</w:t>
      </w:r>
      <w:r>
        <w:rPr>
          <w:rFonts w:ascii="Calibri" w:hAnsi="Calibri" w:cs="Calibri" w:eastAsia="Calibri"/>
          <w:color w:val="000000"/>
          <w:spacing w:val="0"/>
          <w:position w:val="0"/>
          <w:sz w:val="24"/>
          <w:shd w:fill="FFFFFF" w:val="clear"/>
        </w:rPr>
        <w:t xml:space="preserve"> model </w:t>
      </w:r>
      <w:r>
        <w:rPr>
          <w:rFonts w:ascii="Calibri" w:hAnsi="Calibri" w:cs="Calibri" w:eastAsia="Calibri"/>
          <w:color w:val="000000"/>
          <w:spacing w:val="0"/>
          <w:position w:val="0"/>
          <w:sz w:val="24"/>
          <w:shd w:fill="auto" w:val="clear"/>
        </w:rPr>
        <w:t xml:space="preserve">was</w:t>
      </w:r>
      <w:r>
        <w:rPr>
          <w:rFonts w:ascii="Calibri" w:hAnsi="Calibri" w:cs="Calibri" w:eastAsia="Calibri"/>
          <w:color w:val="000000"/>
          <w:spacing w:val="0"/>
          <w:position w:val="0"/>
          <w:sz w:val="24"/>
          <w:shd w:fill="FFFFFF" w:val="clear"/>
        </w:rPr>
        <w:t xml:space="preserve"> successfully established through a single intravenous injection of STZ at a dose of 30 mg/kg as previously described</w:t>
      </w:r>
      <w:r>
        <w:rPr>
          <w:rFonts w:ascii="Calibri" w:hAnsi="Calibri" w:cs="Calibri" w:eastAsia="Calibri"/>
          <w:color w:val="000000"/>
          <w:spacing w:val="0"/>
          <w:position w:val="0"/>
          <w:sz w:val="24"/>
          <w:shd w:fill="FFFFFF" w:val="clear"/>
          <w:vertAlign w:val="superscript"/>
        </w:rPr>
        <w:t xml:space="preserve">23,30</w:t>
      </w:r>
      <w:r>
        <w:rPr>
          <w:rFonts w:ascii="Calibri" w:hAnsi="Calibri" w:cs="Calibri" w:eastAsia="Calibri"/>
          <w:color w:val="000000"/>
          <w:spacing w:val="0"/>
          <w:position w:val="0"/>
          <w:sz w:val="24"/>
          <w:shd w:fill="FFFFFF" w:val="clear"/>
        </w:rPr>
        <w:t xml:space="preserve">. This is a critical step in evaluating the effect of </w:t>
      </w:r>
      <w:r>
        <w:rPr>
          <w:rFonts w:ascii="Calibri" w:hAnsi="Calibri" w:cs="Calibri" w:eastAsia="Calibri"/>
          <w:color w:val="auto"/>
          <w:spacing w:val="0"/>
          <w:position w:val="0"/>
          <w:sz w:val="24"/>
          <w:shd w:fill="auto" w:val="clear"/>
        </w:rPr>
        <w:t xml:space="preserve">BBR on alleviating tendon injury. In order to verify the model, blood glucose was assayed, and rats with the indicated blood glucose level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mmol/L, continuously for 10 days) were used for subsequent study. There was a small modification in constructing T2DM model. Here </w:t>
      </w:r>
      <w:r>
        <w:rPr>
          <w:rFonts w:ascii="Calibri" w:hAnsi="Calibri" w:cs="Calibri" w:eastAsia="Calibri"/>
          <w:color w:val="000000"/>
          <w:spacing w:val="0"/>
          <w:position w:val="0"/>
          <w:sz w:val="24"/>
          <w:shd w:fill="FFFFFF" w:val="clear"/>
        </w:rPr>
        <w:t xml:space="preserve">30 mg/kg of STZ, instead of 40 mg/kg, were applied to treat rats. Although the </w:t>
      </w:r>
      <w:r>
        <w:rPr>
          <w:rFonts w:ascii="Calibri" w:hAnsi="Calibri" w:cs="Calibri" w:eastAsia="Calibri"/>
          <w:color w:val="auto"/>
          <w:spacing w:val="0"/>
          <w:position w:val="0"/>
          <w:sz w:val="24"/>
          <w:shd w:fill="auto" w:val="clear"/>
        </w:rPr>
        <w:t xml:space="preserve">rat model of T2DM has been widely used in the experimental study,</w:t>
      </w:r>
      <w:r>
        <w:rPr>
          <w:rFonts w:ascii="Calibri" w:hAnsi="Calibri" w:cs="Calibri" w:eastAsia="Calibri"/>
          <w:color w:val="000000"/>
          <w:spacing w:val="0"/>
          <w:position w:val="0"/>
          <w:sz w:val="24"/>
          <w:shd w:fill="FFFFFF" w:val="clear"/>
        </w:rPr>
        <w:t xml:space="preserve"> few studies have applied the model in </w:t>
      </w:r>
      <w:r>
        <w:rPr>
          <w:rFonts w:ascii="Calibri" w:hAnsi="Calibri" w:cs="Calibri" w:eastAsia="Calibri"/>
          <w:color w:val="auto"/>
          <w:spacing w:val="0"/>
          <w:position w:val="0"/>
          <w:sz w:val="24"/>
          <w:shd w:fill="auto" w:val="clear"/>
        </w:rPr>
        <w:t xml:space="preserve">tendon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Previous studies have shown that chronic low</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grade inflammation (CLGI) is related to the </w:t>
      </w:r>
      <w:r>
        <w:rPr>
          <w:rFonts w:ascii="Calibri" w:hAnsi="Calibri" w:cs="Calibri" w:eastAsia="Calibri"/>
          <w:color w:val="000000"/>
          <w:spacing w:val="0"/>
          <w:position w:val="0"/>
          <w:sz w:val="24"/>
          <w:shd w:fill="auto" w:val="clear"/>
        </w:rPr>
        <w:t xml:space="preserve">development of</w:t>
      </w:r>
      <w:r>
        <w:rPr>
          <w:rFonts w:ascii="Calibri" w:hAnsi="Calibri" w:cs="Calibri" w:eastAsia="Calibri"/>
          <w:color w:val="000000"/>
          <w:spacing w:val="0"/>
          <w:position w:val="0"/>
          <w:sz w:val="24"/>
          <w:shd w:fill="FFFFFF" w:val="clear"/>
        </w:rPr>
        <w:t xml:space="preserve"> T2DM and contributes to insulin resistance. Notably, CLGI is an essential factor </w:t>
      </w:r>
      <w:r>
        <w:rPr>
          <w:rFonts w:ascii="Calibri" w:hAnsi="Calibri" w:cs="Calibri" w:eastAsia="Calibri"/>
          <w:color w:val="000000"/>
          <w:spacing w:val="0"/>
          <w:position w:val="0"/>
          <w:sz w:val="24"/>
          <w:shd w:fill="auto" w:val="clear"/>
        </w:rPr>
        <w:t xml:space="preserve">that contributes to a variety</w:t>
      </w:r>
      <w:r>
        <w:rPr>
          <w:rFonts w:ascii="Calibri" w:hAnsi="Calibri" w:cs="Calibri" w:eastAsia="Calibri"/>
          <w:color w:val="000000"/>
          <w:spacing w:val="0"/>
          <w:position w:val="0"/>
          <w:sz w:val="24"/>
          <w:shd w:fill="FFFFFF" w:val="clear"/>
        </w:rPr>
        <w:t xml:space="preserve"> of diabetic complications, such as diabetic foot disease, cardiovascular damage, kidney disease, retinopathy, and chronic wounds. A previous study demonstrated that tendon homeostasis was modified by HG, which repressed the expression of downstream genes of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FFFFFF" w:val="clear"/>
        </w:rPr>
        <w:t xml:space="preserve">AMPK/Egr1 pathway in tendons</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Autophagy is an effective regulator of innate immune responses, and that autophagy could repress the activation of inflammasomes and production of proinflammatory cytokines</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 Hudgens et al. demonstrated that platelet-rich plasma triggers a proinflammatory response in tendon fibroblasts, which results in activation of oxidative stress pathways</w:t>
      </w:r>
      <w:r>
        <w:rPr>
          <w:rFonts w:ascii="Calibri" w:hAnsi="Calibri" w:cs="Calibri" w:eastAsia="Calibri"/>
          <w:color w:val="000000"/>
          <w:spacing w:val="0"/>
          <w:position w:val="0"/>
          <w:sz w:val="24"/>
          <w:shd w:fill="FFFFFF" w:val="clear"/>
          <w:vertAlign w:val="superscript"/>
        </w:rPr>
        <w:t xml:space="preserve">33</w:t>
      </w:r>
      <w:r>
        <w:rPr>
          <w:rFonts w:ascii="Calibri" w:hAnsi="Calibri" w:cs="Calibri" w:eastAsia="Calibri"/>
          <w:color w:val="000000"/>
          <w:spacing w:val="0"/>
          <w:position w:val="0"/>
          <w:sz w:val="24"/>
          <w:shd w:fill="FFFFFF" w:val="clear"/>
        </w:rPr>
        <w:t xml:space="preserve">.  The current study further demonstrated that HG treatment induces a proinflammatory response in tendon fibroblasts, whereas BBR decreases HG-induced secretion of proinflammatory cytokines. More important, BBR represses proinflammatory response in tendon fibroblasts by activating autophagy. Moreover, BBR also represses HG-induced apoptosis of tendon fibroblasts by activating autophagy.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BBR has been </w:t>
      </w:r>
      <w:r>
        <w:rPr>
          <w:rFonts w:ascii="Calibri" w:hAnsi="Calibri" w:cs="Calibri" w:eastAsia="Calibri"/>
          <w:color w:val="000000"/>
          <w:spacing w:val="0"/>
          <w:position w:val="0"/>
          <w:sz w:val="24"/>
          <w:shd w:fill="auto" w:val="clear"/>
        </w:rPr>
        <w:t xml:space="preserve">widely</w:t>
      </w:r>
      <w:r>
        <w:rPr>
          <w:rFonts w:ascii="Calibri" w:hAnsi="Calibri" w:cs="Calibri" w:eastAsia="Calibri"/>
          <w:color w:val="000000"/>
          <w:spacing w:val="0"/>
          <w:position w:val="0"/>
          <w:sz w:val="24"/>
          <w:shd w:fill="FFFFFF" w:val="clear"/>
        </w:rPr>
        <w:t xml:space="preserve"> used in the clinical treatment of metabolic diseases to improve insulin resistance and reduce glucose and </w:t>
      </w:r>
      <w:r>
        <w:rPr>
          <w:rFonts w:ascii="Calibri" w:hAnsi="Calibri" w:cs="Calibri" w:eastAsia="Calibri"/>
          <w:color w:val="000000"/>
          <w:spacing w:val="0"/>
          <w:position w:val="0"/>
          <w:sz w:val="24"/>
          <w:shd w:fill="auto" w:val="clear"/>
        </w:rPr>
        <w:t xml:space="preserve">lipids</w:t>
      </w:r>
      <w:r>
        <w:rPr>
          <w:rFonts w:ascii="Calibri" w:hAnsi="Calibri" w:cs="Calibri" w:eastAsia="Calibri"/>
          <w:color w:val="000000"/>
          <w:spacing w:val="0"/>
          <w:position w:val="0"/>
          <w:sz w:val="24"/>
          <w:shd w:fill="FFFFFF" w:val="clear"/>
        </w:rPr>
        <w:t xml:space="preserve"> and as adjuvant therapy for hypertension, hyperlipidemia, diabetes, obesity, fatty liver, and other conditions. For example, BBR could decrease retinal </w:t>
      </w:r>
      <w:r>
        <w:rPr>
          <w:rFonts w:ascii="Calibri" w:hAnsi="Calibri" w:cs="Calibri" w:eastAsia="Calibri"/>
          <w:color w:val="000000"/>
          <w:spacing w:val="0"/>
          <w:position w:val="0"/>
          <w:sz w:val="24"/>
          <w:shd w:fill="auto" w:val="clear"/>
        </w:rPr>
        <w:t xml:space="preserve">M&amp;#252;ller cell apoptosis in the presence of HG</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In diabetic heart disease, BBR administration can improve cardiac fibrosis and dysfunction by restraining IGF-1R, collagen I, and &amp;#945;-SMA levels in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FFFFFF" w:val="clear"/>
        </w:rPr>
        <w:t xml:space="preserve">heart</w:t>
      </w:r>
      <w:r>
        <w:rPr>
          <w:rFonts w:ascii="Calibri" w:hAnsi="Calibri" w:cs="Calibri" w:eastAsia="Calibri"/>
          <w:color w:val="000000"/>
          <w:spacing w:val="0"/>
          <w:position w:val="0"/>
          <w:sz w:val="24"/>
          <w:shd w:fill="FFFFFF" w:val="clear"/>
          <w:vertAlign w:val="superscript"/>
        </w:rPr>
        <w:t xml:space="preserve">35</w:t>
      </w:r>
      <w:r>
        <w:rPr>
          <w:rFonts w:ascii="Calibri" w:hAnsi="Calibri" w:cs="Calibri" w:eastAsia="Calibri"/>
          <w:color w:val="000000"/>
          <w:spacing w:val="0"/>
          <w:position w:val="0"/>
          <w:sz w:val="24"/>
          <w:shd w:fill="FFFFFF" w:val="clear"/>
        </w:rPr>
        <w:t xml:space="preserve">. In diabetic peripheral neuropathy, BBR reduces HG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induced neuroinflammation and neuronal injury by suppressing ROS generation and proinflammatory factor production</w:t>
      </w:r>
      <w:r>
        <w:rPr>
          <w:rFonts w:ascii="Calibri" w:hAnsi="Calibri" w:cs="Calibri" w:eastAsia="Calibri"/>
          <w:color w:val="000000"/>
          <w:spacing w:val="0"/>
          <w:position w:val="0"/>
          <w:sz w:val="24"/>
          <w:shd w:fill="FFFFFF" w:val="clear"/>
          <w:vertAlign w:val="superscript"/>
        </w:rPr>
        <w:t xml:space="preserve">36,37</w:t>
      </w:r>
      <w:r>
        <w:rPr>
          <w:rFonts w:ascii="Calibri" w:hAnsi="Calibri" w:cs="Calibri" w:eastAsia="Calibri"/>
          <w:color w:val="000000"/>
          <w:spacing w:val="0"/>
          <w:position w:val="0"/>
          <w:sz w:val="24"/>
          <w:shd w:fill="FFFFFF" w:val="clear"/>
        </w:rPr>
        <w:t xml:space="preserve">. BBR also regulates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FFFFFF" w:val="clear"/>
        </w:rPr>
        <w:t xml:space="preserve">inflammatory response and inhibits glomerular cell apoptosis, thus delaying the development of diabetic nephropathy</w:t>
      </w:r>
      <w:r>
        <w:rPr>
          <w:rFonts w:ascii="Calibri" w:hAnsi="Calibri" w:cs="Calibri" w:eastAsia="Calibri"/>
          <w:color w:val="000000"/>
          <w:spacing w:val="0"/>
          <w:position w:val="0"/>
          <w:sz w:val="24"/>
          <w:shd w:fill="FFFFFF" w:val="clear"/>
          <w:vertAlign w:val="superscript"/>
        </w:rPr>
        <w:t xml:space="preserve">38</w:t>
      </w:r>
      <w:r>
        <w:rPr>
          <w:rFonts w:ascii="Calibri" w:hAnsi="Calibri" w:cs="Calibri" w:eastAsia="Calibri"/>
          <w:color w:val="000000"/>
          <w:spacing w:val="0"/>
          <w:position w:val="0"/>
          <w:sz w:val="24"/>
          <w:shd w:fill="FFFFFF" w:val="clear"/>
        </w:rPr>
        <w:t xml:space="preserve">. In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000000"/>
          <w:spacing w:val="0"/>
          <w:position w:val="0"/>
          <w:sz w:val="24"/>
          <w:shd w:fill="FFFFFF" w:val="clear"/>
        </w:rPr>
        <w:t xml:space="preserve"> present study, the data demonstrated that BBR attenuated HG-induced tendon injury, and the protective effect of BBR was mediated by activating the autophagy of </w:t>
      </w:r>
      <w:r>
        <w:rPr>
          <w:rFonts w:ascii="Calibri" w:hAnsi="Calibri" w:cs="Calibri" w:eastAsia="Calibri"/>
          <w:color w:val="000000"/>
          <w:spacing w:val="0"/>
          <w:position w:val="0"/>
          <w:sz w:val="24"/>
          <w:shd w:fill="auto" w:val="clear"/>
        </w:rPr>
        <w:t xml:space="preserve">tendon fibroblasts</w:t>
      </w:r>
      <w:r>
        <w:rPr>
          <w:rFonts w:ascii="Calibri" w:hAnsi="Calibri" w:cs="Calibri" w:eastAsia="Calibri"/>
          <w:color w:val="000000"/>
          <w:spacing w:val="0"/>
          <w:position w:val="0"/>
          <w:sz w:val="24"/>
          <w:shd w:fill="FFFFFF" w:val="clear"/>
        </w:rPr>
        <w:t xml:space="preserve">. Although BBR possesses good therapeutic roles in many disorders, its clinical application is limited by poor absorption through oral administration or severe side effects (</w:t>
      </w:r>
      <w:r>
        <w:rPr>
          <w:rFonts w:ascii="Calibri" w:hAnsi="Calibri" w:cs="Calibri" w:eastAsia="Calibri"/>
          <w:color w:val="000000"/>
          <w:spacing w:val="0"/>
          <w:position w:val="0"/>
          <w:sz w:val="24"/>
          <w:shd w:fill="auto" w:val="clear"/>
        </w:rPr>
        <w:t xml:space="preserve">blood pressure reduction</w:t>
      </w:r>
      <w:r>
        <w:rPr>
          <w:rFonts w:ascii="Calibri" w:hAnsi="Calibri" w:cs="Calibri" w:eastAsia="Calibri"/>
          <w:color w:val="000000"/>
          <w:spacing w:val="0"/>
          <w:position w:val="0"/>
          <w:sz w:val="24"/>
          <w:shd w:fill="FFFFFF" w:val="clear"/>
        </w:rPr>
        <w:t xml:space="preserve"> and </w:t>
      </w:r>
      <w:r>
        <w:rPr>
          <w:rFonts w:ascii="Calibri" w:hAnsi="Calibri" w:cs="Calibri" w:eastAsia="Calibri"/>
          <w:color w:val="auto"/>
          <w:spacing w:val="0"/>
          <w:position w:val="0"/>
          <w:sz w:val="24"/>
          <w:shd w:fill="auto" w:val="clear"/>
        </w:rPr>
        <w:t xml:space="preserve">respiration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ceased</w:t>
      </w:r>
      <w:r>
        <w:rPr>
          <w:rFonts w:ascii="Calibri" w:hAnsi="Calibri" w:cs="Calibri" w:eastAsia="Calibri"/>
          <w:color w:val="000000"/>
          <w:spacing w:val="0"/>
          <w:position w:val="0"/>
          <w:sz w:val="24"/>
          <w:shd w:fill="FFFFFF" w:val="clear"/>
        </w:rPr>
        <w:t xml:space="preserve">) through intravenous administration</w:t>
      </w:r>
      <w:r>
        <w:rPr>
          <w:rFonts w:ascii="Calibri" w:hAnsi="Calibri" w:cs="Calibri" w:eastAsia="Calibri"/>
          <w:color w:val="000000"/>
          <w:spacing w:val="0"/>
          <w:position w:val="0"/>
          <w:sz w:val="24"/>
          <w:shd w:fill="FFFFFF" w:val="clear"/>
          <w:vertAlign w:val="superscript"/>
        </w:rPr>
        <w:t xml:space="preserve">39,40</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relevant to the content of this article.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Shanghai three-year Action Plan Project for Further Accelerating the Development of Traditional Chinese Medicine [ZY (2018-2020)-CCCX-4005]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 S. B., Kim, S. C., Chung, M. G. Identification of novel population clusters with different susceptibilities to type 2 diabetes and their impact on the prediction of diabetes.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3329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Diamant, A. L., Babey, S. H., Hastert, T. A., Brown, E. R. Diabetes: the growing epidemic. </w:t>
      </w:r>
      <w:r>
        <w:rPr>
          <w:rFonts w:ascii="Calibri" w:hAnsi="Calibri" w:cs="Calibri" w:eastAsia="Calibri"/>
          <w:i/>
          <w:color w:val="auto"/>
          <w:spacing w:val="0"/>
          <w:position w:val="0"/>
          <w:sz w:val="24"/>
          <w:shd w:fill="auto" w:val="clear"/>
        </w:rPr>
        <w:t xml:space="preserve">Policy Brief (UCLA Center for Health Policy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PB2007-9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H., Qi, R., Zeng, Y., Tsao, R., Mine, Y. Chinese sweet leaf tea (Rubus suavissimus) mitigates LPS-induced low-grade chronic inflammation and reduces the risk of metabolic disorders in a C57BL/6J mouse model.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Tian, S., Wang, M., Liu, C., Zhao, H., Zhao, B. Mulberry leaf reduces inflammation and insulin resistance in type 2 diabetic mice by TLRs and insulin Signalling pathway. </w:t>
      </w:r>
      <w:r>
        <w:rPr>
          <w:rFonts w:ascii="Calibri" w:hAnsi="Calibri" w:cs="Calibri" w:eastAsia="Calibri"/>
          <w:i/>
          <w:color w:val="auto"/>
          <w:spacing w:val="0"/>
          <w:position w:val="0"/>
          <w:sz w:val="24"/>
          <w:shd w:fill="auto" w:val="clear"/>
        </w:rPr>
        <w:t xml:space="preserve">BMC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Butler, A. E., Janson, J., Soeller, W. C., Butler, P. C. Increased beta-cell apoptosis prevents adaptive increase in beta-cell mass in mouse model of type 2 diabetes: evidence for role of islet amyloid formation rather than direct action of amyloid.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 2304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Ramirez-Farias,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inulin on the human gut microbiota: stimulation of Bifidobacterium adolescentis and Faecalibacterium prausnitzii.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Treatment of type 2 diabetes and dyslipidemia with the natural plant alkaloid berberine. </w:t>
      </w:r>
      <w:r>
        <w:rPr>
          <w:rFonts w:ascii="Calibri" w:hAnsi="Calibri" w:cs="Calibri" w:eastAsia="Calibri"/>
          <w:i/>
          <w:color w:val="auto"/>
          <w:spacing w:val="0"/>
          <w:position w:val="0"/>
          <w:sz w:val="24"/>
          <w:shd w:fill="auto" w:val="clear"/>
        </w:rPr>
        <w:t xml:space="preserve">The Journal of Clinical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(7), 2559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Turnbaugh, P. J., Backhed, F., Fulton, L., Gordon, J. I. Diet-induced obesity is linked to marked but reversible alterations in the mouse distal gut microbiome.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Jamil,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Angiopoietin-like 4 enhances the proliferation and migration of tendon fibroblasts.</w:t>
      </w:r>
      <w:r>
        <w:rPr>
          <w:rFonts w:ascii="Calibri" w:hAnsi="Calibri" w:cs="Calibri" w:eastAsia="Calibri"/>
          <w:i/>
          <w:color w:val="auto"/>
          <w:spacing w:val="0"/>
          <w:position w:val="0"/>
          <w:sz w:val="24"/>
          <w:shd w:fill="auto" w:val="clear"/>
        </w:rPr>
        <w:t xml:space="preserve"> Medicine &amp;amp; Science in Sports &amp;amp;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1769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Bohm, S., Mersmann, F., Tettke, M., Kraft, M., Arampatzis, A. Human achilles tendon plasticity in response to cyclic strain: effect of rate and duration.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(Pt 22), 4010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Mousavizadeh,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Cyclic strain alters the expression and release of angiogenic factors by human tendon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e97356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Dong, H., Zhao, Y., Zhao, L., Lu, F. The effects of berberine on blood lipids: a systemic review and meta-analysis of randomized controlled trials. </w:t>
      </w:r>
      <w:r>
        <w:rPr>
          <w:rFonts w:ascii="Calibri" w:hAnsi="Calibri" w:cs="Calibri" w:eastAsia="Calibri"/>
          <w:i/>
          <w:color w:val="auto"/>
          <w:spacing w:val="0"/>
          <w:position w:val="0"/>
          <w:sz w:val="24"/>
          <w:shd w:fill="auto" w:val="clear"/>
        </w:rPr>
        <w:t xml:space="preserve">Planta 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(6),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Dong, H., Wang, N., Zhao, L., Lu, F. Berberine in the treatment of type 2 diabetes mellitus: a systemic review and meta-analysis.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591654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Pirillo, A., Catapano, A. L. Berberine, a plant alkaloid with lipid- and glucose-lowering properties: From in vitro evidence to clinical studies.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(2),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Sun, 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Renoprotective effect of berberine on type 2 diabetic nephropathy in rats. </w:t>
      </w:r>
      <w:r>
        <w:rPr>
          <w:rFonts w:ascii="Calibri" w:hAnsi="Calibri" w:cs="Calibri" w:eastAsia="Calibri"/>
          <w:i/>
          <w:color w:val="auto"/>
          <w:spacing w:val="0"/>
          <w:position w:val="0"/>
          <w:sz w:val="24"/>
          <w:shd w:fill="auto" w:val="clear"/>
        </w:rPr>
        <w:t xml:space="preserve">Clinical and Experimental Pharmacology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Berberine protects against diabetic retinopathy by inhibiting cell apoptosis via deactivation of the NFkappaB signaling pathway.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4227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Berberine on diabetes and cognitive impairment in an animal model: The mechanisms of action. </w:t>
      </w:r>
      <w:r>
        <w:rPr>
          <w:rFonts w:ascii="Calibri" w:hAnsi="Calibri" w:cs="Calibri" w:eastAsia="Calibri"/>
          <w:i/>
          <w:color w:val="auto"/>
          <w:spacing w:val="0"/>
          <w:position w:val="0"/>
          <w:sz w:val="24"/>
          <w:shd w:fill="auto" w:val="clear"/>
        </w:rPr>
        <w:t xml:space="preserve">The American Journal of Chinese Medicine.</w:t>
      </w:r>
      <w:r>
        <w:rPr>
          <w:rFonts w:ascii="Calibri" w:hAnsi="Calibri" w:cs="Calibri" w:eastAsia="Calibri"/>
          <w:b/>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 (6), 1399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Jandrey, E. H.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key pathway to cancer resilience: The role of autophagy in glioblastomas.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652133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Kroemer, G., Levine, B. Autophagic cell death: the story of a misnomer.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Hoshino,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Inhibition of p53 preserves Parkin-mediated mitophagy and pancreatic beta-cell function in diabetes.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3116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Jung, 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Loss of autophagy diminishes pancreatic beta cell mass and function with resultant hyperglycemia.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Highly bioavailable berberine formulation ameliorates diabetic nephropathy through the inhibition of glomerular mesangial matrix expansion and the activation of autophagy.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873</w:t>
      </w:r>
      <w:r>
        <w:rPr>
          <w:rFonts w:ascii="Calibri" w:hAnsi="Calibri" w:cs="Calibri" w:eastAsia="Calibri"/>
          <w:color w:val="auto"/>
          <w:spacing w:val="0"/>
          <w:position w:val="0"/>
          <w:sz w:val="24"/>
          <w:shd w:fill="auto" w:val="clear"/>
        </w:rPr>
        <w:t xml:space="preserve"> 172955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Jia, Y., Xu, B., Xu, J. Effects of type 2 diabetes mellitus on the pharmacokinetics of berberine in rats. </w:t>
      </w:r>
      <w:r>
        <w:rPr>
          <w:rFonts w:ascii="Calibri" w:hAnsi="Calibri" w:cs="Calibri" w:eastAsia="Calibri"/>
          <w:i/>
          <w:color w:val="auto"/>
          <w:spacing w:val="0"/>
          <w:position w:val="0"/>
          <w:sz w:val="24"/>
          <w:shd w:fill="auto" w:val="clear"/>
        </w:rPr>
        <w:t xml:space="preserve">Pharmaceutical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Sakamoto,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Involvement of Na+/Ca2+ exchanger in migration and contraction of rat cultured tendon fibroblasts.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 (Pt 22), 5345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Mendias, C. L., Gumucio, J. P., Lynch, E. B. Mechanical loading and TGF-beta change the expression of multiple miRNAs in tendon fibroblasts.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Livak, K. J., Schmittgen, T. D. Analysis of relative gene expression data using real-time quantitative PCR and the 2(-Delta Delta 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Oliver, T. I., Mutluoglu, M. </w:t>
      </w:r>
      <w:r>
        <w:rPr>
          <w:rFonts w:ascii="Calibri" w:hAnsi="Calibri" w:cs="Calibri" w:eastAsia="Calibri"/>
          <w:i/>
          <w:color w:val="auto"/>
          <w:spacing w:val="0"/>
          <w:position w:val="0"/>
          <w:sz w:val="24"/>
          <w:shd w:fill="auto" w:val="clear"/>
        </w:rPr>
        <w:t xml:space="preserve">Diabetic Foot Ulcer</w:t>
      </w:r>
      <w:r>
        <w:rPr>
          <w:rFonts w:ascii="Calibri" w:hAnsi="Calibri" w:cs="Calibri" w:eastAsia="Calibri"/>
          <w:color w:val="auto"/>
          <w:spacing w:val="0"/>
          <w:position w:val="0"/>
          <w:sz w:val="24"/>
          <w:shd w:fill="auto" w:val="clear"/>
        </w:rPr>
        <w:t xml:space="preserve">. Treasure Island (FL): StatPearls Publishing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Zeng,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Endothelial cell-derived small extracellular vesicles suppress cutaneous wound healing through regulating fibroblasts autophagy. </w:t>
      </w:r>
      <w:r>
        <w:rPr>
          <w:rFonts w:ascii="Calibri" w:hAnsi="Calibri" w:cs="Calibri" w:eastAsia="Calibri"/>
          <w:i/>
          <w:color w:val="auto"/>
          <w:spacing w:val="0"/>
          <w:position w:val="0"/>
          <w:sz w:val="24"/>
          <w:shd w:fill="auto" w:val="clear"/>
        </w:rPr>
        <w:t xml:space="preserve">Clinical science (London, England : 1979).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Sardone,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Collagen VI-NG2 axis in human tendon fibroblasts under conditions mimicking injury response.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 Oliveira,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photobiomodulation and exercise on early remodeling of the Achilles tendon in streptozotocin-induced diabetic rats.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e0211643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Wu, 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 glucose alters tendon homeostasis through downregulation of the AMPK/Egr1 pathway.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44199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Garcia-Bailo,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Vitamins D, C, and E in the prevention of type 2 diabetes mellitus: modulation of inflammation and oxidative stress. </w:t>
      </w:r>
      <w:r>
        <w:rPr>
          <w:rFonts w:ascii="Calibri" w:hAnsi="Calibri" w:cs="Calibri" w:eastAsia="Calibri"/>
          <w:i/>
          <w:color w:val="auto"/>
          <w:spacing w:val="0"/>
          <w:position w:val="0"/>
          <w:sz w:val="24"/>
          <w:shd w:fill="auto" w:val="clear"/>
        </w:rPr>
        <w:t xml:space="preserve">Biologics.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Hudgens,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Platelet-rich plasma activates proinflammatory signaling pathways and induces oxidative stress in tendon fibroblasts.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1931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Berberine attenuates apoptosis in rat retinal Muller cells stimulated with high glucose via enhancing autophagy and the AMPK/mTOR signaling. </w:t>
      </w:r>
      <w:r>
        <w:rPr>
          <w:rFonts w:ascii="Calibri" w:hAnsi="Calibri" w:cs="Calibri" w:eastAsia="Calibri"/>
          <w:i/>
          <w:color w:val="auto"/>
          <w:spacing w:val="0"/>
          <w:position w:val="0"/>
          <w:sz w:val="24"/>
          <w:shd w:fill="auto" w:val="clear"/>
        </w:rPr>
        <w:t xml:space="preserve">Biomedicine &amp;amp; Pharmacotherapy.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Antifibrotic cardioprotection of berberine via downregulating myocardial IGF-1 receptor-regulated MMP-2/MMP-9 expression in diabetic rats.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(4), H802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H813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Yerra, V. G., Kalvala, A. K., Sherkhane, B., Areti, A., Kumar, A. Adenosine monophosphate-activated protein kinase modulation by berberine attenuates mitochondrial deficits and redox imbalance in experimental diabetic neuropathy.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Zhou, G., Yan, M., Guo, G., Tong, N. Ameliorative effect of berberine on neonatally induced type 2 diabetic neuropathy via modulation of BDNF, IGF-1, PPAR-gamma, and AMPK expressions. </w:t>
      </w:r>
      <w:r>
        <w:rPr>
          <w:rFonts w:ascii="Calibri" w:hAnsi="Calibri" w:cs="Calibri" w:eastAsia="Calibri"/>
          <w:i/>
          <w:color w:val="auto"/>
          <w:spacing w:val="0"/>
          <w:position w:val="0"/>
          <w:sz w:val="24"/>
          <w:shd w:fill="auto" w:val="clear"/>
        </w:rPr>
        <w:t xml:space="preserve">Dose Response.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1559325819862449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Zhu, L., Han, J., Yuan, R., Xue, L., Pang, W. Berberine ameliorates diabetic nephropathy by inhibiting TLR4/NF-kappaB pathway. </w:t>
      </w:r>
      <w:r>
        <w:rPr>
          <w:rFonts w:ascii="Calibri" w:hAnsi="Calibri" w:cs="Calibri" w:eastAsia="Calibri"/>
          <w:i/>
          <w:color w:val="auto"/>
          <w:spacing w:val="0"/>
          <w:position w:val="0"/>
          <w:sz w:val="24"/>
          <w:shd w:fill="auto" w:val="clear"/>
        </w:rPr>
        <w:t xml:space="preserve">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Pharmacokinetics and pharmacological activities of berberine in diabetes mellitus treatment.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9987097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Habtemariam, S. Berberine pharmacology and the gut microbiota: A hidden therapeutic link.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104722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