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High-throughput confocal imaging of quantum dot-conjugated SARS-CoV-2 Spike trimers to track binding and endocytosis in ACE2-GFP HEK293T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of Changes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numbering of the steps has been revised according to the editor’s comments.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removed commercial names from the manuscript and amended the Table of Materials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revised the text to remove personal pronouns.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revised the manuscript to use the imperative tense and included safety procedures and use of hoods and personal protective equipment.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added more detail to the protocol steps where possible to explain how the step is performed.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added a description of how cells were counted.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clarified that only one strain of SARS-CoV-2 Spike was utilized in this protocol.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clarified volumes and procedures for liquid handling in the text.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clarified that 0.1% BSA in Optimem I reduced serum media was used with the QD-Spike fluorescent probe.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amended the text to specify what wells to use for normalizing the data.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highlighted the portion of the text to be used for video recording that includes imperative tense sentences.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amended the Y-axis on Figure 1B to read QD608-Spike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added general comments regarding high-content imaging and analysis to the introduction since it is the type of analysis used in the study.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made the protocol more specific and less ambiguous based on the reviewer comments particularly for the previous sections of 19.4.2, 27.2, 30.1-30.2, and 37.2. The sections have been renumbered based on editor’s suggestions.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discussed the naming scheme in the image analysis software in regards to the “Nuclei” population identifier.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clarified that the appropriate image segmentation refers to the object of interest and the accuracy of the generated ROI for each particular object (nuclei, cell body, spots).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removed some sections of the protocol that were not relevant to the immediate experiment, while balancing the presentation of available options to the reader.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highlighted a portion of the text for videography as a courtesy to the editorial staff.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