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the Source of Secreted Proteins in the Kidney by Brefeldin A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Kensei Taguchi, Sho Sugahara, Bertha C. Elias, Craig R. Brooks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Nephrology and Hypertension, Department of Medicine, Vanderbilt University Medical Center, Nashville, Tennessee 37232,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Kensei Taguchi </w:t>
        <w:tab/>
        <w:tab/>
        <w:tab/>
        <w:t xml:space="preserve">(kensei.taguchi@vumc.org)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 Sugahara </w:t>
        <w:tab/>
        <w:tab/>
        <w:tab/>
        <w:tab/>
        <w:t xml:space="preserve">(sho.sugahara@vumc.org)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Bertha C. Elias </w:t>
        <w:tab/>
        <w:tab/>
        <w:tab/>
        <w:t xml:space="preserve">(bertha.elias@vumc.org)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Craig R. Brooks </w:t>
        <w:tab/>
        <w:tab/>
        <w:tab/>
        <w:t xml:space="preserve">(craig.brooks@vumc.org)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the cell type responsible for secreting cytokines is necessary to understand the pathobiology of kidney disease. Here, we describe a method to quantitatively stain kidney tissue for cytokines produced by kidney epithelial or interstitial cells using brefeldin A, a secretion inhibitor, and cell-type-specific 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kidney disease (CKD) is one of the top ten leading causes of death in the USA. Acute kidney injury (AKI), while often curable, predisposes patients to CKD later in life. Kidney epithelial cells have been identified as key signaling nodes in both AKI and CKD, whereby the cells can determine the course of the disease through the secretion of cytokines and other proteins. In CKD especially, several lines of evidence have demonstrated that maladaptively repaired tubular cells drive disease progression through the secretion of transforming growth factor-beta (TGF-&amp;#946;), connective tissue growth factor (CTGF), and other profibrotic cytokines. However, identifying the source and the relative number of secreted proteins from different cell types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remains challenging.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technique using brefeldin A (BFA) to prevent the secretion of cytokines, enabling the staining of cytokines in kidney tissue using standard immunofluorescent techniques. BFA inhibits endoplasmic reticulum (ER)-to-Golgi apparatus transport, which is necessary for the secretion of cytokines and other proteins. Injection of BFA 6 h before sacrifice leads to a build-up of TGF-&amp;#946; inside the proximal tubule cells (PTCs) in a mouse cisplatin model of AKI and a mouse aristolochic acid (AA) model of CKD. Analysis revealed that BFA + cisplatin or BFA + AA increased TGF-&amp;#946;-positive signal significantly compared to BFA + saline, cisplatin, or AA alone. These data suggest that BFA can be used to identify the cell type producing specific cytokines and quantify the relative amounts and/or different types of cytokines produced.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estimated that &amp;gt;10% of the world’s population have some form of kidney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Defined by its rapid onset, AKI is largely curable; however, an episode of AKI can predispose patients to develop CKD later in life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Unlike AKI, CKD is marked by progressive fibrosis and worsening kidney function, leading to end-stage renal disease requiring renal replacement therapy. Most injuries to the kidneys target the specialized epithelial cells, such as podocytes or proximal tubule cells, that make up the nephron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Following injury, the surviving epithelial cells help coordinate the repair response through the secretion of cytokines and other proteins. In this way, the surviving cells can modulate the immune response, direct extracellular matrix remodeling, and aid organ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Cytokines are small, secreted proteins essential for modulating the maturation, growth, and responsiveness of multicellular organisms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They function as signal messengers among various cell types, including immune and epithelial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cytokines are thought to be secreted mainly by immune cells, long-standing research has demonstrated that kidney epithelial and interstitial cells also secrete cytokines as signals for other resident kidney cells, such as tubule cells, interstitial cells, and immune cells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PTCs, in particular, play an important role in the initiation and recovery phase after AKI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maladaptively repaired PTCs are known to secrete profibrotic cytokines such as transforming growth factor-&amp;#946; (TGF-&amp;#946;), platelet-derived growth factor-D (PDGF-D), and connective tissue growth factor (CTGF), contributing to CKD progression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kidney epithelial cells use secreted cytokines to modulate kidney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it is known that kidney epithelial cells secrete cytokines, the exact source and relative contribution of each cell type have been difficult to determine due to the technical challenges of studying secreted proteins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Flow cytometry, a common approach used to measure cytokines, is challenging to perform on injured kidneys, especially in highly fibrotic ones. With Cre recombinase driven by a cytokine promoter, cytokine reporter mice are often used to identify the cell type that expresses a given cytokine. However, the use of reporter mice is limited because of the requirement to cross reporter mice into various knockout backgrounds, the lack of suitable reporters, and the fact that only one cytokine can be analyzed at a time. Thus, it is necessary to develop a simple, versatile, and affordable technique for detecting cytokine-releasing kidney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hypothesized that injection of BFA, a secretion inhibitor that blocks endoplasmic reticulum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Golgi transport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would allow the staining of secreted proteins in kidney tissue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as shown with flow cytometry-based assays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Along with cell-type-specific makers, this technique could be used to identify the source and relative contribution of cytokine-producing cells in injured kidneys. Unlike samples for flow cytometry, fixed tissues can be kept long-term with preservation of proteins and cellular structures, allowing for a more thorough investigation of the secretory cells. To test this hypothesis, mouse kidneys were injured with a model of AKI (cisplatin) and a model of CKD (aristolochic acid nephropathy (AAN)), injected with BFA, and stained using standard immunofluorescent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accordance with the animal use protocol approved by the Institutional Animal Care and User Committee of Vanderbilt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BALB/c male mice (body weight: ~ approximately 25 g) for cisplatin- or aristolochic acid-induced nephropathy.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the mice are healthy and have no obvious signs of distress or wounds from fighting.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Wounds, especially to the tail, could interfere with the protocol described here. BALB/c mice were chosen because it is easier to visualize the tail vein for injection in these mice. The protocol described here works for other mouse strains; however, the dosage of cisplatin or aristolochic acid may differ from strain to strain.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Cisplatin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Dissolve cisplatin in sterile saline to a final concentration of 1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Cisplatin will not dissolve completely at room temperature. It should be handled in a fume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Warm the cisplatin solution in a water bath at 37 &amp;#176;C and vortex repeatedly until the cisplatin has dissolved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Weigh the mice and calculate the volume of cisplatin solution needed to inject 20 mg/kg body weight (bw).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Disinfect the abdominal skin using povidone-iodine (7.5%) and alcohol (70%) swabs alternating 3x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Using an insulin syringe with a 25 G needle, inject the cisplatin solution intraperitoneally.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Proceed to section 4 on day 3 after the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Aristolochic acid (AA)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Dissolve aristolochic acid-I in phosphate-buffered saline (PBS) at a final concentration of 0.5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AA should be handled in a fume hood. AA-I should be used as it is the dominant form inducing kidney injury.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Warm the AA solution in a water bath at 37 &amp;#176;C and vortex repeatedly until dissolved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Weigh the mice and calculate the volume of the AA solution to inject 5 mg/kg bw.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Disinfect the abdominal skin using povidone-iodine (7.5%) and alcohol (70%) swab 3x.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Using an insulin syringe with a 25 G needle, inject the AA solution intraperitoneally.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Inject AA every other day for a total of 3 injections.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Proceed to section 4 on day 42 after the last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BFA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Dissolve BFA in dimethylsulfoxide at a concentration of 20 mg/L to make a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Store the stock solution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Dilute the BFA stock solution with sterile PBS at the final working concentration of 1.25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fresh working solution each time immediately before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Tail vein injection of BFA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Prior to injection, put the cage half on, half off the heating pad for 10 min to ensure the mice are warm </w:t>
      </w:r>
      <w:r>
        <w:rPr>
          <w:rFonts w:ascii="Calibri" w:hAnsi="Calibri" w:cs="Calibri" w:eastAsia="Calibri"/>
          <w:color w:val="auto"/>
          <w:spacing w:val="0"/>
          <w:position w:val="0"/>
          <w:sz w:val="24"/>
          <w:shd w:fill="auto" w:val="clear"/>
        </w:rPr>
        <w:t xml:space="preserve">to prevent a drop in body temperature, which can cause vasoconstriction of vessels in the tail and interfere with the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cage on the heating pads so that half of the cage is on the pad while half is not. That way, when the mice feel warm, they can move to the other side of the cage and vice versa.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Restrain the mice using commercially available restraint devices of appropriate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Disinfect the tail using povidone-iodine and alcohol swab three times as described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Hold the tail horizontally and visualize the lateral tail veins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Use a light source under the tail to help visualize the veins.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Insert a 28 G needle, keeping the needle and syringe parallel to the vein towards the direction of the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Inject 200 &amp;#181;L of the 1.25 mg/mL BFA solution (0.25 mg BFA). Wait for the vein to become clear as the blood is replaced with the injection solution</w:t>
      </w:r>
      <w:r>
        <w:rPr>
          <w:rFonts w:ascii="Calibri" w:hAnsi="Calibri" w:cs="Calibri" w:eastAsia="Calibri"/>
          <w:color w:val="auto"/>
          <w:spacing w:val="0"/>
          <w:position w:val="0"/>
          <w:sz w:val="24"/>
          <w:shd w:fill="auto" w:val="clear"/>
        </w:rPr>
        <w:t xml:space="preserve">, indicating that the injection was successful.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Remove the needle and press the tail gently until the bleeding stops.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Return the mice to the cage and monitor them for additional bleeding or signs of distress.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Sacrifice and harvest of the kidneys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Euthanize the mice with an overdose of isoflurane followed by cervical dislocation 6 h after BFA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6-h time point was chosen based on literature demonstrating that 6 h of BFA treatment in other organs allows for enough accumulation of cytokines within cells to visualize them by immunofluorescent staining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Immediately after sacrifice, expose the abdomen and heart of the mouse by a ventral midline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Collect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blood for a blood urea nitrogen (BUN) assay by cardiac puncture. Use 25 G needles with 1 mL insulin syringes to collect the blood. To prevent coagulation, add 5 &amp;#181;L of heparin solution (100 mg/15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20 mL of blood is needed for the BUN assay; however, approximately 500 mL can be collected by cardiac puncture after euthanasia, which could be useful for other assays. Collect as much blood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Store the blood samples on ice until the kidneys are collected in section 7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Centrifuge the blood samples at 1,300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Isolate the plasma gently and store it at -20 &amp;#176;C until ready to perform the BUN assay in section 17 below. Alternatively, store the plasma samples for creatinine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Perfusion and removal of the kidneys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Perfuse the mouse with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PBS through the left ventricle using a 20 mL syringe at a flow rate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mL/min until the perfusate becomes clear.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Remove the kidneys by holding the renal artery and vein close to the papilla and cutting the vessels on the side away from the kidney.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Gently remove the kidney capsule by peeling it off by hand or with a pair of fine, sterile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Depending on the antibody, proceed to section 8 for preparation of fixed paraffin-embedded tissue or section 10 for preparation of fixed frozen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processing will need to be optimized for each antibody to be used for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Paraffin-embedded tissue for TGF-&amp;#946; and PDGF-D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Bisect the kidney by placing it on a clean glass slide and cutting it horizontally with a new razor blade. Place it in 10 mL of 4% paraformaldehyde (PFA) in PBS for 24 h on an end-over-end rotator at a speed of 10 rotations per min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kidney is not needed for sectioning. One half of the kidney can be stored or used for other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Replace the PFA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Submit half of the kidney for processing and paraffin-embedding at this stage or section the paraffin-embedded kidney tissues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&amp;#181;m using a microtome and mount them on precleaned, charged slides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Kidneys were processed and embedded in paraffin by the Vanderbilt University Medical Center Translational Pathology Shared Resource and stored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Deparaffinization and rehydration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Place the slides into a slide-staining rack and dunk them into a staining well containing D-limonene for 5 min, ensuring that the tissue is completely submerged. Repeat in a well containing fresh D-Limonene.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Rehydrate the tissues by dunking the slides in serial dilutions of ethanol 100% (2x), 95%, 90%, and 70% for 5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Wash the slides in flowing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Perform antigen retrieval by incubating the sections in citrate buffer (pH 6.0) in a pressure cooker at 121 &amp;#176;C and 15 psi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Wash the slides in flowing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Proceed to section 12.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Preparation of frozen tissue for CTGF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Bisect the kidney along the horizontal axis using a fresh razor blade.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kidney is not needed for sectioning. One half of the kidney can be stored or used for other assays.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Put half of the kidney in 10 mL of 0.5% PFA in a 15 mL tube on a rotator for 2 h at 4 &amp;#176;C at a speed of 10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Decant the PFA into a container for proper disposal and add 10 mL of 0.1 M glycine in PBS for 1 h at 4 &amp;#176;C at a speed of 10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Decant the glycine, add 10 mL of 15% sucrose dissolved in PBS, and place the tube on a rotator overnight at 4 &amp;#176;C and 10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Decant the 15% sucrose and replace with 10 mL of 30% sucrose dissolved in PBS for 1 h at 4 &amp;#176;C and 10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Fill the embedding mold with optimal cutting temperature compound (OCT) and embed the half of the kidney from step 10.5 with the cut surface of the kidney facing 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Place the mold containing the half-kidney and OCT carefully in a pool of liquid nitrogen to freeze.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liquid nitrogen directly contact the OCT as this can result in bubble formation. Proper personal protective equipment must be worn when using liquid nitrogen, such as goggles/face shield, cryogenic gloves, and lab coat. It is best to use long, ~25 cm, forceps to place the molds in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Once frozen solid, store the mold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Frozen sectioning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the cryostat is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Store molds containing specimens in OCT in the cryostat at -20 &amp;#176;C for 2 h to equilibrate the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Remove the mold by holding the tabs and pressing from the bottom.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Put fresh OCT onto a specimen holder and place the frozen specimen block on top, with the tissue side facing away from the specimen holder.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Place the specimen holder and specimen on the freezing shelf.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Place a weighted heat extractor on the top of the block to flatten the surface. Keep the cryostat cover closed when not in use to prevent temperature fluctuations.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Once the fresh OCT between the specimen block and specimen holder is frozen, check to ensure the connection is secure.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Clamp the specimen holder onto the cryostat microtome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Begin sectioning until the tissue is visible in the specimen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Section the kidney tissue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mm and pick the sections up onto a room temperature-charged slide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Once the tissue is picked up, store the slide at -20 &amp;#176;C to -80 &amp;#176;C until ready to stain. Do not allow it to thaw until ready to begin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Prior to staining, remove the slide(s) from storage and allow to warm to room temperature. Do not allow the sections to dry.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Once at room temperature, immediately wash the sections with PBS for 5 min twice at room temperature to eliminate the OCT compound.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Proceed to section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t xml:space="preserve">Immunofluorescence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Outline the tissue sections with a hydrophobic barrier marker pen. Maintain at least 5 mm distance from the tissue to the hydrophobic barrier outline.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50 mL of blocking buffer containing 3% donkey serum and 0.1% Triton in 1% bovine serum albumin/Tris-buffered saline (TBS) on top of the section and incubate for 1 h at room temperature in a humidified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Dilute the primary antibodies with PBS at the appropriate concentration. For detection of cytokines, use 50 mL of solutions of primary antibodies directed against TGF-&amp;#946;1 (1:200), PDGF-D (1:400), and CTGF (1:200). For labeling myofibroblasts, use 50 mL of a solution of the primary antibody directed against alpha-smooth muscle actin (&amp;#945;-SMA) conjugated with Cy3 at 1:200.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Remove the blocking solution and add the primary antibodies to the section, ensuring it does not leak out of the circular hydrophobic outline and incubate overnight at 4 &amp;#176;C in a humidified chamber. Reapply the hydrophobic barrier if leakage occurs.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Wash 3x with PBS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Dilute the appropriate secondary antibodies at 1:200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Incubate the samples with 50 mL of secondary antibody solutions for 1 h at room temperature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Wash with PBS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t xml:space="preserve">Dilute lotus tetragonolobus lectin (LTL) conjugated with fluorescein in PBS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at the concentration of 1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necessary for LTL binding.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tab/>
        <w:t xml:space="preserve">Incubate the tissues with 50 mL of LTL solution for 30 min at room temperature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Wash with PBS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w:t>
        <w:tab/>
        <w:t xml:space="preserve">Incubate with 50 mL of 4',6-diamidino-2-phenylindole (DAPI, 5 mg/mL in water) to stain DNA/nuclei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w:t>
        <w:tab/>
        <w:t xml:space="preserve">Mount the coverslips by adding 20 mL of antifade mounting reagent on the tissue and slowly placing the coverslip. Wait for 24 h for the antifade reagent to solidify before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Lectin binding can degrade over time, resulting in a loss of signal. It is best to image lectin-stained samples soon after the mounting reagent is set up. If loss of signal is observed,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added to the mounting reagent to preserve the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w:t>
        <w:tab/>
        <w:t xml:space="preserve">Image acquisition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Turn on the inverted microscope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an automated XY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Select the 20x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Open the image acquisition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Click on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to open the live view window.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Find the tissue section and ensure it is in focus.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Click on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menu and select </w:t>
      </w:r>
      <w:r>
        <w:rPr>
          <w:rFonts w:ascii="Calibri" w:hAnsi="Calibri" w:cs="Calibri" w:eastAsia="Calibri"/>
          <w:b/>
          <w:color w:val="auto"/>
          <w:spacing w:val="0"/>
          <w:position w:val="0"/>
          <w:sz w:val="24"/>
          <w:shd w:fill="FFFF00" w:val="clear"/>
        </w:rPr>
        <w:t xml:space="preserve">Scan Large Image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In the </w:t>
      </w:r>
      <w:r>
        <w:rPr>
          <w:rFonts w:ascii="Calibri" w:hAnsi="Calibri" w:cs="Calibri" w:eastAsia="Calibri"/>
          <w:b/>
          <w:color w:val="auto"/>
          <w:spacing w:val="0"/>
          <w:position w:val="0"/>
          <w:sz w:val="24"/>
          <w:shd w:fill="FFFF00" w:val="clear"/>
        </w:rPr>
        <w:t xml:space="preserve">Scan Large Image</w:t>
      </w:r>
      <w:r>
        <w:rPr>
          <w:rFonts w:ascii="Calibri" w:hAnsi="Calibri" w:cs="Calibri" w:eastAsia="Calibri"/>
          <w:color w:val="auto"/>
          <w:spacing w:val="0"/>
          <w:position w:val="0"/>
          <w:sz w:val="24"/>
          <w:shd w:fill="FFFF00" w:val="clear"/>
        </w:rPr>
        <w:t xml:space="preserve"> window, set up the area to scan by moving the stage using the joystick to the leftmost part of the tissue section and click the </w:t>
      </w:r>
      <w:r>
        <w:rPr>
          <w:rFonts w:ascii="Calibri" w:hAnsi="Calibri" w:cs="Calibri" w:eastAsia="Calibri"/>
          <w:b/>
          <w:color w:val="auto"/>
          <w:spacing w:val="0"/>
          <w:position w:val="0"/>
          <w:sz w:val="24"/>
          <w:shd w:fill="FFFF00" w:val="clear"/>
        </w:rPr>
        <w:t xml:space="preserve">left arrow</w:t>
      </w:r>
      <w:r>
        <w:rPr>
          <w:rFonts w:ascii="Calibri" w:hAnsi="Calibri" w:cs="Calibri" w:eastAsia="Calibri"/>
          <w:color w:val="auto"/>
          <w:spacing w:val="0"/>
          <w:position w:val="0"/>
          <w:sz w:val="24"/>
          <w:shd w:fill="FFFF00" w:val="clear"/>
        </w:rPr>
        <w:t xml:space="preserve">. Repeat for uppermost, rightmost, and bottom tissue segments.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w:t>
        <w:tab/>
        <w:t xml:space="preserve">Click on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menu.</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w:t>
        <w:tab/>
        <w:t xml:space="preserve">Ensure that the checkbox for </w:t>
      </w:r>
      <w:r>
        <w:rPr>
          <w:rFonts w:ascii="Calibri" w:hAnsi="Calibri" w:cs="Calibri" w:eastAsia="Calibri"/>
          <w:b/>
          <w:color w:val="auto"/>
          <w:spacing w:val="0"/>
          <w:position w:val="0"/>
          <w:sz w:val="24"/>
          <w:shd w:fill="FFFF00" w:val="clear"/>
        </w:rPr>
        <w:t xml:space="preserve">large image</w:t>
      </w:r>
      <w:r>
        <w:rPr>
          <w:rFonts w:ascii="Calibri" w:hAnsi="Calibri" w:cs="Calibri" w:eastAsia="Calibri"/>
          <w:color w:val="auto"/>
          <w:spacing w:val="0"/>
          <w:position w:val="0"/>
          <w:sz w:val="24"/>
          <w:shd w:fill="FFFF00" w:val="clear"/>
        </w:rPr>
        <w:t xml:space="preserve"> is </w:t>
      </w:r>
      <w:r>
        <w:rPr>
          <w:rFonts w:ascii="Calibri" w:hAnsi="Calibri" w:cs="Calibri" w:eastAsia="Calibri"/>
          <w:b/>
          <w:color w:val="auto"/>
          <w:spacing w:val="0"/>
          <w:position w:val="0"/>
          <w:sz w:val="24"/>
          <w:shd w:fill="FFFF00" w:val="clear"/>
        </w:rPr>
        <w:t xml:space="preserve">checked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13.9.1.</w:t>
        <w:tab/>
        <w:t xml:space="preserve">If capturing multichannel images, click on the </w:t>
      </w:r>
      <w:r>
        <w:rPr>
          <w:rFonts w:ascii="Calibri" w:hAnsi="Calibri" w:cs="Calibri" w:eastAsia="Calibri"/>
          <w:b/>
          <w:color w:val="auto"/>
          <w:spacing w:val="0"/>
          <w:position w:val="0"/>
          <w:sz w:val="24"/>
          <w:shd w:fill="FFFF00" w:val="clear"/>
        </w:rPr>
        <w:t xml:space="preserve">Lambda</w:t>
      </w:r>
      <w:r>
        <w:rPr>
          <w:rFonts w:ascii="Calibri" w:hAnsi="Calibri" w:cs="Calibri" w:eastAsia="Calibri"/>
          <w:color w:val="auto"/>
          <w:spacing w:val="0"/>
          <w:position w:val="0"/>
          <w:sz w:val="24"/>
          <w:shd w:fill="FFFF00" w:val="clear"/>
        </w:rPr>
        <w:t xml:space="preserve"> tab.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13.9.2.</w:t>
        <w:tab/>
        <w:t xml:space="preserve">Click on each </w:t>
      </w:r>
      <w:r>
        <w:rPr>
          <w:rFonts w:ascii="Calibri" w:hAnsi="Calibri" w:cs="Calibri" w:eastAsia="Calibri"/>
          <w:b/>
          <w:color w:val="auto"/>
          <w:spacing w:val="0"/>
          <w:position w:val="0"/>
          <w:sz w:val="24"/>
          <w:shd w:fill="FFFF00" w:val="clear"/>
        </w:rPr>
        <w:t xml:space="preserve">channel</w:t>
      </w:r>
      <w:r>
        <w:rPr>
          <w:rFonts w:ascii="Calibri" w:hAnsi="Calibri" w:cs="Calibri" w:eastAsia="Calibri"/>
          <w:color w:val="auto"/>
          <w:spacing w:val="0"/>
          <w:position w:val="0"/>
          <w:sz w:val="24"/>
          <w:shd w:fill="FFFF00" w:val="clear"/>
        </w:rPr>
        <w:t xml:space="preserve"> and set the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to a level where the staining is apparent without saturation of any part of the image.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settings need to be consistent within one experimental group. Changing acquisition settings between samples will lead to inaccurate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w:t>
        <w:tab/>
        <w:t xml:space="preserve">Repeat for each channel to be collected.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tab/>
        <w:t xml:space="preserve">Click on </w:t>
      </w:r>
      <w:r>
        <w:rPr>
          <w:rFonts w:ascii="Calibri" w:hAnsi="Calibri" w:cs="Calibri" w:eastAsia="Calibri"/>
          <w:b/>
          <w:color w:val="auto"/>
          <w:spacing w:val="0"/>
          <w:position w:val="0"/>
          <w:sz w:val="24"/>
          <w:shd w:fill="FFFF00" w:val="clear"/>
        </w:rPr>
        <w:t xml:space="preserve">Run Now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w:t>
        <w:tab/>
        <w:t xml:space="preserve">Image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Open the image acquisition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Open</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Right-click on the image window and choose </w:t>
      </w:r>
      <w:r>
        <w:rPr>
          <w:rFonts w:ascii="Calibri" w:hAnsi="Calibri" w:cs="Calibri" w:eastAsia="Calibri"/>
          <w:b/>
          <w:color w:val="auto"/>
          <w:spacing w:val="0"/>
          <w:position w:val="0"/>
          <w:sz w:val="24"/>
          <w:shd w:fill="FFFF00" w:val="clear"/>
        </w:rPr>
        <w:t xml:space="preserve">polygonal region-of-interest (ROI)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Outline the ROI with the </w:t>
      </w:r>
      <w:r>
        <w:rPr>
          <w:rFonts w:ascii="Calibri" w:hAnsi="Calibri" w:cs="Calibri" w:eastAsia="Calibri"/>
          <w:b/>
          <w:color w:val="auto"/>
          <w:spacing w:val="0"/>
          <w:position w:val="0"/>
          <w:sz w:val="24"/>
          <w:shd w:fill="FFFF00" w:val="clear"/>
        </w:rPr>
        <w:t xml:space="preserve">freehand</w:t>
      </w:r>
      <w:r>
        <w:rPr>
          <w:rFonts w:ascii="Calibri" w:hAnsi="Calibri" w:cs="Calibri" w:eastAsia="Calibri"/>
          <w:color w:val="auto"/>
          <w:spacing w:val="0"/>
          <w:position w:val="0"/>
          <w:sz w:val="24"/>
          <w:shd w:fill="FFFF00" w:val="clear"/>
        </w:rPr>
        <w:t xml:space="preserve"> tool. Outline the LTL-positive tubule cells or &amp;#945;-SMA-positive interstitial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Click on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 Threshold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Set up the upper and lower limits of the threshold by adjusting the sliders to either side of the positive signal area.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Click on the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tab.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Click on the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icon to save the values. Use spreadsheet software to calculate the percentage of positive signal area/ROI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Alternative: Image analysis with free software (ImageJ)</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Open </w:t>
      </w:r>
      <w:r>
        <w:rPr>
          <w:rFonts w:ascii="Calibri" w:hAnsi="Calibri" w:cs="Calibri" w:eastAsia="Calibri"/>
          <w:b/>
          <w:color w:val="auto"/>
          <w:spacing w:val="0"/>
          <w:position w:val="0"/>
          <w:sz w:val="24"/>
          <w:shd w:fill="auto" w:val="clear"/>
        </w:rPr>
        <w:t xml:space="preserve">ImageJ</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Open</w:t>
      </w:r>
      <w:r>
        <w:rPr>
          <w:rFonts w:ascii="Calibri" w:hAnsi="Calibri" w:cs="Calibri" w:eastAsia="Calibri"/>
          <w:color w:val="auto"/>
          <w:spacing w:val="0"/>
          <w:position w:val="0"/>
          <w:sz w:val="24"/>
          <w:shd w:fill="auto" w:val="clear"/>
        </w:rPr>
        <w:t xml:space="preserve"> to view an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Click </w:t>
      </w:r>
      <w:r>
        <w:rPr>
          <w:rFonts w:ascii="Calibri" w:hAnsi="Calibri" w:cs="Calibri" w:eastAsia="Calibri"/>
          <w:b/>
          <w:color w:val="auto"/>
          <w:spacing w:val="0"/>
          <w:position w:val="0"/>
          <w:sz w:val="24"/>
          <w:shd w:fill="auto" w:val="clear"/>
        </w:rPr>
        <w:t xml:space="preserve">freehand selections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Select the </w:t>
      </w:r>
      <w:r>
        <w:rPr>
          <w:rFonts w:ascii="Calibri" w:hAnsi="Calibri" w:cs="Calibri" w:eastAsia="Calibri"/>
          <w:b/>
          <w:color w:val="auto"/>
          <w:spacing w:val="0"/>
          <w:position w:val="0"/>
          <w:sz w:val="24"/>
          <w:shd w:fill="auto" w:val="clear"/>
        </w:rPr>
        <w:t xml:space="preserve">ROI</w:t>
      </w:r>
      <w:r>
        <w:rPr>
          <w:rFonts w:ascii="Calibri" w:hAnsi="Calibri" w:cs="Calibri" w:eastAsia="Calibri"/>
          <w:color w:val="auto"/>
          <w:spacing w:val="0"/>
          <w:position w:val="0"/>
          <w:sz w:val="24"/>
          <w:shd w:fill="auto" w:val="clear"/>
        </w:rPr>
        <w:t xml:space="preserve"> by outlining with the </w:t>
      </w:r>
      <w:r>
        <w:rPr>
          <w:rFonts w:ascii="Calibri" w:hAnsi="Calibri" w:cs="Calibri" w:eastAsia="Calibri"/>
          <w:b/>
          <w:color w:val="auto"/>
          <w:spacing w:val="0"/>
          <w:position w:val="0"/>
          <w:sz w:val="24"/>
          <w:shd w:fill="auto" w:val="clear"/>
        </w:rPr>
        <w:t xml:space="preserve">freehand</w:t>
      </w:r>
      <w:r>
        <w:rPr>
          <w:rFonts w:ascii="Calibri" w:hAnsi="Calibri" w:cs="Calibri" w:eastAsia="Calibri"/>
          <w:color w:val="auto"/>
          <w:spacing w:val="0"/>
          <w:position w:val="0"/>
          <w:sz w:val="24"/>
          <w:shd w:fill="auto" w:val="clear"/>
        </w:rPr>
        <w:t xml:space="preserve"> tool. Outline the LTL-positive tubule cells or &amp;#945;-SMA-positive interstitial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Click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Clear outside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Click </w:t>
      </w:r>
      <w:r>
        <w:rPr>
          <w:rFonts w:ascii="Calibri" w:hAnsi="Calibri" w:cs="Calibri" w:eastAsia="Calibri"/>
          <w:b/>
          <w:color w:val="auto"/>
          <w:spacing w:val="0"/>
          <w:position w:val="0"/>
          <w:sz w:val="24"/>
          <w:shd w:fill="auto" w:val="clear"/>
        </w:rPr>
        <w:t xml:space="preserve">Analyz</w:t>
      </w:r>
      <w:r>
        <w:rPr>
          <w:rFonts w:ascii="Calibri" w:hAnsi="Calibri" w:cs="Calibri" w:eastAsia="Calibri"/>
          <w:color w:val="auto"/>
          <w:spacing w:val="0"/>
          <w:position w:val="0"/>
          <w:sz w:val="24"/>
          <w:shd w:fill="auto" w:val="clear"/>
        </w:rPr>
        <w:t xml:space="preserve">e and select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determine the area of ROI.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w:t>
        <w:tab/>
        <w:t xml:space="preserve">Go to </w:t>
      </w:r>
      <w:r>
        <w:rPr>
          <w:rFonts w:ascii="Calibri" w:hAnsi="Calibri" w:cs="Calibri" w:eastAsia="Calibri"/>
          <w:b/>
          <w:color w:val="auto"/>
          <w:spacing w:val="0"/>
          <w:position w:val="0"/>
          <w:sz w:val="24"/>
          <w:shd w:fill="auto" w:val="clear"/>
        </w:rPr>
        <w:t xml:space="preserve">Image | Color | Split Channels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w:t>
        <w:tab/>
        <w:t xml:space="preserve">Adjust the upper and lower limits of the threshold to detect the positive signal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15.9.</w:t>
        <w:tab/>
        <w:t xml:space="preserve">Click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15.10.</w:t>
        <w:tab/>
        <w:t xml:space="preserve">Save the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w:t>
        <w:tab/>
        <w:t xml:space="preserve">Open the data with spreadsheet software and calculate the ratio of positive signal area/ROI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t xml:space="preserve">Optional: Imaging with laser 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higher resolution images for publication, scanning confocal microscopy provides clearer images and reduced background in kidney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Turn on the laser scanning confocal microscope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Select 40x objectives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Click </w:t>
      </w:r>
      <w:r>
        <w:rPr>
          <w:rFonts w:ascii="Calibri" w:hAnsi="Calibri" w:cs="Calibri" w:eastAsia="Calibri"/>
          <w:b/>
          <w:color w:val="auto"/>
          <w:spacing w:val="0"/>
          <w:position w:val="0"/>
          <w:sz w:val="24"/>
          <w:shd w:fill="auto" w:val="clear"/>
        </w:rPr>
        <w:t xml:space="preserve">Locate</w:t>
      </w:r>
      <w:r>
        <w:rPr>
          <w:rFonts w:ascii="Calibri" w:hAnsi="Calibri" w:cs="Calibri" w:eastAsia="Calibri"/>
          <w:color w:val="auto"/>
          <w:spacing w:val="0"/>
          <w:position w:val="0"/>
          <w:sz w:val="24"/>
          <w:shd w:fill="auto" w:val="clear"/>
        </w:rPr>
        <w:t xml:space="preserve"> tab and find the tissues by adjusting the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Go to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Channels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1 AU</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pinhole setting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Adjust the laser gain intensity in each channel such that the positive signal is visible but not saturated. Ensure that settings within a set of experimental samples remain constant.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Click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and save the image in the desired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t xml:space="preserve">Plasma BUN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Remove the samples from -20 &amp;#176;C and thaw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Dilute the plasma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1:10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For each sample, set up three separate reactions in duplicate in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17.3.1.</w:t>
        <w:tab/>
        <w:t xml:space="preserve">For sample plus standard, add 5 &amp;#181;L of 200 mg/dL urea and 20 &amp;#181;L of diluted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17.3.2.</w:t>
        <w:tab/>
        <w:t xml:space="preserve">For sample alone, add 5 &amp;#181; 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20 &amp;#181;L of diluted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17.3.3.</w:t>
        <w:tab/>
        <w:t xml:space="preserve">For sample blank, add 5 &amp;#181;L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20 &amp;#181;L of diluted plasma.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Mix 85 &amp;#181;L of the reagent + 1 &amp;#181;L of urease per sample to prepare the working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Add 80 &amp;#181;L of the working solution to the ‘sample plus standard’ and ‘sample alone’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Add 80 &amp;#181;L of the reagent (no urease) to the ‘sample blank’ well from step 17.3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Tap the plate gently to mix and incubate it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w:t>
        <w:tab/>
        <w:t xml:space="preserve">Read OD</w:t>
      </w:r>
      <w:r>
        <w:rPr>
          <w:rFonts w:ascii="Calibri" w:hAnsi="Calibri" w:cs="Calibri" w:eastAsia="Calibri"/>
          <w:color w:val="auto"/>
          <w:spacing w:val="0"/>
          <w:position w:val="0"/>
          <w:sz w:val="24"/>
          <w:shd w:fill="auto" w:val="clear"/>
          <w:vertAlign w:val="subscript"/>
        </w:rPr>
        <w:t xml:space="preserve">560</w:t>
      </w:r>
      <w:r>
        <w:rPr>
          <w:rFonts w:ascii="Calibri" w:hAnsi="Calibri" w:cs="Calibri" w:eastAsia="Calibri"/>
          <w:color w:val="auto"/>
          <w:spacing w:val="0"/>
          <w:position w:val="0"/>
          <w:sz w:val="24"/>
          <w:shd w:fill="auto" w:val="clear"/>
        </w:rPr>
        <w:t xml:space="preserve"> with a 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17.9.</w:t>
        <w:tab/>
        <w:t xml:space="preserve">Calculate the urea concentration and convert it to BUN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 (mg/dL) = Urea concentration/2.14</w:t>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assay measures the urea (molecular weight: 60) content of serum; however, BUN references only the nitrogen content of urea (molecular weight: 28). Thus, a correction of 2.14 (60/28) is needed to convert urea concentration to BUN.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examine the role of tubular epithelial cells in cytokine production following cisplatin-induced AKI, cisplatin was injected at a concentration of 20 mg/kg followed by an intravenous injection of 0.25 mg of BFA on day 3 after the cisplatin injection. The kidneys were harvested 6 h later. Paraffin-embedded kidneys were sectioned and stained with TGF-&amp;#946;, PDGF-D, and CTGF, representative cytokines responsible for tissue repair in AKI.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are observed in PTCs labeled with LTL in cisplatin-treated kidneys in the presence of BFA. Meanwhile,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were not observed in uninjured or BFA-untreated kidneys.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revealed an increase in TGF-&amp;#946;1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with BFA treatment in cisplatin-induced AKI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Similar to TGF-&amp;#946;, PDGF-D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also accumulated with BFA treatment in cisplatin-induced AKI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Quantification demonstrated that PDGF-D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areas were significantly increased with BFA in LTL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To study the effect of BFA treatment on renal function, plasma BUN levels were measured on day 3 after cisplatin injection. As shown in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BFA injection did not significantly increase plasma BUN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investigate which cytokines are secreted by interstitial cells in cisplatin-induced AKI, the kidneys were stained for TGF-&amp;#946; or CTGF, and interstitial myofibroblasts were labeled by &amp;#945;-SMA.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were observed in &amp;#945;-SMA-labeled interstitial cells in cisplatin-AKI with BFA treatment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quantify the signal within the &amp;#945;-SMA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was outlined and the positive cytokine and &amp;#945;-SMA signals were quantified inside the area. Quantification revealed that the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in the &amp;#945;-SMA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was significantly increased with BFA treatment in cisplatin AKI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also increased with BFA treatment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quantitation demonstrated that BFA treatment enhanced the ratio of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in cisplatin-induced AKI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BFA treatment can be used in chronic kidney injury models, kidney injury was induced via three doses of AA, which induces AKI that develops into a chronic injury with mature renal fibrosis and is clinically relevant to human CKD. BFA was injected on day 42 after AA injection, and the kidneys were harvested 6 h later. Compared to cisplatin-induced injury,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in PTCs were much smaller in the chronic phase of AA. There was minimal positive staining in LTL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however, the signal intensity of TGF-&amp;#946; in kidney injury molecule-1-positive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was increased with BFA treatment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mean intensity level of TGF-&amp;#946; was 3 times higher with BFA injection than without BFA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This finding indicates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BFA injection can be used for immunofluorescence staining and in combination with other markers to evaluate cytokine production in a cell-type-specific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BFA mode of action.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BFA blocks ER-to-Golgi transport of vesicles containing proteins to be secreted, such as TGF-&amp;#946;.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BFA induces a build-up of intracellular cytokines, such as TGF-&amp;#946;, in kidney tubular epithelial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cross-section of a mouse tail. The lateral veins are the most accessible for injection. Abbreviations: BFA = brefeldin A; ER = endoplasmic reticulum; TGF-&amp;#946; = transforming growth factor-beta; BFA- = BFA-negative; BFA+ = BFA-positive.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Immunofluorescence with BFA injection detects cytokine-rich vesicles in tubular epithelial cells in cisplatin-induced acute kidney 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TGF-&amp;#946;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vesicles on day 3 after cisplatin (20 mg/kg) or saline administration. Scale bar = 20 &amp;#181;m. Arrows indicate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in PTCs.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vesicles/tubules in saline (n = 5), saline + BFA (n = 5), Cis (n = 5), Cis + BFA (n = 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PDGF-D-vesicles on day 3 after cisplatin (20 mg/kg) or saline administration. Scale bar = 20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PDGF-D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vesicles/tubules in saline (n = 4), saline + BFA (n = 4), Cis (n = 4), Cis + BFA (n = 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CTGF</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vesicles on day 3 after cisplatin (20 mg/kg) or saline administration. Scale bar = 20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vesicles/tubules in saline (n = 4), saline + BFA (n = 4), Cis (n = 4), Cis + BFA (n = 4).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Plasma BUN level on day 3 after cisplatin (20 mg/kg) administration: Cisplatin (Cis) (n = 7) and cisplatin + BFA (Cis + BFA) (n = 3). Data are presented as means &amp;plusmn; SD. * p &amp;lt; 0.05, **p &amp;lt; 0.01, ***p &amp;lt; 0.001, ****p &amp;lt; 0.0001. Regions bounded by dashed white boxes are shown in higher magnification inset panel. Abbreviations: BFA = brefeldin A; TGF-&amp;#946; = transforming growth factor-beta; Cis = cisplatin; PDGF-D = platelet-derived growth factor-D; CTGF = connective tissue growth factor; BUN = blood urea nitrogen; LTL = lotus tetragonolobus lectin; DAPI = 4',6-diamidino-2-phenylindole; HM = High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Cytokine-rich vesicles observed in myofibroblasts in cisplatin-induced acute kidney injury and tubular epithelial cells in chronic phase of aristolochic acid nephropathy.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on day 3 after cisplatin (20 mg/kg) or saline administration. Scale bar = 20 &amp;#181;m. Arrows indicate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in a-SMA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interstitial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in saline (n = 4), saline + BFA (n = 4), Cis (n = 4), Cis + BFA (n = 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on day 3 after cisplatin (20 mg/kg) or saline administration. Scale bar = 20 &amp;#181;m. Arrows indicate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vesicles in a-SMA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interstitial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CTGF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in saline (n = 4), saline + BFA (n = 4), Cis (n = 4), Cis + BFA (n = 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TGF-&amp;#946;-stained (red) kidney in chronic aristolochic acid nephropathy. Scale bar = 20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Corresponding data of TGF-&amp;#946;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intensity /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in AAN (n = 6) and AAN + BFA (n = 6). Data presented as means &amp;plusmn; SD. * p &amp;lt; 0.05, ***p &amp;lt; 0.001, ****p &amp;lt; 0.0001. Regions bounded by dashed white boxes are shown in higher magnification inset panel. Abbreviations: BFA = brefeldin A; TGF-&amp;#946; = transforming growth factor-beta; &amp;#945;-SMA = alpha-smooth muscle actin; Cis = cisplatin; CTGF = connective tissue growth factor; KIM-1 = kidney injury molecule-1; LTL = lotus tetragonolobus lectin; AAN = aristolochic acid nephropathy; DAPI = 4',6-diamidino-2-phenylindole; HM = high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PTCs are known to regulate AKI and CKD through the secretion of TGF-&amp;#946;, TNF-&amp;#945;, CTGF, PDGF, vascular endothelial growth factor, as well as many other proteins</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Similarly, glomeruli, distal tubules, and other kidney epithelial cells, as well as interstitial cells, secrete these and/or other proteins during injury</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The relative contribution of each of these cell types in cytokine secretion is difficult to elucidate as cytokines are secreted shortly after they are produced. While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and other RNA staining techniques can be used to stain the RNA of secreted proteins, it is difficult to combine these techniques with staining for cell-type-specific markers or injury markers. Alternatively, many studies combine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findings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performed in cultured kidney cells. In this case, kidney injury data are associated with cytokine secretion data from cultured cells to draw conclusions, which has limited translatability to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next-generation sequencing and single-cell RNAseq has enabled the classification of cell types by gene expression and identification of other genes expressed by each cell type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this provides exquisite detail on a population basis, it often leaves out much of the anatomical and pathological data that can be gleaned from kidney sections. In addition, single-cell sequencing often only identifies the top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7,000 genes expressed in each cell, which may not provide enough depth to screen all the cytokines of interest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paper offers an alternative to these approaches. Using BFA to block protein secretion, kidney tissue can be directly stained for cytokines and other proteins of interest, including cell type markers using standard immunofluorescent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TGF-&amp;#946;, PDGF-D, and CTGF are among the most widely studied cytokines in kidney injury. All three are known to act as double-edged swords, promoting recovery following AKI while contributing to fibrosis progression in CKD</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While it is known that kidney tubule epithelial cells and interstitial cells can potentially secrete TGF-&amp;#946;, PDGF-D, and CTGF in kidney injury, directly identifying which cell type and the relative production remains challenging. In the current study, we chose to stain TGF-&amp;#946;, PDGF-D, and CTGF in kidneys during cisplatin-induced AKI, and TGF-&amp;#946; in the AAN CKD model, along with the PTC marker LTL, PTC injury marker KIM-1, or the myofibroblast marker &amp;#945;-SMA. This will allow the determination of whether PTCs or myofibroblasts produce these cytokines and the relative expression levels between experimental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treated with BFA alone, there was little to no positive staining of either cytokine. Likewise, cisplatin treatment only induced a marginal increase in cytokine staining. The combination of cisplatin injury with BFA treatment for 6 h resulted in a dramatic increase in intracellular positive signals of all three cytokines. Similarly, only the cisplatin + BFA group showed a significant increase of TGF-&amp;#946; and CTGF signal in &amp;#945;-SMA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interstitial cells. In the chronic AAN model, in which TGF-&amp;#946; is associated with a pathological response, AA injection alone induced some TGF-&amp;#946; staining, particularly in injured KIM-1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PTCs. BFA treatment increased the positive intracellular signal in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(PTCs are the only kidney tubule cells known to express KIM-1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Interestingly, LTL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LTL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did not show significant TGF-&amp;#946; staining, whereas LTL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KIM-1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PTCs had more TGF-&amp;#946; positivity. The loss of LTL staining suggests that the PTCs expressing higher levels of TGF-&amp;#946; are both injured and dedifferentiated in the chronic phase of injury. This phenotype is likely like the maladaptive repair described previously</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Thus, BFA treatment demonstrates that TGF-&amp;#946; is expressed in PTCs following AKI and during CKD.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current study is focused on immunofluorescent staining, it is important to note that BFA treatment can be combined with other assays. For instance, if the experiment does not call for identifying the cell type secreting the protein of interest, one could inject BFA and perform an immunoblot or ELISA on whole kidney lysates in control versus experimental groups. Another assay that could be considered is flow cytometry. BFA treatment has been combined with flow cytometry in immunological studies to determine the relative production of cytokines in different cell types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While separating kidney epithelial cells from kidney tissue into single cells can be challenging, flow cytometry may be an alternative in laboratories that have the technique established. Additionally, BFA treatment can be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studies in all the assays listed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outlines two of the most common tissue preparation methods, fixed paraffin-embedded tissue and frozen tissue, that work well for the antibodies used in the study. Given the variable nature of antibodies, however, it is likely that researchers adopting this technique will be required to standardize staining protocols or tissue processing further, depending on the antibody. As cytokines are normally secreted, few anticytokine antibodies are tested for staining in tissue. To expedite the standardization of the protocol, we recommend generating positive controls in which organs known to secrete the cytokines of interest are harvested post BFA treatment. For instance, spleens from lipopolysaccharide- and BFA-treated animals could serve as positive control tissue for many different cytokines. Harvesting spleens and processing as paraffin-embedded or frozen tissue would allow for quicker standardization of antibody concentration and buffers. Moreover, if the anticytokine antibodies have been characterized to stain cytokines in their native conformation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these antibodies are more likely to recognize their target in the less-processed frozen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BFA treatment can be a powerful tool when measuring secreted proteins, it is not without limitations. The most apparent limitation is that the secreted protein being analyzed must follow the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Golgi secretion route; otherwise, BFA may have limited effect. Another limitation is that animals treated with BFA may have altered results in other experimental assays. For instance, some kidney injury biomarkers, such as KIM-1, rely on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Golgi transport to be presented on the cell surface. Thus, KIM-1 levels in the urine will likely be reduced in BFA-treated animals. Additionally, there is a concern that BFA may lead to increased cellular stress. While this concern can be mitigated by reducing the time of BFA treatment, it should be a consideration. No significant increase in BUN was observed in this study; however, there was ~10% increase. Thus, care must be taken while deciding other targets or markers to be analyzed in BFA-treated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that BFA can be utilized to block the secretion of proteins, leading to the intracellular build-up of cytokines, which can be stained by standard immunofluorescence techniques. This enables the identification of the cell types secreting specific cytokines or other proteins, and the quantification of cytokine production by these cells. The other advantage of this protocol is that histological and pathological data can be preserved and analyzed in the same or neighboring serial sections. Thus, BFA treatment provides a cost-effective and relatively simple approach to study cytokine production in kidney tissue.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American Heart Association (AHA): Kensei Taguchi, 20POST35200221; HHS | NIH | National Institute of Diabetes and Digestive and Kidney Diseases (NIDDK): Craig Brooks, DK114809-01 DK121101-01.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GBD Chronic Kidney Disease Collaboration. Global, regional, and national burden of kidney disease,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 a systematic analysis for the Global Burden of Disease Study 2017.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(10225),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Canaud, G., Bonventre, J. V. Cell cycle arrest and the evolution of chronic kidney disease from acute kidney injury.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Chawla, L. S., Eggers, P. W., Star, R. A., Kimmel, P. L. Acute kidney injury and chronic kidney disease as interconnected syndromes.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Berger, K., Moeller, M. J. Mechanisms of epithelial repair and regeneration after acute kidney injury. </w:t>
      </w:r>
      <w:r>
        <w:rPr>
          <w:rFonts w:ascii="Calibri" w:hAnsi="Calibri" w:cs="Calibri" w:eastAsia="Calibri"/>
          <w:i/>
          <w:color w:val="auto"/>
          <w:spacing w:val="0"/>
          <w:position w:val="0"/>
          <w:sz w:val="24"/>
          <w:shd w:fill="auto" w:val="clear"/>
        </w:rPr>
        <w:t xml:space="preserve">Seminars in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Bonventre, J. V., Yang, L. Cellular pathophysiology of ischemic acute kidney injury.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(11), 4210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Kurts, C., Panzer, U., Anders, H. J., Rees, A. J. The immune system and kidney disease: basic concepts and clinical implications.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Panzer, U., Steinmetz, O. M., Stahl, R. A., Wolf, G. Kidney diseases and chemokines. </w:t>
      </w:r>
      <w:r>
        <w:rPr>
          <w:rFonts w:ascii="Calibri" w:hAnsi="Calibri" w:cs="Calibri" w:eastAsia="Calibri"/>
          <w:i/>
          <w:color w:val="auto"/>
          <w:spacing w:val="0"/>
          <w:position w:val="0"/>
          <w:sz w:val="24"/>
          <w:shd w:fill="auto" w:val="clear"/>
        </w:rPr>
        <w:t xml:space="preserve">Current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Commins, S. P., Borish, L., Steinke, J. W. Immunologic messenger molecules: cytokines, interferons, and chemokines.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Suppl 2), S53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Jaber, B.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Cytokine gene promoter polymorphisms and mortality in acute renal failure. </w:t>
      </w:r>
      <w:r>
        <w:rPr>
          <w:rFonts w:ascii="Calibri" w:hAnsi="Calibri" w:cs="Calibri" w:eastAsia="Calibri"/>
          <w:i/>
          <w:color w:val="auto"/>
          <w:spacing w:val="0"/>
          <w:position w:val="0"/>
          <w:sz w:val="24"/>
          <w:shd w:fill="auto" w:val="clear"/>
        </w:rPr>
        <w:t xml:space="preserve">Cytokine.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Black, L. M., Lever, J. M., Agarwal, A. Renal inflammation and fibrosis: A double-edged sword.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(9), 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van Kooten, C., Woltman, A. M., Daha, M. R. Immunological function of tubular epithelial cells: the functional implications of CD40 expression. </w:t>
      </w:r>
      <w:r>
        <w:rPr>
          <w:rFonts w:ascii="Calibri" w:hAnsi="Calibri" w:cs="Calibri" w:eastAsia="Calibri"/>
          <w:i/>
          <w:color w:val="auto"/>
          <w:spacing w:val="0"/>
          <w:position w:val="0"/>
          <w:sz w:val="24"/>
          <w:shd w:fill="auto" w:val="clear"/>
        </w:rPr>
        <w:t xml:space="preserve">Experimental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Canaud,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Cyclin G1 and TASCC regulate kidney epithelial cell G2-M arrest and fibrotic maladaptive repair.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(476), eaav4754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Burton, C. J., Combe, C., Walls, J., Harris, K. P. Secretion of chemokines and cytokines by human tubular epithelial cells in response to proteins.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2628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Ripley, C. R., Fant, J., Bienkowski, R. S. Brefeldin A inhibits degradation as well as production and secretion of collagen in human lung fibroblasts.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(5), 3677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Kovacs, S. B., Oh, C., Aachoui, Y., Miao, E. A. Evaluating cytokine production by flow cytometry using brefeldin A in mice.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100244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Fujiwara, T., Oda, K., Yokota, S., Takatsuki, A., Ikehara, Y. Brefeldin A causes disassembly of the Golgi complex and accumulation of secretory proteins in the endoplasmic reticulum.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(34), 18545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Sadeghipour, A., Babaheidarian, P. Making formalin-fixed, paraffin embedded blocks.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1897</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Qin,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cutting and floating method for paraffin-embedded tissue for sectioning.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(139), 58288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Honvo-Houeto, E., Truchet, S. Indirect immunofluorescence on frozen sections of mouse mammary gland.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(106), 53179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Chung,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TGF-&amp;#946; promotes fibrosis after severe acute kidney injury by enhancing renal macrophage infiltration.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 e123563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Meng, X. M., Nikolic-Paterson, D. J., Lan, H. Y. TGF-&amp;#946;: the master regulator of fibrosis. </w:t>
      </w:r>
      <w:r>
        <w:rPr>
          <w:rFonts w:ascii="Calibri" w:hAnsi="Calibri" w:cs="Calibri" w:eastAsia="Calibri"/>
          <w:i/>
          <w:color w:val="auto"/>
          <w:spacing w:val="0"/>
          <w:position w:val="0"/>
          <w:sz w:val="24"/>
          <w:shd w:fill="auto" w:val="clear"/>
        </w:rPr>
        <w:t xml:space="preserve">Nature Reviews.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Kok, H. M., Falke, L. L., Goldschmeding, R., Nguyen, T. Q. Targeting CTGF, EGF and PDGF pathways to prevent progression of kidney disease. </w:t>
      </w:r>
      <w:r>
        <w:rPr>
          <w:rFonts w:ascii="Calibri" w:hAnsi="Calibri" w:cs="Calibri" w:eastAsia="Calibri"/>
          <w:i/>
          <w:color w:val="auto"/>
          <w:spacing w:val="0"/>
          <w:position w:val="0"/>
          <w:sz w:val="24"/>
          <w:shd w:fill="auto" w:val="clear"/>
        </w:rPr>
        <w:t xml:space="preserve">Nature Reviews.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Engel, J. E., Williams, E., Williams, M. L., Bidwell, G. L., 3rd, Chade, A. R. Targeted VEGF (vascular endothelial growth factor) therapy induces long-term renal recovery in chronic kidney disease via macrophage polarization.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B. C., Tang, T. T., Lv, L. L., Lan, H. Y. Renal tubule injury: a driving force toward chronic kidney disease.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 Haij, S., Woltman, A. M., Bakker, A. C., Daha, M. R., van Kooten, C. Production of inflammatory mediators by renal epithelial cells is insensitive to glucocorticoids.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Hong, S., Healy, H., Kassianos, A. J. The emerging role of renal tubular epithelial cells in the immunological pathophysiology of lupus nephritis.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578952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Hwang, B., Lee, J. H., Bang, D. Single-cell RNA sequencing technologies and bioinformatics pipelines. </w:t>
      </w:r>
      <w:r>
        <w:rPr>
          <w:rFonts w:ascii="Calibri" w:hAnsi="Calibri" w:cs="Calibri" w:eastAsia="Calibri"/>
          <w:i/>
          <w:color w:val="auto"/>
          <w:spacing w:val="0"/>
          <w:position w:val="0"/>
          <w:sz w:val="24"/>
          <w:shd w:fill="auto" w:val="clear"/>
        </w:rPr>
        <w:t xml:space="preserve">Experimental &amp;amp;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See, P., Lum, J., Chen, J., Ginhoux, F. A single-cell sequencing guide for immunologists.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2425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Gewin,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Deleting the TGF-&amp;#946; receptor attenuates acute proximal tubule injury.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Nlandu-Khodo,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Blocking TGF-&amp;#946; and &amp;#946;-catenin epithelial crosstalk exacerbates CKD.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3490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Brooks,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KIM-1-/TIM-1-mediated phagocytosis links ATG5-/ULK1-dependent clearance of apoptotic cells to antigen presentation.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(19), 2441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Kishi,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Proximal tubule ATR regulates DNA repair to prevent maladaptive renal injury responses.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(11), 4797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Yu, S. M., Bonventre, J. V. Acute kidney injury and maladaptive tubular repair leading to renal fibrosis. </w:t>
      </w:r>
      <w:r>
        <w:rPr>
          <w:rFonts w:ascii="Calibri" w:hAnsi="Calibri" w:cs="Calibri" w:eastAsia="Calibri"/>
          <w:i/>
          <w:color w:val="auto"/>
          <w:spacing w:val="0"/>
          <w:position w:val="0"/>
          <w:sz w:val="24"/>
          <w:shd w:fill="auto" w:val="clear"/>
        </w:rPr>
        <w:t xml:space="preserve">Current Opinion in Nephrology and 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