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Microsurgical Skills of Establishing Permanent Jugular Vein Cannulation in Rats for Serial Blood Sampling of Orally Administered Drug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Weijia Lu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Ruimin Miao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Sijun 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Junhong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Fanqi Jin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Rui Xue Zhang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Medical Research, Northwestern Polytechnical University, 127 West Youyi Road, Xi’an, Shaanxi 710072, P.R.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Weijia Lu</w:t>
        <w:tab/>
        <w:t xml:space="preserve">(2595lwj@mail.nwpu.edu.cn)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Ruimin Miao</w:t>
        <w:tab/>
        <w:t xml:space="preserve">(miaomia@mail.nwpu.edu.cn)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Sijun Hu</w:t>
        <w:tab/>
        <w:t xml:space="preserve">(husijun211@nwpu.edu.cn)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Junhong Liu</w:t>
        <w:tab/>
        <w:t xml:space="preserve">(770566515@qq.com)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Fanqi Jin</w:t>
        <w:tab/>
        <w:t xml:space="preserve">(381425959@qq.com)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Rui Xue Zhang</w:t>
        <w:tab/>
        <w:t xml:space="preserve">(zhangruixue@nwpu.edu.cn</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Rui Xue Zhang</w:t>
        <w:tab/>
        <w:t xml:space="preserve">(zhangruixue@nwpu.edu.cn</w:t>
      </w:r>
      <w:r>
        <w:rPr>
          <w:rFonts w:ascii="Calibri" w:hAnsi="Calibri" w:cs="Calibri" w:eastAsia="Calibri"/>
          <w:color w:val="auto"/>
          <w:spacing w:val="0"/>
          <w:position w:val="0"/>
          <w:sz w:val="24"/>
          <w:u w:val="single"/>
          <w:shd w:fill="auto" w:val="clear"/>
        </w:rPr>
        <w:t xml:space="preserve">); ORCID: 0000-0002-9418-8125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JVC model, blood vessel, catheter implantation, blood collection, animal care, physiological monitoring, hematological test, pharmacokinetics, natural phenol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Detailed microsurgical techniques are demonstrated to establish a longer-term jugular vein cannulation rat model for sequential blood collection in the same animal. Physiological and hematological parameters have been monitored during the rat’s recovery phase. This model has been applied to study pharmacokinetics of orally administered polyphenol without inducing animal stress.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 sampling in small laboratory animals is necessary for pharmaceutical lead optimization but can cause great harm and stress to experimental animals, which could potentially affect results. The jugular vein cannulation (JVC) in rats is a widely used model for repeated blood collection but requires adequate training of surgery skills and animal care. This article details the microsurgical procedures for establishing and maintaining a permanent JVC rat model with specific focus on the placement and sealing of the jugular cannula. The importance of monitoring physiological (e.g., body weight, food, and water intake) and hematological parameters, was highlighted with results presented for 6 days post-surgery during the rat’s recovery. The drug-plasma concentration-time profile of orally administered natural phenol ellagic acid was determined in the JVC rat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Repeated acquisition of blood samples from small laboratory animals, such as rodents, guinea pigs, and rabbits, is an important aspect for pharmaceutical lead optimization and also for reducing the number of animals used in research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pipeline for developing new diagnostic tools and drug formulation (e.g., vaccine) requires access to different volumes of blood in order to evaluate their robustness and performance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such as pharmacokinetics (PK), toxicity, and sensitivity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laboratory approach to blood sample collection is broadly classified into two types, surgical and nonsurgical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nonsurgical approach is relatively easy to grasp for the researcher, which includes common techniques, such as cardiac puncture, orbital sinus puncture, and bleeding of the saphenous and tail vein. Multiple blood sampling is possible by some non-surgical methods, but the sample volume is small and can cause physical wound and psychological stress to the animals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 the other hand, the surgical approach is a favorite alternative to repeated venipuncture, and it involves placement of a temporary or permanent cannula in the blood vessels of animals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large blood volume could be repeatedly withdrawn through the cannula in conscious rats while avoiding the stress and pain due to the handling technique, restrain, and anesthesia</w:t>
      </w:r>
      <w:r>
        <w:rPr>
          <w:rFonts w:ascii="Calibri" w:hAnsi="Calibri" w:cs="Calibri" w:eastAsia="Calibri"/>
          <w:color w:val="auto"/>
          <w:spacing w:val="0"/>
          <w:position w:val="0"/>
          <w:sz w:val="24"/>
          <w:shd w:fill="auto" w:val="clear"/>
          <w:vertAlign w:val="superscript"/>
        </w:rPr>
        <w:t xml:space="preserve">7,8,10,11</w:t>
      </w:r>
      <w:r>
        <w:rPr>
          <w:rFonts w:ascii="Calibri" w:hAnsi="Calibri" w:cs="Calibri" w:eastAsia="Calibri"/>
          <w:color w:val="auto"/>
          <w:spacing w:val="0"/>
          <w:position w:val="0"/>
          <w:sz w:val="24"/>
          <w:shd w:fill="auto" w:val="clear"/>
        </w:rPr>
        <w:t xml:space="preserve">. However, the cannula implantation requires an experienced researcher with adequate training in order to successfully collect the blood.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 collection through jugular vein cannulation (JVC) in rats is the most widely used method to study the drug PK</w:t>
      </w:r>
      <w:r>
        <w:rPr>
          <w:rFonts w:ascii="Calibri" w:hAnsi="Calibri" w:cs="Calibri" w:eastAsia="Calibri"/>
          <w:color w:val="auto"/>
          <w:spacing w:val="0"/>
          <w:position w:val="0"/>
          <w:sz w:val="24"/>
          <w:shd w:fill="auto" w:val="clear"/>
          <w:vertAlign w:val="superscript"/>
        </w:rPr>
        <w:t xml:space="preserve">6,10,12,13</w:t>
      </w:r>
      <w:r>
        <w:rPr>
          <w:rFonts w:ascii="Calibri" w:hAnsi="Calibri" w:cs="Calibri" w:eastAsia="Calibri"/>
          <w:color w:val="auto"/>
          <w:spacing w:val="0"/>
          <w:position w:val="0"/>
          <w:sz w:val="24"/>
          <w:shd w:fill="auto" w:val="clear"/>
        </w:rPr>
        <w:t xml:space="preserve">. Yet, establishment of the JVC rat model needs careful practice of microsurgical skills and knowledge of postsurgical care and maintenance. Especially, after the surgery, the rat requires administration of analgesics and sufficient recovery time to reach stable physiological condition for further experiments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Although the body weight gain (i.e., &amp;gt;10 g) is a valid and commonly applied indicator for the rat’s recovery, it is not uncommon that the rats have unexpected death postoperatively due to dehydration, infection, and inflammation, which could be subtle to notice at the early onset</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In addition, catheter obstruction in the JVC model remains to be an issue during the blood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has demonstrated in detail the microsurgical procedures for JVC in an anesthetized rat with specific focus on the identification, isolation, and cannulation of the jugular vein. The importance of physiological and hematological monitoring of the rats during the recovery phase is highlighted. Finally, serial blood samples were collected through the venous catheter to study the PK of the orally administered natural phenol ellagic acid with poor bioavailability (i.e., low systemic concentration) to verify the JVC rat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procedures described below were performed as part of a protocol approved by the Institutional Animal Care and Use Committee of Northwestern Polytechnical University (No. 202101117).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Preoperative preparation (the day before the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Required solutions: normal saline (0.9% w/v sodium chloride), heparinized saline (1% w/v heparin sodium), catheter lock solution, non-steroidal anti-inflammatory drug (NSAID), and meloxicam solution (2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Solution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Aliquot 200 &amp;#181;L of pre-packaged catheter lock solution in a 1.5 mL sterile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Catheter lock solution is composed of heparinized saline (0.4% v/v heparin sodium) mixed with glycerol (v/v,1:1).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Mix 1 g of heparin sodium in 100 mL of the normal saline to prepare 1% heparinized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Dissolve meloxicam in normal saline to prepare a 2 mg/mL concentration solution for postoperative pain relief.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Prepared heparinized saline and meloxicam solution are filtered through a 0.22 &amp;#181;m filter. All the solutions are sterilized and stored at 4</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for future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Surgical instruments and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Pack all clean surgical tools in a pouch and tape it with a piece of autoclave sterilization tape. Refer to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for the specific surgical instruments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Autoclave the surgical pouch at 121 &amp;#176;C for 30 min for the next day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Animal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Prior to the surgery, house all male Sprague-Dawley (SD) rats in the standard Animal Room with controlled temperature at 22 &amp;plusmn; 1 &amp;#176;C. Feed them with the standard laboratory food and water</w:t>
      </w:r>
      <w:r>
        <w:rPr>
          <w:rFonts w:ascii="Calibri" w:hAnsi="Calibri" w:cs="Calibri" w:eastAsia="Calibri"/>
          <w:i/>
          <w:color w:val="auto"/>
          <w:spacing w:val="0"/>
          <w:position w:val="0"/>
          <w:sz w:val="24"/>
          <w:shd w:fill="auto" w:val="clear"/>
        </w:rPr>
        <w:t xml:space="preserve"> ad libitum</w:t>
      </w:r>
      <w:r>
        <w:rPr>
          <w:rFonts w:ascii="Calibri" w:hAnsi="Calibri" w:cs="Calibri" w:eastAsia="Calibri"/>
          <w:color w:val="auto"/>
          <w:spacing w:val="0"/>
          <w:position w:val="0"/>
          <w:sz w:val="24"/>
          <w:shd w:fill="auto" w:val="clear"/>
        </w:rPr>
        <w:t xml:space="preserve"> for at least 7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male and female rats can be used for the JVC model, and their typical ages and body weights vary from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weeks and 294 &amp;plusmn; 57 g,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Anesthetize the rat with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isoflurane mixed with oxygen in a pre-anesthesia chamber. Determine whether the rat becomes unconscious by the lack of response to foot pinch.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Gently take the rat out, place the rat’s nose into an anesthetic nosepiece supplying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isoflurane.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In the ventral and dorsal position, shave the fur thoroughly around its right shoulder and posterior areas of neck with a pet razor. Return the rat to the cage for surgery to be performed on the next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Before the surgery on the day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the aseptic workstation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Spray 75% medical alcohol to disinfect the operation area, and then place the heating pad covered with a clean cushion. Set the LED lamp with a cold light source beside the workstation.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Pre-warm the required solutions (step 1.1) to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Fill 0.6 mL of heparinized saline and 0.15 mL of catheter lock solution in two sterile 1.0 mL blunt tipped syringes, respectively. Withdraw 2.5 mL of the normal saline using a sterile 5.0 mL syringe.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Soak the 6-0 sterile non-absorbable silk suture thread and cotton balls in 75% medical alcohol. Squeeze out excess ethanol before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Weigh and record the rat’s body weight.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During the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Surgical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Wear the surgical coat, sterile gloves, and facial mask. Then open the sterilized surgical pouch, leave all surgical tools in 75% medical alcohol, and dry them before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Jugular vein isolation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estimated operation time for this part is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Anesthetize the surgery-ready and shaved rat with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isoflurane mixed with oxygen in the pre-anesthesia chamber and determine whether the rat becomes unconscious by the lack of response to foot pinch.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Place the rat’s nose into the anesthetic nosepiece supplied with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isoflurane for adequate anesthesia.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Using adhesive tape, restrain the rat’s forearms in their ventral position to each side of the surgical platform.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Gently scrub the surgical area by alternating between cotton balls soaked in </w:t>
      </w:r>
      <w:r>
        <w:rPr>
          <w:rFonts w:ascii="Calibri" w:hAnsi="Calibri" w:cs="Calibri" w:eastAsia="Calibri"/>
          <w:color w:val="000000"/>
          <w:spacing w:val="0"/>
          <w:position w:val="0"/>
          <w:sz w:val="24"/>
          <w:shd w:fill="auto" w:val="clear"/>
        </w:rPr>
        <w:t xml:space="preserve">75% medical alcohol and iodine-based scrub for a total of three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Carefully lift the skin near the clavicle on the right side of the midline of the neck with forceps and make an incision towards the chest about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cm in length with a pair of surgical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Blunt dissect the thin tissue cover with iris scissors to expose the underneath jugular vein. The proximal cephalic end of the external jugular vein consists of two branches, which can be visually identified.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Depending on the age and sex of the rat, the soft tissue (e.g., salivary glands, lymphatic nodes, and fatty tissues) covering the jugular vein varies. Compared to the young rats, the old rats are fatter (e.g., BW &amp;gt; 300 g), and thus need more tissue separation before the jugular vein is visible.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Lift the jugular vein along with its connective membranous tissues to visualize the lymph gland attached to the jugular vein. Carefully separate the vein along the vascular direction from surrounding muscle, fat, and other tissues.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w:t>
        <w:tab/>
        <w:t xml:space="preserve">Nudge the forceps under the jugular vein without damaging the collateral blood vessels and pass two pieces of 6-0 suture under the vein to mark the two ends of the blood vessel individually.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3.2.9.</w:t>
        <w:tab/>
        <w:t xml:space="preserve">Pull one piece of the suture as far as possible toward the rat head and ligate the vein cranially with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knots using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3.2.10.</w:t>
        <w:tab/>
        <w:t xml:space="preserve">Place the second ligature on the caudal end of the vein with 1 loose knot.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Jugular vein cannulation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estimated operation time for this part is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Open the package containing 11 cm polyurethane (PU) catheter (I.D. 0.6 mm x O.D. 0.9 mm,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and attach the catheter to the prepared blunt tipped syringe filled with the heparinized saline.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Slowly push the heparinized saline into the catheter to avoid air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Nudge the non-tip flat side of the forceps under the jugular vein to exit on the other side. Make a small v-shaped cut on the vein near the cranial tie with a pair of castroviejo micro scissors and gently open the incision with the tip of the elbow vessel dilator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Rinse the incision with pre-warmed normal saline (37 &amp;#176;C) if a small amount of blood gushes out.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Cut out the oblique opening of the front end of the jugular vein catheter. Clamp the oblique end of the tube with forceps and slide it into the jugular vein.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step may need another person to facilitate the catheter sliding.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While advancing the catheter, slowly withdraw the elbow microsurgical forceps and clamp the outer surface of the vessel with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right blood vessel is selected and the tip of the catheter is successfully slid into the blood vessel, the entire catheter insertion process should not feel any flow resistance.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Stop inserting the catheter upon hitting the first blue mark of the PU tube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which is approximately 3.0 cm in length.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w:t>
        <w:tab/>
        <w:t xml:space="preserve">Secure the inserted catheter to the vein with both caudal and rostral ligatures using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w:t>
        <w:tab/>
        <w:t xml:space="preserve">Thread a 6-0 suture through the exposed tissue on the right side of the incision using a suture needle (1/2 curved cutting, 12 mm) and tie the ligature with a hemostat.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3.3.9.</w:t>
        <w:tab/>
        <w:t xml:space="preserve">Bend the catheter at the second blue mark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to bind with the same ligature (in step 3.3.8) and to avoid occluding the PU-tubing.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3.3.10.</w:t>
        <w:tab/>
        <w:t xml:space="preserve">Snip all the extra suture thread and close the catheter by replacing the blunt tipped syringe with a 22 G stainless-steel plug.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Catheter exteriorization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estimated operation time for this part is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Place the rat in the dorsal position and gently clean the area between the scapulae with the cotton ball soaked in 75% medical alcohol.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Make a very small incision at the center of the dorsal neck with surgical scissors. Through the dorsal incision, guide and gently push the trochar underneath the skin toward the ventral incision on the right side of the neck.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tab/>
        <w:t xml:space="preserve">Put the venous catheter into the trochar and then pull out and guide the venous catheter toward the dorsal incision.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w:t>
        <w:tab/>
        <w:t xml:space="preserve">Secure the exteriorized catheter into the muscle layer in the same way with the suture (see the procedure in steps 3.3.8 and 3.3.9).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w:t>
        <w:tab/>
        <w:t xml:space="preserve">Close the skin layer of ventral and dorsal incisions with the suture needle (3/8 curved cutting, 17 mm). Swab all surgical incisions with iodophor.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wound-clips is an alternative method to close the skin incision.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3.4.6.</w:t>
        <w:tab/>
        <w:t xml:space="preserve">Remove the catheter plug by clasping the catheter with fingertips. Place a new blunt tipped syringe and slowly draw back the syringe to test the blood flow.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Since the rat is in the supine position, one may not be able to obtain blood samples. Blood samples could be obtained by changing to a side body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3.4.7.</w:t>
        <w:tab/>
        <w:t xml:space="preserve">Hold the catheter again with fingertips and inject 0.1 mL of lock solution into the catheter using the blunt tipped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3.4.8.</w:t>
        <w:tab/>
        <w:t xml:space="preserve">Hold the catheter with fingertips and replace the syringe with a stainless-steel plug. Unclamp the catheter and push the plug slightly in to ensure the tightness of the catheter.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Immediate post-surgical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Subcutaneously inject (</w:t>
      </w:r>
      <w:r>
        <w:rPr>
          <w:rFonts w:ascii="Calibri" w:hAnsi="Calibri" w:cs="Calibri" w:eastAsia="Calibri"/>
          <w:i/>
          <w:color w:val="auto"/>
          <w:spacing w:val="0"/>
          <w:position w:val="0"/>
          <w:sz w:val="24"/>
          <w:shd w:fill="auto" w:val="clear"/>
        </w:rPr>
        <w:t xml:space="preserve">s.q.</w:t>
      </w:r>
      <w:r>
        <w:rPr>
          <w:rFonts w:ascii="Calibri" w:hAnsi="Calibri" w:cs="Calibri" w:eastAsia="Calibri"/>
          <w:color w:val="auto"/>
          <w:spacing w:val="0"/>
          <w:position w:val="0"/>
          <w:sz w:val="24"/>
          <w:shd w:fill="auto" w:val="clear"/>
        </w:rPr>
        <w:t xml:space="preserve">) meloxicam solution at a dose of 2 mg/kg immediately after the procedure in step 3.4.6 and terminate the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Select analgesics which avoid potential drug-drug interactions according to the drug compound of interest used in the future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Recover the rat in the dorsal decubitus position by caging it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individually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fresh corncob bedding. Often, provide a temperature-regulated heating pad to maintain the core body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animal welfare, leaving food and water on the bedding is an effective way to alleviate the pain caused by neck movements when eating and drinking.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Record the end time of the surgery and monitor the rat at 2 h intervals for at least 4 h. Provide additional analgesia for the recovery if the rat shows signs of pain or distress.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Physiological and hematological monitoring during recovery 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Monitor the body weight and the food and water intake daily and record the data. For hematological test, collect a small volume of fresh blood at the same time period every day for 6 consecutive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Place the rat in a stainless-steel restrainer 1 h after the surgical intervention. Open the plug and insert the syringe into the venous PU catheter to ensure the catheter is not obstructed.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Discard the initial withdrawn blood, which contains a mixture of blood, heparinized saline, and catheter lock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Use a new syringe to collect 150 &amp;#181;L of fresh blood sample and transfer the blood sample to the 0.5 mL tube containing K2EDTA (1.8 mg/mL blood) spray dried on the tube wall.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catheter is blocked, 0.2 mL of heparinized saline can be injected into the catheter to flush the catheter a few minutes before the next blood collection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Inject sterile saline in the same volume to compensate for the withdrawn blood. Inject 150 &amp;#181;L of pre-warmed normal saline (37 &amp;#176;C</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and infuse 0.2 mL sterile heparinized normal saline through the catheter.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Inject 100 &amp;#181;L of the lock solution into the catheter to ensure the sealing and sterility of the catheter before the next sample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Analyze the blood samples within 2 h of collection using an automated blood cell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Repeated blood sampling for pharmacokinetic studies of oral administered drug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Rats with weight gain &amp;gt;10 g and stable hematological level are suggested to be enrolled for future study. Following the current protocol, the JVC rat model is ready to use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days post-surgery.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After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days of surgery, fast the rat for 12 h with free access to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experimental goal, fasting the animal is optional.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Orally gavage the fasted rat with natural phenol bioactive ellagic acid at a dose of 6 mg/kg with a straight gavage needle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Collect 200 &amp;#181;L of blood samples in the heparinized tubes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jugular vein cannula at pre-determined time points over 24 h post-oral administration. The blood collection process follows the procedure in step 5.5.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catheter does not need to be closed with the lock solution until the blood collection is completed.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Immediately centrifuge the blood sample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Analyze the extracted plasma sample by liquid chromatography-mass spectroscopy</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thoroughly demonstrated how to establish a long-term JVC model using microsurgical skills for serial blood collection.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shows the essential surgical instruments and materials used to conduct the surgery. The specification of PU catheter with three blue marks is also illustrated, which is helpful for guiding the researcher to place the vein cannula in step 3.3</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how to use the marks on the PU catheter to guide the cannulation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It is also important to be aware of the timeline required to establish the JVC rat model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Although the operating time for the JVC is approximately 35 min, if the researcher is skillful, it takes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days (the adaptation and recovery phase) for the JVC rat model to be ready for use, compared to the non-surgical approach, such as the tail snipping or orbital sinus puncture, which can be used immediately with proper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physiological and hematological conditions over 6 days postoperatively was also investigated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rat's body weight gain, food and water intake, and complete blood cell count were variable during the recovery phase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It was found that the majority of rats under the present study condition recover within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days post-surgery as evidenced by restored levels of some key features, such as body weight gain &amp;gt;10 g, regular diet intake, and selected blood components relating to infection, dehydration, and inflammation, including white blood cell count, red blood cell count, hemoglobin and platelet count (</w:t>
      </w:r>
      <w:r>
        <w:rPr>
          <w:rFonts w:ascii="Calibri" w:hAnsi="Calibri" w:cs="Calibri" w:eastAsia="Calibri"/>
          <w:b/>
          <w:color w:val="auto"/>
          <w:spacing w:val="0"/>
          <w:position w:val="0"/>
          <w:sz w:val="24"/>
          <w:shd w:fill="auto" w:val="clear"/>
        </w:rPr>
        <w:t xml:space="preserve">Figure 2C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It is worth noting that the amount of water intake in rats was relatively large on the first day post-operation, indicating dehydration.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Pharmacokinetics of the natural polyphenol, ellagic acid was studied in the established JVC rat model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ellagic acid is characterized with poor drug bioavailability. When administered in a low dose (e.g., 6 mg/kg), a large volume of blood sample is required to detect its concentration in the plasma.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low plasma-concentration ellagic acid concentration in ng/mL over 24 h and its varied gastro-intestinal tract (GIT) absorption owing to its poor solubility and permeability.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Overview of the main surgical instruments and supplies used for JVC rat model establishment.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Top: a-d is normal saline, iodophor, plastic ware, spray bottle with 75% medical alcohol, respectively; Middle: e-o is 5.0 mL syringe, 1.0 mL syringe, blunt tipped syringe, sterile cannula, surgical scissors, iris scissors, half-curved forceps, vessel dilator balanced forceps, castroviejo micro scissors, stainless steel trochar, pet razor, respectively; bottom: p-w is cotton swabs, 6-0 sterile non-absorbable silk suture thread, cotton balls, two types of suture needle, stainless steel plug, curved hemostat, adhesive tape, anesthetic nosepiece, respectively.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Specification of the PU catheter used for cannulation of jugular vein in rats. The catheter is 11 mm in total length with O.D 0.6 mm x I.D 0.9 mm. The catheter has three blue marks to serve as an anchor point during the cannulation;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Suggested timeline of establishing JVC rat model. In this study, the rat’s body weight, as well as the food and water intake, were recorded daily during the recovery phase, and blood samples were collected once daily for routine hematological monitoring.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Physiological and hematological monitoring of rats over 6 days post-operatively.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Body weight change;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change in water and food intake;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White blood cell count, red blood cell count, hemoglobin, and platelet count, respectively. The data represent the mean &amp;plusmn; SEM with n = 6. The numeric values in blue represent the mean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Plasma ellagic acid concentration-time profiles of rats over 24 h after oral gavage.</w:t>
      </w:r>
      <w:r>
        <w:rPr>
          <w:rFonts w:ascii="Calibri" w:hAnsi="Calibri" w:cs="Calibri" w:eastAsia="Calibri"/>
          <w:color w:val="auto"/>
          <w:spacing w:val="0"/>
          <w:position w:val="0"/>
          <w:sz w:val="24"/>
          <w:shd w:fill="auto" w:val="clear"/>
        </w:rPr>
        <w:t xml:space="preserve"> The data represent the mean &amp;plusmn; SEM with n = 3. The values of PK parameters are obtained using add-in program PKSolver in a spreadsheet software (e.g., Microsoft Excel)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Cmax: peak concentration, Tmax: time to reach Cmax; AUCinf: area under the plasma concentration-time curve from time zero to infinity.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Mastering the technique of vessel cannulation requires significant practice and learning the lesson from each operation. Christakis et al. using cumulative sum (CUSUM) analysis, found that a researcher needs to practice 200 rats over a period of one year before being ready for the PK evaluation of drug candidates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Yet, the operating time required for the vein cannulation can be significantly reduced by the number of rats performed</w:t>
      </w:r>
      <w:r>
        <w:rPr>
          <w:rFonts w:ascii="Calibri" w:hAnsi="Calibri" w:cs="Calibri" w:eastAsia="Calibri"/>
          <w:color w:val="auto"/>
          <w:spacing w:val="0"/>
          <w:position w:val="0"/>
          <w:sz w:val="24"/>
          <w:shd w:fill="auto" w:val="clear"/>
          <w:vertAlign w:val="superscript"/>
        </w:rPr>
        <w:t xml:space="preserve">13,20</w:t>
      </w:r>
      <w:r>
        <w:rPr>
          <w:rFonts w:ascii="Calibri" w:hAnsi="Calibri" w:cs="Calibri" w:eastAsia="Calibri"/>
          <w:color w:val="auto"/>
          <w:spacing w:val="0"/>
          <w:position w:val="0"/>
          <w:sz w:val="24"/>
          <w:shd w:fill="auto" w:val="clear"/>
        </w:rPr>
        <w:t xml:space="preserve">. Using our protocol, the success rate of effectively cannulating the jugular vein and collecting the blood sample increased from approximately 50% to above 80% (total rats performed were 15), and the initial operating time was reduced to 35 min from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demonstration of establishing a JVC rat model involves several critical steps. Firstly, the incision area around the neck is important for initially locating the jugular vein. If the right JVC is performed, the incision area is generally selected on the upper side of the clavicle along the right side of the neck midline (see section 3.2 jugular vein isolation). Secondly, JVC depends on preparation of a clean segment of the vein. Upon blunt dissection of soft tissue, the jugular vein is visible and identified by these two features: 1) two branches at the proximal end, and 2) a lymph node attached to it. Thirdly, while sliding the catheter into the jugular vein (see section 3.3 jugular vein cannulation), trimming the front end of the catheter, and supporting the blood vessel with steady external force could greatly improve the success rate of cannulation. Moreover, proper analgesia and heat must be provided for comforting the rat, as stress and pain can cause alterations in animal’s behavior that may influence their post-operative recovery. Lastly, the duration of anesthesia, heat loss, and the complication can cause unexpected rat death; thus, it is important to closely monitor the rats during and after the surgery for at least 3 days. Evaluation of multiple health indicators, such as the body weight gain, diet, and drinking status, and hematological components of rats during the recovery period, could provide information that can be compared with reference values of interest of healthy SD rats in the database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Most rats gain their body weight (e.g., &amp;gt;10 g) by day 3 post-surgery and thus, should be ready for use. Yet, for studies involving blood biomarkers evaluation (e.g., leukocyte, cytokines), it is recommended to enroll the rats by day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post-surgery, to ensure the normal hematological indexes for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Despite its usefulness in PK study, depending on the catheter materials, not all drug candidates are suitable for the single cannulation. Gaud et al. found high log P compounds were bound to the PE catheter material, resulting in altered PK</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addition, the analgesics (e.g., meloxicam) is often applied to reduce the pain in rat post-surgery. Considering the elimination half-life of meloxicam is around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h</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the single dose of meloxicam (2 mg/kg) injected </w:t>
      </w:r>
      <w:r>
        <w:rPr>
          <w:rFonts w:ascii="Calibri" w:hAnsi="Calibri" w:cs="Calibri" w:eastAsia="Calibri"/>
          <w:i/>
          <w:color w:val="auto"/>
          <w:spacing w:val="0"/>
          <w:position w:val="0"/>
          <w:sz w:val="24"/>
          <w:shd w:fill="auto" w:val="clear"/>
        </w:rPr>
        <w:t xml:space="preserve">s.q.</w:t>
      </w:r>
      <w:r>
        <w:rPr>
          <w:rFonts w:ascii="Calibri" w:hAnsi="Calibri" w:cs="Calibri" w:eastAsia="Calibri"/>
          <w:color w:val="auto"/>
          <w:spacing w:val="0"/>
          <w:position w:val="0"/>
          <w:sz w:val="24"/>
          <w:shd w:fill="auto" w:val="clear"/>
        </w:rPr>
        <w:t xml:space="preserve"> is almost cleared out of the body after 24 h. Yet, potential drug-drug interactions can occur in use of meloxicam. It is likely that multiple doses of meloxicam for several consecutive days may cause liver injury and transiently elevate the aminotransferase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Additionally, meloxicam can compete with other drugs for Cytochrome P450 metabolism</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Thus, the dose and type of analgesics selected should be screened depending on the drug chosen for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protocol has thoroughly demonstrated how to establish a long-term JVC rat model for blood collection at the laboratory setting and to investigate the physiological status of rats during the postsurgical recovery phase. The highlighted vital surgical steps and experiences could be helpful for the researcher to efficiently achieve the application of the cannulation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National Natural Science Foundation of China (No. 82003692) to R.X. Zhang; Top Academic Scholarship at Northwestern Polytechnical University to R. Miao.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Parasuraman, S., Raveendran, R., Kesavan, R. Blood sample collection in small laboratory animals. </w:t>
      </w:r>
      <w:r>
        <w:rPr>
          <w:rFonts w:ascii="Calibri" w:hAnsi="Calibri" w:cs="Calibri" w:eastAsia="Calibri"/>
          <w:i/>
          <w:color w:val="auto"/>
          <w:spacing w:val="0"/>
          <w:position w:val="0"/>
          <w:sz w:val="24"/>
          <w:shd w:fill="auto" w:val="clear"/>
        </w:rPr>
        <w:t xml:space="preserve">Journal of Pharmacology and Pharmacotherapeutics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Sadler, A. M., Bailey, S. J. Validation of a refined technique for taking repeated blood samples from juvenile and adult mice. </w:t>
      </w:r>
      <w:r>
        <w:rPr>
          <w:rFonts w:ascii="Calibri" w:hAnsi="Calibri" w:cs="Calibri" w:eastAsia="Calibri"/>
          <w:i/>
          <w:color w:val="auto"/>
          <w:spacing w:val="0"/>
          <w:position w:val="0"/>
          <w:sz w:val="24"/>
          <w:shd w:fill="auto" w:val="clear"/>
        </w:rPr>
        <w:t xml:space="preserve">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316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Zhang, R.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Coordinating biointeraction and bioreaction of a nanocarrier material and an anticancer drug to overcome membrane rigidity and target mitochondria in multidrug-resistant cancer cells.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(39), 12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Zhang, R.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Polymer-lipid hybrid nanoparticles synchronize pharmacokinetics of co-encapsulated doxorubicin-mitomycin C and enable their spatiotemporal co-delivery and local bioavailability in breast tumor. </w:t>
      </w:r>
      <w:r>
        <w:rPr>
          <w:rFonts w:ascii="Calibri" w:hAnsi="Calibri" w:cs="Calibri" w:eastAsia="Calibri"/>
          <w:i/>
          <w:color w:val="auto"/>
          <w:spacing w:val="0"/>
          <w:position w:val="0"/>
          <w:sz w:val="24"/>
          <w:shd w:fill="auto" w:val="clear"/>
        </w:rPr>
        <w:t xml:space="preserve">Nanomedicine-Nanotechnology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1279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1290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Zhang, R.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Sample extraction and simultaneous chromatographic quantitation of doxorubicin and mitomycin C following drug combination delivery in nanoparticles to tumor-bearing mice.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(128), 11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Bakar, S. K., Niazi, S. Simple reliable method for chronic cannulation of the jugular vein for pharmacokinetic studies in rats. </w:t>
      </w:r>
      <w:r>
        <w:rPr>
          <w:rFonts w:ascii="Calibri" w:hAnsi="Calibri" w:cs="Calibri" w:eastAsia="Calibri"/>
          <w:i/>
          <w:color w:val="auto"/>
          <w:spacing w:val="0"/>
          <w:position w:val="0"/>
          <w:sz w:val="24"/>
          <w:shd w:fill="auto" w:val="clear"/>
        </w:rPr>
        <w:t xml:space="preserve">Journal of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(9), 1027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1029 (1983).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Harms, P. G., Ojeda, S. R. A rapid and simple procedure for chronic cannulation of the rat jugular vein.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392 (1974).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Thrivikraman, K. V., Huot, R. L., Plotsky, P. M. Jugular vein catheterization for repeated blood sampling in the unrestrained conscious rat. </w:t>
      </w:r>
      <w:r>
        <w:rPr>
          <w:rFonts w:ascii="Calibri" w:hAnsi="Calibri" w:cs="Calibri" w:eastAsia="Calibri"/>
          <w:i/>
          <w:color w:val="auto"/>
          <w:spacing w:val="0"/>
          <w:position w:val="0"/>
          <w:sz w:val="24"/>
          <w:shd w:fill="auto" w:val="clear"/>
        </w:rPr>
        <w:t xml:space="preserve">Brain Research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Weeks, J. R., Davis, J. D. Chronic intravenous cannulas for rats.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541 (1964).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Goldkuhl,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Plasma concentrations of corticosterone and buprenorphine in rats subjected to jugular vein catheterization. </w:t>
      </w:r>
      <w:r>
        <w:rPr>
          <w:rFonts w:ascii="Calibri" w:hAnsi="Calibri" w:cs="Calibri" w:eastAsia="Calibri"/>
          <w:i/>
          <w:color w:val="auto"/>
          <w:spacing w:val="0"/>
          <w:position w:val="0"/>
          <w:sz w:val="24"/>
          <w:shd w:fill="auto" w:val="clear"/>
        </w:rPr>
        <w:t xml:space="preserve">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Steffens, A. B. A method for frequent sampling of blood and continuous infusion of fluids in the rat without disturbing the animal. </w:t>
      </w:r>
      <w:r>
        <w:rPr>
          <w:rFonts w:ascii="Calibri" w:hAnsi="Calibri" w:cs="Calibri" w:eastAsia="Calibri"/>
          <w:i/>
          <w:color w:val="auto"/>
          <w:spacing w:val="0"/>
          <w:position w:val="0"/>
          <w:sz w:val="24"/>
          <w:shd w:fill="auto" w:val="clear"/>
        </w:rPr>
        <w:t xml:space="preserve">Physiology &amp;amp;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836 (1969).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Terao, N., Shen, D. D. Alterations in serum protein binding and pharmacokinetics of l-propranolol in the rat elicited by the presence of an indwelling venous catheter. </w:t>
      </w:r>
      <w:r>
        <w:rPr>
          <w:rFonts w:ascii="Calibri" w:hAnsi="Calibri" w:cs="Calibri" w:eastAsia="Calibri"/>
          <w:i/>
          <w:color w:val="auto"/>
          <w:spacing w:val="0"/>
          <w:position w:val="0"/>
          <w:sz w:val="24"/>
          <w:shd w:fill="auto" w:val="clear"/>
        </w:rPr>
        <w:t xml:space="preserve">Journal of Pharmacology and Experimental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(2), 369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 (1983).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Feng,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Catheterization of the carotid artery and jugular vein to perform hemodynamic measures, infusions and blood sampling in a conscious rat model.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(95), 51881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Karim, N., Ali, S. Jugular vein cannulation in rats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mini review. </w:t>
      </w:r>
      <w:r>
        <w:rPr>
          <w:rFonts w:ascii="Calibri" w:hAnsi="Calibri" w:cs="Calibri" w:eastAsia="Calibri"/>
          <w:i/>
          <w:color w:val="auto"/>
          <w:spacing w:val="0"/>
          <w:position w:val="0"/>
          <w:sz w:val="24"/>
          <w:shd w:fill="auto" w:val="clear"/>
        </w:rPr>
        <w:t xml:space="preserve">Canadian Journal of Pure and Applied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929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935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Ling, S., Jamali, F. Effect of cannulation surgery and restraint stress on the plasma corticosterone concentration in the rat: application of an improved corticosterone HPLC assay. </w:t>
      </w:r>
      <w:r>
        <w:rPr>
          <w:rFonts w:ascii="Calibri" w:hAnsi="Calibri" w:cs="Calibri" w:eastAsia="Calibri"/>
          <w:i/>
          <w:color w:val="auto"/>
          <w:spacing w:val="0"/>
          <w:position w:val="0"/>
          <w:sz w:val="24"/>
          <w:shd w:fill="auto" w:val="clear"/>
        </w:rPr>
        <w:t xml:space="preserve">Journal of Pharmacy &amp;amp; Pharmaceutical Sciences a Publication of the Canadian Society for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Lei, F. et al. Pharmacokinetic study of ellagic acid in rat after oral administration of pomegranate leaf extract. </w:t>
      </w:r>
      <w:r>
        <w:rPr>
          <w:rFonts w:ascii="Calibri" w:hAnsi="Calibri" w:cs="Calibri" w:eastAsia="Calibri"/>
          <w:i/>
          <w:color w:val="auto"/>
          <w:spacing w:val="0"/>
          <w:position w:val="0"/>
          <w:sz w:val="24"/>
          <w:shd w:fill="auto" w:val="clear"/>
        </w:rPr>
        <w:t xml:space="preserve">Journal of Chromatography B-Analytical Technologies in the Biomedical and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796</w:t>
      </w:r>
      <w:r>
        <w:rPr>
          <w:rFonts w:ascii="Calibri" w:hAnsi="Calibri" w:cs="Calibri" w:eastAsia="Calibri"/>
          <w:color w:val="auto"/>
          <w:spacing w:val="0"/>
          <w:position w:val="0"/>
          <w:sz w:val="24"/>
          <w:shd w:fill="auto" w:val="clear"/>
        </w:rPr>
        <w:t xml:space="preserve"> (1),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Yan, L.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Method development and validation for pharmacokinetic and tissue distributions of ellagic acid using Ultrahigh Performance Liquid Chromatography-Tandem Mass Spectrometry (UPLC-MS/MS).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(11), 18923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18935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Long, J.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Bioavailability and bioactivity of free ellagic acid compared to pomegranate juice. </w:t>
      </w:r>
      <w:r>
        <w:rPr>
          <w:rFonts w:ascii="Calibri" w:hAnsi="Calibri" w:cs="Calibri" w:eastAsia="Calibri"/>
          <w:i/>
          <w:color w:val="auto"/>
          <w:spacing w:val="0"/>
          <w:position w:val="0"/>
          <w:sz w:val="24"/>
          <w:shd w:fill="auto" w:val="clear"/>
        </w:rPr>
        <w:t xml:space="preserve">Food &amp;amp; 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6582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6588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Zhang, Y. et al. PKSolver: An add-in program for pharmacokinetic and pharmacodynamic data analysis in Microsoft Excel. </w:t>
      </w:r>
      <w:r>
        <w:rPr>
          <w:rFonts w:ascii="Calibri" w:hAnsi="Calibri" w:cs="Calibri" w:eastAsia="Calibri"/>
          <w:i/>
          <w:color w:val="auto"/>
          <w:spacing w:val="0"/>
          <w:position w:val="0"/>
          <w:sz w:val="24"/>
          <w:shd w:fill="auto" w:val="clear"/>
        </w:rPr>
        <w:t xml:space="preserve">Computer Methods and Programs in 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(3), 306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Christakis,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Learning curve of vessel cannulation in rats using cumulative sum analysis. </w:t>
      </w:r>
      <w:r>
        <w:rPr>
          <w:rFonts w:ascii="Calibri" w:hAnsi="Calibri" w:cs="Calibri" w:eastAsia="Calibri"/>
          <w:i/>
          <w:color w:val="auto"/>
          <w:spacing w:val="0"/>
          <w:position w:val="0"/>
          <w:sz w:val="24"/>
          <w:shd w:fill="auto" w:val="clear"/>
        </w:rPr>
        <w:t xml:space="preserve">Journal of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(1),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Nm, S., Oduola, A. Haematological profile shows that Inbred Sprague Dawley rats have exceptional promise for use in biomedical and pharmacological studies. </w:t>
      </w:r>
      <w:r>
        <w:rPr>
          <w:rFonts w:ascii="Calibri" w:hAnsi="Calibri" w:cs="Calibri" w:eastAsia="Calibri"/>
          <w:i/>
          <w:color w:val="auto"/>
          <w:spacing w:val="0"/>
          <w:position w:val="0"/>
          <w:sz w:val="24"/>
          <w:shd w:fill="auto" w:val="clear"/>
        </w:rPr>
        <w:t xml:space="preserve">Asian Journal of Biomedical and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(37),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Lillie, L. E., Temple, N. J., Florence, L. Z. Reference values for young normal Sprague-Dawley rats: weight gain, hematology and clinical chemistry. </w:t>
      </w:r>
      <w:r>
        <w:rPr>
          <w:rFonts w:ascii="Calibri" w:hAnsi="Calibri" w:cs="Calibri" w:eastAsia="Calibri"/>
          <w:i/>
          <w:color w:val="auto"/>
          <w:spacing w:val="0"/>
          <w:position w:val="0"/>
          <w:sz w:val="24"/>
          <w:shd w:fill="auto" w:val="clear"/>
        </w:rPr>
        <w:t xml:space="preserve">Human &amp;amp; Experimental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612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616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He, Q.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Sex-specific reference intervals of hematologic and biochemical analytes in Sprague-Dawley rats using the nonparametric rank percentile method.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 18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U.S. EPA. Recommendations for and Documentation of Biological Values for Use in Risk Assessment. U.S. Environmental Protection Agency, EPA/600/6-87/008 (NTIS PB88179874) (1988).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Gaud,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Single jugular vein cannulated rats may not be suitable for intravenous pharmacokinetic screening of high logP compounds. </w:t>
      </w:r>
      <w:r>
        <w:rPr>
          <w:rFonts w:ascii="Calibri" w:hAnsi="Calibri" w:cs="Calibri" w:eastAsia="Calibri"/>
          <w:i/>
          <w:color w:val="auto"/>
          <w:spacing w:val="0"/>
          <w:position w:val="0"/>
          <w:sz w:val="24"/>
          <w:shd w:fill="auto" w:val="clear"/>
        </w:rPr>
        <w:t xml:space="preserve">European Journal of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Turck,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Clinical pharmacokinetics of meloxicam. </w:t>
      </w:r>
      <w:r>
        <w:rPr>
          <w:rFonts w:ascii="Calibri" w:hAnsi="Calibri" w:cs="Calibri" w:eastAsia="Calibri"/>
          <w:i/>
          <w:color w:val="auto"/>
          <w:spacing w:val="0"/>
          <w:position w:val="0"/>
          <w:sz w:val="24"/>
          <w:shd w:fill="auto" w:val="clear"/>
        </w:rPr>
        <w:t xml:space="preserve">Arzneimittel-Forschung/Drug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Aghazadeh-Habashi, A., Jamali, F. Pharmacokinetics of meloxicam administered as regular and fast dissolving formulations to the rat: Influence of gastrointestinal dysfunction on the relative bioavailability of two formulations. </w:t>
      </w:r>
      <w:r>
        <w:rPr>
          <w:rFonts w:ascii="Calibri" w:hAnsi="Calibri" w:cs="Calibri" w:eastAsia="Calibri"/>
          <w:i/>
          <w:color w:val="auto"/>
          <w:spacing w:val="0"/>
          <w:position w:val="0"/>
          <w:sz w:val="24"/>
          <w:shd w:fill="auto" w:val="clear"/>
        </w:rPr>
        <w:t xml:space="preserve">European Journal of Pharmaceutics and Biopharmaceutics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(3), 889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894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Meloxicam. </w:t>
      </w:r>
      <w:r>
        <w:rPr>
          <w:rFonts w:ascii="Calibri" w:hAnsi="Calibri" w:cs="Calibri" w:eastAsia="Calibri"/>
          <w:i/>
          <w:color w:val="auto"/>
          <w:spacing w:val="0"/>
          <w:position w:val="0"/>
          <w:sz w:val="24"/>
          <w:shd w:fill="auto" w:val="clear"/>
        </w:rPr>
        <w:t xml:space="preserve">LiverTox: Clinical and Research Information on Drug-Induced Liver Injury</w:t>
      </w:r>
      <w:r>
        <w:rPr>
          <w:rFonts w:ascii="Calibri" w:hAnsi="Calibri" w:cs="Calibri" w:eastAsia="Calibri"/>
          <w:color w:val="auto"/>
          <w:spacing w:val="0"/>
          <w:position w:val="0"/>
          <w:sz w:val="24"/>
          <w:shd w:fill="auto" w:val="clear"/>
        </w:rPr>
        <w:t xml:space="preserve">, Bethesda (MD), National Institute of Diabetes and Digestive and Kidney Diseases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Ludwig,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Activation of human cytochrome P-450 3A4-catalyzed meloxicam 5 '-methylhydroxylation by quinidine and hydroquinidine in vitro. </w:t>
      </w:r>
      <w:r>
        <w:rPr>
          <w:rFonts w:ascii="Calibri" w:hAnsi="Calibri" w:cs="Calibri" w:eastAsia="Calibri"/>
          <w:i/>
          <w:color w:val="auto"/>
          <w:spacing w:val="0"/>
          <w:position w:val="0"/>
          <w:sz w:val="24"/>
          <w:shd w:fill="auto" w:val="clear"/>
        </w:rPr>
        <w:t xml:space="preserve">Journal of Pharmacology and Experimental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Zhang, R.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Nanoparticulate drug delivery strategies to address intestinal cytochrome P450 CYP3A4 metabolism towards personalized medicine. </w:t>
      </w:r>
      <w:r>
        <w:rPr>
          <w:rFonts w:ascii="Calibri" w:hAnsi="Calibri" w:cs="Calibri" w:eastAsia="Calibri"/>
          <w:i/>
          <w:color w:val="auto"/>
          <w:spacing w:val="0"/>
          <w:position w:val="0"/>
          <w:sz w:val="24"/>
          <w:shd w:fill="auto" w:val="clear"/>
        </w:rPr>
        <w:t xml:space="preserve">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(2021).</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