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Visualization of Inflammatory Caspases Induced Proximity in Human Monocyte-Derived Macrophages.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Beatriz E Bol&amp;#237;var, Lisa Bouchier-Hayes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Pediatrics, Division of Hematology-Oncology, Department of Molecular and Cellular Biology, Texas Children’s Hospital William T. Shearer Center for Human Immunobiology,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Baylor College of Medicine, Houston, TX 77030,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Beatriz E Bol&amp;#237;var </w:t>
        <w:tab/>
        <w:t xml:space="preserve">(beboliva@txch.org)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Lisa Bouchier-Hayes </w:t>
        <w:tab/>
        <w:t xml:space="preserve">(lxbouchi@txch.org)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Lisa Bouchier-Hayes </w:t>
        <w:tab/>
        <w:t xml:space="preserve">(lxbouchi@txch.org)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workflow to obtain monocytes-derived macrophages (MDM) from human blood samples, a simple method to efficiently introduce inflammatory caspase Bimolecular Fluorescence Complementation (BiFC) reporters into human MDM without compromising cell viability and behavior, and an imaging-based approach to measure inflammatory caspase activation in living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Inflammatory caspases include caspase-1, -4, -5, -11, and -12 and belong to the subgroup of initiator caspases. Caspase-1 is required to ensure correct regulation of inflammatory signaling and is activated by proximity-induced dimerization following recruitment to inflammasomes. Caspase-1 is abundant in the monocytic cell lineage and induces maturation of the pro-inflammatory cytokines interleukin (IL)-1&amp;#946; and IL-18 to active secreted molecules. The other inflammatory caspases, caspase-4 and -5 (and their murine homolog caspase-11) promote IL-1&amp;#946; release by inducing pyroptosis. Caspase Bimolecular Fluorescence Complementation (BiFC) is a tool used to measure inflammatory caspase-induced proximity as a readout of caspase activation. The caspase-1, -4, or -5 pro-domain, which contains the region that binds to the inflammasome, is fused to non-fluorescent fragments of the yellow fluorescent protein Venus (Venus-N [VN] or Venus-C [VC]) that associate to reform the fluorescent Venus complex when the caspases undergo induced proximity. This protocol describes how to introduce these reporters into primary human monocyte-derived macrophages (MDM) using nucleofection, treat the cells to induce inflammatory caspase activation, and measure caspase activation using fluorescence and confocal microscopy. The advantage of this approach is that it can be used to identify the components, requirements, and localization of the inflammatory caspase activation complex in living cells. However, careful controls need to be considered to avoid compromising cell viability and behavior. This technique is a powerful tool for the analysis of dynamic caspase interactions at the inflammasome level as well as for the interrogation of the inflammatory signaling cascades in living MDM and monocytes derived from human blood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caspases are a family of cysteine aspartate proteases that can be grouped into initiator caspases and executioner caspases. Executioner caspases comprise caspase-3, -6 and -7. They are naturally found in cells as dimers and are cleaved by the initiator caspases to execute apoptosis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Initiator caspases include human caspase-1, -2, -4, -5, -8, -9, -10 and -12. They are found as inactive zymogens (pro-caspases) that are activated by proximity-induced dimerization and stabilized by auto-proteolytic cleavage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inflammatory caspases are a subset of the initiator caspases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encompass caspase-1, -4, -5, and -12 in humans, and caspase-1, -11, and -12 in mouse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Rather than an apoptotic role, they play a central role in inflammation. They mediate proteolytic processing and secretion of pro-interleukin (IL)-1&amp;#946; and pro-IL-18</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which are the first cytokines to be released in response to pathogenic invaders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Caspase-1 is activated upon recruitment to its activation platform; a large molecular weight protein complex termed the inflammasome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Dimerization of caspase-4, -5, and -11 occurs independently of these platforms through a noncanonical inflammasome pathway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Canonical inflammasomes are cytosolic multimeric protein complexes that consist of an inflammasome sensor protein, the adaptor protein ASC (apoptosis-associated speck-like protein containing a CARD), and the effector protein caspase-1</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most well studied canonical inflammasomes are the NOD-like receptor family containing a pyrin domain (NLRP), NLRP1 and NLRP3, the NLR family containing a CARD (NLRC), NLRC4, and the absent in melanoma 2 (AIM2). They each contain a pyrin, a CARD, or both domains. The CARD domain mediates the interaction between CARD-containing caspases and their upstream activators. Therefore, the scaffold molecule ASC, which is composed of an N-terminal pyrin domain (PYD) and a C-terminal CARD motif</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is required for recruitment of caspase-1 to the NLRP1</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NLRP3</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AIM2</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inflammasomes.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0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inflammasome is named after its unique sensor protein that recognizes distinct pro-inflammatory stimuli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Activators of this pathway are termed canonical stimuli. Inflammasomes serve as sensors for microbial components and tissue stress and assemble to trigger a robust inflammatory response through activation of the inflammatory caspases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Inflammasome assembly initiates caspase-1 activation to mediate maturation and secretion of its main substrates pro-IL-1&amp;#946; and pro-IL-18. This process occurs via a two-step mechanism. First, a priming stimulus upregulates the expression of certain inflammasome proteins and pro-IL-1&amp;#946; through activation of the NF-</w:t>
      </w:r>
      <w:r>
        <w:rPr>
          <w:rFonts w:ascii="Calibri" w:hAnsi="Calibri" w:cs="Calibri" w:eastAsia="Calibri"/>
          <w:color w:val="auto"/>
          <w:spacing w:val="0"/>
          <w:position w:val="0"/>
          <w:sz w:val="24"/>
          <w:shd w:fill="auto" w:val="clear"/>
        </w:rPr>
        <w:t xml:space="preserve">κB pathway. Second, an intracellular (canonical) stimulus induces inflammasome assembly and recruitment of procaspase-1</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Caspase-4 and caspase-5 are the human orthologs of murine caspase-11</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They are activated in an inflammasome-independent manner by intracellular lipopolysaccharide (LPS), a molecule found in the outer membrane of Gram-negative bacteria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by extracellular heme, a product of red blood cell hemolysis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has been proposed that LPS binds directly to the CARD motif of these proteins and induces their oligomerization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Activation of caspase-4 or caspase-5 promotes IL-1&amp;#946; release by inducing an inflammatory form of cell death called pyroptosis through cleavage of the pore-forming protein gasdermin D (GSDMD)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In addition, the efflux of potassium ions resulting from caspase-4 and GSDMD-mediated pyroptotic death induces activation of the NLRP3 inflammasome and subsequent activation of caspase-1</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Therefore, caspase-4, -5, and -11 are considered intracellular sensors for LPS that are able to induce pyroptosis and caspase-1 activation in response to specific stimuli</w:t>
      </w:r>
      <w:r>
        <w:rPr>
          <w:rFonts w:ascii="Calibri" w:hAnsi="Calibri" w:cs="Calibri" w:eastAsia="Calibri"/>
          <w:color w:val="auto"/>
          <w:spacing w:val="0"/>
          <w:position w:val="0"/>
          <w:sz w:val="24"/>
          <w:shd w:fill="auto" w:val="clear"/>
          <w:vertAlign w:val="superscript"/>
        </w:rPr>
        <w:t xml:space="preserve">11,24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specific initiator caspases activation is difficult, and there are not many methods available to do so by imaging approaches. Caspase Bimolecular Fluorescence Complementation (BiFC) can be used to visualize inflammatory caspase activation directly in living cells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This technique has been recently adapted for use in human monocyte-derived macrophages (MDM)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Caspase BiFC measures the first step in inflammatory caspase activation, induced proximity to facilitate dimerization. Expression of plasmids encoding the CARD-containing caspase pro-domain fused to non-fluorescent fragments of the photostable yellow fluorescent protein Venus (Venus-C [VC]) and Venus-N [VN]) are used. When the two caspase pro-domains are recruited to their activation platform or undergo induced proximity, the two halves of Venus are brought in close proximity and forced to refold and fluoresce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provides a real-time readout of specific inflammatory caspase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MDM abundantly express inflammasome genes and pattern recognition receptors that identify danger signals and pathogen products. This provides an ideal cell type for the interrogation of inflammatory caspase pathways. In addition, they can be derived from peripheral blood and even from patient samples to assess inflammatory caspase activation in a specific disease state. This protocol describes how to introduce the BiFC caspase reporters into MDM using nucleofection, an electroporation-based transfection method, how to treat the cells to induce inflammatory caspase activation, and how to visualize the active caspase complexes using microscopy approaches. Additionally, this methodology can be adapted to determine the molecular composition of these complexes, subcellular localization, kinetics, and size of these highly ordered structures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guidelines of Baylor College of Medicine’s human research ethics committee for the manipulation of human samples. Blood samples are handled following the institutional safety guidelines for human samples. Blood samples are obtained at a regional blood bank, where they are collected with citrate phosphate dextrose (CPD) solution. However, blood collected with other anticoagulants like sodium heparin, lithium heparin, or EDTA can also be used for this protocol</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Isolation of human monocytes and differentiation into macrophages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Obtain anticoagulated blood from de-identified healthy individuals at a regional blood bank and isolate peripheral blood mononuclear cells (PBMCs) as indicated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steps in a tissue culture laminar flow hood. Use sterile tubes only and wear gloves. Add 10% bleach to all blood-related products when disposing of.  Sterile PBS (1x) or DPBS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 be used interchangeably.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the dilution buffer: Supplement 1x sterile PBS with 2% FBS and 0.5 mM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the culture medium: Supplement RPMI-1640 medium with FBS (10% (v/v)), glutamax (2 mM), and Penicillin/ Streptomycin (50 I.U./50 &amp;#181;g/mL)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Precool the running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Dilute whole blood with two volumes of dilution buffer. Using a serological pipet, transfer 15 mL of the anticoagulated blood to a 50 mL tube containing 30 mL of the dilution buffer. Mix gently by inversion.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For each 10 mL of whole blood or 30 mL of diluted blood, add 15 mL of the density gradient medium to a 50 mL empty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Layer the density gradient medium from step 1.1.5 with 30 mL of diluted blood slowly and steadily using a 25 mL serological pipet. Keep the tip of the pipet against the wall of the tube and the tube at a tilted angle.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Carefully transfer the tubes to a swinging-bucket centrifuge. Avoid disturbing the two phases. Centrifuge the tubes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(RT) for 25 min with acceleration and deceleration set to the minimum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Carefully remove the top (clear) plasma layer using a 10 mL pipet and dispose of in a container with bleach (10%).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Collect the interphase (white) layer of peripheral blood mononuclear cells (PBMCs,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with a 10 mL pipet and transfer to a fresh 50 mL tube. Combine in each 50 mL tube up to 30 mL of the white layer from different tubes of the same donor.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w:t>
        <w:tab/>
        <w:t xml:space="preserve">Bring each tube to a total volume of 50 mL with the dilution buffer from step 1.1.1 and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10 min. Remove the supernatant with a 10 mL pipet and dispose of it in a container with bleach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Resuspend each cell pellet in 1 mL of the pre-cooled running buffer from step 1.1.3 using a p1000 micropipette. Combine cell suspensions from the same donor in a new 15 mL tube. Bring the volume of each tube to 15 mL with pre-cooled running buffer and mix well by inversion.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Take a 20 &amp;#181;L aliquot of the cell suspension from step 1.1.11 and prepare a 1:100 dilution using 1x sterile PBS. Determine the cell number using a hemocytometer.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Centrifuge the cell suspension from step 1.1.11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for 10 min and remove the supernatant with a 10 mL pipet. If necessary, use a p200 micropipette to remove the supernatant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Resuspend the isolated PBMCs in 80 &amp;#181;L of pre-cooled MACS running buffer for each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adding up to a maximum of 800 &amp;#181;L of the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1.1.15.</w:t>
        <w:tab/>
        <w:t xml:space="preserve">Add 20 &amp;#181;L of anti-human CD14 MicroBeads per each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or up to 100 &amp;#181;L per blood sample (~100 mL of undiluted blood). Mix well by inversion and place on a tube rotator for 20 min with continuous mixing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1.1.16.</w:t>
        <w:tab/>
        <w:t xml:space="preserve">Remove the samples from the tube rotator, add 10 mL of pre-cooled running buffer to each tube, and centrifuge at 300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(acceleration = 5, deceleration = 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4 &amp;#176;C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1.1.17.</w:t>
        <w:tab/>
        <w:t xml:space="preserve">Remove the supernatant with a 10 mL pipet and resuspend up to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in 500 &amp;#181;L of pre-cooled running buffer (2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1.1.18.</w:t>
        <w:tab/>
        <w:t xml:space="preserve">Perform the isolation of CD14-positive cells by magnetic cell sorting using a manual or automated system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per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1.1.19.</w:t>
        <w:tab/>
        <w:t xml:space="preserve">Take a 20 &amp;#181;L aliquot of the cell suspension from step 1.1.18 after CD14-positive selection and prepare a 1:100 dilution using 1x sterile PBS. Determine the cell number by counting the cells on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1.1.20.</w:t>
        <w:tab/>
        <w:t xml:space="preserve">Centrifuge the CD14-positive cells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RT for 10 min. Remove the supernatant using a 10 mL pipet or a vacuum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Resuspend the cell pellet from step 1.1.20 in pre-warmed culture medium from step 1.1.2 to a final cell density of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Seed the isolated CD14-positive monocytes at a cell density of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On a 10 cm tissue culture dish, add 10 mL of culture medium from step 1.1.2 supplemented with 50 ng/mL granulocyte-macrophage colony-stimulating factor (GM-CSF).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0.5 mL of the cell suspension from step 1.1.21 to the culture medium dropwise and gently swirl the plate. Incubate cells in a humidified tissue culture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The next day, aspirate the medium using a vacuum system to remove cells that did not attach overnight. Add 10 mL of fresh culture medium supplemented GM-CSF (50 ng/mL) and incubate cells in a humidified tissue culture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7 days to allow complete differentiation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for the appearance of CD14+ monocytes at various stages of differentiation in GM-CSF ). Exchange the culture 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and supplement with fresh GM-CSF (50 ng/mL) each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electroporation components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designed for a 10 &amp;#181;L-Neon tip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each transfection, use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It is recommended to seed transfected cells on a 48-well plate or 8-well chambered dish (10 &amp;#181;L-transfected cells per well).  1x sterile DPBS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 also be used.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On day 7, prepare antibiotic-free medium by supplementing RPMI-1640 medium with FBS (10 % (v/v)) and glutamax (2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Place serum-free RPMI-1640 medium, trypsin-EDTA (0.25%) solution, 1x sterile 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complete culture medium from step 1.1.2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If using glass-bottomed dishes (for confocal microscopy) coat the dishes with poly-D-lysine hydrobromide.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Coat an 8 well-chambered dish with 200 &amp;#181;L of poly-D-lysine hydrobromide (0.1 mg/mL in 1x sterile PBS) and incubate for 5 min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Aspirate the poly-D-lysine solution and wash the glass once with 1x sterile PBS. Aspirate the PBS and proceed with step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200 &amp;#181;L of antibiotic-free medium per well of the 48 well plate or 8 well-chambered dish and pre-incubate in a humidified tissue culture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ready to plate the transfected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cells for electroporation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yield of MDM from a 10 cm dish at the end of the 7-day differentiation period is approximately 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1x sterile DPBS (without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 also be used. This protocol was optimized so that most macrophages are detached from the plate with the maintenance of cell viability and integrity. MDM are difficult to detach from cell culture plates. Therefore, it may be necessary to perform steps 3.2 and 3.3 twice to dissociate the cells. Ensure that each incubation time with trypsin-EDTA (0.25%) does not exceed 5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Aspirate the media from fully differentiated macrophages on 10 cm dishes and wash the cell monolayer with warm serum-free RPMI-1640 medium. Make sure to completely remove the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Harvest the cells by adding 2 mL of warm trypsin-EDTA (0.25%) solution per 10 cm dish and incubate in a humidified tissue culture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Complete the cell detachment by gently pipetting the trypsin-EDTA (0.25%) solution up and down over the entire dish area using a p1000 micropipette. Transfer the cell suspension to a 15 mL conical tube containing 5 mL of warm complete culture medium from step 1.1.2.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Take the dish to a bright field microscope and check for cell detachment in various fields of view. If there is a considerable amount of cells still attached, repeat steps 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Centrifuge the cell suspension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Aspirate the medium and resuspend the cells in 10 mL of 1x sterile PBS pre-warmed to 37 &amp;#176;C. Take a 20 &amp;#181;L aliquot to determine the cell number using a hemocytometer.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Take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intended transfection and place in a 15 mL tube. Bring to a final volume of 15 mL with pre-warmed 1x sterile PBS. Centrifuge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Aspirate the PBS and centrifuge one more time for 1 min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Remove any residual PBS from the cell pellet using a p200 micropipette.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Nucleofection of caspase BiFC components into human monocyte-derived macrophages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is performed using the Neon Transfection System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protocol outlines the steps to transfect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using a 10 &amp;#181;L Neon tip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If using a 100 &amp;#181;L Neon tip, scale up accordingly. Avoid exposing cells to resuspension buffer  R for more than 15 min, as this may decrease cell viability and transfection efficiency.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Dilute the reporter plasmid (i.e., mCherry or dsRedmito at 100 ng/&amp;#181;L) in nuclease-free water or 0.5x TE buffer to visualize the transfected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Dilute the caspase BiFC plasmids to an appropriate concentration in nuclease-free water or 0.5x TE buffer, so that the total volume of plasmids does not exceed 30% of the total transfection volume of 10 &amp;#181;L (i.e., 300 ng/&amp;#181;L of C1 Pro-VC and 300 ng/&amp;#181;L of C1 Pro-VN).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Prepare a 1.5 mL sterile microtube per intended transfection and add the appropriate amount of reporter plasmid </w:t>
      </w:r>
      <w:r>
        <w:rPr>
          <w:rFonts w:ascii="Calibri" w:hAnsi="Calibri" w:cs="Calibri" w:eastAsia="Calibri"/>
          <w:color w:val="auto"/>
          <w:spacing w:val="0"/>
          <w:position w:val="0"/>
          <w:sz w:val="24"/>
          <w:shd w:fill="auto" w:val="clear"/>
        </w:rPr>
        <w:t xml:space="preserve">(i.e., 50 ng or 0.5 &amp;#181;L) </w:t>
      </w:r>
      <w:r>
        <w:rPr>
          <w:rFonts w:ascii="Calibri" w:hAnsi="Calibri" w:cs="Calibri" w:eastAsia="Calibri"/>
          <w:color w:val="auto"/>
          <w:spacing w:val="0"/>
          <w:position w:val="0"/>
          <w:sz w:val="24"/>
          <w:shd w:fill="FFFF00" w:val="clear"/>
        </w:rPr>
        <w:t xml:space="preserve">and caspase BiFC plasmids </w:t>
      </w:r>
      <w:r>
        <w:rPr>
          <w:rFonts w:ascii="Calibri" w:hAnsi="Calibri" w:cs="Calibri" w:eastAsia="Calibri"/>
          <w:color w:val="auto"/>
          <w:spacing w:val="0"/>
          <w:position w:val="0"/>
          <w:sz w:val="24"/>
          <w:shd w:fill="auto" w:val="clear"/>
        </w:rPr>
        <w:t xml:space="preserve">(i.e., 300 ng or 1 &amp;#181;L of C1 Pro-VC and 300 ng or 1 &amp;#181;L of C1 Pro-VN fragment)</w:t>
      </w:r>
      <w:r>
        <w:rPr>
          <w:rFonts w:ascii="Calibri" w:hAnsi="Calibri" w:cs="Calibri" w:eastAsia="Calibri"/>
          <w:color w:val="auto"/>
          <w:spacing w:val="0"/>
          <w:position w:val="0"/>
          <w:sz w:val="24"/>
          <w:shd w:fill="FFFF00" w:val="clear"/>
        </w:rPr>
        <w:t xml:space="preserve">. Keep the microtubes in the hood at all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Place the pipette station, device, tips, electroporation tubes, and pipette in a sterile laminar flow hood.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pipette station, device, tips, electroporation tubes, and pipette are included in the Neon Transfection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Connect the high voltage and sensor connector on the pipette station to the rear ports on the device as per the manufacturer’s instructions.  Keep the pipette station close to the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Connect the power cord to the rear AC inlet and proceed to connect the device to the electrical outlet. Press the power switch to turn on the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Enter the transfection parameters in the startup screen displayed when the device is switched on and appropriately connected. Press on </w:t>
      </w:r>
      <w:r>
        <w:rPr>
          <w:rFonts w:ascii="Calibri" w:hAnsi="Calibri" w:cs="Calibri" w:eastAsia="Calibri"/>
          <w:b/>
          <w:color w:val="auto"/>
          <w:spacing w:val="0"/>
          <w:position w:val="0"/>
          <w:sz w:val="24"/>
          <w:shd w:fill="FFFF00" w:val="clear"/>
        </w:rPr>
        <w:t xml:space="preserve">Voltage</w:t>
      </w:r>
      <w:r>
        <w:rPr>
          <w:rFonts w:ascii="Calibri" w:hAnsi="Calibri" w:cs="Calibri" w:eastAsia="Calibri"/>
          <w:color w:val="auto"/>
          <w:spacing w:val="0"/>
          <w:position w:val="0"/>
          <w:sz w:val="24"/>
          <w:shd w:fill="FFFF00" w:val="clear"/>
        </w:rPr>
        <w:t xml:space="preserve">, enter 1000, and press on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 to set the voltage to 1000 V. Press on </w:t>
      </w:r>
      <w:r>
        <w:rPr>
          <w:rFonts w:ascii="Calibri" w:hAnsi="Calibri" w:cs="Calibri" w:eastAsia="Calibri"/>
          <w:b/>
          <w:color w:val="auto"/>
          <w:spacing w:val="0"/>
          <w:position w:val="0"/>
          <w:sz w:val="24"/>
          <w:shd w:fill="FFFF00" w:val="clear"/>
        </w:rPr>
        <w:t xml:space="preserve">Width</w:t>
      </w:r>
      <w:r>
        <w:rPr>
          <w:rFonts w:ascii="Calibri" w:hAnsi="Calibri" w:cs="Calibri" w:eastAsia="Calibri"/>
          <w:color w:val="auto"/>
          <w:spacing w:val="0"/>
          <w:position w:val="0"/>
          <w:sz w:val="24"/>
          <w:shd w:fill="FFFF00" w:val="clear"/>
        </w:rPr>
        <w:t xml:space="preserve">, enter 40, and press on </w:t>
      </w:r>
      <w:r>
        <w:rPr>
          <w:rFonts w:ascii="Calibri" w:hAnsi="Calibri" w:cs="Calibri" w:eastAsia="Calibri"/>
          <w:b/>
          <w:color w:val="auto"/>
          <w:spacing w:val="0"/>
          <w:position w:val="0"/>
          <w:sz w:val="24"/>
          <w:shd w:fill="FFFF00" w:val="clear"/>
        </w:rPr>
        <w:t xml:space="preserve">Done </w:t>
      </w:r>
      <w:r>
        <w:rPr>
          <w:rFonts w:ascii="Calibri" w:hAnsi="Calibri" w:cs="Calibri" w:eastAsia="Calibri"/>
          <w:color w:val="auto"/>
          <w:spacing w:val="0"/>
          <w:position w:val="0"/>
          <w:sz w:val="24"/>
          <w:shd w:fill="FFFF00" w:val="clear"/>
        </w:rPr>
        <w:t xml:space="preserve">to set the pulse duration to 40 ms. Lastly, press on </w:t>
      </w:r>
      <w:r>
        <w:rPr>
          <w:rFonts w:ascii="Calibri" w:hAnsi="Calibri" w:cs="Calibri" w:eastAsia="Calibri"/>
          <w:b/>
          <w:color w:val="auto"/>
          <w:spacing w:val="0"/>
          <w:position w:val="0"/>
          <w:sz w:val="24"/>
          <w:shd w:fill="FFFF00" w:val="clear"/>
        </w:rPr>
        <w:t xml:space="preserve"># Pulses</w:t>
      </w:r>
      <w:r>
        <w:rPr>
          <w:rFonts w:ascii="Calibri" w:hAnsi="Calibri" w:cs="Calibri" w:eastAsia="Calibri"/>
          <w:color w:val="auto"/>
          <w:spacing w:val="0"/>
          <w:position w:val="0"/>
          <w:sz w:val="24"/>
          <w:shd w:fill="FFFF00" w:val="clear"/>
        </w:rPr>
        <w:t xml:space="preserve">, enter 2, and press on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 to set the number of electrical pulses to 2.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Take one of the electroporation tubes </w:t>
      </w:r>
      <w:r>
        <w:rPr>
          <w:rFonts w:ascii="Calibri" w:hAnsi="Calibri" w:cs="Calibri" w:eastAsia="Calibri"/>
          <w:color w:val="auto"/>
          <w:spacing w:val="0"/>
          <w:position w:val="0"/>
          <w:sz w:val="24"/>
          <w:shd w:fill="auto" w:val="clear"/>
        </w:rPr>
        <w:t xml:space="preserve">(provided in the kit) </w:t>
      </w:r>
      <w:r>
        <w:rPr>
          <w:rFonts w:ascii="Calibri" w:hAnsi="Calibri" w:cs="Calibri" w:eastAsia="Calibri"/>
          <w:color w:val="auto"/>
          <w:spacing w:val="0"/>
          <w:position w:val="0"/>
          <w:sz w:val="24"/>
          <w:shd w:fill="FFFF00" w:val="clear"/>
        </w:rPr>
        <w:t xml:space="preserve">and fill it with 3 mL of electrolytic buffer E </w:t>
      </w:r>
      <w:r>
        <w:rPr>
          <w:rFonts w:ascii="Calibri" w:hAnsi="Calibri" w:cs="Calibri" w:eastAsia="Calibri"/>
          <w:color w:val="auto"/>
          <w:spacing w:val="0"/>
          <w:position w:val="0"/>
          <w:sz w:val="24"/>
          <w:shd w:fill="auto" w:val="clear"/>
        </w:rPr>
        <w:t xml:space="preserve">(for 10 &amp;#181;L tips and provided in the kit) </w:t>
      </w:r>
      <w:r>
        <w:rPr>
          <w:rFonts w:ascii="Calibri" w:hAnsi="Calibri" w:cs="Calibri" w:eastAsia="Calibri"/>
          <w:color w:val="auto"/>
          <w:spacing w:val="0"/>
          <w:position w:val="0"/>
          <w:sz w:val="24"/>
          <w:shd w:fill="FFFF00" w:val="clear"/>
        </w:rPr>
        <w:t xml:space="preserve">at RT. Insert the electroporation tube into the pipette holder on the pipette station. Ensure that the electrode on the side of the tube is facing inwards and that a click sound is heard when the tube is inserted.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Take the cell pellet from step 3.8 and add 10 &amp;#181;L of pre-warmed resuspension R buffer </w:t>
      </w:r>
      <w:r>
        <w:rPr>
          <w:rFonts w:ascii="Calibri" w:hAnsi="Calibri" w:cs="Calibri" w:eastAsia="Calibri"/>
          <w:color w:val="auto"/>
          <w:spacing w:val="0"/>
          <w:position w:val="0"/>
          <w:sz w:val="24"/>
          <w:shd w:fill="auto" w:val="clear"/>
        </w:rPr>
        <w:t xml:space="preserve">(provided in the kit) </w:t>
      </w:r>
      <w:r>
        <w:rPr>
          <w:rFonts w:ascii="Calibri" w:hAnsi="Calibri" w:cs="Calibri" w:eastAsia="Calibri"/>
          <w:color w:val="auto"/>
          <w:spacing w:val="0"/>
          <w:position w:val="0"/>
          <w:sz w:val="24"/>
          <w:shd w:fill="FFFF00" w:val="clear"/>
        </w:rPr>
        <w:t xml:space="preserve">for each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Mix gently with a p20 micropipette. Add 10 &amp;#181;L of the cell suspension to each tube set up in step 4.3 and mix gently with a p20 micropipette.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Take the pipette and insert a tip by pressing the </w:t>
      </w:r>
      <w:r>
        <w:rPr>
          <w:rFonts w:ascii="Calibri" w:hAnsi="Calibri" w:cs="Calibri" w:eastAsia="Calibri"/>
          <w:b/>
          <w:color w:val="auto"/>
          <w:spacing w:val="0"/>
          <w:position w:val="0"/>
          <w:sz w:val="24"/>
          <w:shd w:fill="FFFF00" w:val="clear"/>
        </w:rPr>
        <w:t xml:space="preserve">Push</w:t>
      </w:r>
      <w:r>
        <w:rPr>
          <w:rFonts w:ascii="Calibri" w:hAnsi="Calibri" w:cs="Calibri" w:eastAsia="Calibri"/>
          <w:color w:val="auto"/>
          <w:spacing w:val="0"/>
          <w:position w:val="0"/>
          <w:sz w:val="24"/>
          <w:shd w:fill="FFFF00" w:val="clear"/>
        </w:rPr>
        <w:t xml:space="preserve"> button to the second stop. Make sure the clamp completely picks up the mounting stem of the piston in the tip and that no gap is observed in the top-head of the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To aspirate the sample, press the </w:t>
      </w:r>
      <w:r>
        <w:rPr>
          <w:rFonts w:ascii="Calibri" w:hAnsi="Calibri" w:cs="Calibri" w:eastAsia="Calibri"/>
          <w:b/>
          <w:color w:val="auto"/>
          <w:spacing w:val="0"/>
          <w:position w:val="0"/>
          <w:sz w:val="24"/>
          <w:shd w:fill="FFFF00" w:val="clear"/>
        </w:rPr>
        <w:t xml:space="preserve">Push</w:t>
      </w:r>
      <w:r>
        <w:rPr>
          <w:rFonts w:ascii="Calibri" w:hAnsi="Calibri" w:cs="Calibri" w:eastAsia="Calibri"/>
          <w:color w:val="auto"/>
          <w:spacing w:val="0"/>
          <w:position w:val="0"/>
          <w:sz w:val="24"/>
          <w:shd w:fill="FFFF00" w:val="clear"/>
        </w:rPr>
        <w:t xml:space="preserve"> button on the pipette to the first stop and dip into the first tube containing cell/plasmid DNA mixture. Slowly aspirate the mixture into the pipette tip.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air bubbles as they can cause arcing during electroporation, and if detected by the device, can prevent delivery of the electric pulse. If air bubbles are observed, release the contents into the tube and try aspirating again.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Insert the pipette with the sample very carefully into the pipette holder. Make sure the pipette clicks and that it is properly placed.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Press </w:t>
      </w:r>
      <w:r>
        <w:rPr>
          <w:rFonts w:ascii="Calibri" w:hAnsi="Calibri" w:cs="Calibri" w:eastAsia="Calibri"/>
          <w:b/>
          <w:color w:val="auto"/>
          <w:spacing w:val="0"/>
          <w:position w:val="0"/>
          <w:sz w:val="24"/>
          <w:shd w:fill="FFFF00" w:val="clear"/>
        </w:rPr>
        <w:t xml:space="preserve">Start </w:t>
      </w:r>
      <w:r>
        <w:rPr>
          <w:rFonts w:ascii="Calibri" w:hAnsi="Calibri" w:cs="Calibri" w:eastAsia="Calibri"/>
          <w:color w:val="auto"/>
          <w:spacing w:val="0"/>
          <w:position w:val="0"/>
          <w:sz w:val="24"/>
          <w:shd w:fill="FFFF00" w:val="clear"/>
        </w:rPr>
        <w:t xml:space="preserve">on the touchscreen and wait until the electric pulses are delivered. A message on the screen will indicate completion.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Slowly remove the pipette from the station and immediately add the transfected cell suspension into the corresponding well with pre-warmed antibiotic-free medium from step 2.4 by slowly pressing the push-button to the first stop.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tip can be reused up to three times for the same plasmid; otherwise, discard it into a biohazard waste container by pressing the </w:t>
      </w:r>
      <w:r>
        <w:rPr>
          <w:rFonts w:ascii="Calibri" w:hAnsi="Calibri" w:cs="Calibri" w:eastAsia="Calibri"/>
          <w:b/>
          <w:color w:val="auto"/>
          <w:spacing w:val="0"/>
          <w:position w:val="0"/>
          <w:sz w:val="24"/>
          <w:shd w:fill="auto" w:val="clear"/>
        </w:rPr>
        <w:t xml:space="preserve">Push</w:t>
      </w:r>
      <w:r>
        <w:rPr>
          <w:rFonts w:ascii="Calibri" w:hAnsi="Calibri" w:cs="Calibri" w:eastAsia="Calibri"/>
          <w:color w:val="auto"/>
          <w:spacing w:val="0"/>
          <w:position w:val="0"/>
          <w:sz w:val="24"/>
          <w:shd w:fill="auto" w:val="clear"/>
        </w:rPr>
        <w:t xml:space="preserve"> button to the second stop.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Repeat steps 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for each tube containing a cell/plasmid DNA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Gently rock the plate with transfected cells and incubate for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 in a humidified tissue culture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Add to each well 200 &amp;#181;L of pre-warmed culture medium </w:t>
      </w:r>
      <w:r>
        <w:rPr>
          <w:rFonts w:ascii="Calibri" w:hAnsi="Calibri" w:cs="Calibri" w:eastAsia="Calibri"/>
          <w:color w:val="auto"/>
          <w:spacing w:val="0"/>
          <w:position w:val="0"/>
          <w:sz w:val="24"/>
          <w:shd w:fill="auto" w:val="clear"/>
        </w:rPr>
        <w:t xml:space="preserve">(complete medium)</w:t>
      </w:r>
      <w:r>
        <w:rPr>
          <w:rFonts w:ascii="Calibri" w:hAnsi="Calibri" w:cs="Calibri" w:eastAsia="Calibri"/>
          <w:color w:val="auto"/>
          <w:spacing w:val="0"/>
          <w:position w:val="0"/>
          <w:sz w:val="24"/>
          <w:shd w:fill="FFFF00" w:val="clear"/>
        </w:rPr>
        <w:t xml:space="preserve"> from step 1.1.2. Place the dish in the humidified tissue culture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again. </w:t>
      </w:r>
      <w:r>
        <w:rPr>
          <w:rFonts w:ascii="Calibri" w:hAnsi="Calibri" w:cs="Calibri" w:eastAsia="Calibri"/>
          <w:color w:val="auto"/>
          <w:spacing w:val="0"/>
          <w:position w:val="0"/>
          <w:sz w:val="24"/>
          <w:shd w:fill="auto" w:val="clear"/>
        </w:rPr>
        <w:t xml:space="preserve">Allow at least 24 h for gene expression.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r>
      <w:r>
        <w:rPr>
          <w:rFonts w:ascii="Calibri" w:hAnsi="Calibri" w:cs="Calibri" w:eastAsia="Calibri"/>
          <w:color w:val="auto"/>
          <w:spacing w:val="0"/>
          <w:position w:val="0"/>
          <w:sz w:val="24"/>
          <w:shd w:fill="auto" w:val="clear"/>
        </w:rPr>
        <w:t xml:space="preserve">The next day, </w:t>
      </w:r>
      <w:r>
        <w:rPr>
          <w:rFonts w:ascii="Calibri" w:hAnsi="Calibri" w:cs="Calibri" w:eastAsia="Calibri"/>
          <w:color w:val="auto"/>
          <w:spacing w:val="0"/>
          <w:position w:val="0"/>
          <w:sz w:val="24"/>
          <w:shd w:fill="FFFF00" w:val="clear"/>
        </w:rPr>
        <w:t xml:space="preserve">inspect the cell viability and transfection efficiency using an epifluorescence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4.18.1.</w:t>
        <w:tab/>
        <w:t xml:space="preserve">Turn on the epifluorescence microscope and the fluorescent light source box per the manufacturer’s instructions and place the culture dish on the microscope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4.18.2.</w:t>
        <w:tab/>
        <w:t xml:space="preserve">Select the 10x or 20x objective and the 568 nm (RFP)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4.18.3.</w:t>
        <w:tab/>
        <w:t xml:space="preserve">To estimate cell viability, press the </w:t>
      </w:r>
      <w:r>
        <w:rPr>
          <w:rFonts w:ascii="Calibri" w:hAnsi="Calibri" w:cs="Calibri" w:eastAsia="Calibri"/>
          <w:b/>
          <w:color w:val="auto"/>
          <w:spacing w:val="0"/>
          <w:position w:val="0"/>
          <w:sz w:val="24"/>
          <w:shd w:fill="auto" w:val="clear"/>
        </w:rPr>
        <w:t xml:space="preserve">Transmitted Light LED (TL)</w:t>
      </w:r>
      <w:r>
        <w:rPr>
          <w:rFonts w:ascii="Calibri" w:hAnsi="Calibri" w:cs="Calibri" w:eastAsia="Calibri"/>
          <w:color w:val="auto"/>
          <w:spacing w:val="0"/>
          <w:position w:val="0"/>
          <w:sz w:val="24"/>
          <w:shd w:fill="auto" w:val="clear"/>
        </w:rPr>
        <w:t xml:space="preserve"> button to visualize all cells in the selected field. While looking into the microscope eyepiece, turn the focus knob until cells are observed and check for cell attachment in the selected field.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Fully attached cells represent the viable cells while floating cells represent non-viable cells. If the confluency of the well is high, the presence of non-attached cells could be the result of an overestimation of cell number and not the result of low viability. However, low confluency accompanied by a high content of floating cells signifies low viability that may result from arcing during electroporation, plasmid toxicity, or overexposure to resuspension R buffer. Do not use wells that display the latter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4.18.4.</w:t>
        <w:tab/>
        <w:t xml:space="preserve">To estimate transfection efficiency, focus on cells in the selected field under transmitted light as described above. Count the total number of cells in the selected field. With the </w:t>
      </w:r>
      <w:r>
        <w:rPr>
          <w:rFonts w:ascii="Calibri" w:hAnsi="Calibri" w:cs="Calibri" w:eastAsia="Calibri"/>
          <w:b/>
          <w:color w:val="auto"/>
          <w:spacing w:val="0"/>
          <w:position w:val="0"/>
          <w:sz w:val="24"/>
          <w:shd w:fill="auto" w:val="clear"/>
        </w:rPr>
        <w:t xml:space="preserve">Transmitted Light LED (TL)</w:t>
      </w:r>
      <w:r>
        <w:rPr>
          <w:rFonts w:ascii="Calibri" w:hAnsi="Calibri" w:cs="Calibri" w:eastAsia="Calibri"/>
          <w:color w:val="auto"/>
          <w:spacing w:val="0"/>
          <w:position w:val="0"/>
          <w:sz w:val="24"/>
          <w:shd w:fill="auto" w:val="clear"/>
        </w:rPr>
        <w:t xml:space="preserve"> switched off, press the </w:t>
      </w:r>
      <w:r>
        <w:rPr>
          <w:rFonts w:ascii="Calibri" w:hAnsi="Calibri" w:cs="Calibri" w:eastAsia="Calibri"/>
          <w:b/>
          <w:color w:val="auto"/>
          <w:spacing w:val="0"/>
          <w:position w:val="0"/>
          <w:sz w:val="24"/>
          <w:shd w:fill="auto" w:val="clear"/>
        </w:rPr>
        <w:t xml:space="preserve">Reflected Light LED button (RL)</w:t>
      </w:r>
      <w:r>
        <w:rPr>
          <w:rFonts w:ascii="Calibri" w:hAnsi="Calibri" w:cs="Calibri" w:eastAsia="Calibri"/>
          <w:color w:val="auto"/>
          <w:spacing w:val="0"/>
          <w:position w:val="0"/>
          <w:sz w:val="24"/>
          <w:shd w:fill="auto" w:val="clear"/>
        </w:rPr>
        <w:t xml:space="preserve"> to switch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4.18.5.</w:t>
        <w:tab/>
        <w:t xml:space="preserve">Fine focus on the reporter gene fluorescence (red cells) and count the total number of red fluorescent cells. Repeat these steps (4.18.4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4.18.5) for at least two more fields per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Treatment of transfected MDM and caspase BiFC data acquisition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planning to image the cells using an epifluorescence or confocal microscope, treatment with qVD-OPh (20 &amp;#181;M) for 1 h prior treatment with the chosen stimulus is advised to prevent caspase-dependent cell death (predominantly apoptosis). This is used in imaging to prevent cells from lifting off due to apoptosis, making them very difficult to image as they move out of the focal plane. Note that caspase recruitment to the activation platform and the associated caspase BiFC is not dependent on the catalytic activity of the caspase, and consequently, caspase inhibition will not affect this step.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Treat with chosen stimulus approximately 24 h after transfection and incubate for as long as necessary for each drug.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Prepare imaging medium by supplementing culture medium from step 1.1.2 with Hepes (20 mM, pH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and 2-mercaptoethanol (55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Add the desired concentration of stimulus to the pre-warmed imaging medium and mix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Remove the media from the cells carefully with a p1000 micropipette and add 500 &amp;#181;L of the stimulus solution from step 5.1.2 down the side of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To run untreated control wells, add an imaging medium without the stimulus.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Incubate the cells in a humidified tissue culture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as long as indicated for each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Visualize the cells using an epifluorescence or confocal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Turn on the microscope and the fluorescent light source, following the manufacturer’s instructions.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Select the 10x or 20x objective and place the culture dish on the microscope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Using the microscope eyepiece, find cells under the 568 nm filter and focus on the cells expressing the dsRedmito/mCherry reporter (red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Count all the red cells in the visual field and record the number.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While in the same visual field, change to the 488 or 512 filter </w:t>
      </w:r>
      <w:r>
        <w:rPr>
          <w:rFonts w:ascii="Calibri" w:hAnsi="Calibri" w:cs="Calibri" w:eastAsia="Calibri"/>
          <w:color w:val="auto"/>
          <w:spacing w:val="0"/>
          <w:position w:val="0"/>
          <w:sz w:val="24"/>
          <w:shd w:fill="auto" w:val="clear"/>
        </w:rPr>
        <w:t xml:space="preserve">(GFP or YFP)</w:t>
      </w:r>
      <w:r>
        <w:rPr>
          <w:rFonts w:ascii="Calibri" w:hAnsi="Calibri" w:cs="Calibri" w:eastAsia="Calibri"/>
          <w:color w:val="auto"/>
          <w:spacing w:val="0"/>
          <w:position w:val="0"/>
          <w:sz w:val="24"/>
          <w:shd w:fill="FFFF00" w:val="clear"/>
        </w:rPr>
        <w:t xml:space="preserve">, proceed to count the number of red cells that are also green </w:t>
      </w:r>
      <w:r>
        <w:rPr>
          <w:rFonts w:ascii="Calibri" w:hAnsi="Calibri" w:cs="Calibri" w:eastAsia="Calibri"/>
          <w:color w:val="auto"/>
          <w:spacing w:val="0"/>
          <w:position w:val="0"/>
          <w:sz w:val="24"/>
          <w:shd w:fill="auto" w:val="clear"/>
        </w:rPr>
        <w:t xml:space="preserve">(Venus-positive or BiFC-positive) </w:t>
      </w:r>
      <w:r>
        <w:rPr>
          <w:rFonts w:ascii="Calibri" w:hAnsi="Calibri" w:cs="Calibri" w:eastAsia="Calibri"/>
          <w:color w:val="auto"/>
          <w:spacing w:val="0"/>
          <w:position w:val="0"/>
          <w:sz w:val="24"/>
          <w:shd w:fill="FFFF00" w:val="clear"/>
        </w:rPr>
        <w:t xml:space="preserve">and record the number.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w:t>
        <w:tab/>
        <w:t xml:space="preserve">Count at least 100 dsRedmito/mCherry -positive cells from a minimum of three individual visual fields.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w:t>
        <w:tab/>
        <w:t xml:space="preserve">Calculate the percentage of Venus-positive transfected cells per visual field and average the resulting percentages for each treatment (well) to get the standard deviation.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Image the cells using an epifluorescence or confocal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acquire confocal images using a 20x objective or a greater magnification, cells should be plated on glass dishes unless the microscope is equipped with a long pass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Follow steps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5.2.3. If using a confocal microscope with the 40x, 60x or 63x oil objective, place a drop of oil on the objective.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Visualize the live image of the cells on the computer screen as acquired by the camera. Use the epifluorescence light source for fluorescent images or switch the light source to the lasers for confocal images.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t xml:space="preserve">Fine-tune the focus and position of the cells using the joystick control and focus wheel.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w:t>
        <w:tab/>
        <w:t xml:space="preserve">Set the percentage laser power and exposure time for the 512 nm or 488 nm </w:t>
      </w:r>
      <w:r>
        <w:rPr>
          <w:rFonts w:ascii="Calibri" w:hAnsi="Calibri" w:cs="Calibri" w:eastAsia="Calibri"/>
          <w:color w:val="auto"/>
          <w:spacing w:val="0"/>
          <w:position w:val="0"/>
          <w:sz w:val="24"/>
          <w:shd w:fill="auto" w:val="clear"/>
        </w:rPr>
        <w:t xml:space="preserve">(YFP or GFP) </w:t>
      </w:r>
      <w:r>
        <w:rPr>
          <w:rFonts w:ascii="Calibri" w:hAnsi="Calibri" w:cs="Calibri" w:eastAsia="Calibri"/>
          <w:color w:val="auto"/>
          <w:spacing w:val="0"/>
          <w:position w:val="0"/>
          <w:sz w:val="24"/>
          <w:shd w:fill="FFFF00" w:val="clear"/>
        </w:rPr>
        <w:t xml:space="preserve">and 568 nm </w:t>
      </w:r>
      <w:r>
        <w:rPr>
          <w:rFonts w:ascii="Calibri" w:hAnsi="Calibri" w:cs="Calibri" w:eastAsia="Calibri"/>
          <w:color w:val="auto"/>
          <w:spacing w:val="0"/>
          <w:position w:val="0"/>
          <w:sz w:val="24"/>
          <w:shd w:fill="auto" w:val="clear"/>
        </w:rPr>
        <w:t xml:space="preserve">(RFP) </w:t>
      </w:r>
      <w:r>
        <w:rPr>
          <w:rFonts w:ascii="Calibri" w:hAnsi="Calibri" w:cs="Calibri" w:eastAsia="Calibri"/>
          <w:color w:val="auto"/>
          <w:spacing w:val="0"/>
          <w:position w:val="0"/>
          <w:sz w:val="24"/>
          <w:shd w:fill="FFFF00" w:val="clear"/>
        </w:rPr>
        <w:t xml:space="preserve">lasers so that the signal in the image looks good and does not reach saturation.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5.3.5.</w:t>
        <w:tab/>
        <w:t xml:space="preserve">Turn on the live capture and examine the resulting image. Ensure that a distinct peak is seen for each fluor in the display histograms for both channels.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5.3.6.</w:t>
        <w:tab/>
        <w:t xml:space="preserve">Adjust the laser power and exposure time as necessary. Keep these values as low as possible while still being able to detect both fluorescent signals </w:t>
      </w:r>
      <w:r>
        <w:rPr>
          <w:rFonts w:ascii="Calibri" w:hAnsi="Calibri" w:cs="Calibri" w:eastAsia="Calibri"/>
          <w:color w:val="auto"/>
          <w:spacing w:val="0"/>
          <w:position w:val="0"/>
          <w:sz w:val="24"/>
          <w:shd w:fill="auto" w:val="clear"/>
        </w:rPr>
        <w:t xml:space="preserve">(RFP and GFP/YFP)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5.3.7.</w:t>
        <w:tab/>
        <w:t xml:space="preserve">While visualizing the live image of the cells, take multiple representative images of a field that contains one or more cells expressing the mCherry/dsRedmito reporter for each well of the plate and save the data.</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scheme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gives an overview of how to obtain, transfect, and image human MDM. After incubation of the selected CD14+ monocytes with GM-CSF for 7 days, the cell morphology changes over the course of the differentiation period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going from spherical suspension cells to spindly and fully attached (days 3 and 4), and lastly to more spread cells when fully differentiated (day 7). Fully differentiated cells are then detached from the plate and transfected with the caspase BiFC pairs (VC and VN) along with the reporter plasmid (e.g., dsRedmito, a plasmid encoding a red fluorescent protein targeted to the mitochondria), which is used to label the transfected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employed to assess the efficiency of the transfection after 24 h. </w:t>
      </w:r>
      <w:r>
        <w:rPr>
          <w:rFonts w:ascii="Calibri" w:hAnsi="Calibri" w:cs="Calibri" w:eastAsia="Calibri"/>
          <w:b/>
          <w:color w:val="auto"/>
          <w:spacing w:val="0"/>
          <w:position w:val="0"/>
          <w:sz w:val="24"/>
          <w:shd w:fill="auto" w:val="clear"/>
        </w:rPr>
        <w:t xml:space="preserve">Figures 3B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an example of BiFC results using the caspase-1 pro BiFC transfected cells treated for 20 h with nigericin (5 &amp;#181;M), a known pro-inflammatory stimulus that triggers the assembly of the NLRP3 inflammasome</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Untreated cells show no Venus fluorescence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in nigericin-treated cells, caspase-1 BiFC appears as a single punctum with the typical shape of ASC specks</w:t>
      </w:r>
      <w:r>
        <w:rPr>
          <w:rFonts w:ascii="Calibri" w:hAnsi="Calibri" w:cs="Calibri" w:eastAsia="Calibri"/>
          <w:color w:val="auto"/>
          <w:spacing w:val="0"/>
          <w:position w:val="0"/>
          <w:sz w:val="24"/>
          <w:shd w:fill="auto" w:val="clear"/>
          <w:vertAlign w:val="superscript"/>
        </w:rPr>
        <w:t xml:space="preserve">32,33,25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shows an example of quantitation of Venus-positive MDM. The highest percentage of caspase-1 BiFC is seen in the LPS + nigericin treatment group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This result is consistent with activation of a canonical inflammasome, where both a priming signal (LPS) and an intracellular signal (nigericin) are required for activation of capase-1.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plasmid titration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where increasing amounts of each BiFC plasmid is transfected. This allows for the selection of the optimal dose of plasmid, resulting in a specific signal and minimal background.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the results of human MDM transfected with increasing concentrations of the caspase-1, -4, and -5 pro BiFC pairs (VC and VN) treated with heme, a highly pro-inflammatory molecule that results from red blood cell destruction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highest percentage of Venus-positive cells for caspase-1, -4, and -5 pro BiFC pairs results from 400 ng, 500 ng, and 1000 ng of transfected plasmid, respectively. However, using the highest amount of plasmid also runs the risk of increasing non-specific background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For example, transfection of 1000 ng of the caspase-5 pro BiFC pair results in almost 40% non-specific background. Therefore, using the lower 700 ng amount is considered optimal for this plasmid pair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representative confocal images obtained with a 20x objective of a field of cells 24 h post-transfection are shown. In this image, one can see that the untreated transfected cells are viable based on the appearance of the mitochondria (mitochondria in dead cells are highly fragmented) and the morphology of the cells (apoptotic cells are shrunken). After treatment with heme, the caspase-1 complex appears as a single green punctum similar to the one induced by nigericin in </w:t>
      </w:r>
      <w:r>
        <w:rPr>
          <w:rFonts w:ascii="Calibri" w:hAnsi="Calibri" w:cs="Calibri" w:eastAsia="Calibri"/>
          <w:b/>
          <w:color w:val="auto"/>
          <w:spacing w:val="0"/>
          <w:position w:val="0"/>
          <w:sz w:val="24"/>
          <w:shd w:fill="auto" w:val="clear"/>
        </w:rPr>
        <w:t xml:space="preserve">Figure 3C, </w:t>
      </w:r>
      <w:r>
        <w:rPr>
          <w:rFonts w:ascii="Calibri" w:hAnsi="Calibri" w:cs="Calibri" w:eastAsia="Calibri"/>
          <w:color w:val="auto"/>
          <w:spacing w:val="0"/>
          <w:position w:val="0"/>
          <w:sz w:val="24"/>
          <w:shd w:fill="auto" w:val="clear"/>
        </w:rPr>
        <w:t xml:space="preserve">and its appearance was accompanied by cell shrinkage.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Inflammatory caspases and caspase-bimolecular fluorescence complementation (BiFC) assay.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showing the caspase-BiFC system, where two caspase-1 pro-domains (C1-pro) linked to each non-fluorescent fragment of Venus (Venus-C or Venus-N) are recruited to the NLRP3 activation platform, forcing Venus to refold and fluoresce. This complex appears as a green spot under the microscope and serves as a readout for inflammatory caspase-induced proximity, which is the first step in initiator caspase activation.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showing the domain organization of inflammasome components and inflammatory caspases.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overview of the experimental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Differentiation of CD14-monocytes and transfection of human MDM.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bright-field images of CD14+ monocytes from peripheral blood exposed to  GM-CSF at days 1, 3, 4, and 7  of differentiation (Scale bar,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Human MDM were transfected with caspase-1 pro BiFC pairs and the transfection reporter dsRedmito (50 ng, red). 24 h later, cells were primed with and without LPS (100 ng/mL) for 3 h and treated with nigericin (5 &amp;#181;M) in imaging medium for 20 h.  Representative confocal images of untreated and nigericin-treated cells are shown (Scale bar, 10 &amp;#181;m). The BiFC is shown in green.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Cells from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were assessed for the percentage of dsRedmito-positive cells (red, transfected cells) that were Venus-positive (green, caspase-1 BiFC complex) at 20 h.  Error bars represent SD of at least two independent counts per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Human MDM transfected with different amounts of inflammatory caspase pro BiFC pairs.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Titration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caspase-1 pro; caspase-4 pro; or caspase-5 pro BiFC pairs. Human MDM were transfected with the indicated amounts of the caspase pro BiFC pairs with dsRedmito as a transfection reporter (50 ng) and incubated overnight. On the next day, the culture medium was removed from all wells, and cells were treated with and without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heme (50 &amp;#181;M) in 0.1% FBS medium.  After 1 h, an equal amount of complete medium was added to all wells to reconstitute the FBS concentration to 5% and prevent heme from killing the cells. After a total treatment of 20 h, cell were assessed for the percentage of dsRedmito-positive transfected cells that were Venus-positive, determined from a minimum of 300 cells per well. Error bars represent SD of at least three independent counts per well.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Human MDM were transfected with selected amounts of caspase-1 pro; caspase-4 pro; or caspase-5 pro BiFC pairs, along with dsRedmito (50 ng) as a reporter for transfection. 24 h post-transfection, cells were treated with or without heme (50 &amp;#181;M) in 0.1% FBS. After 1 h, FBS was reconstituted to 5% to inhibit extracellular heme. Cells were assessed for the percentage of dsRedmito-positive cells (red, transfected cells) that were Venus-positive (green, caspase BiFC complex) at 20 h determined from a minimum of 300 cells per well. Results are represented as percentage Venus-positive cells. Error bars represent SD of at least three independent counts per well.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confocal images obtained with a 20x objective of a field of cells 24 h post-transfection and treated with and without heme as described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Red: dsRedmito-positive cells; Green: Venus-positive cells; Scale bar, 20 &amp;#181;m.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workflow to obtain macrophages from monocytes isolated from human blood samples and a method to efficiently introduce the inflammatory caspase BiFC reporters into human MDM without compromising cell viability and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takes advantage of the BiFC technique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to tag the inflammatory caspases at the caspase recruitment domain (CARD) with non-fluorescent fragments of the split fluorescent protein Venus. Inflammatory caspases encode a catalytic domain composed of a large (p20) and a small (p10) subunit, and a conserved protein-protein interaction motif termed a CARD at their N-terminus or pro-domain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Recruitment of inflammatory caspases to their activation platforms is dependent on an intact CARD. For this approach, two caspase pro-domain constructs (encoding the CARD motif) are generated, each linked to the non-fluorescent fragments of the photostable yellow protein Venus (Venus-C [VC]) and Venus-N [VN]) along with a fluorescent transfection reporter to allow visualization of the cells prior to or in the absence of activation of the caspase BiFC reporter. Fluorescence is observed only when interacting proteins come into close enough proximity that would allow for dimerization and activation (see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efficiency of this process can be quantified using a standard epifluorescence or a confocal microscope. In combination with single-cell imaging, this protocol allows visualization of asynchronous events that may be undistinguishable in bulk populations, and depending on the resolution of the images, can be used to determine the size and localization of the BiFC complex associated with each caspase.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adapted to a range of proteins that are activated by oligomerization, and its applicability is not limited to microscopy methodologies. This approach also allows for the investigation of differential requirements for inflammatory caspases assembly. For example, siRNA can be used to identify upstream components/requirements for specific inflammatory caspase activation. The caspase-BiFC probes and the siRNA oligo (used to silence a target protein) can be transfected simultaneously into MDM. This can identify potential protein partners or essential components of each activation platform. For example, a siRNA oligo that targets the ASC adaptor molecule, which is required for assembly of the NLRP1, NLRP3, and AIM2 inflammasomes, was used to show that heme-induced activation of caspase-1 required these canonical inflammasomes while caspase-4 and -5 did not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methodology can also be adapted to time-lapse microscopy, so the kinetics of the inflammatory caspase activation can be determined in single cells. Using such an approach, one can assess when caspase dimerization occurs by precisely detecting the timing of appearance of the BiFC onset relative to the time when the cell undergoes cell death by monitoring loss of fluorescence of the transfection reporter (mCherry) as an indication of cell lysis.  There are multiple ways to acquire and analyze caspase BiFC data; the choice will depend on the question to be answered and the kind of microscope and software available. For instance, single-time point data used to determine the efficiency of activation as well as time-lapse analysis can be especially effective if an auto-acquisition feature provided by some microscope software is available. This allows objective imaging, as predetermined positions arrays are acquired from each well of a multi-well plate. Images can be quantitated both by visual inspection and by using automated imaging software like CellProfiler, ImageJ, or MATLAB to increase accuracy and objectivity.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Investigating caspase pathways in primary cells is essential to fully understand the physiological roles of these proteins. In addition, because caspase-4 and caspase-5 are replaced by a single caspase-11 in mice, being able to assess human cells is essential. However, due to low transfection efficiencies and toxicities associated with many delivery systems in primary cells, it can be difficult to maximize the use of available plasmid-based reporters. The inflammatory caspase BiFC protocol describes a simple method to transfect MDM from peripheral blood of either patients or healthy subjects, reducing the number of cells required per transfection. This allows researchers to perform more complex experiments with precious cells like macrophages without compromising cell viability and cellular properties. The ability to use patient samples provides a major advantage of being able to assess inflammatory caspase activation in specific disease states. Indeed, with some minor optimizations, this protocol could be easily adapted to other murine or human primary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uses an electroporation-based approach to transfect MDM. The Neon system is particularly advantageous since it does not induce an IFN-&amp;#947; response in MDM, which could disrupt the specific immune response of the cells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This is a small-scale electroporation system that uses a 10 &amp;#181;L transfection volume with a high cell density to enable the efficient transfer of exogenous DNA to a large number of cells. It creates temporary pores in the cell membrane so that plasmids can pass quickly, avoiding the late endocytosis that occurs during chemical transfection and that can trigger plasmid degradation. This protocol uses an organic acid-based buffer formulation (buffer R) that introduces minimal cell toxicity when compared to other buffers with chloride ions</w:t>
      </w:r>
      <w:r>
        <w:rPr>
          <w:rFonts w:ascii="Calibri" w:hAnsi="Calibri" w:cs="Calibri" w:eastAsia="Calibri"/>
          <w:color w:val="auto"/>
          <w:spacing w:val="0"/>
          <w:position w:val="0"/>
          <w:sz w:val="24"/>
          <w:shd w:fill="FFFFFF" w:val="clear"/>
          <w:vertAlign w:val="superscript"/>
        </w:rPr>
        <w:t xml:space="preserve">38</w:t>
      </w:r>
      <w:r>
        <w:rPr>
          <w:rFonts w:ascii="Calibri" w:hAnsi="Calibri" w:cs="Calibri" w:eastAsia="Calibri"/>
          <w:color w:val="auto"/>
          <w:spacing w:val="0"/>
          <w:position w:val="0"/>
          <w:sz w:val="24"/>
          <w:shd w:fill="FFFFFF" w:val="clear"/>
        </w:rPr>
        <w:t xml:space="preserve">. The small volume and the design of the </w:t>
      </w:r>
      <w:r>
        <w:rPr>
          <w:rFonts w:ascii="Calibri" w:hAnsi="Calibri" w:cs="Calibri" w:eastAsia="Calibri"/>
          <w:color w:val="auto"/>
          <w:spacing w:val="0"/>
          <w:position w:val="0"/>
          <w:sz w:val="24"/>
          <w:shd w:fill="auto" w:val="clear"/>
        </w:rPr>
        <w:t xml:space="preserve">pipette tip chamber</w:t>
      </w:r>
      <w:r>
        <w:rPr>
          <w:rFonts w:ascii="Calibri" w:hAnsi="Calibri" w:cs="Calibri" w:eastAsia="Calibri"/>
          <w:color w:val="auto"/>
          <w:spacing w:val="0"/>
          <w:position w:val="0"/>
          <w:sz w:val="24"/>
          <w:shd w:fill="FFFFFF" w:val="clear"/>
        </w:rPr>
        <w:t xml:space="preserve"> aid in </w:t>
      </w:r>
      <w:r>
        <w:rPr>
          <w:rFonts w:ascii="Calibri" w:hAnsi="Calibri" w:cs="Calibri" w:eastAsia="Calibri"/>
          <w:color w:val="auto"/>
          <w:spacing w:val="0"/>
          <w:position w:val="0"/>
          <w:sz w:val="24"/>
          <w:shd w:fill="auto" w:val="clear"/>
        </w:rPr>
        <w:t xml:space="preserve">generating a uniform electric field to maintain physiological conditions resulting in high survival rates</w:t>
      </w:r>
      <w:r>
        <w:rPr>
          <w:rFonts w:ascii="Calibri" w:hAnsi="Calibri" w:cs="Calibri" w:eastAsia="Calibri"/>
          <w:color w:val="auto"/>
          <w:spacing w:val="0"/>
          <w:position w:val="0"/>
          <w:sz w:val="24"/>
          <w:shd w:fill="FFFFFF" w:val="clear"/>
        </w:rPr>
        <w:t xml:space="preserve">. Transfection efficiency and cell survival are highly dependent on the </w:t>
      </w:r>
      <w:r>
        <w:rPr>
          <w:rFonts w:ascii="Calibri" w:hAnsi="Calibri" w:cs="Calibri" w:eastAsia="Calibri"/>
          <w:color w:val="auto"/>
          <w:spacing w:val="0"/>
          <w:position w:val="0"/>
          <w:sz w:val="24"/>
          <w:shd w:fill="auto" w:val="clear"/>
        </w:rPr>
        <w:t xml:space="preserve">chemical composition of the buffer, the cell density, the strength of the pulse, and the plasmid concentration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Therefore, it is essential to optimize these conditions for each cell type and plasmid introduced. In MDM, lower voltages with longer pulse durations delivered plasmids more efficiently while keeping cells viable and healthy. Consequently, the settings used for this protocol were 1000 V and 2 pulses of 40 ms that resulted in transfection efficiencies between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with cell viability higher than 90% based on the ability of the cells to re-attach to the plate after transfection. While this protocol is optimized for human MDM, varying the voltage settings from 500 V to 1700 V, increasing the number of pulses from 1 to 3, and testing length of pulses ranging from 10 to 40 ms can balance transfection efficiency and cell viability in additional cell types and experimental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important considerations for optimal employment of the BiFC technique. 1)  It is important that the user determines the optimal amount of each caspase plasmid to be introduced, as this may vary for different proteins and cell types. This is required to ensure maximal sensitivity and specificity of the assay. It is advised to run a pilot titration of the caspase BiFC plasmids (VC and VN fragments) between 200 ng and 1000 ng as shown in </w:t>
      </w:r>
      <w:r>
        <w:rPr>
          <w:rFonts w:ascii="Calibri" w:hAnsi="Calibri" w:cs="Calibri" w:eastAsia="Calibri"/>
          <w:b/>
          <w:color w:val="auto"/>
          <w:spacing w:val="0"/>
          <w:position w:val="0"/>
          <w:sz w:val="24"/>
          <w:shd w:fill="auto" w:val="clear"/>
        </w:rPr>
        <w:t xml:space="preserve">Figures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optimal range of plasmid introduced differs for each individual caspase, and therefore, they must be individually assessed. Choose a plasmid amount that provides the highest specific signal with minimal background. Ideally, the background level should be less than 10%, but up to 20% can be used if the specific signal is high. It is also critical to avoid harsh conditions and excessive manipulation of these cells during differentiation, transfection, and treatment. This can also result in spontaneous activation, and high background levels of caspase activation that can obscure the specific results since activation of immune cells such as monocyte or macrophages is a natural process, where they can acquire pro-inflammatory functions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If using patient cells, it can be difficult to control for some inherent variation in levels of inflammasome activation and genetic background that can sensitize or desensitize them to stimuli and changes in their local microenvironment. For example, macrophage function can be affected in immune-compromised individuals or individuals fighting an infection, as this type of cells play important homeostatic functions and are involved in the control of inflammation, among other functions. These genetic and environmental factors need to be considered when determining if a high background is non-specific or a biological effect. Using closely matched healthy controls (e.g., matched for gender and age) can help to assess the biological significance of a high background level of caspase BiFC.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It is critical that the VC and VN fragments are introduced at equal amounts since unequal expression of one Venus fragment could result in recruitment to the platform at higher frequencies and mask the full fluorescent signal, producing a false negative result. Therefore, the integrity and concentration of each individual plasmid should be validated before every transfection to avoid introducing different amounts of the VC and VN fragments. 3) Since this approach is based on the exogenous expression of the caspase reporters, additional controls for specificity should be included. Caspase-BiFC constructs containing single point mutations that disrupt binding between the caspase and its activation platform or silencing of one of the components of the activation platform using siRNA can be used to confirm that the fluorescent signal is due to specific binding of the caspase to the inflammasome. This control experiment should result in decreased levels of Venus-positive cells. 4) Expression of the caspase BiFC constructs could trigger or affect downstream events such as cell death. To circumvent this, non-enzymatic versions of the caspase are recommended for the BiFC reporters, such as the caspase pro-domain or the full-length caspase where the catalytic cysteine residue is mutated and inactivated. To further control for this, control non-transfected treated and untreated wells should be included in the experiment and should show similar behavior to that of the transfected wells. 5) Endogenous caspase activity could possibly impact the BiFC readout. To control for this, one can express the caspase reporter in cells deficient for the caspase under study with the expectation that the BiFC efficiency would be the same.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drawbacks of this approach is that it does not measure caspase activation </w:t>
      </w:r>
      <w:r>
        <w:rPr>
          <w:rFonts w:ascii="Calibri" w:hAnsi="Calibri" w:cs="Calibri" w:eastAsia="Calibri"/>
          <w:i/>
          <w:color w:val="auto"/>
          <w:spacing w:val="0"/>
          <w:position w:val="0"/>
          <w:sz w:val="24"/>
          <w:shd w:fill="auto" w:val="clear"/>
        </w:rPr>
        <w:t xml:space="preserve">per se, </w:t>
      </w:r>
      <w:r>
        <w:rPr>
          <w:rFonts w:ascii="Calibri" w:hAnsi="Calibri" w:cs="Calibri" w:eastAsia="Calibri"/>
          <w:color w:val="auto"/>
          <w:spacing w:val="0"/>
          <w:position w:val="0"/>
          <w:sz w:val="24"/>
          <w:shd w:fill="auto" w:val="clear"/>
        </w:rPr>
        <w:t xml:space="preserve">but the induced proximity step required for activation to occur. This is a subtle but important distinction. By design, the pro-domain does not contain the catalytic domains of the caspase that actually dimerize. Therefore, the refolding and fluorescence of the Venus fragments act as a proxy for caspase dimerization as they can only refold if the caspases are close enough to dimerize. Thus, the BiFC is specifically measuring induced proximity. It is possible that posttranslational modifications in the catalytic domains could impede dimerization without affecting the BiFC signal. For example, caspase-2 is phosphorylated on its catalytic domain, and this impedes dimerization without preventing the recruitment of caspase-2 to its activation platform</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Hence, observations using the BiFC approach must be complemented with functional studies to confirm that the fluorescence observed is representative of caspase activation. Despite this drawback, if the controls discussed here are included, the measurement of induced proximity by caspase BiFC can provide a new accurate representation of specific caspase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caspase BiFC is a powerful tool for the analysis of dynamic caspase interactions at the inflammasome level. This protocol allows for the interrogation of the inflammatory caspase signaling cascades in living immune cells. This approach not only provides a technique to specifically and accurately measure the first step in caspase activation but, by being applied to primary immune cells, has the potential to reveal properties of inflammatory caspases that could not be identified using conventional methods.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members of LBH’s lab past and present who contributed to the development of this technique. This lab is supported by NIH/NIDDK T32DK060445 (BEB), NIH/NIDDK F32DK121479 (BEB), NIH/NIGMS R01GM121389 (LBH). Figure 2 was drawn using Biorender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Boatright, 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unified model for apical caspase activation.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Pop, C., Salvesen, G. S. Human caspases: activation, specificity, and regulation.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(33), 21777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21781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Boice, A., Bouchier-Hayes, L. Targeting apoptotic caspases in cancer. </w:t>
      </w:r>
      <w:r>
        <w:rPr>
          <w:rFonts w:ascii="Calibri" w:hAnsi="Calibri" w:cs="Calibri" w:eastAsia="Calibri"/>
          <w:i/>
          <w:color w:val="auto"/>
          <w:spacing w:val="0"/>
          <w:position w:val="0"/>
          <w:sz w:val="24"/>
          <w:shd w:fill="auto" w:val="clear"/>
        </w:rPr>
        <w:t xml:space="preserve">Biochimica et Biophysica Acta (BBA) - 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1867</w:t>
      </w:r>
      <w:r>
        <w:rPr>
          <w:rFonts w:ascii="Calibri" w:hAnsi="Calibri" w:cs="Calibri" w:eastAsia="Calibri"/>
          <w:color w:val="auto"/>
          <w:spacing w:val="0"/>
          <w:position w:val="0"/>
          <w:sz w:val="24"/>
          <w:shd w:fill="auto" w:val="clear"/>
        </w:rPr>
        <w:t xml:space="preserve"> (6), 118688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Bol&amp;#237;var, B. E., Vogel, T. P., Bouchier-Hayes, L. Inflammatory caspase regulation: maintaining balance between inflammation and cell death in health and disease. </w:t>
      </w:r>
      <w:r>
        <w:rPr>
          <w:rFonts w:ascii="Calibri" w:hAnsi="Calibri" w:cs="Calibri" w:eastAsia="Calibri"/>
          <w:i/>
          <w:color w:val="auto"/>
          <w:spacing w:val="0"/>
          <w:position w:val="0"/>
          <w:sz w:val="24"/>
          <w:shd w:fill="auto" w:val="clear"/>
        </w:rPr>
        <w:t xml:space="preserve">The 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(14), 2628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Martinon, F., Tschopp, J. Inflammatory caspases: linking an intracellular innate immune system to autoinflammatory diseases.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(5),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Lamkanfi, M., Dixit, Vishva, M. Mechanisms and functions of inflammasomes.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(5), 1013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Viganò,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 caspase-4 and caspase-5 regulate the one-step noncanonical inflammasome activation in monocytes.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8761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Cerretti, D.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cloning of the interleukin-1 beta converting enzyme.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(5053), 97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van de Veerdonk, F. L., Netea, M. G., Dinarello, C. A., Joosten, L. A. Inflammasome activation and IL-1&amp;#946; and IL-18 processing during infection.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Martinon, F., Burns, K., Tschopp, J. The inflammasome: a molecular platform triggering activation of inflammatory caspases and processing of proIL-beta.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Kayagaki,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Noncanonical inflammasome activation targets caspase-11.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479 </w:t>
      </w:r>
      <w:r>
        <w:rPr>
          <w:rFonts w:ascii="Calibri" w:hAnsi="Calibri" w:cs="Calibri" w:eastAsia="Calibri"/>
          <w:color w:val="auto"/>
          <w:spacing w:val="0"/>
          <w:position w:val="0"/>
          <w:sz w:val="24"/>
          <w:shd w:fill="auto" w:val="clear"/>
        </w:rPr>
        <w:t xml:space="preserve">(7371),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Kayagaki,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Noncanonical inflammasome activation by intracellular LPS independent of TLR4.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341</w:t>
      </w:r>
      <w:r>
        <w:rPr>
          <w:rFonts w:ascii="Calibri" w:hAnsi="Calibri" w:cs="Calibri" w:eastAsia="Calibri"/>
          <w:color w:val="auto"/>
          <w:spacing w:val="0"/>
          <w:position w:val="0"/>
          <w:sz w:val="24"/>
          <w:shd w:fill="auto" w:val="clear"/>
        </w:rPr>
        <w:t xml:space="preserve"> (6151), 1246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Masumoto,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ASC, a novel 22-kDa protein, aggregates during apoptosis of human promyelocytic leukemia HL-60 cells.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(48), 33835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33838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Bertin, J., DiStefano, P. S. The PYRIN domain: a novel motif found in apoptosis and inflammation proteins.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1273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Agostini,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NALP3 forms an IL-1beta-processing inflammasome with increased activity in Muckle-Wells autoinflammatory disorder.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B&amp;#252;rckst&amp;#252;mmer,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orthogonal proteomic-genomic screen identifies AIM2 as a cytoplasmic DNA sensor for the inflammasome.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Latz, E., Xiao, T. S., Stutz, A. Activation and regulation of the inflammasomes.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Kayagaki,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Caspase-11 cleaves gasdermin D for noncanonical inflammasome signalling.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526</w:t>
      </w:r>
      <w:r>
        <w:rPr>
          <w:rFonts w:ascii="Calibri" w:hAnsi="Calibri" w:cs="Calibri" w:eastAsia="Calibri"/>
          <w:color w:val="auto"/>
          <w:spacing w:val="0"/>
          <w:position w:val="0"/>
          <w:sz w:val="24"/>
          <w:shd w:fill="auto" w:val="clear"/>
        </w:rPr>
        <w:t xml:space="preserve"> (7575), 666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Shi,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Cleavage of GSDMD by inflammatory caspases determines pyroptotic cell death.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526</w:t>
      </w:r>
      <w:r>
        <w:rPr>
          <w:rFonts w:ascii="Calibri" w:hAnsi="Calibri" w:cs="Calibri" w:eastAsia="Calibri"/>
          <w:color w:val="auto"/>
          <w:spacing w:val="0"/>
          <w:position w:val="0"/>
          <w:sz w:val="24"/>
          <w:shd w:fill="auto" w:val="clear"/>
        </w:rPr>
        <w:t xml:space="preserve"> (7575), 660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Inflammatory caspases are innate immune receptors for intracellular LPS.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514</w:t>
      </w:r>
      <w:r>
        <w:rPr>
          <w:rFonts w:ascii="Calibri" w:hAnsi="Calibri" w:cs="Calibri" w:eastAsia="Calibri"/>
          <w:color w:val="auto"/>
          <w:spacing w:val="0"/>
          <w:position w:val="0"/>
          <w:sz w:val="24"/>
          <w:shd w:fill="auto" w:val="clear"/>
        </w:rPr>
        <w:t xml:space="preserve"> (7521),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Bol&amp;#237;var, B.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Noncanonical Roles of Caspase-4 and Caspase-5 in Heme-Driven IL-1&amp;#946; Release and Cell Death.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(8), 1878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Schmid-Burgk,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Caspase-4 mediates noncanonical activation of the NLRP3 inflammasome in human myeloid cells.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(10), 2911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Baker, P.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NLRP3 inflammasome activation downstream of cytoplasmic LPS recognition by both caspase-4 and caspase-5.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(10), 2918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Cullen, S. P., Kearney, C. J., Clancy, D. M., Martin, S. J. Diverse activators of the NLRP3 inflammasome promote IL-1&amp;#946; secretion by triggering necrosis.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1535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Sanders, M.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Single-cell imaging of inflammatory caspase dimerization reveals differential recruitment to inflammasomes. </w:t>
      </w:r>
      <w:r>
        <w:rPr>
          <w:rFonts w:ascii="Calibri" w:hAnsi="Calibri" w:cs="Calibri" w:eastAsia="Calibri"/>
          <w:i/>
          <w:color w:val="auto"/>
          <w:spacing w:val="0"/>
          <w:position w:val="0"/>
          <w:sz w:val="24"/>
          <w:shd w:fill="auto" w:val="clear"/>
        </w:rPr>
        <w:t xml:space="preserve">Cell Death &amp;amp;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e1813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Charendoff, C. I., Bouchier-Hayes, L. Lighting up the pathways to caspase activation using bimolecular fluorescence complementation.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57316,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Bouchier-Hayes,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cytoplasmic caspase-2 activation by induced proximity.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830-840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Riedhammer, C., Halbritter, D., Weissert, R. Peripheral blood mononuclear cells: Isolation, Freezing, thawing, and culture.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b/>
          <w:color w:val="auto"/>
          <w:spacing w:val="0"/>
          <w:position w:val="0"/>
          <w:sz w:val="24"/>
          <w:shd w:fill="auto" w:val="clear"/>
        </w:rPr>
        <w:t xml:space="preserve">1304</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Betsou, F., Gaignaux, A., Ammerlaan, W., Norris, P. J., Stone, M. Biospecimen science of blood for peripheral blood mononuclear cell (PBMC) functional applications. </w:t>
      </w:r>
      <w:r>
        <w:rPr>
          <w:rFonts w:ascii="Calibri" w:hAnsi="Calibri" w:cs="Calibri" w:eastAsia="Calibri"/>
          <w:i/>
          <w:color w:val="auto"/>
          <w:spacing w:val="0"/>
          <w:position w:val="0"/>
          <w:sz w:val="24"/>
          <w:shd w:fill="auto" w:val="clear"/>
        </w:rPr>
        <w:t xml:space="preserve">Current Pathobiology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Perregaux,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IL-1 beta maturation: evidence that mature cytokine formation can be induced specifically by nigericin. </w:t>
      </w:r>
      <w:r>
        <w:rPr>
          <w:rFonts w:ascii="Calibri" w:hAnsi="Calibri" w:cs="Calibri" w:eastAsia="Calibri"/>
          <w:i/>
          <w:color w:val="auto"/>
          <w:spacing w:val="0"/>
          <w:position w:val="0"/>
          <w:sz w:val="24"/>
          <w:shd w:fill="auto" w:val="clear"/>
        </w:rPr>
        <w:t xml:space="preserve">The Journal of Immunology.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(4), 1294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Cheneval,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Increased mature interleukin-1&amp;#946; (IL-1&amp;#946;) secretion from THP-1 cells induced by nigericin is a result of activation of p45 IL-1&amp;#946;-converting enzyme processing.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(28), 17846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17851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Fernandes-Alnemri,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pyroptosome: a supramolecular assembly of ASC dimers mediating inflammatory cell death via caspase-1 activation.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1590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Lu,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Unified polymerization mechanism for the assembly of ASC-dependent inflammasomes.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(6), 1193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Muller-Eberhard, U., Javid, J., Liem, H. H., Hanstein, A., Hanna, M. Brief report: Plasma concentrations of hemopexin, haptoglobin and heme in patients with various hemolytic diseases.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815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Shyu, Y. J., Liu, H., Deng, X., Hu, C. D. Identification of new fluorescent protein fragments for bimolecular fluorescence complementation analysis under physiological conditions.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Thornberry, 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novel heterodimeric cysteine protease is required for interleukin-1&amp;#946;processing in monocytes.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356</w:t>
      </w:r>
      <w:r>
        <w:rPr>
          <w:rFonts w:ascii="Calibri" w:hAnsi="Calibri" w:cs="Calibri" w:eastAsia="Calibri"/>
          <w:color w:val="auto"/>
          <w:spacing w:val="0"/>
          <w:position w:val="0"/>
          <w:sz w:val="24"/>
          <w:shd w:fill="auto" w:val="clear"/>
        </w:rPr>
        <w:t xml:space="preserve"> (6372), 768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Jensen, K., Anderson, J. A., Glass, E. J. Comparison of small interfering RNA (siRNA) delivery into bovine monocyte-derived macrophages by transfection and electroporation. </w:t>
      </w:r>
      <w:r>
        <w:rPr>
          <w:rFonts w:ascii="Calibri" w:hAnsi="Calibri" w:cs="Calibri" w:eastAsia="Calibri"/>
          <w:i/>
          <w:color w:val="auto"/>
          <w:spacing w:val="0"/>
          <w:position w:val="0"/>
          <w:sz w:val="24"/>
          <w:shd w:fill="auto" w:val="clear"/>
        </w:rPr>
        <w:t xml:space="preserve">Veterinary Immunology and Immunopathology.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Tada, Y., Sakamoto, M., Fujimura, T. Efficient gene introduction into rice by electroporation and analysis of transgenic plants: use of electroporation buffer lacking chloride ions. </w:t>
      </w:r>
      <w:r>
        <w:rPr>
          <w:rFonts w:ascii="Calibri" w:hAnsi="Calibri" w:cs="Calibri" w:eastAsia="Calibri"/>
          <w:i/>
          <w:color w:val="auto"/>
          <w:spacing w:val="0"/>
          <w:position w:val="0"/>
          <w:sz w:val="24"/>
          <w:shd w:fill="auto" w:val="clear"/>
        </w:rPr>
        <w:t xml:space="preserve">Theoretical and Applied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(4), 475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480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Bhowmik,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Targeted mutagenesis in wheat microspores using CRISPR/Cas9.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6502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Sansom, D. M., Manzotti, C. N., Zheng, Y. What’s the difference between CD80 and CD86?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Kurokawa, M., Kornbluth, S. Caspases and kinases in a death grip.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(5), 838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854 (2009).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