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numPr>
          <w:ilvl w:val="0"/>
          <w:numId w:val="1"/>
        </w:numPr>
        <w:spacing w:before="240" w:after="60" w:line="240"/>
        <w:ind w:right="0" w:left="432" w:hanging="432"/>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Scalable Isolation and Purification of Extracellular Vesicles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Other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Dionysios C. Watson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Sadie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Akeem Santos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Mei Yin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Defne Bayik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D. Lathia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Mohammed Dwidar</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Cardiovascular &amp;amp; Metabolic Sciences, Lerner Research Institute, Cleveland Clinic,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Hospitals Cleveland Medical Center,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Case Western Reserve University,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for Microbiome &amp;amp; Human Health, Cleveland Clinic, Cleveland,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Electron Microscopy Core, Lerner Research Institute, Cleveland Clinic, Cleveland, OH,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Sadie Johnson</w:t>
        <w:tab/>
        <w:tab/>
        <w:tab/>
        <w:tab/>
        <w:tab/>
        <w:t xml:space="preserve">(johnsos21@ccf.org)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Akeem Santos</w:t>
        <w:tab/>
        <w:tab/>
        <w:tab/>
        <w:tab/>
        <w:tab/>
        <w:t xml:space="preserve">(santosa4@ccf.org)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 Yin</w:t>
        <w:tab/>
        <w:tab/>
        <w:tab/>
        <w:tab/>
        <w:tab/>
        <w:t xml:space="preserve">(yinm@ccf.org)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Defne Bayik</w:t>
        <w:tab/>
        <w:tab/>
        <w:tab/>
        <w:tab/>
        <w:tab/>
        <w:t xml:space="preserve">(watsond3@ccf.org)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D. Lathia</w:t>
        <w:tab/>
        <w:tab/>
        <w:tab/>
        <w:tab/>
        <w:t xml:space="preserve">(lathiaj@ccf.org)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Dionysios C. Watson</w:t>
        <w:tab/>
        <w:tab/>
        <w:tab/>
        <w:tab/>
        <w:t xml:space="preserve">(dionysios.watson@uhhospitals.org)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Mohammed Dwidar</w:t>
        <w:tab/>
        <w:tab/>
        <w:tab/>
        <w:tab/>
        <w:t xml:space="preserve">(dwidarm@ccf.org)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secrete nanometer-sized extracellular vesicles (EVs) carrying bioactive biological molecules. EV research focuses on understanding their biogenesis, role in microbe-microbe and host-microbe interactions and disease, as well as their potential therapeutic applications. A workflow for scalable isolation of EVs from various bacteria is presented to facilitate standardization of EV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Diverse bacterial species secrete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nm extracellular vesicles (EVs), comprised of lipids, proteins, nucleic acids, glycans, and other molecules derived from the parental cells. EVs function as intra- and inter-species communication vectors while also contributing to the interaction between bacteria and host organisms in the context of infection and colonization. Given the multitude of functions attributed to EVs in health and disease, there is a growing interest in isolating EVs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It was hypothesized that the separation of EVs based on physical properties, namely size, would facilitate the isolation of vesicles from diverse bacterial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workflow consists of centrifugation, filtration, ultrafiltration, and size-exclusion chromatography (SEC) for the isolation of EVs from bacterial cultures. A pump-driven tangential flow filtration (TFF) step was incorporated to enhance scalability, enabling the isolation of material from liters of starting cell culture.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was used as a model system expressing EV-associated nanoluciferase and non-EV-associated mCherry as reporter proteins. The nanoluciferase was targeted to the EVs by fusing its N-terminus with cytolysin A. Early chromatography fractions containing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EVs with associated cytolysin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nanoLuc were distinct from the later fractions containing the free proteins. The presence of EV-associated nanoluciferase was confirmed by immunogold labeling and transmission electron microscopy. This EV isolation workflow is applicable to other human gut-associated gram-negative and gram-positive bacterial species. In conclusion, combining centrifugation, filtration, ultrafiltration/TFF, and SEC enables scalable isolation of EVs from diverse bacterial species. Employing a standardized isolation workflow will facilitate comparative studies of microbial EVs across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nanometer-sized, liposome-like structures comprised of lipids, proteins, glycans, and nucleic acids, secreted by both prokaryotic and eukaryotic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the early studies visualizing the release of EVs from gram-negative bacteria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number of biological functions attributed to bacterial EVs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nm in diameter) has constantly been growing in the past decades. Their functions include transferring antibiotic resistance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biofilm formation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quorum sensing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toxin delivery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 is also growing interest in the use of bacterial EVs as therapeutics, especially in vaccinology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cancer therapy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growing interest in EV research, there are still technical challenges regarding methods of isolation. Specifically, there is a need for isolation methods that are reproducible, scalable, and compatible with diverse EV-producing organisms. To create a unified set of principles for planning and reporting EV isolation and research methods, the International Society for Extracellular Vesicles publishes and updates the MISEV position paper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EV-TRACK consortium provides an open platform for reporting detailed methodologies for EV isolation used in published manuscripts to enhance transparency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previous methodologies used for the isolation of EVs from mammalian cell culture were adapted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 enable the isolation of EVs from bacterial cell culture [</w:t>
      </w:r>
      <w:r>
        <w:rPr>
          <w:rFonts w:ascii="Calibri" w:hAnsi="Calibri" w:cs="Calibri" w:eastAsia="Calibri"/>
          <w:i/>
          <w:color w:val="auto"/>
          <w:spacing w:val="0"/>
          <w:position w:val="0"/>
          <w:sz w:val="24"/>
          <w:shd w:fill="auto" w:val="clear"/>
        </w:rPr>
        <w:t xml:space="preserve">Insert </w:t>
      </w:r>
      <w:r>
        <w:rPr>
          <w:rFonts w:ascii="Calibri" w:hAnsi="Calibri" w:cs="Calibri" w:eastAsia="Calibri"/>
          <w:b/>
          <w:i/>
          <w:color w:val="auto"/>
          <w:spacing w:val="0"/>
          <w:position w:val="0"/>
          <w:sz w:val="24"/>
          <w:shd w:fill="auto" w:val="clear"/>
        </w:rPr>
        <w:t xml:space="preserve">Figure 1</w:t>
      </w:r>
      <w:r>
        <w:rPr>
          <w:rFonts w:ascii="Calibri" w:hAnsi="Calibri" w:cs="Calibri" w:eastAsia="Calibri"/>
          <w:i/>
          <w:color w:val="auto"/>
          <w:spacing w:val="0"/>
          <w:position w:val="0"/>
          <w:sz w:val="24"/>
          <w:shd w:fill="auto" w:val="clear"/>
        </w:rPr>
        <w:t xml:space="preserve"> here</w:t>
      </w:r>
      <w:r>
        <w:rPr>
          <w:rFonts w:ascii="Calibri" w:hAnsi="Calibri" w:cs="Calibri" w:eastAsia="Calibri"/>
          <w:color w:val="auto"/>
          <w:spacing w:val="0"/>
          <w:position w:val="0"/>
          <w:sz w:val="24"/>
          <w:shd w:fill="auto" w:val="clear"/>
        </w:rPr>
        <w:t xml:space="preserve">]. We sought to employ methods that enable EV isolation from a variety of microbes, which can be scalable, and balance EV purity and yield (as discussed in the MISEV position paper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After removing bacterial cells and debris by centrifugation and filtration, the culture medium is concentrated either by centrifugal device ultrafiltration (for a volume of up to ~100 mL) or pump-driven TFF (for larger volumes). EVs are then isolated by SEC using columns optimized for the purification of small EVs.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mouse-commensal strain of </w:t>
      </w:r>
      <w:r>
        <w:rPr>
          <w:rFonts w:ascii="Calibri" w:hAnsi="Calibri" w:cs="Calibri" w:eastAsia="Calibri"/>
          <w:i/>
          <w:color w:val="auto"/>
          <w:spacing w:val="0"/>
          <w:position w:val="0"/>
          <w:sz w:val="24"/>
          <w:shd w:fill="auto" w:val="clear"/>
        </w:rPr>
        <w:t xml:space="preserve">Escherichia co</w:t>
      </w:r>
      <w:r>
        <w:rPr>
          <w:rFonts w:ascii="Calibri" w:hAnsi="Calibri" w:cs="Calibri" w:eastAsia="Calibri"/>
          <w:color w:val="auto"/>
          <w:spacing w:val="0"/>
          <w:position w:val="0"/>
          <w:sz w:val="24"/>
          <w:shd w:fill="auto" w:val="clear"/>
        </w:rPr>
        <w:t xml:space="preserve">li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MP1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was used as a model organism and modified to express EV-associated nanoluciferase by fusion to cytolysin A, as previously reported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methods used here can process at least up to several liters of bacterial cultures and effectively separate EV-associated from non-EV-associated proteins. Finally, this method can also be used for other gram-positive and gram-negative bacterial species. All relevant data of the reported experiments were submitted to the EV-TRACK knowledgebase (EV-TRACK ID: EV210211)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work involving bacteria and recombinant DNA follows best practices for biosafety containment appropriate for the biosafety hazard level of each strain. Work should be done in accordance with local, national, and international biosafety regulations.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Bacterial strains and culturing conditions</w:t>
      </w: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Bacterial strains used in this study were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MP1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Akkermansia mucinophila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Bacteroides thetaiotaomicron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Bifidobacterium breve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Bifidobacterium dentium.</w:t>
      </w: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For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use a sterile loop to inoculate single colonies into 250 to 1,000 mL of Luria-Bertani (LB) broth and incubate aerobically in a shaking incubator at 300 rpm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37 &amp;#176;C for 48 h before processing the culture. </w:t>
      </w:r>
      <w:r>
        <w:rPr>
          <w:rFonts w:ascii="Calibri" w:hAnsi="Calibri" w:cs="Calibri" w:eastAsia="Calibri"/>
          <w:color w:val="auto"/>
          <w:spacing w:val="0"/>
          <w:position w:val="0"/>
          <w:sz w:val="24"/>
          <w:shd w:fill="auto" w:val="clear"/>
        </w:rPr>
        <w:t xml:space="preserve">For recombinant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MP1 strain harboring p114-mCherry-Clyluc (</w:t>
      </w:r>
      <w:r>
        <w:rPr>
          <w:rFonts w:ascii="Calibri" w:hAnsi="Calibri" w:cs="Calibri" w:eastAsia="Calibri"/>
          <w:b/>
          <w:color w:val="auto"/>
          <w:spacing w:val="0"/>
          <w:position w:val="0"/>
          <w:sz w:val="24"/>
          <w:shd w:fill="auto" w:val="clear"/>
        </w:rPr>
        <w:t xml:space="preserve">Supplemental Method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add chloramphenicol to the LB agar and broth at a final concentration of 17 &amp;#181;g/mL. </w:t>
      </w: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w:t>
      </w:r>
      <w:r>
        <w:rPr>
          <w:rFonts w:ascii="Calibri" w:hAnsi="Calibri" w:cs="Calibri" w:eastAsia="Calibri"/>
          <w:i/>
          <w:color w:val="auto"/>
          <w:spacing w:val="0"/>
          <w:position w:val="0"/>
          <w:sz w:val="24"/>
          <w:shd w:fill="auto" w:val="clear"/>
        </w:rPr>
        <w:t xml:space="preserve">A. mucinophila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 thetaiotaomicron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 breve,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 dentium, </w:t>
      </w:r>
      <w:r>
        <w:rPr>
          <w:rFonts w:ascii="Calibri" w:hAnsi="Calibri" w:cs="Calibri" w:eastAsia="Calibri"/>
          <w:color w:val="auto"/>
          <w:spacing w:val="0"/>
          <w:position w:val="0"/>
          <w:sz w:val="24"/>
          <w:shd w:fill="auto" w:val="clear"/>
        </w:rPr>
        <w:t xml:space="preserve">streak on Brain heart infusion (BHI) agar plates and incubate anaerobically inside a vinyl anaerobic chamber. Inoculate single colonies into 100 mL of pre-reduced BHI broth and incubate for 48 h anaerobically.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EV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Clarifying bacterial culture medium by centrifugation and filtration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Transfer the bacterial cell cultures inoculated in step 1 to clean 250 mL or 500 mL polypropylene centrifuge bottles by pouring. Centrifuge the bottles in a large-capacity, fixed-angle rotor at 4 &amp;#176;C and 5,000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Transfer the supernatant to clean centrifuge bottles by careful pouring, and centrifuge again at 10,000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w:t>
      </w: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Reuse the bottles after biosafety-appropriate cleaning and decontamination.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4"/>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If large pellets of bacterial cells are present after the second centrifugation, repeat the centrifugation in a clean bottle to further remove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Transfer the supernatant to a 0.2 &amp;#181;m polyethersulfone vacuum-driven filter device of appropriate size by pouring. Filter by connecting the filtration device to a vacuum wall supply. If the filtration rate drops significantly, simply move any unfiltered material to a new device. Store the filtered medium at 4 &amp;#176;C overnight, and continue the protocol the following day if desired.</w:t>
      </w:r>
    </w:p>
    <w:p>
      <w:pPr>
        <w:keepNext w:val="true"/>
        <w:keepLines w:val="true"/>
        <w:numPr>
          <w:ilvl w:val="0"/>
          <w:numId w:val="16"/>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1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centrifugations above typically allow processing of ~2x the indicated volume of cell culture through each device. For example, a single 500 mL filter device could filter ~1,000 mL of pre-centrifuged culture. These devices are not typically reused. Using syringe filters at this step is not recommended without optimization, as significant losses were noted with the tested models. This is a potential stopping point.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Check for the complete removal of the viable cells at this point by spreading an aliquot of the filtered supernatant on suitable agar plates and ensure the absence of any colonies after incubation at optimum conditions for the bacterial strain. </w:t>
      </w:r>
      <w:r>
        <w:rPr>
          <w:rFonts w:ascii="Calibri" w:hAnsi="Calibri" w:cs="Calibri" w:eastAsia="Calibri"/>
          <w:color w:val="auto"/>
          <w:spacing w:val="0"/>
          <w:position w:val="0"/>
          <w:sz w:val="24"/>
          <w:shd w:fill="auto" w:val="clear"/>
        </w:rPr>
        <w:t xml:space="preserve">If bacteria are detected, further optimize the procedure above by performing additional centrifugations and/or filtrations.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Concentration of the filtered medium</w:t>
      </w:r>
    </w:p>
    <w:p>
      <w:pPr>
        <w:keepNext w:val="true"/>
        <w:keepLines w:val="true"/>
        <w:numPr>
          <w:ilvl w:val="0"/>
          <w:numId w:val="20"/>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b/>
          <w:color w:val="auto"/>
          <w:spacing w:val="0"/>
          <w:position w:val="0"/>
          <w:sz w:val="24"/>
          <w:shd w:fill="FFFF00" w:val="clear"/>
        </w:rPr>
        <w:t xml:space="preserve">If working with volumes significantly &amp;gt;100 mL, proceed to step 2.2.2. </w:t>
      </w:r>
      <w:r>
        <w:rPr>
          <w:rFonts w:ascii="Calibri" w:hAnsi="Calibri" w:cs="Calibri" w:eastAsia="Calibri"/>
          <w:color w:val="auto"/>
          <w:spacing w:val="0"/>
          <w:position w:val="0"/>
          <w:sz w:val="24"/>
          <w:shd w:fill="FFFF00" w:val="clear"/>
        </w:rPr>
        <w:t xml:space="preserve">If working with volumes of ~100 mL, load 90 mL of filtered culture medium onto the reservoir of a respective capacity 100 kDa molecular weight cutoff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(MWCO) </w:t>
      </w:r>
      <w:r>
        <w:rPr>
          <w:rFonts w:ascii="Calibri" w:hAnsi="Calibri" w:cs="Calibri" w:eastAsia="Calibri"/>
          <w:color w:val="auto"/>
          <w:spacing w:val="0"/>
          <w:position w:val="0"/>
          <w:sz w:val="24"/>
          <w:shd w:fill="FFFF00" w:val="clear"/>
        </w:rPr>
        <w:t xml:space="preserve">centrifugal ultrafiltration device </w:t>
      </w:r>
      <w:r>
        <w:rPr>
          <w:rFonts w:ascii="Calibri" w:hAnsi="Calibri" w:cs="Calibri" w:eastAsia="Calibri"/>
          <w:color w:val="auto"/>
          <w:spacing w:val="0"/>
          <w:position w:val="0"/>
          <w:sz w:val="24"/>
          <w:shd w:fill="auto" w:val="clear"/>
        </w:rPr>
        <w:t xml:space="preserve">using serological pipettes. Always balance with a matching ultrafiltration device, and </w:t>
      </w:r>
      <w:r>
        <w:rPr>
          <w:rFonts w:ascii="Calibri" w:hAnsi="Calibri" w:cs="Calibri" w:eastAsia="Calibri"/>
          <w:color w:val="auto"/>
          <w:spacing w:val="0"/>
          <w:position w:val="0"/>
          <w:sz w:val="24"/>
          <w:shd w:fill="FFFF00" w:val="clear"/>
        </w:rPr>
        <w:t xml:space="preserve">centrifuge in swinging bucket rotor at 4 &amp;#176;C and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intervals, until the volume of the medium in the top reservoir has been concentrated to &amp;lt;0.5 mL. </w:t>
      </w:r>
    </w:p>
    <w:p>
      <w:pPr>
        <w:keepNext w:val="true"/>
        <w:keepLines w:val="true"/>
        <w:numPr>
          <w:ilvl w:val="0"/>
          <w:numId w:val="20"/>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Top up the reservoir with any remaining filtered culture medium. If “topping up,” remove the flow-through in the bottom of the device and re-balance any devices.</w:t>
      </w:r>
    </w:p>
    <w:p>
      <w:pPr>
        <w:keepNext w:val="true"/>
        <w:keepLines w:val="true"/>
        <w:numPr>
          <w:ilvl w:val="0"/>
          <w:numId w:val="20"/>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was observed that the maximum volume of filtered culture medium that can be concentrated using these devices is &amp;lt;2-fold the recommended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4"/>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If the viscosity of the concentrated medium in the reservoir is visibly increased (dark, viscous material), dilute with phosphate-buffered saline (PBS) and re-concentrate by centrifugation to dilute any non-EV proteins smaller than the MWCO of 100 kDa.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potential stopping point.</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Transfer the concentrated medium to a low-protein-binding tube, store at 4 &amp;#176;C overnight, and continue the protocol the following day if desired. </w:t>
      </w:r>
    </w:p>
    <w:p>
      <w:pPr>
        <w:keepNext w:val="true"/>
        <w:keepLines w:val="true"/>
        <w:numPr>
          <w:ilvl w:val="0"/>
          <w:numId w:val="26"/>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b/>
          <w:color w:val="auto"/>
          <w:spacing w:val="0"/>
          <w:position w:val="0"/>
          <w:sz w:val="24"/>
          <w:shd w:fill="FFFF00" w:val="clear"/>
        </w:rPr>
        <w:t xml:space="preserve">If working with volumes significantly &amp;gt;100 mL,</w:t>
      </w:r>
      <w:r>
        <w:rPr>
          <w:rFonts w:ascii="Calibri" w:hAnsi="Calibri" w:cs="Calibri" w:eastAsia="Calibri"/>
          <w:color w:val="auto"/>
          <w:spacing w:val="0"/>
          <w:position w:val="0"/>
          <w:sz w:val="24"/>
          <w:shd w:fill="FFFF00" w:val="clear"/>
        </w:rPr>
        <w:t xml:space="preserve"> select an appropriately sized TFF device (100 kDa MWCO) to accommodate the volume to be processed. </w:t>
      </w:r>
    </w:p>
    <w:p>
      <w:pPr>
        <w:keepNext w:val="true"/>
        <w:keepLines w:val="true"/>
        <w:numPr>
          <w:ilvl w:val="0"/>
          <w:numId w:val="26"/>
        </w:numPr>
        <w:spacing w:before="0" w:after="0" w:line="240"/>
        <w:ind w:right="0" w:left="720" w:hanging="720"/>
        <w:jc w:val="both"/>
        <w:rPr>
          <w:rFonts w:ascii="Calibri" w:hAnsi="Calibri" w:cs="Calibri" w:eastAsia="Calibri"/>
          <w:b/>
          <w:color w:val="auto"/>
          <w:spacing w:val="0"/>
          <w:position w:val="0"/>
          <w:sz w:val="24"/>
          <w:shd w:fill="FFFF00" w:val="clear"/>
        </w:rPr>
      </w:pPr>
    </w:p>
    <w:p>
      <w:pPr>
        <w:keepNext w:val="true"/>
        <w:keepLines w:val="true"/>
        <w:numPr>
          <w:ilvl w:val="0"/>
          <w:numId w:val="2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information is provided by manufacturers. Filtration devices for processing 100 mL to &amp;gt;1,000 mL are commercially available. Up to 2 L of culture medium were processed with the device indicated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before needing to clean the filter (see step 2.3 below for the cleaning protocol).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Assemble a filtration circuit with #16 low-binding/low-leaching tubing, 1/8 inch hose-barb to Luer adapters, the TFF device, and a peristaltic pump, </w:t>
      </w:r>
      <w:r>
        <w:rPr>
          <w:rFonts w:ascii="Calibri" w:hAnsi="Calibri" w:cs="Calibri" w:eastAsia="Calibri"/>
          <w:color w:val="auto"/>
          <w:spacing w:val="0"/>
          <w:position w:val="0"/>
          <w:sz w:val="24"/>
          <w:shd w:fill="auto" w:val="clear"/>
        </w:rPr>
        <w:t xml:space="preserve">as indicated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TFF within a biosafety cabinet to minimize the risk of contaminating the EV preparation with environmental bacteria.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At room temperature, begin circulating the filtered, conditioned medium at approximately 200 mL/min (minimum 100 mL/min). Determine the appropriate RPM corresponding to the desired flow rate by pumping 200 mL of PBS into a graduated vessel. When circulating filtered, conditioned medium, collect the molecules &amp;lt;100 kDa crossing the ultrafiltration membrane as waste in a separate vessel.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 below will be assuming a starting volume of 2 L of culture.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Continue to circulate the conditioned medium until its volume has been reduced to ~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mL. Move to smaller vessels as needed. Dilute 2-fold with PBS, and continue to circulate with the pump, concentrating down to 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mL. Dilute 2-fold with PBS, and continue to circulate to a final volume of 25 mL. Dilute 2-fold with PBS and continue to circulate until &amp;lt;10 mL.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w:t>
        <w:tab/>
        <w:t xml:space="preserve">Lift the feed tubing out of the sample reservoir, and continue to pump to purge the filter and recover the maximum amount of sample. </w:t>
      </w:r>
    </w:p>
    <w:p>
      <w:pPr>
        <w:keepNext w:val="true"/>
        <w:keepLines w:val="true"/>
        <w:numPr>
          <w:ilvl w:val="0"/>
          <w:numId w:val="26"/>
        </w:numPr>
        <w:spacing w:before="0" w:after="0" w:line="240"/>
        <w:ind w:right="0" w:left="864" w:hanging="864"/>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potential stopping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numPr>
          <w:ilvl w:val="0"/>
          <w:numId w:val="30"/>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w:t>
        <w:tab/>
        <w:t xml:space="preserve">Transfer the concentrated sample to a conical tube and store overnight at 4 &amp;#176;C if desired. Alternatively, continue with the protocol. </w:t>
      </w:r>
    </w:p>
    <w:p>
      <w:pPr>
        <w:keepNext w:val="true"/>
        <w:keepLines w:val="true"/>
        <w:numPr>
          <w:ilvl w:val="0"/>
          <w:numId w:val="30"/>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30"/>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2.2.2.6.</w:t>
        <w:tab/>
        <w:t xml:space="preserve">Move the concentrated sample to a 15 mL capacity 100 kDa MWCO centrifugal ultrafiltration device. Centrifuge in a swinging bucket rotor at 4 &amp;#176;C and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intervals until the volume of the medium in the top reservoir has been concentrated to &amp;lt;2 mL. </w:t>
      </w:r>
    </w:p>
    <w:p>
      <w:pPr>
        <w:keepNext w:val="true"/>
        <w:keepLines w:val="true"/>
        <w:numPr>
          <w:ilvl w:val="0"/>
          <w:numId w:val="30"/>
        </w:numPr>
        <w:spacing w:before="0" w:after="0" w:line="240"/>
        <w:ind w:right="0" w:left="864" w:hanging="864"/>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potential stopping point.</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numPr>
          <w:ilvl w:val="0"/>
          <w:numId w:val="32"/>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2.2.2.7.</w:t>
        <w:tab/>
        <w:t xml:space="preserve">Transfer the concentrated medium to a low-protein-binding tube, and store at 4 &amp;#176;C overnight, continuing the protocol the following day if desired.</w:t>
      </w:r>
    </w:p>
    <w:p>
      <w:pPr>
        <w:keepNext w:val="true"/>
        <w:keepLines w:val="true"/>
        <w:numPr>
          <w:ilvl w:val="0"/>
          <w:numId w:val="32"/>
        </w:numPr>
        <w:spacing w:before="0" w:after="0" w:line="240"/>
        <w:ind w:right="0" w:left="864" w:hanging="864"/>
        <w:jc w:val="both"/>
        <w:rPr>
          <w:rFonts w:ascii="Calibri" w:hAnsi="Calibri" w:cs="Calibri" w:eastAsia="Calibri"/>
          <w:color w:val="auto"/>
          <w:spacing w:val="0"/>
          <w:position w:val="0"/>
          <w:sz w:val="24"/>
          <w:shd w:fill="FFFF00" w:val="clear"/>
        </w:rPr>
      </w:pPr>
    </w:p>
    <w:p>
      <w:pPr>
        <w:keepNext w:val="true"/>
        <w:keepLines w:val="true"/>
        <w:numPr>
          <w:ilvl w:val="0"/>
          <w:numId w:val="32"/>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Cleaning the TFF device (optional)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4"/>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filtration rate decreases as the TFF device begins to “clog” during the process (fouling). If necessary, the filter device can be cleaned to facilitate filtration of additional samples in the same purification run. Though theoretically possible, a cleaned TFF filter has not been used for a different purification run to avoid cross-contamination.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6"/>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To clean, remove all tubing and caps from the TFF device and drain any residual liquid.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8"/>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Use the peristaltic pump and tubing to flood both the inner and outer compartments of the TFF device (i.e., via the parallel and perpendicular ports in the model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~100 mL of distilled water. Remove all tubing/caps and drain the TFF device.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0"/>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Cap the outer (perpendicular, filtrate) ports and circulate 250 mL of 20% ethanol in distilled water at &amp;gt;200 mL/min for 10 min through the inner compartment. Drain, flood with distilled water, and drain again as above.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2"/>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Circulate 250 mL of 0.5 N fresh NaOH solution for 30 min through the inner compartment and drain again.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4"/>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Reconnect all tubing and caps to the inlet, outlet, and filtrate ports, as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and circulate 0.5 N NaOH solution again until a volume of NaOH &amp;gt; 1 mL/cm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filter surface area permeates through the filter membrane and is collected as filtrate/waste.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6"/>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Rinse the TFF device with distilled water as above. Use the TFF device immediately or flood the device with ~100 mL of 20% ethanol and store overnight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8"/>
        </w:numPr>
        <w:spacing w:before="0" w:after="0" w:line="240"/>
        <w:ind w:right="0" w:left="1008" w:hanging="10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stored in ethanol, be sure to drain, rinse with water, drain, and circulate 250 mL of PBS through the device until a volume of  &amp;gt;1 mL/cm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filter surface area permeates through the filter membrane and is collected as filtrate/waste to remove residual ethanol prior to sample processing.</w:t>
      </w:r>
    </w:p>
    <w:p>
      <w:pPr>
        <w:keepNext w:val="true"/>
        <w:numPr>
          <w:ilvl w:val="0"/>
          <w:numId w:val="48"/>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4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Size exclusion chromatography (SEC)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 is used to increase the purity of EVs and remove non-vesicular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Use a small SEC column (10 mL bed volume) for the isolation of EVs from &amp;lt;100 mL of starting material and a larger column (47 mL bed volume) for the isolation of EVs from &amp;gt;100 mL of starting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 below will list volumes for the larger column, with volumes for the smaller column in parentheses.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r>
      <w:r>
        <w:rPr>
          <w:rFonts w:ascii="Calibri" w:hAnsi="Calibri" w:cs="Calibri" w:eastAsia="Calibri"/>
          <w:color w:val="auto"/>
          <w:spacing w:val="0"/>
          <w:position w:val="0"/>
          <w:sz w:val="24"/>
          <w:shd w:fill="FFFF00" w:val="clear"/>
        </w:rPr>
        <w:t xml:space="preserve">Bring the SEC column and PBS to room temperature over several hours. Stabilize the SEC column in a vertical position using a standard laboratory stand and holder. </w:t>
      </w:r>
      <w:r>
        <w:rPr>
          <w:rFonts w:ascii="Calibri" w:hAnsi="Calibri" w:cs="Calibri" w:eastAsia="Calibri"/>
          <w:color w:val="auto"/>
          <w:spacing w:val="0"/>
          <w:position w:val="0"/>
          <w:sz w:val="24"/>
          <w:shd w:fill="auto" w:val="clear"/>
        </w:rPr>
        <w:t xml:space="preserve">Alternatively, use commercial chromatography column stands.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Before connecting to the SEC column, hydrate the sample reservoir by allowing 5 mL of PBS to flow through the frit and into a waste container. Unscrew the inlet cap of the SEC column, add 2 mL of PBS to the sample reservoir, and carefully connect the reservoir to the column as the PBS is dripping out through the frit (not applicable for small SEC columns).</w:t>
      </w: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previous step prevents any air bubbles from getting trapped at the top of the SEC column. If air is trapped, remove the reservoir, tap the column to get the air bubble out, and repeat the connection procedure. For the smaller column, simply uncap the top of the SEC column, and attach the sample hopper.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Add 47 mL (10 mL) of PBS to the sample reservoir and uncap the bottom of the SEC column. Allow all the loaded sample buffer to flow through the column for equilibration. Discard the flow-through.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Load a maximum of 2 mL (0.5 mL) of sample onto the sample reservoir, immediately begin collecting the flow-through, and allow the sample to enter the column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5"/>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Immediately add PBS to the sample reservoir or hopper at a volume of 14.25 mL minus the sample volume (3 mL minus the sample volume, for the small column). Allow the solution to flow through the column and discard this amount equal to the column void volume.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typical 2 mL sample, the amount of PBS to be added to the sample reservoir or hopper will be 12.25 mL.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Position a 2 mL low-binding microtube directly below the SEC column. Immediately add 2 mL (0.5 mL) of PBS to the sample reservoir and allow it to enter the column. Label this first 2 mL (0.5 mL) of flow-through as </w:t>
      </w:r>
      <w:r>
        <w:rPr>
          <w:rFonts w:ascii="Calibri" w:hAnsi="Calibri" w:cs="Calibri" w:eastAsia="Calibri"/>
          <w:b/>
          <w:color w:val="auto"/>
          <w:spacing w:val="0"/>
          <w:position w:val="0"/>
          <w:sz w:val="24"/>
          <w:shd w:fill="FFFF00" w:val="clear"/>
        </w:rPr>
        <w:t xml:space="preserve">Fraction 1</w:t>
      </w:r>
      <w:r>
        <w:rPr>
          <w:rFonts w:ascii="Calibri" w:hAnsi="Calibri" w:cs="Calibri" w:eastAsia="Calibri"/>
          <w:color w:val="auto"/>
          <w:spacing w:val="0"/>
          <w:position w:val="0"/>
          <w:sz w:val="24"/>
          <w:shd w:fill="FFFF00" w:val="clear"/>
        </w:rPr>
        <w:t xml:space="preserve">. Continue to add 2 mL (0.5 mL) at a time to the sample reservoir to collect each subsequent fraction.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bacterial EVs elute in the first 5 fractions. During optimization, the first 12 fractions were collected.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Store the fractions at 4 &amp;#176;C for short-term storage (days) or -80 &amp;#176;C for long-term storage.</w:t>
      </w:r>
    </w:p>
    <w:p>
      <w:pPr>
        <w:keepNext w:val="true"/>
        <w:keepLines w:val="true"/>
        <w:numPr>
          <w:ilvl w:val="0"/>
          <w:numId w:val="71"/>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7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w:t>
        <w:tab/>
        <w:t xml:space="preserve">Cleaning and storage of the reusable SEC columns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 columns described in this protocol can be reused up to 5 times according to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5"/>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2.4.9.1.</w:t>
        <w:tab/>
        <w:t xml:space="preserve">To clean, add 2 mL (0.5 mL) of 0.5 M NaOH and allow it to enter the column completely. Run 100 mL (20 mL) of 20% ethanol through the column and store it at 4 &amp;#176;C until the next use. Before the next use, equilibrate the ethanol to room temperature as above, and exchange it with PBS buffer by running another 150 mL (30 mL) of PBS through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7"/>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EV preparation quality control</w:t>
      </w:r>
    </w:p>
    <w:p>
      <w:pPr>
        <w:keepNext w:val="true"/>
        <w:numPr>
          <w:ilvl w:val="0"/>
          <w:numId w:val="77"/>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7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Sterility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these EVs come from bacterial cultures, it is critical to ensure sterility prior to downstream use.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Obtain 100 &amp;#181;L (20 &amp;#181;L) of the fractions to be used in assays and inoculate 3 mL of the medium used to grow the source bacteria. Culture under the respective optimal conditions for at least 3 days and observe for turbidity. Alternatively, apply the fraction samples to agar plates containing the medium used to grow the producing bacteria and look for colony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bacterial contamination is detected, it is not recommended to use the EV preparation for experimentation. Instead, repeat the isolation, taking care to minimize the risk of bacterial contamination by (a) performing sufficient centrifugation/filtration of conditioned bacterial cell culture medium, (b) using clean bottles, tubing, filters, and chromatography columns, and (c) employing appropriate aseptic techniques.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Protein quantification</w:t>
      </w:r>
    </w:p>
    <w:p>
      <w:pPr>
        <w:keepNext w:val="true"/>
        <w:numPr>
          <w:ilvl w:val="0"/>
          <w:numId w:val="8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8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high-sensitivity, fluorescence-based protein quantification kit was used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kit works with a matching proprietary fluorimeter at excitation/emission wavelengths of 485/590 nm.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Bring all reagents, standards, and samples to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a master mix of protein reagent and buffer by adding 1 &amp;#181;L of the reagent to 199 &amp;#181;L of buffer for each sample and standard to be assayed. Using thin-walled 0.5 mL PCR tubes, add 10 &amp;#181;L standard + 190 &amp;#181;L of master mix to each standard tube.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be within the range of the assay, the amount of each fraction to be added to each sample tube depends on the expected protein yield of the purification. Typically, 5 &amp;#181;L of each fraction + 195 &amp;#181;L of master mix were used. The final volume of sample + master mix must be 200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Vortex the assay tubes, and incubate for at least 15 min at room temperature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Measure the standards on the appropriate proprietary fluorimeter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selecting the </w:t>
      </w:r>
      <w:r>
        <w:rPr>
          <w:rFonts w:ascii="Calibri" w:hAnsi="Calibri" w:cs="Calibri" w:eastAsia="Calibri"/>
          <w:b/>
          <w:color w:val="auto"/>
          <w:spacing w:val="0"/>
          <w:position w:val="0"/>
          <w:sz w:val="24"/>
          <w:shd w:fill="auto" w:val="clear"/>
        </w:rPr>
        <w:t xml:space="preserve">Protein assay</w:t>
      </w:r>
      <w:r>
        <w:rPr>
          <w:rFonts w:ascii="Calibri" w:hAnsi="Calibri" w:cs="Calibri" w:eastAsia="Calibri"/>
          <w:color w:val="auto"/>
          <w:spacing w:val="0"/>
          <w:position w:val="0"/>
          <w:sz w:val="24"/>
          <w:shd w:fill="auto" w:val="clear"/>
        </w:rPr>
        <w:t xml:space="preserve"> option using the arrow buttons and pressing the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button to confirm. Follow the on-screen instructions, inserting each standard tube and pressing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Insert the experimental sample tube; press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to read; and note the result displayed, which is the actual protein concentration in the assay buffer/sample mixture. To obtain the protein concentration in the sample, use the arrow keys to select the </w:t>
      </w:r>
      <w:r>
        <w:rPr>
          <w:rFonts w:ascii="Calibri" w:hAnsi="Calibri" w:cs="Calibri" w:eastAsia="Calibri"/>
          <w:b/>
          <w:color w:val="auto"/>
          <w:spacing w:val="0"/>
          <w:position w:val="0"/>
          <w:sz w:val="24"/>
          <w:shd w:fill="auto" w:val="clear"/>
        </w:rPr>
        <w:t xml:space="preserve">Calculate sample concentration</w:t>
      </w:r>
      <w:r>
        <w:rPr>
          <w:rFonts w:ascii="Calibri" w:hAnsi="Calibri" w:cs="Calibri" w:eastAsia="Calibri"/>
          <w:color w:val="auto"/>
          <w:spacing w:val="0"/>
          <w:position w:val="0"/>
          <w:sz w:val="24"/>
          <w:shd w:fill="auto" w:val="clear"/>
        </w:rPr>
        <w:t xml:space="preserve"> option, press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and use the arrow keys to select the </w:t>
      </w:r>
      <w:r>
        <w:rPr>
          <w:rFonts w:ascii="Calibri" w:hAnsi="Calibri" w:cs="Calibri" w:eastAsia="Calibri"/>
          <w:b/>
          <w:color w:val="auto"/>
          <w:spacing w:val="0"/>
          <w:position w:val="0"/>
          <w:sz w:val="24"/>
          <w:shd w:fill="auto" w:val="clear"/>
        </w:rPr>
        <w:t xml:space="preserve">sample volume</w:t>
      </w:r>
      <w:r>
        <w:rPr>
          <w:rFonts w:ascii="Calibri" w:hAnsi="Calibri" w:cs="Calibri" w:eastAsia="Calibri"/>
          <w:color w:val="auto"/>
          <w:spacing w:val="0"/>
          <w:position w:val="0"/>
          <w:sz w:val="24"/>
          <w:shd w:fill="auto" w:val="clear"/>
        </w:rPr>
        <w:t xml:space="preserve"> added to the assay buffer for the given sample. Press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and record the sample protein concentration. Repeat this step for each sample to be analyzed.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Particle counting and size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Microfluidics resistive pulse sensing (MRPS) was used to quantify EV concentration and size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Dilute the samples in PBS supplemented with 1% Tween-20 that has been filtered through a 0.2 &amp;#181;m syringe filter to a protein concentration of approximately 0.1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dilution is to reach an expected particle concentration in the range of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particles/mL in EV-containing fractions. The optimal dilution may need to be determined empirically. Few EVs are expected for later fractions (beyond Fraction 6). Thus, the particle concentration will likely be &amp;lt;10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particles/mL despite analyzing at low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Load 3 &amp;#181;L of each sample into the disposable microfluidics cartridge with a micropipette, insert the cartridge into the MRPS instrument, and push the metal button with a blue illuminated rim.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Click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on the acquisition software and wait for the sample to be analyzed by the instrument. Acquire 1,000 to 10,000 particle events to minimize the technical statistical error of analysis. At this point, click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End Run</w:t>
      </w:r>
      <w:r>
        <w:rPr>
          <w:rFonts w:ascii="Calibri" w:hAnsi="Calibri" w:cs="Calibri" w:eastAsia="Calibri"/>
          <w:color w:val="auto"/>
          <w:spacing w:val="0"/>
          <w:position w:val="0"/>
          <w:sz w:val="24"/>
          <w:shd w:fill="auto" w:val="clear"/>
        </w:rPr>
        <w:t xml:space="preserve"> to complete the sample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Together with the raw data files, the instrument outputs a summary spreadsheet listing the particle concentration in the sample. Correct this value according to the sample dilution made.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numPr>
          <w:ilvl w:val="0"/>
          <w:numId w:val="1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Using analysis software, load the raw data and generate customized graphs of size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4"/>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EV storage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Aliquot individual or pooled fractions to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of the individual fraction size (depending on the size of column used) in low-protein-binding tubes and store at -80 &amp;#176;C to avoid freeze-thaw cycles. </w:t>
      </w:r>
    </w:p>
    <w:p>
      <w:pPr>
        <w:keepNext w:val="true"/>
        <w:numPr>
          <w:ilvl w:val="0"/>
          <w:numId w:val="116"/>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11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applications may require smaller or larger aliquots depending on the expected amount utilized in each experiment. This will need to be determined empirically. The non-EV-containing fractions can be discarded if not applicable to the research objectives.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8"/>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Negative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Add 5 &amp;#181;L of the EV sample to the carbon-coated copper 400 mesh grid and incubate at room temperature for 10 min. Wash the specimen side with 5 drops of 5 mM Tris buffer (pH 7.1) and then with 5 drops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Stain a specimen side with 5 drops of 2% uranyl acetate. Blot away any extra amount of stain with filter paper, and allow the slide to dry completely for several hours or overnight. Visualize the specimens with an electron microscope operated at 80 kV.</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Immunogold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Apply 10 &amp;#181;L of the EV suspension to a formvar/carbon 400 mesh grid and incubate at room temperature for 1 h. Wash the grid in PBS three times, and then apply 4% paraformaldehyde for 10 min to fix the sample. Wash the grids five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Block the grid with three washes of PBS containing 0.1% bovine serum albumin (BSA). Then, apply 10 &amp;#181;L of a primary antibody for 40 min at room temperature (here, 1 &amp;#181;g/mL of nluc antibody). Wash three times again with PBS containing 0.1% BSA.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Add 10 &amp;#181;L of secondary gold-labeled antibody to the grid and incubate for 40 min at room temperature. Wash the grids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goat anti-mouse antibody conjugated with 10 nm gold nanoparticles was used after diluting 1:10 in blocking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Post-fix the grid with 10 &amp;#181;L of 2.5% glutaraldehyde for 10 min at room temperature. Wash three times in PBS. Perform negative staining with 2% uranyl acetate (10 &amp;#181;L) for 15 min. Embed the samples in 10 &amp;#181;L of 0.5% uranyl acetate and 0.13% methyl cellulose solution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Allow the sample grids to dry overnight at room temperature before imaging on the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On the microscope acquisition software, determine the exposure empirically to obtain the optimal quality of the image (e.g., 0.80851 s in this particular setup) and adjust it by typing this value into the </w:t>
      </w:r>
      <w:r>
        <w:rPr>
          <w:rFonts w:ascii="Calibri" w:hAnsi="Calibri" w:cs="Calibri" w:eastAsia="Calibri"/>
          <w:b/>
          <w:color w:val="auto"/>
          <w:spacing w:val="0"/>
          <w:position w:val="0"/>
          <w:sz w:val="24"/>
          <w:shd w:fill="auto" w:val="clear"/>
        </w:rPr>
        <w:t xml:space="preserve">exposure time</w:t>
      </w:r>
      <w:r>
        <w:rPr>
          <w:rFonts w:ascii="Calibri" w:hAnsi="Calibri" w:cs="Calibri" w:eastAsia="Calibri"/>
          <w:color w:val="auto"/>
          <w:spacing w:val="0"/>
          <w:position w:val="0"/>
          <w:sz w:val="24"/>
          <w:shd w:fill="auto" w:val="clear"/>
        </w:rPr>
        <w:t xml:space="preserve"> option box. Select the </w:t>
      </w:r>
      <w:r>
        <w:rPr>
          <w:rFonts w:ascii="Calibri" w:hAnsi="Calibri" w:cs="Calibri" w:eastAsia="Calibri"/>
          <w:b/>
          <w:color w:val="auto"/>
          <w:spacing w:val="0"/>
          <w:position w:val="0"/>
          <w:sz w:val="24"/>
          <w:shd w:fill="auto" w:val="clear"/>
        </w:rPr>
        <w:t xml:space="preserve">80 kV</w:t>
      </w:r>
      <w:r>
        <w:rPr>
          <w:rFonts w:ascii="Calibri" w:hAnsi="Calibri" w:cs="Calibri" w:eastAsia="Calibri"/>
          <w:color w:val="auto"/>
          <w:spacing w:val="0"/>
          <w:position w:val="0"/>
          <w:sz w:val="24"/>
          <w:shd w:fill="auto" w:val="clear"/>
        </w:rPr>
        <w:t xml:space="preserve"> option, and click </w:t>
      </w:r>
      <w:r>
        <w:rPr>
          <w:rFonts w:ascii="Calibri" w:hAnsi="Calibri" w:cs="Calibri" w:eastAsia="Calibri"/>
          <w:b/>
          <w:color w:val="auto"/>
          <w:spacing w:val="0"/>
          <w:position w:val="0"/>
          <w:sz w:val="24"/>
          <w:shd w:fill="auto" w:val="clear"/>
        </w:rPr>
        <w:t xml:space="preserve">Start Acquisition</w:t>
      </w:r>
      <w:r>
        <w:rPr>
          <w:rFonts w:ascii="Calibri" w:hAnsi="Calibri" w:cs="Calibri" w:eastAsia="Calibri"/>
          <w:color w:val="auto"/>
          <w:spacing w:val="0"/>
          <w:position w:val="0"/>
          <w:sz w:val="24"/>
          <w:shd w:fill="auto" w:val="clear"/>
        </w:rPr>
        <w:t xml:space="preserve"> to capture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which SEC chromatography fractions were enriched for EVs, the SEC column was loaded with 2 mL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MP1-conditioned culture medium that had been concentrated 1,000-fold by TFF, and sequential fractions were collected. Using MRPS, it was found that Fractions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contained the most EVs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Subsequent fractions contained very few EVs, comprising instead of EV-free proteins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EVs were primarily &amp;lt;100 nm in diameter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TEM confirmed EV-enrichment and size, particularly in Fractions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ensure that the methods were able to separate EVs from non-EV-associated proteins, a recombinant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MP1 expressing a cytolysin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nanoluciferase fusion protein and free (non-fused) mCherry was generated (schematized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Cytolysin A fusion proteins were previously shown to associate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EVs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monitor mCherry fluorescence, 100 &amp;#181;L aliquots from each chromatography fraction were transferred to the wells of a 96-well plate. Their fluorescence was measured in a microplate reader using 580 nm and 620 nm as absorption and emission wavelengths,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for luminescence measurement, a 20 &amp;#181;L aliquot of each fraction was mixed with an equal volume of the Luciferase assay solution in a 384-well plate, incubated for 15 min, and visible light luminescence was measured. It was observed that EV-enriched fractions (Fractions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had high nanoluciferase activity comparable to that of later fractions but only a very low fluorescent signal from non-EV-associated mCherry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Background signal from an equal amount of negative control EVs (isolated from a matched bacterial strain lacking nanoluciferase expression) was &amp;gt;1,000-fold lower in EV fractions. The signal from the positive control (a nanoluciferase-expressing bacterial cell pellet) was approximately 1,000-fold higher than that from the EV fractions (not shown). The latter was normalized to the initial volume of cell culture material yielding the analyzed cells or EVs, respectively. The EV-association of nanoluciferase was confirmed in Fractions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by immunogold labeling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observing the labeling within the small ~20 nm EVs isolated.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to assess the applicability of this protocol to other bacterial species, EVs were isolated from ~100 mL cultures of the following diverse anaerobic bacteria: </w:t>
      </w:r>
      <w:r>
        <w:rPr>
          <w:rFonts w:ascii="Calibri" w:hAnsi="Calibri" w:cs="Calibri" w:eastAsia="Calibri"/>
          <w:i/>
          <w:color w:val="auto"/>
          <w:spacing w:val="0"/>
          <w:position w:val="0"/>
          <w:sz w:val="24"/>
          <w:shd w:fill="auto" w:val="clear"/>
        </w:rPr>
        <w:t xml:space="preserve">A. mucinophila, B. thetaiotaomicron, B. breve,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B. dentium </w:t>
      </w:r>
      <w:r>
        <w:rPr>
          <w:rFonts w:ascii="Calibri" w:hAnsi="Calibri" w:cs="Calibri" w:eastAsia="Calibri"/>
          <w:color w:val="auto"/>
          <w:spacing w:val="0"/>
          <w:position w:val="0"/>
          <w:sz w:val="24"/>
          <w:shd w:fill="auto" w:val="clear"/>
        </w:rPr>
        <w:t xml:space="preserve">prepared in BHI culture medium. As a control, EVs were isolated from the fresh BHI culture medium. While EV yield varied by species, it was again observed that early chromatography Fractions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were enriched for EVs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complex BHI medium also contained EV-sized particles, albeit at &amp;lt;25% of the total EV yield in these preparations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black bars). EVs of these bacteria were also found to be primarily &amp;lt;100 nm in size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Bacterial EV isolation workflow schematic overview. </w:t>
      </w:r>
      <w:r>
        <w:rPr>
          <w:rFonts w:ascii="Calibri" w:hAnsi="Calibri" w:cs="Calibri" w:eastAsia="Calibri"/>
          <w:color w:val="auto"/>
          <w:spacing w:val="0"/>
          <w:position w:val="0"/>
          <w:sz w:val="24"/>
          <w:shd w:fill="auto" w:val="clear"/>
        </w:rPr>
        <w:t xml:space="preserve">Abbreviations: EV = extracellular vesicle; TFF = tangential flow filtration; SEC = size exclusion chromatography; MWCO = molecular weight cut-off.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MP1 EV elution in early chromatography fractions.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Particle count by MRPS in sequential 2 mL chromatography fractions. SEC input was 2 L of bacterial culture supernatant concentrated to 2 mL. Solid line represents mean; shaded area denotes SEM.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concentration in each fraction.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Size distribution of Fraction 3 EVs measured by MRPS. Solid line represents mean; shaded area represents 95% CI. Note that the instrument cannot quantify particles &amp;lt;50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Transmission electron micrographs of sequential, pooled chromatography fractions and fresh culture medium (control). All images were taken with the same scale (100 nm). Wide-field TEM images are shown in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Abbreviations: EV = extracellular vesicle; MRPS = microfluidics resistive pulse sensing; SEC = size exclusion chromatography; SEM = standard error of the mean; CI = confidence interval.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Separation of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MP1 EVs from EV-free proteins by SEC.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MP1 expressing recombinant mCherry (red) in the cytoplasm and periplasm-trafficking cytolysin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nanoLuciferase fusion protein (yellow diamonds).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nanoLuciferase bioluminescence activity and mCherry fluorescence were monitored in sequentially eluted chromatography fractions. Vertical dotted line represents the limit of EV-enriched fractions based on analyses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EV fractions (F2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were immunogold labeled following staining with anti-nanoLuciferase antibody. Cyan arrowheads point to gold-conjugated secondary antibody colocalizing with small EVs. Control EVs from wildtype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MP1 had negligible non-specific staining. Both images were taken with the same scale (100 nm). Wide-field TEM images are shown in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Abbreviations: EV = extracellular vesicle; SEC = size exclusion chromatography; F = fraction; TEM = transmission electron microscopy; ClyA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nLuc = cytolysin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nanoLuciferase fusion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Isolation of EVs from diverse bacterial species. </w:t>
      </w:r>
      <w:r>
        <w:rPr>
          <w:rFonts w:ascii="Calibri" w:hAnsi="Calibri" w:cs="Calibri" w:eastAsia="Calibri"/>
          <w:color w:val="auto"/>
          <w:spacing w:val="0"/>
          <w:position w:val="0"/>
          <w:sz w:val="24"/>
          <w:shd w:fill="auto" w:val="clear"/>
        </w:rPr>
        <w:t xml:space="preserve">Indicated species were cultured for 48 h in BHI medium under anaerobic conditions. EVs were isolated by ultrafiltration + SEC.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EV concentration in the first 4 SEC fractions, measured by MRPS. Mean &amp;plusmn; SEM. Black bars represent particles detected in a batch of fresh BHI medium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Size distribution of EVs in Fraction 2. Abbreviations: EV = extracellular vesicle; MRPS = microfluidics resistive pulse sensing; SEC = size exclusion chromatography; BHI = brain heart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p114-mCherry-Clyluc plasmid.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Map of p114-mCherry-Clyluc plasmid.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Sequence of the J23114-mCherry-clyA-nluc region. Violet, J23114 Promoter; Pink, </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gene; Grey, </w:t>
      </w:r>
      <w:r>
        <w:rPr>
          <w:rFonts w:ascii="Calibri" w:hAnsi="Calibri" w:cs="Calibri" w:eastAsia="Calibri"/>
          <w:i/>
          <w:color w:val="auto"/>
          <w:spacing w:val="0"/>
          <w:position w:val="0"/>
          <w:sz w:val="24"/>
          <w:shd w:fill="auto" w:val="clear"/>
        </w:rPr>
        <w:t xml:space="preserve">clyA</w:t>
      </w:r>
      <w:r>
        <w:rPr>
          <w:rFonts w:ascii="Calibri" w:hAnsi="Calibri" w:cs="Calibri" w:eastAsia="Calibri"/>
          <w:color w:val="auto"/>
          <w:spacing w:val="0"/>
          <w:position w:val="0"/>
          <w:sz w:val="24"/>
          <w:shd w:fill="auto" w:val="clear"/>
        </w:rPr>
        <w:t xml:space="preserve"> gene; Green, Linker sequence; Orange, </w:t>
      </w:r>
      <w:r>
        <w:rPr>
          <w:rFonts w:ascii="Calibri" w:hAnsi="Calibri" w:cs="Calibri" w:eastAsia="Calibri"/>
          <w:i/>
          <w:color w:val="auto"/>
          <w:spacing w:val="0"/>
          <w:position w:val="0"/>
          <w:sz w:val="24"/>
          <w:shd w:fill="auto" w:val="clear"/>
        </w:rPr>
        <w:t xml:space="preserve">nLuc</w:t>
      </w:r>
      <w:r>
        <w:rPr>
          <w:rFonts w:ascii="Calibri" w:hAnsi="Calibri" w:cs="Calibri" w:eastAsia="Calibri"/>
          <w:color w:val="auto"/>
          <w:spacing w:val="0"/>
          <w:position w:val="0"/>
          <w:sz w:val="24"/>
          <w:shd w:fill="auto" w:val="clear"/>
        </w:rPr>
        <w:t xml:space="preserve">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Tangential flow filtration (TFF) setup schematic. </w:t>
      </w:r>
      <w:r>
        <w:rPr>
          <w:rFonts w:ascii="Calibri" w:hAnsi="Calibri" w:cs="Calibri" w:eastAsia="Calibri"/>
          <w:color w:val="auto"/>
          <w:spacing w:val="0"/>
          <w:position w:val="0"/>
          <w:sz w:val="24"/>
          <w:shd w:fill="auto" w:val="clear"/>
        </w:rPr>
        <w:t xml:space="preserve">The tubing with barb-hoses was connected to the TFF device, as shown. Feed flow tubing begins submerged in the filtered, conditioned culture medium vessel, continues through the peristaltic pump, and connects to the TFF device inlet port. The return flow begins at the TFF device outlet port and ends above the surface of the filtered, conditioned culture medium. Optionally, a backpressure clamp (e.g., a screw nut + bolt or simple paper clamp) can be used to increase the rate of filtration. As the pump circulates the conditioned medium, developed pressure within the TFF device leads to ultrafiltration and removal of components &amp;lt;100 kDa through the filtrate/waste flow tubing, which can be collected in a separate vessel for disposal (magenta).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Widefield transmission electron micrographs.</w:t>
      </w:r>
      <w:r>
        <w:rPr>
          <w:rFonts w:ascii="Calibri" w:hAnsi="Calibri" w:cs="Calibri" w:eastAsia="Calibri"/>
          <w:color w:val="auto"/>
          <w:spacing w:val="0"/>
          <w:position w:val="0"/>
          <w:sz w:val="24"/>
          <w:shd w:fill="auto" w:val="clear"/>
        </w:rPr>
        <w:t xml:space="preserve"> TEM images of sequential, pooled chromatography fractions and fresh culture medium (control)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images show that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MP1 extracellular vesicles elute in early chromatography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 Widefield TEM images for Figure 3C.</w:t>
      </w:r>
      <w:r>
        <w:rPr>
          <w:rFonts w:ascii="Calibri" w:hAnsi="Calibri" w:cs="Calibri" w:eastAsia="Calibri"/>
          <w:color w:val="auto"/>
          <w:spacing w:val="0"/>
          <w:position w:val="0"/>
          <w:sz w:val="24"/>
          <w:shd w:fill="auto" w:val="clear"/>
        </w:rPr>
        <w:t xml:space="preserve"> The EV fractions (F2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were immunogold-labeled following staining with anti-nano-Luciferase antibody. Cyan arrowheads point to gold-conjugated secondary antibody colocalizing with small EVs.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above, a method is described that is scalable and reliably isolates EVs from various gram-negative/positive and aerobic/anaerobic bacteria. It has several potential stopping points throughout the procedure, although it is better to avoid taking longer than 48 h to isolate EVs from conditioned bacterial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it consists of culturing bacteria to generate conditioned bacterial culture medium. It was found that increasing the culture time to at least 48 h and using the optimal growth medium helps to maximize the EV yield. It is likely that each bacterial species will need to be optimized with regard to these two parameters. The volume of the bacterial culture is also important to ensure sufficient EVs are isolated for the desired application.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the EVs are typically isolated from a minimum of 100 mL, while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EVs are typically isolated from &amp;gt;1 L of culture medium. Again, the EV production characteristics of each bacterial strain and the required EV amount for downstream assays will dictate the minimum starting culture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conditioned culture medium is available, cells and large non-EV debris must be removed. It was found that centrifugation is a critical step in this process. As noted in the protocol above, two increasing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-force centrifugations were performed. Occasionally, an additional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centrifugation is performed if it was noted that the pellet of the second spin is not compact. Subsequently, sterile filtration of this supernatant is performed through a 0.2 &amp;#181;m filter. Insufficient centrifugation leads to clogging and poor performance of this filtration step. It was noted that continuing to filter the supernatant after the filtration rate has significantly slowed can lead to filter malfunction and contamination of the EV preparation with the parental bacteria. The solution to persistent clogging of the filter is to re-centrifuge and/or re-filter the supernatant, ensuring sterility.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variations of the protocol are described, depending on the starting volume of the bacterial culture. For volumes &amp;lt;100 mL, use centrifugal ultrafiltration devices to concentrate the culture media. The MWCO is critical in these steps. For mammalian EVs, &amp;gt;300 kDa MWCO were previously used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this resulted in very poor EV yields from bacteria, presumably because of the smaller size distribution. Thus, it is recommended to use 100 kDa MWCO. A smaller MWCO can also be used but is associated with longer centrifugation times and less removal of small molecular weight contaminants, increasing sample viscosity. It is also helpful to have various sizes of ultrafiltration devices at 100 kDa MWCO to help concentrate different starting volumes of sample throughout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for sample sizes significantly &amp;gt;100 mL, use pump-driven TFF to concentrate the sample; again, using a 100 kDa MWCO is critical. This method allows for processing large volumes of culture medium in a semi-automated fashion. It is important to obtain an appropriately-sized TFF device for the starting culture volume. The device used is rated at processing up to 200 mL of material by the manufacturer. It was possible to process up to about 2 L. However, a severe drop in the filtration rate was observed when trying to process larger volumes, requiring the process to be stopped and the device cleaned before additional processing. Thus, the characteristics of each bacterial culture and the amount of starting material will dictate the required size of the TFF device. Furthermore, the attainable pump speed is another important parameter for TFF. At low rates of ~100 mL/min, it was necessary to increase the backpressure in the TFF device using a clamp, as indicated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to facilitate filtration, which increases the fouling rate of the filter. The tubing was reused up to 2 times after appropriate decontamination and autoclaving.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sample is concentrated, it can then be loaded onto an SEC column to isolate the EVs. Commercial columns optimized for small EV isolation were used. For small starting samples, use columns with 0.5 mL loading volume, and use the columns with 2 mL loading volume for larger starting samples up to 2 L. It is likely that the processing of starting cultures &amp;gt;2 L will require larger columns. Manufacturers of EV-optimized columns currently offer SEC columns capable of accepting &amp;gt;100 mL of concentrated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methods are used to characterize the isolated EVs, most of which are widely available. Normalization was based on the protein concentration for most assays because this is not affected by the inability of other quantification methods (namely, particle quantification by technologies such as MRPS) to detect very small EVs &amp;lt;50 nm. MRPS and other nanoparticle quantification technologies remain useful in the relative quantification of EVs among the different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aspect of MRPS quantification is the level of dilution. When diluted appropriately, the frequency of detected EVs should continue to increase to the limit of detection in most cases, as the instrument cannot quantify particles &amp;lt;50 nm. Insufficient dilution will lead to high instrument noise, which will generate an artifactual bell-shaped curve with a peak &amp;gt;65 nm (when using the recommended C-300 microfluidics cartridge). During size frequency distribution data analysis, an artefactual peak between 50 nm (the absolute limit of detection of the instrument) and 60 nm is still sometimes observed, despite adequate dilution. This is likely due to the presence of significant numbers of very small bacterial EVs (as visualized in TEM,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that are below the limit of accurate detection by MRPS and again lead to instrument noise. In this case, exclude data points smaller than the observed “peak,” which becomes the </w:t>
      </w:r>
      <w:r>
        <w:rPr>
          <w:rFonts w:ascii="Calibri" w:hAnsi="Calibri" w:cs="Calibri" w:eastAsia="Calibri"/>
          <w:i/>
          <w:color w:val="auto"/>
          <w:spacing w:val="0"/>
          <w:position w:val="0"/>
          <w:sz w:val="24"/>
          <w:shd w:fill="auto" w:val="clear"/>
        </w:rPr>
        <w:t xml:space="preserve">de facto</w:t>
      </w:r>
      <w:r>
        <w:rPr>
          <w:rFonts w:ascii="Calibri" w:hAnsi="Calibri" w:cs="Calibri" w:eastAsia="Calibri"/>
          <w:color w:val="auto"/>
          <w:spacing w:val="0"/>
          <w:position w:val="0"/>
          <w:sz w:val="24"/>
          <w:shd w:fill="auto" w:val="clear"/>
        </w:rPr>
        <w:t xml:space="preserve"> lower limit of quantitation of the given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in this protocol, the quantification of EV abundance, total protein concentration, and abundance of non-EV proteins in the eluted chromatography fractions can help users decide which fractions to use for downstream assays. For example, small EVs were detected in pooled Fractions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however, their abundance was lower than that in the immediately preceding fractions, while the total protein concentration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was higher. This may suggest that Fractions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contain higher amounts of non-EV-associated proteins and may thus not be desirable for certain downstream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a versatile EV isolation protocol that relies on commercially available materials is described here. The significance of this methodology compared to widely used ultracentrifugation-based methods is that it comprises steps that can be easily reproduced by different users and is highly scalable. This is especially important to facilitate the generation of sufficient material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It was used to isolate EVs from cultures of 100 mL to 2 L. Given the wide range of available TFF devices, it is possible that this protocol could be adapted to larger-scale purifications with some modification. The isolation protocol described is primarily based on the physical properties of EVs, namely their size, and is likely applicable to bacterial species beyond those described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protocol described is that it favors the isolation of small EVs, particularly &amp;lt;100 nm, as seen in the representative results. Prior reports also describe the presence of larger bacterial EVs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Isolation of larger bacterial EVs may require modifications of the protocol above, for example, by using SEC columns optimized for larger EVs. Such SEC columns are also commercially available. Moreover, other protocols can likely attain higher EV purity (for example, density gradient ultracentrifugation or immuno-isolation). However, these methods lack the throughput and scalability of the methods described in this study. Modification of this protocol with additional purification steps in the future may further increase the yield and purity of preparations, which could be important for experimental and therapeutic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described above was supported by NIH TL1 TR002549-03 training grant. We thank Drs. John C. Tilton and Zachary Troyer (Case Western Reserve University) for facilitating access to the particle size analyzer instrument; Lew Brown (Spectradyne) for technical assistance with analysis of the particle size distribution data; Dr. David Putnam at Cornell University for providing pClyA-GFP plasmid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Dr. Mark Goulian at the University of Pennsylvania for providing us with the</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 MP1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Yanez-Mo, M. et al. Biological properties of extracellular vesicles and their physiological functions.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27066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Chatterjee, S. N., Das, J. Electron microscopic observations on the excretion of cell-wall material by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Ciofu, O., Beveridge, T. J., Kadurugamuwa, J., Walther-Rasmussen, J., Hoiby, N. Chromosomal beta-lactamase is packaged into membrane vesicles and secreted from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Yonezawa,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Outer membrane vesicles of </w:t>
      </w:r>
      <w:r>
        <w:rPr>
          <w:rFonts w:ascii="Calibri" w:hAnsi="Calibri" w:cs="Calibri" w:eastAsia="Calibri"/>
          <w:i/>
          <w:color w:val="auto"/>
          <w:spacing w:val="0"/>
          <w:position w:val="0"/>
          <w:sz w:val="24"/>
          <w:shd w:fill="auto" w:val="clear"/>
        </w:rPr>
        <w:t xml:space="preserve">Helicobacter pylori</w:t>
      </w:r>
      <w:r>
        <w:rPr>
          <w:rFonts w:ascii="Calibri" w:hAnsi="Calibri" w:cs="Calibri" w:eastAsia="Calibri"/>
          <w:color w:val="auto"/>
          <w:spacing w:val="0"/>
          <w:position w:val="0"/>
          <w:sz w:val="24"/>
          <w:shd w:fill="auto" w:val="clear"/>
        </w:rPr>
        <w:t xml:space="preserve"> TK1402 are involved in biofilm formation.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Mashburn, L. M., Whiteley, M. Membrane vesicles traffic signals and facilitate group activities in a prokaryote.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(7057),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Kato, S., Kowashi, Y., Demuth, D. R. Outer membrane-like vesicles secreted by A</w:t>
      </w:r>
      <w:r>
        <w:rPr>
          <w:rFonts w:ascii="Calibri" w:hAnsi="Calibri" w:cs="Calibri" w:eastAsia="Calibri"/>
          <w:i/>
          <w:color w:val="auto"/>
          <w:spacing w:val="0"/>
          <w:position w:val="0"/>
          <w:sz w:val="24"/>
          <w:shd w:fill="auto" w:val="clear"/>
        </w:rPr>
        <w:t xml:space="preserve">ctinobacillus actinomycetemcomitans</w:t>
      </w:r>
      <w:r>
        <w:rPr>
          <w:rFonts w:ascii="Calibri" w:hAnsi="Calibri" w:cs="Calibri" w:eastAsia="Calibri"/>
          <w:color w:val="auto"/>
          <w:spacing w:val="0"/>
          <w:position w:val="0"/>
          <w:sz w:val="24"/>
          <w:shd w:fill="auto" w:val="clear"/>
        </w:rPr>
        <w:t xml:space="preserve"> are enriched in leukotoxin. </w:t>
      </w:r>
      <w:r>
        <w:rPr>
          <w:rFonts w:ascii="Calibri" w:hAnsi="Calibri" w:cs="Calibri" w:eastAsia="Calibri"/>
          <w:i/>
          <w:color w:val="auto"/>
          <w:spacing w:val="0"/>
          <w:position w:val="0"/>
          <w:sz w:val="24"/>
          <w:shd w:fill="auto" w:val="clear"/>
        </w:rPr>
        <w:t xml:space="preserve">Microbial Pathogenesis.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Petousis-Harris,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Effectiveness of a group B outer membrane vesicle meningococcal vaccine against gonorrhoea in New Zealand: a retrospective case-control study.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(10102), 1603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Bacterial outer membrane vesicles suppress tumor by interferon-gamma-mediated antitumor response.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Thery,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Consortium, E.-T. et al. EV-TRACK: transparent reporting and centralizing knowledge in extracellular vesicle research.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Watson,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production and enhanced tumor delivery of engineered extracellular vesicles.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Watson,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Scalable, cGMP-compatible purification of extracellular vesicles carrying bioactive human heterodimeric IL-15/lactadherin complexes.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1442088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Lasaro, M. et 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isolate for studying colonization of the mouse intestine and its application to two-component signaling knockouts.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(9), 1723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Engineered bacterial outer membrane vesicles with enhanced functionality.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Beveridge, T. J. Structures of gram-negative cell walls and their derived membrane vesicles.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(16), 4725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Reimer,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of outer membrane vesicle isolation methods with an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tolA mutant reveals a hypervesiculating phenotype with outer-inner membrane vesicle content.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628801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num w:numId="1">
    <w:abstractNumId w:val="384"/>
  </w:num>
  <w:num w:numId="5">
    <w:abstractNumId w:val="378"/>
  </w:num>
  <w:num w:numId="8">
    <w:abstractNumId w:val="372"/>
  </w:num>
  <w:num w:numId="10">
    <w:abstractNumId w:val="366"/>
  </w:num>
  <w:num w:numId="12">
    <w:abstractNumId w:val="360"/>
  </w:num>
  <w:num w:numId="14">
    <w:abstractNumId w:val="354"/>
  </w:num>
  <w:num w:numId="16">
    <w:abstractNumId w:val="348"/>
  </w:num>
  <w:num w:numId="18">
    <w:abstractNumId w:val="342"/>
  </w:num>
  <w:num w:numId="20">
    <w:abstractNumId w:val="336"/>
  </w:num>
  <w:num w:numId="24">
    <w:abstractNumId w:val="330"/>
  </w:num>
  <w:num w:numId="26">
    <w:abstractNumId w:val="324"/>
  </w:num>
  <w:num w:numId="30">
    <w:abstractNumId w:val="318"/>
  </w:num>
  <w:num w:numId="32">
    <w:abstractNumId w:val="312"/>
  </w:num>
  <w:num w:numId="34">
    <w:abstractNumId w:val="306"/>
  </w:num>
  <w:num w:numId="36">
    <w:abstractNumId w:val="300"/>
  </w:num>
  <w:num w:numId="38">
    <w:abstractNumId w:val="294"/>
  </w:num>
  <w:num w:numId="40">
    <w:abstractNumId w:val="288"/>
  </w:num>
  <w:num w:numId="42">
    <w:abstractNumId w:val="282"/>
  </w:num>
  <w:num w:numId="44">
    <w:abstractNumId w:val="276"/>
  </w:num>
  <w:num w:numId="46">
    <w:abstractNumId w:val="270"/>
  </w:num>
  <w:num w:numId="48">
    <w:abstractNumId w:val="264"/>
  </w:num>
  <w:num w:numId="51">
    <w:abstractNumId w:val="258"/>
  </w:num>
  <w:num w:numId="53">
    <w:abstractNumId w:val="252"/>
  </w:num>
  <w:num w:numId="55">
    <w:abstractNumId w:val="246"/>
  </w:num>
  <w:num w:numId="57">
    <w:abstractNumId w:val="240"/>
  </w:num>
  <w:num w:numId="59">
    <w:abstractNumId w:val="234"/>
  </w:num>
  <w:num w:numId="61">
    <w:abstractNumId w:val="228"/>
  </w:num>
  <w:num w:numId="63">
    <w:abstractNumId w:val="222"/>
  </w:num>
  <w:num w:numId="65">
    <w:abstractNumId w:val="216"/>
  </w:num>
  <w:num w:numId="67">
    <w:abstractNumId w:val="210"/>
  </w:num>
  <w:num w:numId="69">
    <w:abstractNumId w:val="204"/>
  </w:num>
  <w:num w:numId="71">
    <w:abstractNumId w:val="198"/>
  </w:num>
  <w:num w:numId="73">
    <w:abstractNumId w:val="192"/>
  </w:num>
  <w:num w:numId="75">
    <w:abstractNumId w:val="186"/>
  </w:num>
  <w:num w:numId="77">
    <w:abstractNumId w:val="180"/>
  </w:num>
  <w:num w:numId="80">
    <w:abstractNumId w:val="174"/>
  </w:num>
  <w:num w:numId="82">
    <w:abstractNumId w:val="168"/>
  </w:num>
  <w:num w:numId="84">
    <w:abstractNumId w:val="162"/>
  </w:num>
  <w:num w:numId="86">
    <w:abstractNumId w:val="156"/>
  </w:num>
  <w:num w:numId="88">
    <w:abstractNumId w:val="150"/>
  </w:num>
  <w:num w:numId="90">
    <w:abstractNumId w:val="144"/>
  </w:num>
  <w:num w:numId="92">
    <w:abstractNumId w:val="138"/>
  </w:num>
  <w:num w:numId="94">
    <w:abstractNumId w:val="132"/>
  </w:num>
  <w:num w:numId="96">
    <w:abstractNumId w:val="126"/>
  </w:num>
  <w:num w:numId="98">
    <w:abstractNumId w:val="120"/>
  </w:num>
  <w:num w:numId="100">
    <w:abstractNumId w:val="114"/>
  </w:num>
  <w:num w:numId="102">
    <w:abstractNumId w:val="108"/>
  </w:num>
  <w:num w:numId="104">
    <w:abstractNumId w:val="102"/>
  </w:num>
  <w:num w:numId="106">
    <w:abstractNumId w:val="96"/>
  </w:num>
  <w:num w:numId="108">
    <w:abstractNumId w:val="90"/>
  </w:num>
  <w:num w:numId="110">
    <w:abstractNumId w:val="84"/>
  </w:num>
  <w:num w:numId="112">
    <w:abstractNumId w:val="78"/>
  </w:num>
  <w:num w:numId="114">
    <w:abstractNumId w:val="72"/>
  </w:num>
  <w:num w:numId="116">
    <w:abstractNumId w:val="66"/>
  </w:num>
  <w:num w:numId="118">
    <w:abstractNumId w:val="60"/>
  </w:num>
  <w:num w:numId="120">
    <w:abstractNumId w:val="54"/>
  </w:num>
  <w:num w:numId="122">
    <w:abstractNumId w:val="48"/>
  </w:num>
  <w:num w:numId="124">
    <w:abstractNumId w:val="42"/>
  </w:num>
  <w:num w:numId="126">
    <w:abstractNumId w:val="36"/>
  </w:num>
  <w:num w:numId="128">
    <w:abstractNumId w:val="30"/>
  </w:num>
  <w:num w:numId="130">
    <w:abstractNumId w:val="24"/>
  </w:num>
  <w:num w:numId="132">
    <w:abstractNumId w:val="18"/>
  </w:num>
  <w:num w:numId="134">
    <w:abstractNumId w:val="12"/>
  </w:num>
  <w:num w:numId="136">
    <w:abstractNumId w:val="6"/>
  </w:num>
  <w:num w:numId="1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