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AEDAC0C" w:rsidR="006E4797" w:rsidRPr="00AA24D3" w:rsidRDefault="00551D82" w:rsidP="00972F6D">
      <w:pPr>
        <w:pBdr>
          <w:top w:val="nil"/>
          <w:left w:val="nil"/>
          <w:bottom w:val="nil"/>
          <w:right w:val="nil"/>
          <w:between w:val="nil"/>
        </w:pBdr>
        <w:rPr>
          <w:color w:val="000000"/>
        </w:rPr>
      </w:pPr>
      <w:r w:rsidRPr="00AA24D3">
        <w:rPr>
          <w:b/>
          <w:color w:val="000000"/>
        </w:rPr>
        <w:t>TITLE:</w:t>
      </w:r>
    </w:p>
    <w:p w14:paraId="6DF3920D" w14:textId="00CD4658" w:rsidR="003F2F86" w:rsidRPr="00AA24D3" w:rsidRDefault="003F2F86" w:rsidP="00972F6D">
      <w:r w:rsidRPr="00AA24D3">
        <w:t xml:space="preserve">Using </w:t>
      </w:r>
      <w:r w:rsidR="003F1916" w:rsidRPr="00AA24D3">
        <w:t>Real-Time Cell Metabolic</w:t>
      </w:r>
      <w:r w:rsidR="0032242C">
        <w:t xml:space="preserve"> Flux</w:t>
      </w:r>
      <w:r w:rsidRPr="00AA24D3">
        <w:t xml:space="preserve"> Analyzer to Monitor Osteoblast Bioenergetics</w:t>
      </w:r>
    </w:p>
    <w:p w14:paraId="06C0C87E" w14:textId="77777777" w:rsidR="006E4797" w:rsidRPr="00AA24D3" w:rsidRDefault="006E4797" w:rsidP="00972F6D">
      <w:pPr>
        <w:rPr>
          <w:b/>
        </w:rPr>
      </w:pPr>
    </w:p>
    <w:p w14:paraId="2CD8481E" w14:textId="6AEE408B" w:rsidR="006E4797" w:rsidRPr="00AA24D3" w:rsidRDefault="00551D82" w:rsidP="00972F6D">
      <w:pPr>
        <w:rPr>
          <w:color w:val="808080"/>
        </w:rPr>
      </w:pPr>
      <w:r w:rsidRPr="00AA24D3">
        <w:rPr>
          <w:b/>
        </w:rPr>
        <w:t>AUTHORS AND AFFILIATIONS:</w:t>
      </w:r>
    </w:p>
    <w:p w14:paraId="310C018D" w14:textId="72E2A8F4" w:rsidR="003F2F86" w:rsidRPr="00AA24D3" w:rsidRDefault="003F2F86" w:rsidP="00972F6D">
      <w:proofErr w:type="spellStart"/>
      <w:r w:rsidRPr="00AA24D3">
        <w:t>Shobana</w:t>
      </w:r>
      <w:proofErr w:type="spellEnd"/>
      <w:r w:rsidRPr="00AA24D3">
        <w:t xml:space="preserve"> Jayapalan</w:t>
      </w:r>
      <w:r w:rsidR="00CB2843" w:rsidRPr="00AA24D3">
        <w:rPr>
          <w:vertAlign w:val="superscript"/>
        </w:rPr>
        <w:t>1,2</w:t>
      </w:r>
      <w:r w:rsidR="00F22027" w:rsidRPr="00AA24D3">
        <w:t>,</w:t>
      </w:r>
      <w:r w:rsidR="009D0266" w:rsidRPr="00AA24D3">
        <w:rPr>
          <w:vertAlign w:val="superscript"/>
        </w:rPr>
        <w:t xml:space="preserve"> </w:t>
      </w:r>
      <w:r w:rsidR="009D0266" w:rsidRPr="00AA24D3">
        <w:t>Ananya Nandy</w:t>
      </w:r>
      <w:r w:rsidR="00CB2843" w:rsidRPr="00AA24D3">
        <w:rPr>
          <w:vertAlign w:val="superscript"/>
        </w:rPr>
        <w:t>1,2</w:t>
      </w:r>
      <w:r w:rsidR="00BB320E" w:rsidRPr="00AA24D3">
        <w:t xml:space="preserve">, </w:t>
      </w:r>
      <w:r w:rsidRPr="00AA24D3">
        <w:t>Elizabeth Rendina-Ruedy</w:t>
      </w:r>
      <w:r w:rsidR="00CB2843" w:rsidRPr="00AA24D3">
        <w:rPr>
          <w:vertAlign w:val="superscript"/>
        </w:rPr>
        <w:t>1,2,3</w:t>
      </w:r>
    </w:p>
    <w:p w14:paraId="34A43CB7" w14:textId="77777777" w:rsidR="003F2F86" w:rsidRPr="00AA24D3" w:rsidRDefault="003F2F86" w:rsidP="00972F6D"/>
    <w:p w14:paraId="1BB9FEB1" w14:textId="3A38E075" w:rsidR="003F2F86" w:rsidRPr="00AA24D3" w:rsidRDefault="00D86F8B" w:rsidP="00972F6D">
      <w:pPr>
        <w:pStyle w:val="BodyText"/>
        <w:jc w:val="both"/>
        <w:rPr>
          <w:rFonts w:ascii="Calibri" w:hAnsi="Calibri" w:cs="Calibri"/>
        </w:rPr>
      </w:pPr>
      <w:r w:rsidRPr="00120856">
        <w:rPr>
          <w:rFonts w:ascii="Calibri" w:hAnsi="Calibri" w:cs="Calibri"/>
          <w:vertAlign w:val="superscript"/>
        </w:rPr>
        <w:t>1</w:t>
      </w:r>
      <w:r w:rsidR="003F2F86" w:rsidRPr="00AA24D3">
        <w:rPr>
          <w:rFonts w:ascii="Calibri" w:hAnsi="Calibri" w:cs="Calibri"/>
        </w:rPr>
        <w:t>Vanderbilt Center for Bone Biology, Division of Clinical Pharmacology, Vanderbilt University Medical Center, Nashville, TN 37232; USA</w:t>
      </w:r>
    </w:p>
    <w:p w14:paraId="496C8758" w14:textId="4A250DBF" w:rsidR="003F2F86" w:rsidRPr="00AA24D3" w:rsidRDefault="00D86F8B" w:rsidP="00972F6D">
      <w:pPr>
        <w:pStyle w:val="BodyText"/>
        <w:jc w:val="both"/>
        <w:rPr>
          <w:rFonts w:ascii="Calibri" w:hAnsi="Calibri" w:cs="Calibri"/>
        </w:rPr>
      </w:pPr>
      <w:r w:rsidRPr="00120856">
        <w:rPr>
          <w:rFonts w:ascii="Calibri" w:hAnsi="Calibri" w:cs="Calibri"/>
          <w:vertAlign w:val="superscript"/>
        </w:rPr>
        <w:t>2</w:t>
      </w:r>
      <w:r w:rsidR="003F2F86" w:rsidRPr="00AA24D3">
        <w:rPr>
          <w:rFonts w:ascii="Calibri" w:hAnsi="Calibri" w:cs="Calibri"/>
        </w:rPr>
        <w:t>Department of Medicine, Division of Clinical Pharmacology, Vanderbilt University Medical Center, Nashville, TN 37232; USA</w:t>
      </w:r>
    </w:p>
    <w:p w14:paraId="639119E7" w14:textId="65F4EAEE" w:rsidR="003F2F86" w:rsidRPr="00AA24D3" w:rsidRDefault="00D86F8B" w:rsidP="00972F6D">
      <w:pPr>
        <w:pStyle w:val="BodyText"/>
        <w:jc w:val="both"/>
        <w:rPr>
          <w:rFonts w:ascii="Calibri" w:hAnsi="Calibri" w:cs="Calibri"/>
        </w:rPr>
      </w:pPr>
      <w:r w:rsidRPr="00120856">
        <w:rPr>
          <w:rFonts w:ascii="Calibri" w:hAnsi="Calibri" w:cs="Calibri"/>
          <w:vertAlign w:val="superscript"/>
        </w:rPr>
        <w:t>3</w:t>
      </w:r>
      <w:r w:rsidR="003F2F86" w:rsidRPr="00AA24D3">
        <w:rPr>
          <w:rFonts w:ascii="Calibri" w:hAnsi="Calibri" w:cs="Calibri"/>
        </w:rPr>
        <w:t>Department of Molecular Physiology and Biophysics, Vanderbilt University, Nashville, TN 37232; USA</w:t>
      </w:r>
    </w:p>
    <w:p w14:paraId="509B9214" w14:textId="77777777" w:rsidR="003F2F86" w:rsidRPr="00AA24D3" w:rsidRDefault="003F2F86" w:rsidP="00972F6D">
      <w:pPr>
        <w:pStyle w:val="BodyText"/>
        <w:jc w:val="both"/>
        <w:rPr>
          <w:rFonts w:ascii="Calibri" w:hAnsi="Calibri" w:cs="Calibri"/>
        </w:rPr>
      </w:pPr>
    </w:p>
    <w:p w14:paraId="536F6EA8" w14:textId="28429ABF" w:rsidR="00D86F8B" w:rsidRPr="00120856" w:rsidRDefault="00115688" w:rsidP="00972F6D">
      <w:pPr>
        <w:pStyle w:val="BodyText"/>
        <w:jc w:val="both"/>
        <w:rPr>
          <w:rFonts w:ascii="Calibri" w:hAnsi="Calibri" w:cs="Calibri"/>
        </w:rPr>
      </w:pPr>
      <w:r w:rsidRPr="00120856">
        <w:rPr>
          <w:rFonts w:ascii="Calibri" w:hAnsi="Calibri" w:cs="Calibri"/>
        </w:rPr>
        <w:t>Email addresses of co-author</w:t>
      </w:r>
      <w:r w:rsidR="00AC2A79" w:rsidRPr="00AA24D3">
        <w:rPr>
          <w:rFonts w:ascii="Calibri" w:hAnsi="Calibri" w:cs="Calibri"/>
        </w:rPr>
        <w:t>s</w:t>
      </w:r>
      <w:r w:rsidRPr="00120856">
        <w:rPr>
          <w:rFonts w:ascii="Calibri" w:hAnsi="Calibri" w:cs="Calibri"/>
        </w:rPr>
        <w:t>:</w:t>
      </w:r>
    </w:p>
    <w:p w14:paraId="49615200" w14:textId="64F3C6CF" w:rsidR="00115688" w:rsidRPr="00AA24D3" w:rsidRDefault="00115688" w:rsidP="00972F6D">
      <w:pPr>
        <w:pStyle w:val="BodyText"/>
        <w:jc w:val="both"/>
        <w:rPr>
          <w:rFonts w:ascii="Calibri" w:hAnsi="Calibri" w:cs="Calibri"/>
        </w:rPr>
      </w:pPr>
      <w:proofErr w:type="spellStart"/>
      <w:r w:rsidRPr="00AA24D3">
        <w:rPr>
          <w:rFonts w:ascii="Calibri" w:hAnsi="Calibri" w:cs="Calibri"/>
        </w:rPr>
        <w:t>Shobana</w:t>
      </w:r>
      <w:proofErr w:type="spellEnd"/>
      <w:r w:rsidRPr="00AA24D3">
        <w:rPr>
          <w:rFonts w:ascii="Calibri" w:hAnsi="Calibri" w:cs="Calibri"/>
        </w:rPr>
        <w:t xml:space="preserve"> </w:t>
      </w:r>
      <w:proofErr w:type="spellStart"/>
      <w:r w:rsidRPr="00AA24D3">
        <w:rPr>
          <w:rFonts w:ascii="Calibri" w:hAnsi="Calibri" w:cs="Calibri"/>
        </w:rPr>
        <w:t>Jayapalan</w:t>
      </w:r>
      <w:proofErr w:type="spellEnd"/>
      <w:r w:rsidR="0046444F" w:rsidRPr="00AA24D3">
        <w:rPr>
          <w:rFonts w:ascii="Calibri" w:hAnsi="Calibri" w:cs="Calibri"/>
        </w:rPr>
        <w:tab/>
      </w:r>
      <w:r w:rsidR="0046444F" w:rsidRPr="00AA24D3">
        <w:rPr>
          <w:rFonts w:ascii="Calibri" w:hAnsi="Calibri" w:cs="Calibri"/>
        </w:rPr>
        <w:tab/>
      </w:r>
      <w:r w:rsidR="00FC6D88" w:rsidRPr="00AA24D3">
        <w:rPr>
          <w:rFonts w:ascii="Calibri" w:hAnsi="Calibri" w:cs="Calibri"/>
        </w:rPr>
        <w:t>(</w:t>
      </w:r>
      <w:r w:rsidR="0046444F" w:rsidRPr="00120856">
        <w:rPr>
          <w:rFonts w:ascii="Calibri" w:hAnsi="Calibri" w:cs="Calibri"/>
          <w:shd w:val="clear" w:color="auto" w:fill="FFFFFF"/>
        </w:rPr>
        <w:t>shobanajayapalan@gmail.com</w:t>
      </w:r>
      <w:r w:rsidR="00FC6D88" w:rsidRPr="00AA24D3">
        <w:rPr>
          <w:rFonts w:ascii="Calibri" w:hAnsi="Calibri" w:cs="Calibri"/>
          <w:shd w:val="clear" w:color="auto" w:fill="FFFFFF"/>
        </w:rPr>
        <w:t>)</w:t>
      </w:r>
    </w:p>
    <w:p w14:paraId="272852DB" w14:textId="7CCE1AAA" w:rsidR="00115688" w:rsidRPr="00AA24D3" w:rsidRDefault="00115688" w:rsidP="00972F6D">
      <w:pPr>
        <w:pStyle w:val="BodyText"/>
        <w:jc w:val="both"/>
        <w:rPr>
          <w:rFonts w:ascii="Calibri" w:hAnsi="Calibri" w:cs="Calibri"/>
        </w:rPr>
      </w:pPr>
      <w:r w:rsidRPr="00AA24D3">
        <w:rPr>
          <w:rFonts w:ascii="Calibri" w:hAnsi="Calibri" w:cs="Calibri"/>
        </w:rPr>
        <w:t xml:space="preserve">Ananya </w:t>
      </w:r>
      <w:proofErr w:type="spellStart"/>
      <w:r w:rsidRPr="00AA24D3">
        <w:rPr>
          <w:rFonts w:ascii="Calibri" w:hAnsi="Calibri" w:cs="Calibri"/>
        </w:rPr>
        <w:t>Nandy</w:t>
      </w:r>
      <w:proofErr w:type="spellEnd"/>
      <w:r w:rsidR="00FC6D88" w:rsidRPr="00AA24D3">
        <w:rPr>
          <w:rFonts w:ascii="Calibri" w:hAnsi="Calibri" w:cs="Calibri"/>
        </w:rPr>
        <w:tab/>
      </w:r>
      <w:r w:rsidR="00FC6D88" w:rsidRPr="00AA24D3">
        <w:rPr>
          <w:rFonts w:ascii="Calibri" w:hAnsi="Calibri" w:cs="Calibri"/>
        </w:rPr>
        <w:tab/>
      </w:r>
      <w:r w:rsidR="00FC6D88" w:rsidRPr="00AA24D3">
        <w:rPr>
          <w:rFonts w:ascii="Calibri" w:hAnsi="Calibri" w:cs="Calibri"/>
        </w:rPr>
        <w:tab/>
      </w:r>
      <w:r w:rsidR="00FC6D88" w:rsidRPr="00120856">
        <w:rPr>
          <w:rFonts w:ascii="Calibri" w:hAnsi="Calibri" w:cs="Calibri"/>
          <w:shd w:val="clear" w:color="auto" w:fill="FFFFFF" w:themeFill="background1"/>
        </w:rPr>
        <w:t>(ananya.nandy@vumc.org)</w:t>
      </w:r>
    </w:p>
    <w:p w14:paraId="544F7CA4" w14:textId="53BBD4F7" w:rsidR="00115688" w:rsidRDefault="00DD1BED" w:rsidP="00972F6D">
      <w:pPr>
        <w:pStyle w:val="BodyText"/>
        <w:jc w:val="both"/>
        <w:rPr>
          <w:rFonts w:ascii="Calibri" w:hAnsi="Calibri" w:cs="Calibri"/>
        </w:rPr>
      </w:pPr>
      <w:r w:rsidRPr="00AA24D3">
        <w:rPr>
          <w:rFonts w:ascii="Calibri" w:hAnsi="Calibri" w:cs="Calibri"/>
        </w:rPr>
        <w:t xml:space="preserve">Elizabeth </w:t>
      </w:r>
      <w:proofErr w:type="spellStart"/>
      <w:r w:rsidRPr="00AA24D3">
        <w:rPr>
          <w:rFonts w:ascii="Calibri" w:hAnsi="Calibri" w:cs="Calibri"/>
        </w:rPr>
        <w:t>Rendina</w:t>
      </w:r>
      <w:proofErr w:type="spellEnd"/>
      <w:r w:rsidRPr="00AA24D3">
        <w:rPr>
          <w:rFonts w:ascii="Calibri" w:hAnsi="Calibri" w:cs="Calibri"/>
        </w:rPr>
        <w:t>-Ruedy</w:t>
      </w:r>
      <w:r w:rsidRPr="00AA24D3">
        <w:rPr>
          <w:rFonts w:ascii="Calibri" w:hAnsi="Calibri" w:cs="Calibri"/>
        </w:rPr>
        <w:tab/>
        <w:t>(</w:t>
      </w:r>
      <w:r w:rsidRPr="00120856">
        <w:rPr>
          <w:rFonts w:ascii="Calibri" w:hAnsi="Calibri" w:cs="Calibri"/>
          <w:shd w:val="clear" w:color="auto" w:fill="FFFFFF"/>
        </w:rPr>
        <w:t>elizabeth.rendina-ruedy@vumc.org</w:t>
      </w:r>
      <w:r w:rsidRPr="00AA24D3">
        <w:rPr>
          <w:rFonts w:ascii="Calibri" w:hAnsi="Calibri" w:cs="Calibri"/>
          <w:shd w:val="clear" w:color="auto" w:fill="FFFFFF"/>
        </w:rPr>
        <w:t>)</w:t>
      </w:r>
    </w:p>
    <w:p w14:paraId="449042BF" w14:textId="77777777" w:rsidR="00DD1BED" w:rsidRPr="00120856" w:rsidRDefault="00DD1BED" w:rsidP="00972F6D">
      <w:pPr>
        <w:pStyle w:val="BodyText"/>
        <w:jc w:val="both"/>
        <w:rPr>
          <w:rFonts w:ascii="Calibri" w:hAnsi="Calibri" w:cs="Calibri"/>
        </w:rPr>
      </w:pPr>
    </w:p>
    <w:p w14:paraId="7B3FD6F7" w14:textId="25FF7522" w:rsidR="003F2F86" w:rsidRPr="00AA24D3" w:rsidRDefault="00D86F8B" w:rsidP="00972F6D">
      <w:pPr>
        <w:pStyle w:val="BodyText"/>
        <w:jc w:val="both"/>
        <w:rPr>
          <w:rFonts w:ascii="Calibri" w:hAnsi="Calibri" w:cs="Calibri"/>
        </w:rPr>
      </w:pPr>
      <w:r w:rsidRPr="00AA24D3">
        <w:rPr>
          <w:rFonts w:ascii="Calibri" w:hAnsi="Calibri" w:cs="Calibri"/>
        </w:rPr>
        <w:t>C</w:t>
      </w:r>
      <w:r w:rsidR="003F2F86" w:rsidRPr="00AA24D3">
        <w:rPr>
          <w:rFonts w:ascii="Calibri" w:hAnsi="Calibri" w:cs="Calibri"/>
        </w:rPr>
        <w:t>orresponding author</w:t>
      </w:r>
      <w:r w:rsidRPr="00AA24D3">
        <w:rPr>
          <w:rFonts w:ascii="Calibri" w:hAnsi="Calibri" w:cs="Calibri"/>
        </w:rPr>
        <w:t>:</w:t>
      </w:r>
    </w:p>
    <w:p w14:paraId="593E0CAE" w14:textId="167B375B" w:rsidR="00D86F8B" w:rsidRPr="00AA24D3" w:rsidRDefault="00D86F8B" w:rsidP="00972F6D">
      <w:pPr>
        <w:pStyle w:val="BodyText"/>
        <w:jc w:val="both"/>
        <w:rPr>
          <w:rFonts w:ascii="Calibri" w:hAnsi="Calibri" w:cs="Calibri"/>
        </w:rPr>
      </w:pPr>
      <w:r w:rsidRPr="00AA24D3">
        <w:rPr>
          <w:rFonts w:ascii="Calibri" w:hAnsi="Calibri" w:cs="Calibri"/>
        </w:rPr>
        <w:t xml:space="preserve">Elizabeth </w:t>
      </w:r>
      <w:proofErr w:type="spellStart"/>
      <w:r w:rsidRPr="00AA24D3">
        <w:rPr>
          <w:rFonts w:ascii="Calibri" w:hAnsi="Calibri" w:cs="Calibri"/>
        </w:rPr>
        <w:t>Rendina</w:t>
      </w:r>
      <w:proofErr w:type="spellEnd"/>
      <w:r w:rsidRPr="00AA24D3">
        <w:rPr>
          <w:rFonts w:ascii="Calibri" w:hAnsi="Calibri" w:cs="Calibri"/>
        </w:rPr>
        <w:t>-Ruedy</w:t>
      </w:r>
      <w:r w:rsidR="0046444F" w:rsidRPr="00AA24D3">
        <w:rPr>
          <w:rFonts w:ascii="Calibri" w:hAnsi="Calibri" w:cs="Calibri"/>
        </w:rPr>
        <w:tab/>
      </w:r>
      <w:r w:rsidR="00FC6D88" w:rsidRPr="00AA24D3">
        <w:rPr>
          <w:rFonts w:ascii="Calibri" w:hAnsi="Calibri" w:cs="Calibri"/>
        </w:rPr>
        <w:t>(</w:t>
      </w:r>
      <w:r w:rsidR="0046444F" w:rsidRPr="00120856">
        <w:rPr>
          <w:rFonts w:ascii="Calibri" w:hAnsi="Calibri" w:cs="Calibri"/>
          <w:shd w:val="clear" w:color="auto" w:fill="FFFFFF"/>
        </w:rPr>
        <w:t>elizabeth.rendina-ruedy@vumc.org</w:t>
      </w:r>
      <w:r w:rsidR="00FC6D88" w:rsidRPr="00AA24D3">
        <w:rPr>
          <w:rFonts w:ascii="Calibri" w:hAnsi="Calibri" w:cs="Calibri"/>
          <w:shd w:val="clear" w:color="auto" w:fill="FFFFFF"/>
        </w:rPr>
        <w:t>)</w:t>
      </w:r>
    </w:p>
    <w:p w14:paraId="141ABDE5" w14:textId="77777777" w:rsidR="006E4797" w:rsidRPr="00AA24D3" w:rsidRDefault="006E4797" w:rsidP="00972F6D">
      <w:pPr>
        <w:pBdr>
          <w:top w:val="nil"/>
          <w:left w:val="nil"/>
          <w:bottom w:val="nil"/>
          <w:right w:val="nil"/>
          <w:between w:val="nil"/>
        </w:pBdr>
        <w:rPr>
          <w:color w:val="000000"/>
        </w:rPr>
      </w:pPr>
    </w:p>
    <w:p w14:paraId="60F3B8D4" w14:textId="512EFBD2" w:rsidR="006E4797" w:rsidRPr="00AA24D3" w:rsidRDefault="00551D82" w:rsidP="00972F6D">
      <w:r w:rsidRPr="00AA24D3">
        <w:rPr>
          <w:b/>
        </w:rPr>
        <w:t>SUMMARY:</w:t>
      </w:r>
    </w:p>
    <w:p w14:paraId="1A0F8CB4" w14:textId="127F93B7" w:rsidR="004906B5" w:rsidRPr="00AA24D3" w:rsidRDefault="00DC6DD9" w:rsidP="00972F6D">
      <w:bookmarkStart w:id="0" w:name="_Hlk88916932"/>
      <w:r w:rsidRPr="00AA24D3">
        <w:t>Real</w:t>
      </w:r>
      <w:r>
        <w:t>-</w:t>
      </w:r>
      <w:r w:rsidRPr="00AA24D3">
        <w:t>t</w:t>
      </w:r>
      <w:r w:rsidR="0032242C" w:rsidRPr="00AA24D3">
        <w:t xml:space="preserve">ime </w:t>
      </w:r>
      <w:r w:rsidR="00557435">
        <w:t>c</w:t>
      </w:r>
      <w:r w:rsidR="0032242C" w:rsidRPr="00AA24D3">
        <w:t xml:space="preserve">ell </w:t>
      </w:r>
      <w:r w:rsidR="00557435">
        <w:t>m</w:t>
      </w:r>
      <w:r w:rsidR="0032242C" w:rsidRPr="00AA24D3">
        <w:t>etabolic</w:t>
      </w:r>
      <w:r w:rsidR="0032242C">
        <w:t xml:space="preserve"> </w:t>
      </w:r>
      <w:r w:rsidR="00BD38B2">
        <w:t>f</w:t>
      </w:r>
      <w:r w:rsidR="0032242C">
        <w:t>lux</w:t>
      </w:r>
      <w:r w:rsidR="0032242C" w:rsidRPr="00AA24D3">
        <w:t xml:space="preserve"> </w:t>
      </w:r>
      <w:r w:rsidR="00EF0C38" w:rsidRPr="00AA24D3">
        <w:t xml:space="preserve">assay </w:t>
      </w:r>
      <w:r w:rsidR="000C63AD" w:rsidRPr="00AA24D3">
        <w:t>measure</w:t>
      </w:r>
      <w:r w:rsidR="00BA4E8F">
        <w:t xml:space="preserve">s </w:t>
      </w:r>
      <w:r w:rsidR="000C63AD" w:rsidRPr="00AA24D3">
        <w:t>t</w:t>
      </w:r>
      <w:r w:rsidR="00EF0C38" w:rsidRPr="00AA24D3">
        <w:t>he oxygen consumption rate and extracellular acidification rate</w:t>
      </w:r>
      <w:r w:rsidR="00BA4E8F">
        <w:t xml:space="preserve">, </w:t>
      </w:r>
      <w:r w:rsidR="00EF0C38" w:rsidRPr="00AA24D3">
        <w:t xml:space="preserve">which corresponds to mitochondrial and glycolytic </w:t>
      </w:r>
      <w:r w:rsidR="00484507" w:rsidRPr="00AA24D3">
        <w:t xml:space="preserve">adenosine triphosphate </w:t>
      </w:r>
      <w:r w:rsidR="00EF0C38" w:rsidRPr="00AA24D3">
        <w:t>production</w:t>
      </w:r>
      <w:r w:rsidR="00252B25" w:rsidRPr="00AA24D3">
        <w:t>,</w:t>
      </w:r>
      <w:r w:rsidR="00C31778" w:rsidRPr="00AA24D3">
        <w:t xml:space="preserve"> </w:t>
      </w:r>
      <w:r w:rsidR="00BB031E">
        <w:t>using</w:t>
      </w:r>
      <w:r w:rsidR="00BB031E" w:rsidRPr="00AA24D3">
        <w:t xml:space="preserve"> </w:t>
      </w:r>
      <w:r w:rsidR="00C31778" w:rsidRPr="00AA24D3">
        <w:t>pH and oxygen sensors</w:t>
      </w:r>
      <w:r w:rsidR="00EF0C38" w:rsidRPr="00AA24D3">
        <w:t xml:space="preserve">. </w:t>
      </w:r>
      <w:r w:rsidR="00746913">
        <w:t xml:space="preserve">The </w:t>
      </w:r>
      <w:r w:rsidR="00AE4835">
        <w:t xml:space="preserve">manuscript explains a </w:t>
      </w:r>
      <w:r w:rsidR="00746913">
        <w:t>method to understand</w:t>
      </w:r>
      <w:r w:rsidR="00746913" w:rsidRPr="00AA24D3">
        <w:t xml:space="preserve"> the energy status of </w:t>
      </w:r>
      <w:r w:rsidR="00746913">
        <w:t xml:space="preserve">osteoblasts </w:t>
      </w:r>
      <w:r w:rsidR="007666F1">
        <w:t xml:space="preserve">and </w:t>
      </w:r>
      <w:r w:rsidR="000D4B33">
        <w:t xml:space="preserve">the </w:t>
      </w:r>
      <w:r w:rsidR="00746913" w:rsidRPr="00AA24D3">
        <w:t>characteri</w:t>
      </w:r>
      <w:r w:rsidR="00746913">
        <w:t>z</w:t>
      </w:r>
      <w:r w:rsidR="000D4B33">
        <w:t>ation</w:t>
      </w:r>
      <w:r w:rsidR="00746913" w:rsidRPr="00AA24D3">
        <w:t xml:space="preserve"> and interpret</w:t>
      </w:r>
      <w:r w:rsidR="000D4B33">
        <w:t>ation of</w:t>
      </w:r>
      <w:r w:rsidR="00746913">
        <w:t xml:space="preserve"> </w:t>
      </w:r>
      <w:r w:rsidR="00746913" w:rsidRPr="00AA24D3">
        <w:t>the cellular bioenergetic status</w:t>
      </w:r>
      <w:r w:rsidR="00746913">
        <w:t>.</w:t>
      </w:r>
      <w:bookmarkEnd w:id="0"/>
    </w:p>
    <w:p w14:paraId="223E236D" w14:textId="77777777" w:rsidR="00252B25" w:rsidRPr="00AA24D3" w:rsidRDefault="00252B25" w:rsidP="00972F6D"/>
    <w:p w14:paraId="2DF8E628" w14:textId="31737AA5" w:rsidR="006E4797" w:rsidRPr="00AA24D3" w:rsidRDefault="00551D82" w:rsidP="00972F6D">
      <w:pPr>
        <w:rPr>
          <w:color w:val="808080"/>
        </w:rPr>
      </w:pPr>
      <w:r w:rsidRPr="00AA24D3">
        <w:rPr>
          <w:b/>
        </w:rPr>
        <w:t>ABSTRACT:</w:t>
      </w:r>
    </w:p>
    <w:p w14:paraId="53FCC578" w14:textId="3634E2EF" w:rsidR="003F2F86" w:rsidRPr="00AA24D3" w:rsidRDefault="003F2F86" w:rsidP="00972F6D">
      <w:pPr>
        <w:rPr>
          <w:rFonts w:eastAsia="Times New Roman"/>
          <w:shd w:val="clear" w:color="auto" w:fill="FFFFFF"/>
        </w:rPr>
      </w:pPr>
      <w:r w:rsidRPr="00AA24D3">
        <w:t xml:space="preserve">Bone formation by osteoblasts is an essential process for proper bone acquisition and bone turnover to maintain skeletal homeostasis, and ultimately, prevent fracture. In the interest to both optimize peak bone mass and combat various </w:t>
      </w:r>
      <w:r w:rsidR="00282587" w:rsidRPr="00AA24D3">
        <w:t xml:space="preserve">musculoskeletal </w:t>
      </w:r>
      <w:r w:rsidRPr="00AA24D3">
        <w:t>diseases (i.e., post-menopausal osteoporosis, anorexia nervosa, type 1 and 2 diabetes mellitus)</w:t>
      </w:r>
      <w:r w:rsidR="00754782" w:rsidRPr="00AA24D3">
        <w:t>,</w:t>
      </w:r>
      <w:r w:rsidRPr="00AA24D3">
        <w:t xml:space="preserve"> incredible efforts have been made in the field of bone biology to fully characterize osteoblasts throughout their differentiation process. Given the primary role of mature osteoblasts to secrete matrix proteins and mineralization vesicles</w:t>
      </w:r>
      <w:r w:rsidR="00754782" w:rsidRPr="00AA24D3">
        <w:t>,</w:t>
      </w:r>
      <w:r w:rsidRPr="00AA24D3">
        <w:t xml:space="preserve"> it has been noted that these processes take an incredible amount of cellular energy, or </w:t>
      </w:r>
      <w:r w:rsidR="00754782" w:rsidRPr="00AA24D3">
        <w:t>adenosine triphosphate (ATP)</w:t>
      </w:r>
      <w:r w:rsidRPr="00AA24D3">
        <w:t xml:space="preserve">. </w:t>
      </w:r>
      <w:r w:rsidRPr="00AA24D3">
        <w:rPr>
          <w:rFonts w:eastAsia="Times New Roman"/>
          <w:shd w:val="clear" w:color="auto" w:fill="FFFFFF"/>
        </w:rPr>
        <w:t>The overall cellular energy status is often referred to as cellular</w:t>
      </w:r>
      <w:r w:rsidR="00252B25" w:rsidRPr="00AA24D3">
        <w:rPr>
          <w:rFonts w:eastAsia="Times New Roman"/>
          <w:shd w:val="clear" w:color="auto" w:fill="FFFFFF"/>
        </w:rPr>
        <w:t xml:space="preserve"> </w:t>
      </w:r>
      <w:r w:rsidR="00754782" w:rsidRPr="00AA24D3">
        <w:rPr>
          <w:rFonts w:eastAsia="Times New Roman"/>
          <w:shd w:val="clear" w:color="auto" w:fill="FFFFFF"/>
        </w:rPr>
        <w:t>bioenergetics</w:t>
      </w:r>
      <w:r w:rsidR="00252B25" w:rsidRPr="00AA24D3">
        <w:rPr>
          <w:rFonts w:eastAsia="Times New Roman"/>
          <w:shd w:val="clear" w:color="auto" w:fill="FFFFFF"/>
        </w:rPr>
        <w:t>,</w:t>
      </w:r>
      <w:r w:rsidR="00754782" w:rsidRPr="00AA24D3">
        <w:rPr>
          <w:rFonts w:eastAsia="Times New Roman"/>
          <w:shd w:val="clear" w:color="auto" w:fill="FFFFFF"/>
        </w:rPr>
        <w:t xml:space="preserve"> </w:t>
      </w:r>
      <w:r w:rsidR="00F17F48" w:rsidRPr="00AA24D3">
        <w:rPr>
          <w:rFonts w:eastAsia="Times New Roman"/>
          <w:shd w:val="clear" w:color="auto" w:fill="FFFFFF"/>
        </w:rPr>
        <w:t xml:space="preserve">and </w:t>
      </w:r>
      <w:r w:rsidR="00754782" w:rsidRPr="00AA24D3">
        <w:rPr>
          <w:rFonts w:eastAsia="Times New Roman"/>
          <w:shd w:val="clear" w:color="auto" w:fill="FFFFFF"/>
        </w:rPr>
        <w:t xml:space="preserve">it </w:t>
      </w:r>
      <w:r w:rsidR="00CB1511">
        <w:rPr>
          <w:rFonts w:eastAsia="Times New Roman"/>
          <w:shd w:val="clear" w:color="auto" w:fill="FFFFFF"/>
        </w:rPr>
        <w:t>includes</w:t>
      </w:r>
      <w:r w:rsidR="00CB1511" w:rsidRPr="00AA24D3">
        <w:rPr>
          <w:rFonts w:eastAsia="Times New Roman"/>
          <w:shd w:val="clear" w:color="auto" w:fill="FFFFFF"/>
        </w:rPr>
        <w:t xml:space="preserve"> </w:t>
      </w:r>
      <w:r w:rsidR="00F17F48" w:rsidRPr="00AA24D3">
        <w:rPr>
          <w:rFonts w:eastAsia="Times New Roman"/>
          <w:shd w:val="clear" w:color="auto" w:fill="FFFFFF"/>
        </w:rPr>
        <w:t xml:space="preserve">a </w:t>
      </w:r>
      <w:r w:rsidRPr="00AA24D3">
        <w:rPr>
          <w:rFonts w:eastAsia="Times New Roman"/>
          <w:shd w:val="clear" w:color="auto" w:fill="FFFFFF"/>
        </w:rPr>
        <w:t xml:space="preserve">series of metabolic reactions that sense substrate availability </w:t>
      </w:r>
      <w:r w:rsidR="00F17F48" w:rsidRPr="00AA24D3">
        <w:rPr>
          <w:rFonts w:eastAsia="Times New Roman"/>
          <w:shd w:val="clear" w:color="auto" w:fill="FFFFFF"/>
        </w:rPr>
        <w:t xml:space="preserve">to </w:t>
      </w:r>
      <w:r w:rsidRPr="00AA24D3">
        <w:rPr>
          <w:rFonts w:eastAsia="Times New Roman"/>
          <w:shd w:val="clear" w:color="auto" w:fill="FFFFFF"/>
        </w:rPr>
        <w:t xml:space="preserve">derive ATP </w:t>
      </w:r>
      <w:r w:rsidR="00F17F48" w:rsidRPr="00AA24D3">
        <w:rPr>
          <w:rFonts w:eastAsia="Times New Roman"/>
          <w:shd w:val="clear" w:color="auto" w:fill="FFFFFF"/>
        </w:rPr>
        <w:t xml:space="preserve">to meet </w:t>
      </w:r>
      <w:r w:rsidRPr="00AA24D3">
        <w:rPr>
          <w:rFonts w:eastAsia="Times New Roman"/>
          <w:shd w:val="clear" w:color="auto" w:fill="FFFFFF"/>
        </w:rPr>
        <w:t xml:space="preserve">cellular needs. Therefore, the current method details the process </w:t>
      </w:r>
      <w:r w:rsidR="00252B25" w:rsidRPr="00AA24D3">
        <w:rPr>
          <w:rFonts w:eastAsia="Times New Roman"/>
          <w:shd w:val="clear" w:color="auto" w:fill="FFFFFF"/>
        </w:rPr>
        <w:t>of isolating primary, murine bone marrow stromal cells (BMSCs) and monitoring</w:t>
      </w:r>
      <w:r w:rsidRPr="00AA24D3">
        <w:rPr>
          <w:rFonts w:eastAsia="Times New Roman"/>
          <w:shd w:val="clear" w:color="auto" w:fill="FFFFFF"/>
        </w:rPr>
        <w:t xml:space="preserve"> their bioenergetic status using </w:t>
      </w:r>
      <w:r w:rsidR="00746913">
        <w:rPr>
          <w:rFonts w:eastAsia="Times New Roman"/>
          <w:shd w:val="clear" w:color="auto" w:fill="FFFFFF"/>
        </w:rPr>
        <w:t xml:space="preserve">the </w:t>
      </w:r>
      <w:r w:rsidR="00F634CD">
        <w:t>Real-</w:t>
      </w:r>
      <w:r w:rsidR="00523E42">
        <w:t>t</w:t>
      </w:r>
      <w:r w:rsidR="00F634CD">
        <w:t xml:space="preserve">ime </w:t>
      </w:r>
      <w:r w:rsidR="00523E42">
        <w:t>c</w:t>
      </w:r>
      <w:r w:rsidR="00F634CD">
        <w:t xml:space="preserve">ell </w:t>
      </w:r>
      <w:r w:rsidR="00523E42">
        <w:t>m</w:t>
      </w:r>
      <w:r w:rsidR="00F634CD">
        <w:t xml:space="preserve">etabolic </w:t>
      </w:r>
      <w:r w:rsidR="00523E42">
        <w:t>f</w:t>
      </w:r>
      <w:r w:rsidR="00F634CD">
        <w:t xml:space="preserve">lux analyzer </w:t>
      </w:r>
      <w:r w:rsidRPr="00AA24D3">
        <w:rPr>
          <w:rFonts w:eastAsia="Times New Roman"/>
          <w:shd w:val="clear" w:color="auto" w:fill="FFFFFF"/>
        </w:rPr>
        <w:t xml:space="preserve">at various stages in </w:t>
      </w:r>
      <w:r w:rsidR="00F17F48" w:rsidRPr="00AA24D3">
        <w:rPr>
          <w:rFonts w:eastAsia="Times New Roman"/>
          <w:shd w:val="clear" w:color="auto" w:fill="FFFFFF"/>
        </w:rPr>
        <w:t xml:space="preserve">osteoblast </w:t>
      </w:r>
      <w:r w:rsidRPr="00AA24D3">
        <w:rPr>
          <w:rFonts w:eastAsia="Times New Roman"/>
          <w:shd w:val="clear" w:color="auto" w:fill="FFFFFF"/>
        </w:rPr>
        <w:t>differentiation. Importantly, these data</w:t>
      </w:r>
      <w:r w:rsidR="00F17F48" w:rsidRPr="00AA24D3">
        <w:rPr>
          <w:rFonts w:eastAsia="Times New Roman"/>
          <w:shd w:val="clear" w:color="auto" w:fill="FFFFFF"/>
        </w:rPr>
        <w:t xml:space="preserve"> have</w:t>
      </w:r>
      <w:r w:rsidRPr="00AA24D3">
        <w:rPr>
          <w:rFonts w:eastAsia="Times New Roman"/>
          <w:shd w:val="clear" w:color="auto" w:fill="FFFFFF"/>
        </w:rPr>
        <w:t xml:space="preserve"> demonstrate</w:t>
      </w:r>
      <w:r w:rsidR="00F17F48" w:rsidRPr="00AA24D3">
        <w:rPr>
          <w:rFonts w:eastAsia="Times New Roman"/>
          <w:shd w:val="clear" w:color="auto" w:fill="FFFFFF"/>
        </w:rPr>
        <w:t>d</w:t>
      </w:r>
      <w:r w:rsidRPr="00AA24D3">
        <w:rPr>
          <w:rFonts w:eastAsia="Times New Roman"/>
          <w:shd w:val="clear" w:color="auto" w:fill="FFFFFF"/>
        </w:rPr>
        <w:t xml:space="preserve"> that the metabolic profile changes dramatically throughout osteoblast differentiation</w:t>
      </w:r>
      <w:r w:rsidR="00754782" w:rsidRPr="00AA24D3">
        <w:rPr>
          <w:rFonts w:eastAsia="Times New Roman"/>
          <w:shd w:val="clear" w:color="auto" w:fill="FFFFFF"/>
        </w:rPr>
        <w:t>. T</w:t>
      </w:r>
      <w:r w:rsidRPr="00AA24D3">
        <w:rPr>
          <w:rFonts w:eastAsia="Times New Roman"/>
          <w:shd w:val="clear" w:color="auto" w:fill="FFFFFF"/>
        </w:rPr>
        <w:t xml:space="preserve">hus, using this physiologically relevant cell type is required to fully appreciate how a </w:t>
      </w:r>
      <w:r w:rsidR="00754782" w:rsidRPr="00AA24D3">
        <w:rPr>
          <w:rFonts w:eastAsia="Times New Roman"/>
          <w:shd w:val="clear" w:color="auto" w:fill="FFFFFF"/>
        </w:rPr>
        <w:t>cell</w:t>
      </w:r>
      <w:r w:rsidR="00252B25" w:rsidRPr="00AA24D3">
        <w:rPr>
          <w:rFonts w:eastAsia="Times New Roman"/>
          <w:shd w:val="clear" w:color="auto" w:fill="FFFFFF"/>
        </w:rPr>
        <w:t>’</w:t>
      </w:r>
      <w:r w:rsidR="00754782" w:rsidRPr="00AA24D3">
        <w:rPr>
          <w:rFonts w:eastAsia="Times New Roman"/>
          <w:shd w:val="clear" w:color="auto" w:fill="FFFFFF"/>
        </w:rPr>
        <w:t xml:space="preserve">s </w:t>
      </w:r>
      <w:r w:rsidRPr="00AA24D3">
        <w:rPr>
          <w:rFonts w:eastAsia="Times New Roman"/>
          <w:shd w:val="clear" w:color="auto" w:fill="FFFFFF"/>
        </w:rPr>
        <w:t xml:space="preserve">bioenergetic status can </w:t>
      </w:r>
      <w:r w:rsidR="00282587" w:rsidRPr="00AA24D3">
        <w:rPr>
          <w:rFonts w:eastAsia="Times New Roman"/>
          <w:shd w:val="clear" w:color="auto" w:fill="FFFFFF"/>
        </w:rPr>
        <w:t xml:space="preserve">regulate </w:t>
      </w:r>
      <w:r w:rsidR="00DD1BED">
        <w:rPr>
          <w:rFonts w:eastAsia="Times New Roman"/>
          <w:shd w:val="clear" w:color="auto" w:fill="FFFFFF"/>
        </w:rPr>
        <w:t xml:space="preserve">the </w:t>
      </w:r>
      <w:r w:rsidRPr="00AA24D3">
        <w:rPr>
          <w:rFonts w:eastAsia="Times New Roman"/>
          <w:shd w:val="clear" w:color="auto" w:fill="FFFFFF"/>
        </w:rPr>
        <w:t xml:space="preserve">overall </w:t>
      </w:r>
      <w:r w:rsidRPr="00AA24D3">
        <w:rPr>
          <w:rFonts w:eastAsia="Times New Roman"/>
          <w:shd w:val="clear" w:color="auto" w:fill="FFFFFF"/>
        </w:rPr>
        <w:lastRenderedPageBreak/>
        <w:t>function.</w:t>
      </w:r>
    </w:p>
    <w:p w14:paraId="47C528FD" w14:textId="77777777" w:rsidR="00252B25" w:rsidRPr="00AA24D3" w:rsidRDefault="00252B25" w:rsidP="00AA24D3">
      <w:pPr>
        <w:jc w:val="left"/>
        <w:rPr>
          <w:b/>
        </w:rPr>
      </w:pPr>
    </w:p>
    <w:p w14:paraId="0646E204" w14:textId="25F2C03F" w:rsidR="006E4797" w:rsidRPr="00AA24D3" w:rsidRDefault="00551D82" w:rsidP="00AA24D3">
      <w:pPr>
        <w:jc w:val="left"/>
        <w:rPr>
          <w:color w:val="808080"/>
        </w:rPr>
      </w:pPr>
      <w:bookmarkStart w:id="1" w:name="_Hlk88917993"/>
      <w:r w:rsidRPr="00AA24D3">
        <w:rPr>
          <w:b/>
        </w:rPr>
        <w:t>INTRODUCTION:</w:t>
      </w:r>
    </w:p>
    <w:p w14:paraId="1DA41122" w14:textId="433EFBD1" w:rsidR="000D5FFF" w:rsidRDefault="00C56DD6" w:rsidP="003C1A3C">
      <w:pPr>
        <w:shd w:val="clear" w:color="auto" w:fill="FFFFFF"/>
        <w:rPr>
          <w:rFonts w:eastAsia="Times New Roman"/>
          <w:shd w:val="clear" w:color="auto" w:fill="FFFFFF"/>
        </w:rPr>
      </w:pPr>
      <w:r w:rsidRPr="00AA24D3">
        <w:t>The formation of</w:t>
      </w:r>
      <w:r w:rsidR="00F17F48" w:rsidRPr="00AA24D3">
        <w:t xml:space="preserve"> bone by the</w:t>
      </w:r>
      <w:r w:rsidRPr="00AA24D3">
        <w:t xml:space="preserve"> </w:t>
      </w:r>
      <w:r w:rsidR="007B2821" w:rsidRPr="00AA24D3">
        <w:t>o</w:t>
      </w:r>
      <w:r w:rsidR="00252B25" w:rsidRPr="00AA24D3">
        <w:t xml:space="preserve">steoblast </w:t>
      </w:r>
      <w:r w:rsidR="00C566CB" w:rsidRPr="00AA24D3">
        <w:t xml:space="preserve">is accompanied by </w:t>
      </w:r>
      <w:r w:rsidR="00F17F48" w:rsidRPr="00AA24D3">
        <w:t xml:space="preserve">coordinated </w:t>
      </w:r>
      <w:r w:rsidR="00C566CB" w:rsidRPr="00AA24D3">
        <w:t>destruction or resorption of bones by osteoclasts. The balance between osteoblast</w:t>
      </w:r>
      <w:r w:rsidR="00F17F48" w:rsidRPr="00AA24D3">
        <w:t>ic</w:t>
      </w:r>
      <w:r w:rsidR="00C566CB" w:rsidRPr="00AA24D3">
        <w:t xml:space="preserve"> bone formation and osteoclast resorption </w:t>
      </w:r>
      <w:r w:rsidR="00567856" w:rsidRPr="00AA24D3">
        <w:t xml:space="preserve">is a coupled process describing </w:t>
      </w:r>
      <w:r w:rsidR="00F17F48" w:rsidRPr="00AA24D3">
        <w:t>bone turnover or remodeling</w:t>
      </w:r>
      <w:r w:rsidR="00567856" w:rsidRPr="00AA24D3">
        <w:t>,</w:t>
      </w:r>
      <w:r w:rsidR="00F17F48" w:rsidRPr="00AA24D3">
        <w:t xml:space="preserve"> </w:t>
      </w:r>
      <w:r w:rsidR="00567856" w:rsidRPr="00AA24D3">
        <w:t xml:space="preserve">which </w:t>
      </w:r>
      <w:r w:rsidR="00C566CB" w:rsidRPr="00AA24D3">
        <w:t xml:space="preserve">is essential for </w:t>
      </w:r>
      <w:r w:rsidR="00F17F48" w:rsidRPr="00AA24D3">
        <w:t xml:space="preserve">skeletal homeostasis. </w:t>
      </w:r>
      <w:r w:rsidR="00252B25" w:rsidRPr="00AA24D3">
        <w:t>O</w:t>
      </w:r>
      <w:r w:rsidR="00EF0C38" w:rsidRPr="00AA24D3">
        <w:t>steoblast dysfunction leads to impaired bone formation and results in various diseases, including osteoporosis</w:t>
      </w:r>
      <w:r w:rsidR="004626A1" w:rsidRPr="00AA24D3">
        <w:fldChar w:fldCharType="begin" w:fldLock="1"/>
      </w:r>
      <w:r w:rsidR="00294C4A" w:rsidRPr="00AA24D3">
        <w:instrText>ADDIN CSL_CITATION {"citationItems":[{"id":"ITEM-1","itemData":{"DOI":"10.1073/PNAS.95.23.13361","ISSN":"0027-8424","PMID":"9811806","abstract":"The functions of bone(s) are ( i ) mechanical support of soft tissues, ( ii ) levers for muscle action, ( iii ) protection of the central nervous system, ( iv ) release of calcium and other ions for the maintenance of a constant ionic environment in the extracellular fluid, and ( v ) housing and support of hemopoiesis. The structure and amount of bone, both at the macroscopic and microscopic level, are determined by the genetic blueprint and by regulatory factors that help carry out bone functions. Genetic information is responsible for the highly conserved anatomical shape of bones and most likely for restoring that shape after fracture. To accomplish its functions, bone undergoes continuous destruction, called resorption, carried out by osteoclasts, and formation by osteoblasts. In the adult skeleton, the two processes are in balance, maintaining a constant, homeostatically controlled amount of bone. This fact, as well as the histological observation that osteoclastic bone resorption is followed by osteoblastic bone formation (1), led to the concept that the two processes are mechanistically “coupled” and to the search for “coupling factors.” No single factor has been proven to link the two processes. Existing evidence suggests that multiple factors probably are involved in the maintenance of bone homeostasis. Growth factors found in bone (2), such as IGFs or TGFβs, were proposed to be released during resorption and initiate local bone formation (3, 4). Factors deposited on the bone surface by osteoclasts at the end of the resorption phase were proposed to initiate the bone formation that follows (5). Humoral factors, such as parathyroid hormone and prostaglandin …","author":[{"dropping-particle":"","family":"Rodan","given":"G. A.","non-dropping-particle":"","parse-names":false,"suffix":""}],"container-title":"Proceedings of the National Academy of Sciences","id":"ITEM-1","issue":"23","issued":{"date-parts":[["1998","11","10"]]},"page":"13361-13362","publisher":"National Academy of Sciences","title":"Bone homeostasis","type":"article-journal","volume":"95"},"uris":["http://www.mendeley.com/documents/?uuid=78a57e13-6edf-3b97-9af6-d26619992ef5"]},{"id":"ITEM-2","itemData":{"DOI":"10.1007/s00018-010-0479-3","ISSN":"1420682X","PMID":"20694737","abstract":"Cellular communication between the bone component cells osteoblasts, osteocytes and (pre-)osteoclasts is essential for bone remodeling which maintains bone integrity. As in the remodeling of other organs, cell death is a trigger for remodeling of bone. During the systematic process of bone remodeling, direct or indirect cell-cell communication is indispensable. Thus, osteoblasts induce migration and differentiation of preosteoclasts, which is followed by bone resorption (by mature multinuclear osteoclasts). After completion of bone resorption, apoptosis of mature osteoclasts and differentiation of osteoblasts are initiated. At this time, the osteoblasts do not support osteoclast differentiation but do support bone formation. Finally, osteoblasts differentiate to osteocytes in bone or to bone lining cells on bone surfaces. In this way, old bone areas are regenerated as new bone. In this review the role of cell-cell communication in bone remodeling is discussed. © Springer Basel AG 2010.","author":[{"dropping-particle":"","family":"Nakahama","given":"Ken Ichi","non-dropping-particle":"","parse-names":false,"suffix":""}],"container-title":"Cellular and Molecular Life Sciences","id":"ITEM-2","issue":"23","issued":{"date-parts":[["2010","12"]]},"page":"4001-4009","publisher":"Cell Mol Life Sci","title":"Cellular communications in bone homeostasis and repair","type":"article-journal","volume":"67"},"uris":["http://www.mendeley.com/documents/?uuid=41970756-2b46-3a73-939d-302fd01a71fe"]},{"id":"ITEM-3","itemData":{"DOI":"10.3390/cells9092073","ISSN":"20734409","PMID":"32927921","abstract":"Bone remodeling is tightly regulated by a cross-talk between bone-forming osteoblasts and bone-resorbing osteoclasts. Osteoblasts and osteoclasts communicate with each other to regulate cellular behavior, survival and differentiation through direct cell-to-cell contact or through secretory proteins. A direct interaction between osteoblasts and osteoclasts allows bidirectional transduction of activation signals through EFNB2-EPHB4, FASL-FAS or SEMA3A-NRP1, regulating differentiation and survival of osteoblasts or osteoclasts. Alternatively, osteoblasts produce a range of different secretory molecules, including M-CSF, RANKL/OPG, WNT5A, and WNT16, that promote or suppress osteoclast differentiation and development. Osteoclasts also influence osteoblast formation and differentiation through secretion of soluble factors, including S1P, SEMA4D, CTHRC1 and C3. Here we review the current knowledge regarding membrane bound- and soluble factors governing cross-talk between osteoblasts and osteoclasts.","author":[{"dropping-particle":"","family":"Kim","given":"Jung Min","non-dropping-particle":"","parse-names":false,"suffix":""},{"dropping-particle":"","family":"Lin","given":"Chujiao","non-dropping-particle":"","parse-names":false,"suffix":""},{"dropping-particle":"","family":"Stavre","given":"Zheni","non-dropping-particle":"","parse-names":false,"suffix":""},{"dropping-particle":"","family":"Greenblatt","given":"Matthew B.","non-dropping-particle":"","parse-names":false,"suffix":""},{"dropping-particle":"","family":"Shim","given":"Jae Hyuck","non-dropping-particle":"","parse-names":false,"suffix":""}],"container-title":"Cells","id":"ITEM-3","issue":"9","issued":{"date-parts":[["2020","9","10"]]},"publisher":"Cells","title":"Osteoblast-Osteoclast Communication and Bone Homeostasis","type":"article-journal","volume":"9"},"uris":["http://www.mendeley.com/documents/?uuid=62c6223c-696a-30f3-b165-c631a941431c"]}],"mendeley":{"formattedCitation":"&lt;sup&gt;1–3&lt;/sup&gt;","plainTextFormattedCitation":"1–3","previouslyFormattedCitation":"&lt;sup&gt;1–3&lt;/sup&gt;"},"properties":{"noteIndex":0},"schema":"https://github.com/citation-style-language/schema/raw/master/csl-citation.json"}</w:instrText>
      </w:r>
      <w:r w:rsidR="004626A1" w:rsidRPr="00AA24D3">
        <w:fldChar w:fldCharType="separate"/>
      </w:r>
      <w:r w:rsidR="004626A1" w:rsidRPr="00AA24D3">
        <w:rPr>
          <w:noProof/>
          <w:vertAlign w:val="superscript"/>
        </w:rPr>
        <w:t>1–3</w:t>
      </w:r>
      <w:r w:rsidR="004626A1" w:rsidRPr="00AA24D3">
        <w:fldChar w:fldCharType="end"/>
      </w:r>
      <w:r w:rsidR="00EF25CB" w:rsidRPr="00AA24D3">
        <w:t xml:space="preserve">. </w:t>
      </w:r>
      <w:bookmarkStart w:id="2" w:name="_Hlk88565479"/>
      <w:r w:rsidR="00567856" w:rsidRPr="00AA24D3">
        <w:rPr>
          <w:i/>
          <w:iCs/>
        </w:rPr>
        <w:t>Ex vivo/in vitro</w:t>
      </w:r>
      <w:r w:rsidR="00567856" w:rsidRPr="00AA24D3">
        <w:t xml:space="preserve"> d</w:t>
      </w:r>
      <w:r w:rsidR="00EF0C38" w:rsidRPr="00AA24D3">
        <w:t xml:space="preserve">ifferentiation of </w:t>
      </w:r>
      <w:r w:rsidR="00F17F48" w:rsidRPr="00AA24D3">
        <w:t>b</w:t>
      </w:r>
      <w:r w:rsidR="00EF0C38" w:rsidRPr="00AA24D3">
        <w:t>one marrow stromal stem cells</w:t>
      </w:r>
      <w:r w:rsidR="00F17F48" w:rsidRPr="00AA24D3">
        <w:t xml:space="preserve"> </w:t>
      </w:r>
      <w:r w:rsidR="00240731" w:rsidRPr="00AA24D3">
        <w:t>(BMSCs)</w:t>
      </w:r>
      <w:r w:rsidR="00EF0C38" w:rsidRPr="00AA24D3">
        <w:t xml:space="preserve"> </w:t>
      </w:r>
      <w:r w:rsidR="00567856" w:rsidRPr="00AA24D3">
        <w:t xml:space="preserve">to </w:t>
      </w:r>
      <w:r w:rsidR="00EF0C38" w:rsidRPr="00AA24D3">
        <w:t xml:space="preserve">osteoblast precursors </w:t>
      </w:r>
      <w:r w:rsidR="00F17F48" w:rsidRPr="00AA24D3">
        <w:t>and</w:t>
      </w:r>
      <w:r w:rsidR="00EF0C38" w:rsidRPr="00AA24D3">
        <w:t xml:space="preserve"> mature osteoblasts </w:t>
      </w:r>
      <w:r w:rsidR="00567856" w:rsidRPr="00AA24D3">
        <w:t xml:space="preserve">results in the formation and deposition of </w:t>
      </w:r>
      <w:r w:rsidR="00252B25" w:rsidRPr="00AA24D3">
        <w:t xml:space="preserve">the </w:t>
      </w:r>
      <w:r w:rsidR="00567856" w:rsidRPr="00AA24D3">
        <w:t xml:space="preserve">mineralized bone matrix </w:t>
      </w:r>
      <w:r w:rsidR="00B16045" w:rsidRPr="00AA24D3">
        <w:t xml:space="preserve">in </w:t>
      </w:r>
      <w:r w:rsidR="00567856" w:rsidRPr="00AA24D3">
        <w:t>the culture vessel over time</w:t>
      </w:r>
      <w:bookmarkEnd w:id="2"/>
      <w:r w:rsidR="004626A1" w:rsidRPr="00AA24D3">
        <w:fldChar w:fldCharType="begin" w:fldLock="1"/>
      </w:r>
      <w:r w:rsidR="00294C4A" w:rsidRPr="00AA24D3">
        <w:instrText>ADDIN CSL_CITATION {"citationItems":[{"id":"ITEM-1","itemData":{"DOI":"10.1038/cdd.2017.144","ISSN":"14765403","PMID":"28914882","abstract":"Recent studies have revealed robust metabolic changes during cell differentiation. Mitochondria, the organelles where many vital metabolic reactions occur, may play an important role. Here, we report the involvement of SIRT3-regulated mitochondrial stress in osteoblast differentiation and bone formation. In both the osteoblast cell line MC3T3-E1 and primary calvarial osteoblasts, robust mitochondrial biogenesis and supercomplex formation were observed during differentiation, accompanied by increased ATP production and decreased mitochondrial stress. Inhibition of mitochondrial activity or an increase in mitochondrial superoxide production significantly suppressed osteoblast differentiation. During differentiation, SOD2 was specifically induced to eliminate excess mitochondrial superoxide and protein oxidation, whereas SIRT3 expression was increased to enhance SOD2 activity through deacetylation of K68. Both SOD2 and SIRT3 knockdown resulted in suppression of differentiation. Meanwhile, mice deficient in SIRT3 exhibited obvious osteopenia accompanied by osteoblast dysfunction, whereas overexpression of SOD2 or SIRT3 improved the differentiation capability of primary osteoblasts derived from SIRT3-deficient mice. These results suggest that SIRT3/SOD2 is required for regulating mitochondrial stress and plays a vital role in osteoblast differentiation and bone formation.","author":[{"dropping-particle":"","family":"Gao","given":"Jing","non-dropping-particle":"","parse-names":false,"suffix":""},{"dropping-particle":"","family":"Feng","given":"Zhihui","non-dropping-particle":"","parse-names":false,"suffix":""},{"dropping-particle":"","family":"Wang","given":"Xueqiang","non-dropping-particle":"","parse-names":false,"suffix":""},{"dropping-particle":"","family":"Zeng","given":"Mengqi","non-dropping-particle":"","parse-names":false,"suffix":""},{"dropping-particle":"","family":"Liu","given":"Jing","non-dropping-particle":"","parse-names":false,"suffix":""},{"dropping-particle":"","family":"Han","given":"Shujun","non-dropping-particle":"","parse-names":false,"suffix":""},{"dropping-particle":"","family":"Xu","given":"Jie","non-dropping-particle":"","parse-names":false,"suffix":""},{"dropping-particle":"","family":"Chen","given":"Lei","non-dropping-particle":"","parse-names":false,"suffix":""},{"dropping-particle":"","family":"Cao","given":"Ke","non-dropping-particle":"","parse-names":false,"suffix":""},{"dropping-particle":"","family":"Long","given":"Jiangang","non-dropping-particle":"","parse-names":false,"suffix":""},{"dropping-particle":"","family":"Li","given":"Zongfang","non-dropping-particle":"","parse-names":false,"suffix":""},{"dropping-particle":"","family":"Shen","given":"Weili","non-dropping-particle":"","parse-names":false,"suffix":""},{"dropping-particle":"","family":"Liu","given":"Jiankang","non-dropping-particle":"","parse-names":false,"suffix":""}],"container-title":"Cell Death and Differentiation","id":"ITEM-1","issue":"2","issued":{"date-parts":[["2018","2","1"]]},"page":"229-240","publisher":"Cell Death Differ","title":"SIRT3/SOD2 maintains osteoblast differentiation and bone formation by regulating mitochondrial stress","type":"article-journal","volume":"25"},"uris":["http://www.mendeley.com/documents/?uuid=e2ec1c19-e09b-37d5-ad24-0134b33ca86e"]},{"id":"ITEM-2","itemData":{"DOI":"10.1002/ar.1092240220","ISSN":"10970185","PMID":"2549811","abstract":"The osteoclast is a multinucleated cell that is actively engaged in the synthesis of lysosomal enzymes, their vectorial transport toward the apical membrane, and the secretion of these enzymes at its apical pole. These secreted enzymes are targeted to the apical ruffled‐border membrane by mechanisms that involve cation‐independent mannose‐6‐phosphate receptors. These receptors bind to an enzyme‐linked mannose‐6‐phosphate recognition marker in the Golgi complex, and the enzyme‐ligand‐receptor complex, carried within small coated transport vesicles, dissociates upon reaching the low pH established in the bone‐resorbing compartment by the osteoclast. The apical bone‐resorbing compartment is sealed off by the attachment of the osteoclast to the calcified matrix and is actively acidified by the osteoclast. The plasma membrane of the cell is divided into distinct domains. The apical membrane at the ruffled‐border shares common antigenic determinants with lysosomal and endosomal membranes, including a 100 kD protein and proton pumps that may be involved in the acidification of the extracellular resorbing compartment. The basolateral membrane is highly enriched in sodium pumps. Finally, the cytoplasm of the osteoclast is highly enriched in carbonic anhydrase, and bicarbonate‐chloride exchange appears to regulate the intracellular pH of this cell. These observations are consistent with a scheme in which, in the low pH environment of the bone‐resorbing lacuna produced by the osteoclast, the mineral phase dissolves, exposing the organic matrix to the action of the secreted enzymes. The activity of these enzymes is in turn presumably favored by the acidic milieu. All constituents of the matrix, whether mineral or organic, then would be reduced to their elemental forms (ions and amino acids) extracellularly. No phagocytic events would be required for the complete degradation of the bone matrix. According to these concepts, therefore, membrane iontransport mechanisms become the most important molecular aspect of bone resorption. Copyright © 1989 Wiley‐Liss, Inc.","author":[{"dropping-particle":"","family":"Baron","given":"Roland","non-dropping-particle":"","parse-names":false,"suffix":""}],"container-title":"The Anatomical Record","id":"ITEM-2","issue":"2","issued":{"date-parts":[["1989"]]},"page":"317-324","publisher":"Anat Rec","title":"Molecular mechanisms of bone resorption by the osteoclast","type":"article-journal","volume":"224"},"uris":["http://www.mendeley.com/documents/?uuid=99c9d7ed-145b-34a0-8bd4-0e908117c4a2"]},{"id":"ITEM-3","itemData":{"DOI":"10.1007/978-1-0716-1028-2_27","ISSN":"19406029","PMID":"33197031","abstract":"Measuring cellular metabolism accurately is necessary to understand bioenergetic pathways in cells. The major ATP generating pathways in cells are oxidative phosphorylation and glycolysis. We have recently analyzed and published bioenergetic pathways active in osteoblasts undergoing differentiation in response to various substrates. Based on those studies, here we provide step-by-step procedures to isolate, culture, plate and run a seahorse assay for measuring cellular metabolism. Furthermore, we provide an example of oxygen consumption and extracellular acidification rate traces obtained from MC3T3E1-C4 cells using the XFe96 seahorse analyzer. One of the limitations of studying bioenergetics in bone cells is the current lack of techniques to analyze bioenergetics in vivo in live animals. There are currently techniques that have been developed using third harmonic generation to study osteocytes using three-photon microscopy along with metabolic changes using endogenous two-photon excited fluorescence. However, these sophisticated techniques are not widely available. The relative ease with which one can obtain data pertaining to metabolic parameters using the XF technology makes it a very attractive technique to utilize on a monolayer of adherent cells.","author":[{"dropping-particle":"","family":"Tian","given":"Li","non-dropping-particle":"","parse-names":false,"suffix":""},{"dropping-particle":"","family":"Rosen","given":"Clifford J.","non-dropping-particle":"","parse-names":false,"suffix":""},{"dropping-particle":"","family":"Guntur","given":"Anyonya R.","non-dropping-particle":"","parse-names":false,"suffix":""}],"container-title":"Methods in Molecular Biology","id":"ITEM-3","issued":{"date-parts":[["2021"]]},"page":"437-447","publisher":"Methods Mol Biol","title":"Mitochondrial Function and Metabolism of Cultured Skeletal Cells","type":"article-journal","volume":"2230"},"uris":["http://www.mendeley.com/documents/?uuid=dc968bfe-37a1-3539-a752-bbe16fd8dfa1"]}],"mendeley":{"formattedCitation":"&lt;sup&gt;4–6&lt;/sup&gt;","plainTextFormattedCitation":"4–6","previouslyFormattedCitation":"&lt;sup&gt;4–6&lt;/sup&gt;"},"properties":{"noteIndex":0},"schema":"https://github.com/citation-style-language/schema/raw/master/csl-citation.json"}</w:instrText>
      </w:r>
      <w:r w:rsidR="004626A1" w:rsidRPr="00AA24D3">
        <w:fldChar w:fldCharType="separate"/>
      </w:r>
      <w:r w:rsidR="004626A1" w:rsidRPr="00AA24D3">
        <w:rPr>
          <w:noProof/>
          <w:vertAlign w:val="superscript"/>
        </w:rPr>
        <w:t>4–6</w:t>
      </w:r>
      <w:r w:rsidR="004626A1" w:rsidRPr="00AA24D3">
        <w:fldChar w:fldCharType="end"/>
      </w:r>
      <w:r w:rsidR="00EF0C38" w:rsidRPr="00AA24D3">
        <w:t xml:space="preserve">. </w:t>
      </w:r>
      <w:r w:rsidR="00567856" w:rsidRPr="00AA24D3">
        <w:rPr>
          <w:rFonts w:eastAsia="Times New Roman"/>
          <w:shd w:val="clear" w:color="auto" w:fill="FFFFFF"/>
        </w:rPr>
        <w:t>This b</w:t>
      </w:r>
      <w:r w:rsidR="00240731" w:rsidRPr="00AA24D3">
        <w:rPr>
          <w:rFonts w:eastAsia="Times New Roman"/>
          <w:shd w:val="clear" w:color="auto" w:fill="FFFFFF"/>
        </w:rPr>
        <w:t xml:space="preserve">one formation by the </w:t>
      </w:r>
      <w:r w:rsidR="00053C20" w:rsidRPr="00AA24D3">
        <w:rPr>
          <w:rFonts w:eastAsia="Times New Roman"/>
          <w:shd w:val="clear" w:color="auto" w:fill="FFFFFF"/>
        </w:rPr>
        <w:t>o</w:t>
      </w:r>
      <w:r w:rsidR="00252B25" w:rsidRPr="00AA24D3">
        <w:rPr>
          <w:rFonts w:eastAsia="Times New Roman"/>
          <w:shd w:val="clear" w:color="auto" w:fill="FFFFFF"/>
        </w:rPr>
        <w:t xml:space="preserve">steoblast </w:t>
      </w:r>
      <w:r w:rsidR="00240731" w:rsidRPr="00AA24D3">
        <w:rPr>
          <w:rFonts w:eastAsia="Times New Roman"/>
          <w:shd w:val="clear" w:color="auto" w:fill="FFFFFF"/>
        </w:rPr>
        <w:t>requires a significant amount of cellular energy. Specifically, collagen synthesis and secretion ha</w:t>
      </w:r>
      <w:r w:rsidR="00BB320E" w:rsidRPr="00AA24D3">
        <w:rPr>
          <w:rFonts w:eastAsia="Times New Roman"/>
          <w:shd w:val="clear" w:color="auto" w:fill="FFFFFF"/>
        </w:rPr>
        <w:t>ve</w:t>
      </w:r>
      <w:r w:rsidR="00240731" w:rsidRPr="00AA24D3">
        <w:rPr>
          <w:rFonts w:eastAsia="Times New Roman"/>
          <w:shd w:val="clear" w:color="auto" w:fill="FFFFFF"/>
        </w:rPr>
        <w:t xml:space="preserve"> been shown to rely heavily on cellular ATP:</w:t>
      </w:r>
      <w:r w:rsidR="00BB320E" w:rsidRPr="00AA24D3">
        <w:rPr>
          <w:rFonts w:eastAsia="Times New Roman"/>
          <w:shd w:val="clear" w:color="auto" w:fill="FFFFFF"/>
        </w:rPr>
        <w:t xml:space="preserve"> </w:t>
      </w:r>
      <w:r w:rsidR="00240731" w:rsidRPr="00AA24D3">
        <w:rPr>
          <w:rFonts w:eastAsia="Times New Roman"/>
          <w:shd w:val="clear" w:color="auto" w:fill="FFFFFF"/>
        </w:rPr>
        <w:t>ADP ratios</w:t>
      </w:r>
      <w:r w:rsidR="000D5FFF" w:rsidRPr="00AA24D3">
        <w:rPr>
          <w:rFonts w:eastAsia="Times New Roman"/>
          <w:shd w:val="clear" w:color="auto" w:fill="FFFFFF"/>
        </w:rPr>
        <w:t>, and presumably</w:t>
      </w:r>
      <w:r w:rsidR="00754782" w:rsidRPr="00AA24D3">
        <w:rPr>
          <w:rFonts w:eastAsia="Times New Roman"/>
          <w:shd w:val="clear" w:color="auto" w:fill="FFFFFF"/>
        </w:rPr>
        <w:t>,</w:t>
      </w:r>
      <w:r w:rsidR="000D5FFF" w:rsidRPr="00AA24D3">
        <w:rPr>
          <w:rFonts w:eastAsia="Times New Roman"/>
          <w:shd w:val="clear" w:color="auto" w:fill="FFFFFF"/>
        </w:rPr>
        <w:t xml:space="preserve"> mineralized vesicle trafficking and secretion require additional ATP</w:t>
      </w:r>
      <w:r w:rsidR="004626A1" w:rsidRPr="00AA24D3">
        <w:rPr>
          <w:rFonts w:eastAsia="Times New Roman"/>
          <w:shd w:val="clear" w:color="auto" w:fill="FFFFFF"/>
        </w:rPr>
        <w:fldChar w:fldCharType="begin" w:fldLock="1"/>
      </w:r>
      <w:r w:rsidR="00294C4A" w:rsidRPr="00AA24D3">
        <w:rPr>
          <w:rFonts w:eastAsia="Times New Roman"/>
          <w:shd w:val="clear" w:color="auto" w:fill="FFFFFF"/>
        </w:rPr>
        <w:instrText>ADDIN CSL_CITATION {"citationItems":[{"id":"ITEM-1","itemData":{"DOI":"10.1091/mbc.E17-01-0041","ISSN":"19394586","PMID":"29118073","abstract":"Cell migration in a three-dimensional matrix requires that cells either remodel the surrounding matrix fibers and/or squeeze between the fibers to move. Matrix degradation, matrix remodeling, and changes in cell shape each require cells to expend energy. While significant research has been performed to understand the cellular and molecular mechanisms guiding metastatic migration, less is known about cellular energy regulation and utilization during three-dimensional cancer cell migration. Here we introduce the use of the genetically encoded fluorescent biomarkers, PercevalHR and pHRed, to quantitatively assess ATP, ADP, and pH levels in MDA-MB-231 metastatic cancer cells as a function of the local collagen microenvironment. We find that the use of the probe is an effective tool for exploring the thermodynamics of cancer cell migration and invasion. Specifically, we find that the ATP:ADP ratio increases in cells in denser matrices, where migration is impaired, and it decreases in cells in aligned collagen matrices, where migration is facilitated. When migration is pharmacologically inhibited, the ATP:ADP ratio decreases. Together, our data indicate that matrix architecture alters cellular energetics and that intracellular ATP:ADP ratio is related to the ability of cancer cells to effectively migrate.","author":[{"dropping-particle":"","family":"Zanotelli","given":"Matthew R.","non-dropping-particle":"","parse-names":false,"suffix":""},{"dropping-particle":"","family":"Goldblatt","given":"Zachary E.","non-dropping-particle":"","parse-names":false,"suffix":""},{"dropping-particle":"","family":"Miller","given":"Joseph P.","non-dropping-particle":"","parse-names":false,"suffix":""},{"dropping-particle":"","family":"Bordeleau","given":"Francois","non-dropping-particle":"","parse-names":false,"suffix":""},{"dropping-particle":"","family":"Li","given":"Jiahe","non-dropping-particle":"","parse-names":false,"suffix":""},{"dropping-particle":"","family":"VanderBurgh","given":"Jacob A.","non-dropping-particle":"","parse-names":false,"suffix":""},{"dropping-particle":"","family":"Lampi","given":"Marsha C.","non-dropping-particle":"","parse-names":false,"suffix":""},{"dropping-particle":"","family":"King","given":"Michael R.","non-dropping-particle":"","parse-names":false,"suffix":""},{"dropping-particle":"","family":"Reinhart-King","given":"Cynthia A.","non-dropping-particle":"","parse-names":false,"suffix":""}],"container-title":"Molecular Biology of the Cell","id":"ITEM-1","issue":"1","issued":{"date-parts":[["2018","1","1"]]},"page":"1-9","publisher":"Mol Biol Cell","title":"Regulation of ATP utilization during metastatic cell migration by collagen architecture","type":"article-journal","volume":"29"},"uris":["http://www.mendeley.com/documents/?uuid=e2ff6a79-f78c-395c-a81d-7bdb39889718"]},{"id":"ITEM-2","itemData":{"DOI":"10.1007/S00441-014-2042-2","abstract":"We have recently found a high accumulation of extracellular adenosine triphosphate (ATP) in the center of healthy porcine intervertebral discs (IVD). Since ATP is a powerful extracellular signaling molecule, extracellular ATP accumulation might regulate biological activities in the IVD. The objective of this study was therefore to investigate the effects of extracellular ATP on the extracellular matrix (ECM) biosynthesis of porcine IVD cells isolated from two distinct anatomical regions: the annulus fibrosus (AF) and nucleus pulposus (NP). ATP treatment significantly promotes ECM deposition and corresponding gene expression (aggrecan and type II collagen) by both cell types in three-dimensional agarose culture. A significant increase in ECM accumulation has been found in AF cells at a lower ATP treatment level (20 μM) compared with NP cells (100 μM), indicating that AF cells are more sensitive to extracellular ATP than NP cells. NP cells also exhibit higher ECM accumulation and intracellular ATP than AF cells under control and treatment conditions, suggesting that NP cells are intrinsically more metabolically active. Moreover, ATP treatment also augments the intracellular ATP level in NP and AF cells. Our findings suggest that extracellular ATP not only promotes ECM biosynthesis via a molecular pathway, but also increases energy supply to fuel that process.","author":[{"dropping-particle":"","family":"Gonzales","given":"Silvia","non-dropping-particle":"","parse-names":false,"suffix":""},{"dropping-particle":"","family":"Wang","given":"Chong","non-dropping-particle":"","parse-names":false,"suffix":""},{"dropping-particle":"","family":"Levene","given":"Howard","non-dropping-particle":"","parse-names":false,"suffix":""},{"dropping-particle":"","family":"Cheung","given":"Herman S.","non-dropping-particle":"","parse-names":false,"suffix":""},{"dropping-particle":"","family":"Huang","given":"Chun Yuh Charles","non-dropping-particle":"","parse-names":false,"suffix":""}],"container-title":"Cell and Tissue Research","id":"ITEM-2","issue":"2","issued":{"date-parts":[["2015","2","1"]]},"page":"635-642","publisher":"Springer Verlag","title":"ATP promotes extracellular matrix biosynthesis of intervertebral disc cells","type":"article-journal","volume":"359"},"uris":["http://www.mendeley.com/documents/?uuid=dcb290a6-06f4-3962-a8f5-b834b498d61b"]},{"id":"ITEM-3","itemData":{"DOI":"10.1016/S0021-9258(19)41245-3","ISSN":"0021-9258","abstract":"Cultures of chick tendon fibroblasts were capable of normal ATP production and protein synthetic activity even though the normally high rate of glycolysis was markedly reduced by substitution of pyruvate for glucose. Iodoacetate and 2 deoxyglucose reduced ATP levels and protein synthesis even in the presence of pyruvate. Under these conditions, both inhibitors were shown to have effects on the energy metabolism of cells which were apparently unrelated to an inhibition of glycolysis. Selective inhibition of either glycolysis, by incubation in glucose free medium, or of oxidative phosphorylation, by incubation with an uncoupler, was shown to have little effect on cellular ATP levels or intracellular transport and secretion of collagen. However, inhibition of both glycolysis and oxidative phosphorylation resulted in decreased cellular ATP levels and an inhibition of collagen secretion. This effect was not due to a requirement for continued protein synthesis, since inhibition of protein synthesis with cycloheximide or puromycin had little effect on collagen secretion. The ATP requirement for intracellular transport and secretion is discussed in relation to the secretory pathway for collagen.","author":[{"dropping-particle":"","family":"Kruse","given":"N. J.","non-dropping-particle":"","parse-names":false,"suffix":""},{"dropping-particle":"","family":"Bornstein","given":"P.","non-dropping-particle":"","parse-names":false,"suffix":""}],"container-title":"Journal of Biological Chemistry","id":"ITEM-3","issue":"13","issued":{"date-parts":[["1975","7","10"]]},"page":"4841-4847","publisher":"Elsevier","title":"The metabolic requirements for transcellular movement and secretion of collagen.","type":"article-journal","volume":"250"},"uris":["http://www.mendeley.com/documents/?uuid=eeb4debd-f6d9-385b-a731-805fb6f007f2"]},{"id":"ITEM-4","itemData":{"DOI":"10.1080/21623945.2017.1356505","ISSN":"2162397X","PMID":"28792783","abstract":"Bone formation is an osteoblast-specific process characterized by high energy demands due to the secretion of matrix proteins and mineralization vesicles. While glucose has been reported as the principle fuel source for osteoblasts, recent evidence supports the tenet that osteoblasts can utilize fatty acids as well. Although the ability to accumulate lipid droplets has been demonstrated in many cell types, there has been little evidence that osteoblasts possess this characteristic. The current study provides evidence that osteoblastogenesis is associated with lipid droplet accumulation capable of supplying energy substrates (fatty acids) required for the differentiation process. Understanding the role of fatty acids in metabolic programming of the osteoblast may lead to novel approaches to increase bone formation and ultimately bone mass.","author":[{"dropping-particle":"","family":"Rendina-Ruedy","given":"Elizabeth","non-dropping-particle":"","parse-names":false,"suffix":""},{"dropping-particle":"","family":"Guntur","given":"Anyonya R.","non-dropping-particle":"","parse-names":false,"suffix":""},{"dropping-particle":"","family":"Rosen","given":"Clifford J.","non-dropping-particle":"","parse-names":false,"suffix":""}],"container-title":"Adipocyte","id":"ITEM-4","issue":"3","issued":{"date-parts":[["2017"]]},"page":"250-258","publisher":"Taylor &amp; Francis","title":"Intracellular lipid droplets support osteoblast function","type":"article-journal","volume":"6"},"uris":["http://www.mendeley.com/documents/?uuid=bb75f5d8-4cad-4095-8686-2919147d4d44"]},{"id":"ITEM-5","itemData":{"DOI":"10.1016/j.cmet.2021.01.001","ISSN":"19327420","PMID":"33513366","abstract":"Nasa Sinnott-Armstrong and colleagues identify a pleiotropic risk locus at 3q21 that is associated with type 2 diabetes (T2D) and greater bone mineral density (BMD) and its associated cell-autonomous mechanisms in adipocytes and osteoblasts. Together, these findings provide a possible explanation for the perplexing finding that individuals with T2D have higher BMD but greater susceptibility to bone fracture.","author":[{"dropping-particle":"","family":"Sinnott-Armstrong","given":"Nasa","non-dropping-particle":"","parse-names":false,"suffix":""},{"dropping-particle":"","family":"Sousa","given":"Isabel S.","non-dropping-particle":"","parse-names":false,"suffix":""},{"dropping-particle":"","family":"Laber","given":"Samantha","non-dropping-particle":"","parse-names":false,"suffix":""},{"dropping-particle":"","family":"Rendina-Ruedy","given":"Elizabeth","non-dropping-particle":"","parse-names":false,"suffix":""},{"dropping-particle":"","family":"Nitter Dankel","given":"Simon E.","non-dropping-particle":"","parse-names":false,"suffix":""},{"dropping-particle":"","family":"Ferreira","given":"Teresa","non-dropping-particle":"","parse-names":false,"suffix":""},{"dropping-particle":"","family":"Mellgren","given":"Gunnar","non-dropping-particle":"","parse-names":false,"suffix":""},{"dropping-particle":"","family":"Karasik","given":"David","non-dropping-particle":"","parse-names":false,"suffix":""},{"dropping-particle":"","family":"Rivas","given":"Manuel","non-dropping-particle":"","parse-names":false,"suffix":""},{"dropping-particle":"","family":"Pritchard","given":"Jonathan","non-dropping-particle":"","parse-names":false,"suffix":""},{"dropping-particle":"","family":"Guntur","given":"Anyonya R.","non-dropping-particle":"","parse-names":false,"suffix":""},{"dropping-particle":"","family":"Cox","given":"Roger D.","non-dropping-particle":"","parse-names":false,"suffix":""},{"dropping-particle":"","family":"Lindgren","given":"Cecilia M.","non-dropping-particle":"","parse-names":false,"suffix":""},{"dropping-particle":"","family":"Hauner","given":"Hans","non-dropping-particle":"","parse-names":false,"suffix":""},{"dropping-particle":"","family":"Sallari","given":"Richard","non-dropping-particle":"","parse-names":false,"suffix":""},{"dropping-particle":"","family":"Rosen","given":"Clifford J.","non-dropping-particle":"","parse-names":false,"suffix":""},{"dropping-particle":"","family":"Hsu","given":"Yi Hsiang","non-dropping-particle":"","parse-names":false,"suffix":""},{"dropping-particle":"","family":"Lander","given":"Eric S.","non-dropping-particle":"","parse-names":false,"suffix":""},{"dropping-particle":"","family":"Kiel","given":"Douglas P.","non-dropping-particle":"","parse-names":false,"suffix":""},{"dropping-particle":"","family":"Claussnitzer","given":"Melina","non-dropping-particle":"","parse-names":false,"suffix":""}],"container-title":"Cell Metabolism","id":"ITEM-5","issue":"3","issued":{"date-parts":[["2021","3","2"]]},"page":"615-628.e13","publisher":"Cell Metab","title":"A regulatory variant at 3q21.1 confers an increased pleiotropic risk for hyperglycemia and altered bone mineral density","type":"article-journal","volume":"33"},"uris":["http://www.mendeley.com/documents/?uuid=3bfcf63a-e9d1-377f-be43-8e5bf1064e89"]}],"mendeley":{"formattedCitation":"&lt;sup&gt;7–11&lt;/sup&gt;","plainTextFormattedCitation":"7–11","previouslyFormattedCitation":"&lt;sup&gt;7–11&lt;/sup&gt;"},"properties":{"noteIndex":0},"schema":"https://github.com/citation-style-language/schema/raw/master/csl-citation.json"}</w:instrText>
      </w:r>
      <w:r w:rsidR="004626A1" w:rsidRPr="00AA24D3">
        <w:rPr>
          <w:rFonts w:eastAsia="Times New Roman"/>
          <w:shd w:val="clear" w:color="auto" w:fill="FFFFFF"/>
        </w:rPr>
        <w:fldChar w:fldCharType="separate"/>
      </w:r>
      <w:r w:rsidR="004626A1" w:rsidRPr="00AA24D3">
        <w:rPr>
          <w:rFonts w:eastAsia="Times New Roman"/>
          <w:noProof/>
          <w:shd w:val="clear" w:color="auto" w:fill="FFFFFF"/>
          <w:vertAlign w:val="superscript"/>
        </w:rPr>
        <w:t>7–11</w:t>
      </w:r>
      <w:r w:rsidR="004626A1" w:rsidRPr="00AA24D3">
        <w:rPr>
          <w:rFonts w:eastAsia="Times New Roman"/>
          <w:shd w:val="clear" w:color="auto" w:fill="FFFFFF"/>
        </w:rPr>
        <w:fldChar w:fldCharType="end"/>
      </w:r>
      <w:r w:rsidR="000D5FFF" w:rsidRPr="00AA24D3">
        <w:rPr>
          <w:rFonts w:eastAsia="Times New Roman"/>
          <w:shd w:val="clear" w:color="auto" w:fill="FFFFFF"/>
        </w:rPr>
        <w:t xml:space="preserve">. </w:t>
      </w:r>
      <w:r w:rsidR="00252B25" w:rsidRPr="00AA24D3">
        <w:rPr>
          <w:rFonts w:eastAsia="Times New Roman"/>
          <w:shd w:val="clear" w:color="auto" w:fill="FFFFFF"/>
        </w:rPr>
        <w:t>Many researchers have demonstrated that</w:t>
      </w:r>
      <w:r w:rsidR="000D5FFF" w:rsidRPr="00AA24D3">
        <w:rPr>
          <w:rFonts w:eastAsia="Times New Roman"/>
          <w:shd w:val="clear" w:color="auto" w:fill="FFFFFF"/>
        </w:rPr>
        <w:t xml:space="preserve"> the process of </w:t>
      </w:r>
      <w:proofErr w:type="spellStart"/>
      <w:r w:rsidR="000D5FFF" w:rsidRPr="00AA24D3">
        <w:rPr>
          <w:rFonts w:eastAsia="Times New Roman"/>
          <w:shd w:val="clear" w:color="auto" w:fill="FFFFFF"/>
        </w:rPr>
        <w:t>osteoblastogenesis</w:t>
      </w:r>
      <w:proofErr w:type="spellEnd"/>
      <w:r w:rsidR="000D5FFF" w:rsidRPr="00AA24D3">
        <w:rPr>
          <w:rFonts w:eastAsia="Times New Roman"/>
          <w:shd w:val="clear" w:color="auto" w:fill="FFFFFF"/>
        </w:rPr>
        <w:t xml:space="preserve"> and osteoblast function requires</w:t>
      </w:r>
      <w:r w:rsidR="00F17F48" w:rsidRPr="00AA24D3">
        <w:rPr>
          <w:rFonts w:eastAsia="Times New Roman"/>
          <w:shd w:val="clear" w:color="auto" w:fill="FFFFFF"/>
        </w:rPr>
        <w:t xml:space="preserve"> </w:t>
      </w:r>
      <w:r w:rsidR="000D5FFF" w:rsidRPr="00AA24D3">
        <w:rPr>
          <w:rFonts w:eastAsia="Times New Roman"/>
          <w:shd w:val="clear" w:color="auto" w:fill="FFFFFF"/>
        </w:rPr>
        <w:t>an adequate supply of energy to meet the metabolic demand of bone formation</w:t>
      </w:r>
      <w:r w:rsidR="004626A1" w:rsidRPr="00AA24D3">
        <w:rPr>
          <w:rFonts w:eastAsia="Times New Roman"/>
          <w:shd w:val="clear" w:color="auto" w:fill="FFFFFF"/>
        </w:rPr>
        <w:fldChar w:fldCharType="begin" w:fldLock="1"/>
      </w:r>
      <w:r w:rsidR="00294C4A" w:rsidRPr="00AA24D3">
        <w:rPr>
          <w:rFonts w:eastAsia="Times New Roman"/>
          <w:shd w:val="clear" w:color="auto" w:fill="FFFFFF"/>
        </w:rPr>
        <w:instrText>ADDIN CSL_CITATION {"citationItems":[{"id":"ITEM-1","itemData":{"DOI":"10.1002/jbmr.2556","ISSN":"15234681","PMID":"25990470","abstract":"Teriparatide, a recombinant peptide corresponding to amino acids 1-34 of human parathyroid hormone (PTH), has been an effective bone anabolic drug for over a decade. However, the mechanism whereby PTH stimulates bone formation remains incompletely understood. Here we report that in cultures of osteoblast-lineage cells, PTH stimulates glucose consumption and lactate production in the presence of oxygen, a hallmark of aerobic glycolysis, also known as Warburg effect. Experiments with radioactively labeled glucose demonstrate that PTH suppresses glucose entry into the tricarboxylic acid cycle (TCA cycle). Mechanistically, the increase in aerobic glycolysis is secondary to insulin-like growth factor (Igf) signaling induced by PTH, whereas the metabolic effect of Igf is dependent on activation of mammalian target of rapamycin complex 2 (mTORC2). Importantly, pharmacological perturbation of glycolysis suppresses the bone anabolic effect of intermittent PTH in the mouse. Thus, stimulation of aerobic glycolysis via Igf signaling contributes to bone anabolism in response to PTH.","author":[{"dropping-particle":"","family":"Esen","given":"Emel","non-dropping-particle":"","parse-names":false,"suffix":""},{"dropping-particle":"","family":"Lee","given":"Seung Yon","non-dropping-particle":"","parse-names":false,"suffix":""},{"dropping-particle":"","family":"Wice","given":"Burton M.","non-dropping-particle":"","parse-names":false,"suffix":""},{"dropping-particle":"","family":"Long","given":"Fanxin","non-dropping-particle":"","parse-names":false,"suffix":""}],"container-title":"Journal of Bone and Mineral Research","id":"ITEM-1","issue":"11","issued":{"date-parts":[["2015","11","1"]]},"page":"1959-1968","publisher":"J Bone Miner Res","title":"PTH Promotes Bone Anabolism by Stimulating Aerobic Glycolysis via IGF Signaling","type":"article-journal","volume":"30"},"uris":["http://www.mendeley.com/documents/?uuid=0aa20d10-7013-3824-8fb2-266f8fc4900a"]},{"id":"ITEM-2","itemData":{"DOI":"10.1016/S0021-9258(18)69506-7","ISSN":"0021-9258","author":[{"dropping-particle":"","family":"Borle","given":"A. B.","non-dropping-particle":"","parse-names":false,"suffix":""},{"dropping-particle":"","family":"Nichols","given":"N.","non-dropping-particle":"","parse-names":false,"suffix":""},{"dropping-particle":"","family":"Nichols","given":"G.","non-dropping-particle":"","parse-names":false,"suffix":""}],"container-title":"Journal of Biological Chemistry","id":"ITEM-2","issue":"4","issued":{"date-parts":[["1960","4","1"]]},"page":"1206-1210","publisher":"Elsevier","title":"Metabolic Studies of Bone in Vitro: I. NORMAL BONE","type":"article-journal","volume":"235"},"uris":["http://www.mendeley.com/documents/?uuid=88a77c45-132f-3574-b6e6-2c738b15119f"]},{"id":"ITEM-3","itemData":{"DOI":"10.1016/S0021-9258(18)69507-9","ISSN":"0021-9258","author":[{"dropping-particle":"","family":"Borle","given":"A. B.","non-dropping-particle":"","parse-names":false,"suffix":""},{"dropping-particle":"","family":"Nichols","given":"N.","non-dropping-particle":"","parse-names":false,"suffix":""},{"dropping-particle":"","family":"Nichols","given":"G.","non-dropping-particle":"","parse-names":false,"suffix":""}],"container-title":"Journal of Biological Chemistry","id":"ITEM-3","issue":"4","issued":{"date-parts":[["1960","4","1"]]},"page":"1211-1214","publisher":"Elsevier","title":"Metabolic Studies of Bone in Vitro: II. THE METABOLIC PATTERNS OF ACCRETION AND RESORPTION","type":"article-journal","volume":"235"},"uris":["http://www.mendeley.com/documents/?uuid=0960e410-1237-39c6-b2cb-4772c010923d"]},{"id":"ITEM-4","itemData":{"DOI":"10.1042/bj2480129","ISSN":"02646021","PMID":"3325035","abstract":"Fatty acid oxidation and its hormonal modulation were investigated in cultured rat calvaria and in cultivated cell populations. The latter were obtained from calvaria of newborn rats by sequential time-dependent digestion with collagenase, yielding eight cell populations: the early ones containing mainly fibroblasts, the middle ones being osteoblast-like, and late ones osteoblast-osteocyte-like. In calvaria, fatty acid oxidation was increased by adding 0.1 mM- and 1.0 mM-palmitate to the medium, containing 10% (v/v) fetal-calf serum. No effect was found after parathyrin addition in vitro or when injected in vivo. All cell populations obtained by sequential digestion were found to oxidize palmitate, whereby the osteoblast-like cells showed a lower oxidation rate than the other populations. Both parathyrin and calcitonin had no effect on fatty acid oxidation. 1,25-Dihydroxycholecalciferol at 1-100 nM and 24,25-dihydroxycholecalciferol at 100 nM increased oxidation primarily in the population enriched with osteoblast-like cells. Insulin at 1.6 microM diminished it in the cell populations enriched with osteoblast-like cells and in the late bone-cell fraction. However, glucagon had no effect. The energy provided by fatty acid oxidation in this system is approx. 40-80% of glucose metabolism, suggesting that this event may be of importance in the energy metabolism of bone.","author":[{"dropping-particle":"","family":"Adamek","given":"G.","non-dropping-particle":"","parse-names":false,"suffix":""},{"dropping-particle":"","family":"Felix","given":"R.","non-dropping-particle":"","parse-names":false,"suffix":""},{"dropping-particle":"","family":"Guenther","given":"H. L.","non-dropping-particle":"","parse-names":false,"suffix":""},{"dropping-particle":"","family":"Fleisch","given":"H.","non-dropping-particle":"","parse-names":false,"suffix":""}],"container-title":"The Biochemical journal","id":"ITEM-4","issue":"1","issued":{"date-parts":[["1987"]]},"page":"129-137","publisher":"Portland Press Ltd","title":"Fatty acid oxidation in bone tissue and bone cells in culture. Characterization and hormonal influences.","type":"article-journal","volume":"248"},"uris":["http://www.mendeley.com/documents/?uuid=49c322f2-0a35-337c-9459-20b05fa851a3"]},{"id":"ITEM-5","itemData":{"DOI":"10.1128/mcb.01343-14","ISSN":"0270-7306","PMID":"25802278","abstract":"The Wnt coreceptors Lrp5 and Lrp6 are essential for normal postnatal bone accrual and osteoblast function. In this study, we identify a previously unrecognized skeletal function unique to Lrp5 that enables osteoblasts to oxidize fatty acids. Mice lacking the Lrp5 coreceptor specifically in osteoblasts and osteocytes exhibit the expected reductions in postnatal bone mass but also exhibit an increase in body fat with corresponding reductions in energy expenditure. Conversely, mice expressing a high bone mass mutant Lrp5 allele are leaner with reduced plasma triglyceride and free fatty acid levels. In this context, Wnt-initiated signals downstream of Lrp5, but not the closely related Lrp6 coreceptor, regulate the activation of β-catenin and thereby induce the expression of key enzymes required for fatty acid β-oxidation. These results suggest that Wnt-Lrp5 signaling regulates basic cellular activities beyond those associated with fate specification and differentiation in bone and that the skeleton influences global energy homeostasis via mechanisms independent of osteocalcin and glucose metabolism.","author":[{"dropping-particle":"","family":"Frey","given":"Julie L.","non-dropping-particle":"","parse-names":false,"suffix":""},{"dropping-particle":"","family":"Li","given":"Zhu","non-dropping-particle":"","parse-names":false,"suffix":""},{"dropping-particle":"","family":"Ellis","given":"Jessica M.","non-dropping-particle":"","parse-names":false,"suffix":""},{"dropping-particle":"","family":"Zhang","given":"Qian","non-dropping-particle":"","parse-names":false,"suffix":""},{"dropping-particle":"","family":"Farber","given":"Charles R.","non-dropping-particle":"","parse-names":false,"suffix":""},{"dropping-particle":"","family":"Aja","given":"Susan","non-dropping-particle":"","parse-names":false,"suffix":""},{"dropping-particle":"","family":"Wolfgang","given":"Michael J.","non-dropping-particle":"","parse-names":false,"suffix":""},{"dropping-particle":"","family":"Clemens","given":"Thomas L.","non-dropping-particle":"","parse-names":false,"suffix":""},{"dropping-particle":"","family":"Riddle","given":"Ryan C.","non-dropping-particle":"","parse-names":false,"suffix":""}],"container-title":"Molecular and Cellular Biology","id":"ITEM-5","issue":"11","issued":{"date-parts":[["2015","6"]]},"page":"1979-1991","publisher":"Mol Cell Biol","title":"Wnt-Lrp5 Signaling Regulates Fatty Acid Metabolism in the Osteoblast","type":"article-journal","volume":"35"},"uris":["http://www.mendeley.com/documents/?uuid=a8d5d6a0-9ea1-314b-abfc-2cdd89a53a33"]}],"mendeley":{"formattedCitation":"&lt;sup&gt;12–16&lt;/sup&gt;","plainTextFormattedCitation":"12–16","previouslyFormattedCitation":"&lt;sup&gt;12–16&lt;/sup&gt;"},"properties":{"noteIndex":0},"schema":"https://github.com/citation-style-language/schema/raw/master/csl-citation.json"}</w:instrText>
      </w:r>
      <w:r w:rsidR="004626A1" w:rsidRPr="00AA24D3">
        <w:rPr>
          <w:rFonts w:eastAsia="Times New Roman"/>
          <w:shd w:val="clear" w:color="auto" w:fill="FFFFFF"/>
        </w:rPr>
        <w:fldChar w:fldCharType="separate"/>
      </w:r>
      <w:r w:rsidR="00E65807" w:rsidRPr="00AA24D3">
        <w:rPr>
          <w:rFonts w:eastAsia="Times New Roman"/>
          <w:noProof/>
          <w:shd w:val="clear" w:color="auto" w:fill="FFFFFF"/>
          <w:vertAlign w:val="superscript"/>
        </w:rPr>
        <w:t>12–16</w:t>
      </w:r>
      <w:r w:rsidR="004626A1" w:rsidRPr="00AA24D3">
        <w:rPr>
          <w:rFonts w:eastAsia="Times New Roman"/>
          <w:shd w:val="clear" w:color="auto" w:fill="FFFFFF"/>
        </w:rPr>
        <w:fldChar w:fldCharType="end"/>
      </w:r>
      <w:r w:rsidR="000D5FFF" w:rsidRPr="00AA24D3">
        <w:rPr>
          <w:rFonts w:eastAsia="Times New Roman"/>
          <w:shd w:val="clear" w:color="auto" w:fill="FFFFFF"/>
        </w:rPr>
        <w:t xml:space="preserve">. Therefore, </w:t>
      </w:r>
      <w:r w:rsidR="00060178">
        <w:rPr>
          <w:rFonts w:eastAsia="Times New Roman"/>
          <w:shd w:val="clear" w:color="auto" w:fill="FFFFFF"/>
        </w:rPr>
        <w:t xml:space="preserve">the goal of this method is to </w:t>
      </w:r>
      <w:r w:rsidR="00150DAA">
        <w:t>chara</w:t>
      </w:r>
      <w:r w:rsidR="003C6AE2">
        <w:t>c</w:t>
      </w:r>
      <w:r w:rsidR="00150DAA">
        <w:t>teriz</w:t>
      </w:r>
      <w:r w:rsidR="00060178">
        <w:t>e</w:t>
      </w:r>
      <w:r w:rsidR="00150DAA">
        <w:t xml:space="preserve"> the bioenergetic status of </w:t>
      </w:r>
      <w:r w:rsidR="00060178">
        <w:t xml:space="preserve">primary, murine stromal cells throughout </w:t>
      </w:r>
      <w:r w:rsidR="00150DAA">
        <w:t>osteoblast</w:t>
      </w:r>
      <w:r w:rsidR="00060178">
        <w:t xml:space="preserve"> differentiation </w:t>
      </w:r>
      <w:r w:rsidR="00744F1F">
        <w:t>using the</w:t>
      </w:r>
      <w:r w:rsidR="00150DAA">
        <w:t xml:space="preserve"> </w:t>
      </w:r>
      <w:r w:rsidR="002C648A">
        <w:t>r</w:t>
      </w:r>
      <w:r w:rsidR="00150DAA">
        <w:t xml:space="preserve">eal-time </w:t>
      </w:r>
      <w:r w:rsidR="006712FE">
        <w:t>c</w:t>
      </w:r>
      <w:r w:rsidR="00150DAA">
        <w:t>ell metabolic flux analyzer</w:t>
      </w:r>
      <w:r w:rsidR="00060178">
        <w:t>. These techniques</w:t>
      </w:r>
      <w:r w:rsidR="00150DAA">
        <w:t xml:space="preserve"> aid in </w:t>
      </w:r>
      <w:r w:rsidR="00060178">
        <w:t xml:space="preserve">developing a </w:t>
      </w:r>
      <w:r w:rsidR="00150DAA">
        <w:t xml:space="preserve">better understanding of skeletal homeostasis, </w:t>
      </w:r>
      <w:r w:rsidR="00060178">
        <w:t>which may ultimately</w:t>
      </w:r>
      <w:r w:rsidR="00150DAA">
        <w:t xml:space="preserve"> lead to the development of </w:t>
      </w:r>
      <w:r w:rsidR="00267F46" w:rsidRPr="00AA24D3">
        <w:rPr>
          <w:rFonts w:eastAsia="Times New Roman"/>
          <w:shd w:val="clear" w:color="auto" w:fill="FFFFFF"/>
        </w:rPr>
        <w:t xml:space="preserve">novel therapeutic options capable of </w:t>
      </w:r>
      <w:r w:rsidR="000D5FFF" w:rsidRPr="00AA24D3">
        <w:rPr>
          <w:rFonts w:eastAsia="Times New Roman"/>
          <w:shd w:val="clear" w:color="auto" w:fill="FFFFFF"/>
        </w:rPr>
        <w:t>improv</w:t>
      </w:r>
      <w:r w:rsidR="00267F46" w:rsidRPr="00AA24D3">
        <w:rPr>
          <w:rFonts w:eastAsia="Times New Roman"/>
          <w:shd w:val="clear" w:color="auto" w:fill="FFFFFF"/>
        </w:rPr>
        <w:t xml:space="preserve">ing </w:t>
      </w:r>
      <w:r w:rsidR="000D5FFF" w:rsidRPr="00AA24D3">
        <w:rPr>
          <w:rFonts w:eastAsia="Times New Roman"/>
          <w:shd w:val="clear" w:color="auto" w:fill="FFFFFF"/>
        </w:rPr>
        <w:t>skeletal</w:t>
      </w:r>
      <w:r w:rsidR="00BB320E" w:rsidRPr="00AA24D3">
        <w:rPr>
          <w:rFonts w:eastAsia="Times New Roman"/>
          <w:shd w:val="clear" w:color="auto" w:fill="FFFFFF"/>
        </w:rPr>
        <w:t>-</w:t>
      </w:r>
      <w:r w:rsidR="000D5FFF" w:rsidRPr="00AA24D3">
        <w:rPr>
          <w:rFonts w:eastAsia="Times New Roman"/>
          <w:shd w:val="clear" w:color="auto" w:fill="FFFFFF"/>
        </w:rPr>
        <w:t>related outcomes.</w:t>
      </w:r>
    </w:p>
    <w:p w14:paraId="297E81EE" w14:textId="77777777" w:rsidR="003C1A3C" w:rsidRPr="00AA24D3" w:rsidRDefault="003C1A3C" w:rsidP="00972F6D">
      <w:pPr>
        <w:shd w:val="clear" w:color="auto" w:fill="FFFFFF"/>
        <w:rPr>
          <w:rFonts w:eastAsia="Times New Roman"/>
          <w:shd w:val="clear" w:color="auto" w:fill="FFFFFF"/>
        </w:rPr>
      </w:pPr>
    </w:p>
    <w:p w14:paraId="0F1D0557" w14:textId="347BE9D4" w:rsidR="000D5FFF" w:rsidRPr="009D3257" w:rsidRDefault="00744F1F" w:rsidP="00972F6D">
      <w:r>
        <w:t>The real</w:t>
      </w:r>
      <w:r w:rsidR="00F634CD">
        <w:t>-</w:t>
      </w:r>
      <w:r>
        <w:t>t</w:t>
      </w:r>
      <w:r w:rsidR="00F634CD">
        <w:t xml:space="preserve">ime </w:t>
      </w:r>
      <w:r>
        <w:t>c</w:t>
      </w:r>
      <w:r w:rsidR="00F634CD">
        <w:t xml:space="preserve">ell </w:t>
      </w:r>
      <w:r>
        <w:t>m</w:t>
      </w:r>
      <w:r w:rsidR="00F634CD">
        <w:t xml:space="preserve">etabolic </w:t>
      </w:r>
      <w:r>
        <w:t>f</w:t>
      </w:r>
      <w:r w:rsidR="00F634CD">
        <w:t xml:space="preserve">lux analyzer </w:t>
      </w:r>
      <w:r w:rsidR="000D5FFF" w:rsidRPr="00AA24D3">
        <w:t xml:space="preserve">can be used to measure the </w:t>
      </w:r>
      <w:r w:rsidR="00754782" w:rsidRPr="00AA24D3">
        <w:t xml:space="preserve">oxygen consumption rate (OCR) and extracellular acidification rate (ECAR) </w:t>
      </w:r>
      <w:r w:rsidR="000D5FFF" w:rsidRPr="00AA24D3">
        <w:t>of live osteoblasts, which corresponds to mitochondrial and glycolytic ATP production, respectively.</w:t>
      </w:r>
      <w:r w:rsidR="00150DAA">
        <w:t xml:space="preserve"> </w:t>
      </w:r>
      <w:r w:rsidR="000D5FFF" w:rsidRPr="00AA24D3">
        <w:t>Fundamental to this methodology is the fact that one H</w:t>
      </w:r>
      <w:r w:rsidR="000D5FFF" w:rsidRPr="00AA24D3">
        <w:rPr>
          <w:vertAlign w:val="superscript"/>
        </w:rPr>
        <w:t>+</w:t>
      </w:r>
      <w:r w:rsidR="000D5FFF" w:rsidRPr="00AA24D3">
        <w:t xml:space="preserve"> ion per lactate is released during glycolysis in the conversion of glucose to lactate, which </w:t>
      </w:r>
      <w:r w:rsidR="00F20AC7" w:rsidRPr="00AA24D3">
        <w:t>alter</w:t>
      </w:r>
      <w:r w:rsidR="000D5FFF" w:rsidRPr="00AA24D3">
        <w:t xml:space="preserve">s media pH </w:t>
      </w:r>
      <w:r w:rsidR="00ED10CD" w:rsidRPr="00AA24D3">
        <w:t>reflected in the</w:t>
      </w:r>
      <w:r w:rsidR="000D5FFF" w:rsidRPr="00AA24D3">
        <w:t xml:space="preserve"> ECAR</w:t>
      </w:r>
      <w:r w:rsidR="00F20AC7" w:rsidRPr="00AA24D3">
        <w:t xml:space="preserve"> </w:t>
      </w:r>
      <w:r w:rsidR="00ED10CD" w:rsidRPr="00AA24D3">
        <w:t>values</w:t>
      </w:r>
      <w:r w:rsidR="000D5FFF" w:rsidRPr="00AA24D3">
        <w:t>. Conversely, during the TCA</w:t>
      </w:r>
      <w:r w:rsidR="009F4F4E" w:rsidRPr="00AA24D3">
        <w:t xml:space="preserve"> (</w:t>
      </w:r>
      <w:r w:rsidR="009F4F4E" w:rsidRPr="00AA24D3">
        <w:rPr>
          <w:color w:val="202124"/>
          <w:shd w:val="clear" w:color="auto" w:fill="FFFFFF"/>
        </w:rPr>
        <w:t>tricarboxylic acid)</w:t>
      </w:r>
      <w:r w:rsidR="000D5FFF" w:rsidRPr="00AA24D3">
        <w:t xml:space="preserve"> cycle, oxidative phosphorylation </w:t>
      </w:r>
      <w:r w:rsidR="000D5FFF" w:rsidRPr="00111B61">
        <w:rPr>
          <w:i/>
          <w:iCs/>
        </w:rPr>
        <w:t>via</w:t>
      </w:r>
      <w:r w:rsidR="000D5FFF" w:rsidRPr="00AA24D3">
        <w:t xml:space="preserve"> the mitochondria produces CO</w:t>
      </w:r>
      <w:r w:rsidR="000D5FFF" w:rsidRPr="00AA24D3">
        <w:rPr>
          <w:vertAlign w:val="subscript"/>
        </w:rPr>
        <w:t>2</w:t>
      </w:r>
      <w:r w:rsidR="000D5FFF" w:rsidRPr="00AA24D3">
        <w:t xml:space="preserve"> by utilizing or </w:t>
      </w:r>
      <w:r w:rsidR="00754782" w:rsidRPr="00AA24D3">
        <w:t xml:space="preserve">consuming </w:t>
      </w:r>
      <w:r w:rsidR="000D5FFF" w:rsidRPr="00AA24D3">
        <w:t>oxygen</w:t>
      </w:r>
      <w:r w:rsidR="00BB320E" w:rsidRPr="00AA24D3">
        <w:t>,</w:t>
      </w:r>
      <w:r w:rsidR="000D5FFF" w:rsidRPr="00AA24D3">
        <w:t xml:space="preserve"> and therefore monitoring OCR is reflective of this metabolic process. The </w:t>
      </w:r>
      <w:r w:rsidR="0073571D" w:rsidRPr="00AA24D3">
        <w:t>analyzer</w:t>
      </w:r>
      <w:r w:rsidR="000D5FFF" w:rsidRPr="00AA24D3">
        <w:t xml:space="preserve"> measures both OCR and ECAR in the extracellular microenvironment simultaneously and in real</w:t>
      </w:r>
      <w:r w:rsidR="00BB320E" w:rsidRPr="00AA24D3">
        <w:t>-</w:t>
      </w:r>
      <w:r w:rsidR="000D5FFF" w:rsidRPr="00AA24D3">
        <w:t>time, which allows for tremendous potential when studying cellular bioenergetic</w:t>
      </w:r>
      <w:r w:rsidR="00FF0330" w:rsidRPr="00AA24D3">
        <w:t>s</w:t>
      </w:r>
      <w:r w:rsidR="00E65807" w:rsidRPr="00AA24D3">
        <w:fldChar w:fldCharType="begin" w:fldLock="1"/>
      </w:r>
      <w:r w:rsidR="00294C4A" w:rsidRPr="00AA24D3">
        <w:instrText>ADDIN CSL_CITATION {"citationItems":[{"id":"ITEM-1","itemData":{"DOI":"10.1007/978-1-0716-1028-2_27","ISSN":"19406029","PMID":"33197031","abstract":"Measuring cellular metabolism accurately is necessary to understand bioenergetic pathways in cells. The major ATP generating pathways in cells are oxidative phosphorylation and glycolysis. We have recently analyzed and published bioenergetic pathways active in osteoblasts undergoing differentiation in response to various substrates. Based on those studies, here we provide step-by-step procedures to isolate, culture, plate and run a seahorse assay for measuring cellular metabolism. Furthermore, we provide an example of oxygen consumption and extracellular acidification rate traces obtained from MC3T3E1-C4 cells using the XFe96 seahorse analyzer. One of the limitations of studying bioenergetics in bone cells is the current lack of techniques to analyze bioenergetics in vivo in live animals. There are currently techniques that have been developed using third harmonic generation to study osteocytes using three-photon microscopy along with metabolic changes using endogenous two-photon excited fluorescence. However, these sophisticated techniques are not widely available. The relative ease with which one can obtain data pertaining to metabolic parameters using the XF technology makes it a very attractive technique to utilize on a monolayer of adherent cells.","author":[{"dropping-particle":"","family":"Tian","given":"Li","non-dropping-particle":"","parse-names":false,"suffix":""},{"dropping-particle":"","family":"Rosen","given":"Clifford J.","non-dropping-particle":"","parse-names":false,"suffix":""},{"dropping-particle":"","family":"Guntur","given":"Anyonya R.","non-dropping-particle":"","parse-names":false,"suffix":""}],"container-title":"Methods in Molecular Biology","id":"ITEM-1","issued":{"date-parts":[["2021"]]},"page":"437-447","publisher":"Methods Mol Biol","title":"Mitochondrial Function and Metabolism of Cultured Skeletal Cells","type":"article-journal","volume":"2230"},"uris":["http://www.mendeley.com/documents/?uuid=dc968bfe-37a1-3539-a752-bbe16fd8dfa1"]},{"id":"ITEM-2","itemData":{"author":[{"dropping-particle":"","family":"Romero","given":"N.","non-dropping-particle":"","parse-names":false,"suffix":""},{"dropping-particle":"","family":"Rogers","given":"G.","non-dropping-particle":"","parse-names":false,"suffix":""},{"dropping-particle":"","family":"Neilson","given":"Andy","non-dropping-particle":"","parse-names":false,"suffix":""},{"dropping-particle":"","family":"Dranka","given":"B.","non-dropping-particle":"","parse-names":false,"suffix":""}],"id":"ITEM-2","issued":{"date-parts":[["2018"]]},"title":"Quantifying Cellular ATP Production Rate Using Agilent Seahorse XF Technology","type":"article-journal"},"uris":["http://www.mendeley.com/documents/?uuid=78e4018c-9807-3253-b093-3ae26167db75"]}],"mendeley":{"formattedCitation":"&lt;sup&gt;6, 17&lt;/sup&gt;","plainTextFormattedCitation":"6, 17","previouslyFormattedCitation":"&lt;sup&gt;6, 17&lt;/sup&gt;"},"properties":{"noteIndex":0},"schema":"https://github.com/citation-style-language/schema/raw/master/csl-citation.json"}</w:instrText>
      </w:r>
      <w:r w:rsidR="00E65807" w:rsidRPr="00AA24D3">
        <w:fldChar w:fldCharType="separate"/>
      </w:r>
      <w:r w:rsidR="00284DDA" w:rsidRPr="00AA24D3">
        <w:rPr>
          <w:noProof/>
          <w:vertAlign w:val="superscript"/>
        </w:rPr>
        <w:t>6,17</w:t>
      </w:r>
      <w:r w:rsidR="00E65807" w:rsidRPr="00AA24D3">
        <w:fldChar w:fldCharType="end"/>
      </w:r>
      <w:r w:rsidR="000D5FFF" w:rsidRPr="00AA24D3">
        <w:t xml:space="preserve">. Additionally, performing these assays </w:t>
      </w:r>
      <w:r w:rsidR="00BB320E" w:rsidRPr="00AA24D3">
        <w:t>is</w:t>
      </w:r>
      <w:r w:rsidR="000D5FFF" w:rsidRPr="00AA24D3">
        <w:t xml:space="preserve"> relative</w:t>
      </w:r>
      <w:r w:rsidR="00F20AC7" w:rsidRPr="00AA24D3">
        <w:t>ly</w:t>
      </w:r>
      <w:r w:rsidR="000D5FFF" w:rsidRPr="00AA24D3">
        <w:t xml:space="preserve"> straightforward and easily customizable depending on the experimental goal. </w:t>
      </w:r>
      <w:r w:rsidR="009D3257" w:rsidRPr="009D3257">
        <w:rPr>
          <w:color w:val="222222"/>
          <w:shd w:val="clear" w:color="auto" w:fill="FFFFFF"/>
        </w:rPr>
        <w:t xml:space="preserve">Similar techniques have been employed to further </w:t>
      </w:r>
      <w:r w:rsidR="00746913">
        <w:rPr>
          <w:color w:val="222222"/>
          <w:shd w:val="clear" w:color="auto" w:fill="FFFFFF"/>
        </w:rPr>
        <w:t>understand</w:t>
      </w:r>
      <w:r w:rsidR="009D3257" w:rsidRPr="009D3257">
        <w:rPr>
          <w:color w:val="222222"/>
          <w:shd w:val="clear" w:color="auto" w:fill="FFFFFF"/>
        </w:rPr>
        <w:t xml:space="preserve"> </w:t>
      </w:r>
      <w:r w:rsidR="00AE0777">
        <w:rPr>
          <w:color w:val="222222"/>
          <w:shd w:val="clear" w:color="auto" w:fill="FFFFFF"/>
        </w:rPr>
        <w:t>T</w:t>
      </w:r>
      <w:r w:rsidR="009D3257" w:rsidRPr="009D3257">
        <w:rPr>
          <w:color w:val="222222"/>
          <w:shd w:val="clear" w:color="auto" w:fill="FFFFFF"/>
        </w:rPr>
        <w:t>-cell metabol</w:t>
      </w:r>
      <w:r w:rsidR="00966B4D">
        <w:rPr>
          <w:color w:val="222222"/>
          <w:shd w:val="clear" w:color="auto" w:fill="FFFFFF"/>
        </w:rPr>
        <w:t>ic</w:t>
      </w:r>
      <w:r w:rsidR="009D3257" w:rsidRPr="009D3257">
        <w:rPr>
          <w:color w:val="222222"/>
          <w:shd w:val="clear" w:color="auto" w:fill="FFFFFF"/>
        </w:rPr>
        <w:t xml:space="preserve"> regulation of the immune system</w:t>
      </w:r>
      <w:r w:rsidR="009D3257">
        <w:rPr>
          <w:color w:val="222222"/>
          <w:shd w:val="clear" w:color="auto" w:fill="FFFFFF"/>
        </w:rPr>
        <w:fldChar w:fldCharType="begin" w:fldLock="1"/>
      </w:r>
      <w:r w:rsidR="00A613B2">
        <w:rPr>
          <w:color w:val="222222"/>
          <w:shd w:val="clear" w:color="auto" w:fill="FFFFFF"/>
        </w:rPr>
        <w:instrText>ADDIN CSL_CITATION {"citationItems":[{"id":"ITEM-1","itemData":{"DOI":"10.1002/0471142735.im0316bs113","author":[{"dropping-particle":"","family":"Windt","given":"GJW","non-dropping-particle":"van der","parse-names":false,"suffix":""},{"dropping-particle":"","family":"Chang","given":"CH","non-dropping-particle":"","parse-names":false,"suffix":""},{"dropping-particle":"","family":"Pearce","given":"EL","non-dropping-particle":"","parse-names":false,"suffix":""}],"container-title":"Current Protocols in Immunology","id":"ITEM-1","issued":{"date-parts":[["2016"]]},"title":"Measuring bioenergetics in T cells using a Seahorse Extracellular Flux Analyzer","type":"article-journal","volume":"113 3.16B."},"uris":["http://www.mendeley.com/documents/?uuid=f4817b0f-0526-46f6-b8c0-38a41ab7de75"]},{"id":"ITEM-2","itemData":{"DOI":"10.3791/54918","ISSN":"1940-087X","PMID":"27911401","abstract":"Lymphocytes respond to a variety of stimuli by activating intracellular signaling pathways, which in turn leads to rapid cellular proliferation, migration and differentiation, and cytokine production. All of these events are tightly linked to the energy status of the cell, and therefore studying the energy-producing pathways may give clues about the overall functionality of these cells. The extracellular flux analyzer is a commonly used device for evaluating the performance of glycolysis and mitochondrial respiration in many cell types. This system has been used to study immune cells in a few published reports, yet a comprehensive protocol optimized particularly for lymphocytes is lacking. Lymphocytes are fragile cells that survive poorly in ex vivo conditions. Oftentimes lymphocyte subsets are rare, and working with low cell numbers is inevitable. Thus, an experimental strategy that addresses these difficulties is required. Here, we provide a protocol that allows for rapid isolation of viable lymphocytes from lymphoid tissues, and for the analysis of their metabolic states in the extracellular flux analyzer. Furthermore, we provide results of experiments in which the metabolic activities of several lymphocyte subtypes at different cell densities were compared. These observations suggest that our protocol can be used to achieve consistent, well-standardized results even at low cell concentrations, and thus it may have broad applications in future studies focusing on the characterization of metabolic events in immune cells.","author":[{"dropping-particle":"","family":"Traba","given":"Javier","non-dropping-particle":"","parse-names":false,"suffix":""},{"dropping-particle":"","family":"Miozzo","given":"Pietro","non-dropping-particle":"","parse-names":false,"suffix":""},{"dropping-particle":"","family":"Akkaya","given":"Billur","non-dropping-particle":"","parse-names":false,"suffix":""},{"dropping-particle":"","family":"Pierce","given":"Susan K.","non-dropping-particle":"","parse-names":false,"suffix":""},{"dropping-particle":"","family":"Akkaya","given":"Munir","non-dropping-particle":"","parse-names":false,"suffix":""}],"container-title":"JoVE (Journal of Visualized Experiments)","id":"ITEM-2","issue":"117","issued":{"date-parts":[["2016","11","21"]]},"publisher":"Journal of Visualized Experiments","title":"An Optimized Protocol to Analyze Glycolysis and Mitochondrial Respiration in Lymphocytes","type":"article-journal","volume":"e54918"},"uris":["http://www.mendeley.com/documents/?uuid=566231b1-7cc8-37f7-9532-a5176f867ed1"]}],"mendeley":{"formattedCitation":"&lt;sup&gt;18, 19&lt;/sup&gt;","plainTextFormattedCitation":"18, 19","previouslyFormattedCitation":"&lt;sup&gt;18, 19&lt;/sup&gt;"},"properties":{"noteIndex":0},"schema":"https://github.com/citation-style-language/schema/raw/master/csl-citation.json"}</w:instrText>
      </w:r>
      <w:r w:rsidR="009D3257">
        <w:rPr>
          <w:color w:val="222222"/>
          <w:shd w:val="clear" w:color="auto" w:fill="FFFFFF"/>
        </w:rPr>
        <w:fldChar w:fldCharType="separate"/>
      </w:r>
      <w:r w:rsidR="009D3257" w:rsidRPr="009D3257">
        <w:rPr>
          <w:noProof/>
          <w:color w:val="222222"/>
          <w:shd w:val="clear" w:color="auto" w:fill="FFFFFF"/>
          <w:vertAlign w:val="superscript"/>
        </w:rPr>
        <w:t>18,19</w:t>
      </w:r>
      <w:r w:rsidR="009D3257">
        <w:rPr>
          <w:color w:val="222222"/>
          <w:shd w:val="clear" w:color="auto" w:fill="FFFFFF"/>
        </w:rPr>
        <w:fldChar w:fldCharType="end"/>
      </w:r>
      <w:r w:rsidR="009D3257" w:rsidRPr="009D3257">
        <w:rPr>
          <w:color w:val="222222"/>
          <w:shd w:val="clear" w:color="auto" w:fill="FFFFFF"/>
        </w:rPr>
        <w:t>, cancer initiation</w:t>
      </w:r>
      <w:r w:rsidR="004204A2">
        <w:rPr>
          <w:color w:val="222222"/>
          <w:shd w:val="clear" w:color="auto" w:fill="FFFFFF"/>
        </w:rPr>
        <w:t>,</w:t>
      </w:r>
      <w:r w:rsidR="009D3257" w:rsidRPr="009D3257">
        <w:rPr>
          <w:color w:val="222222"/>
          <w:shd w:val="clear" w:color="auto" w:fill="FFFFFF"/>
        </w:rPr>
        <w:t xml:space="preserve"> and progression</w:t>
      </w:r>
      <w:r w:rsidR="009D3257">
        <w:rPr>
          <w:color w:val="222222"/>
          <w:shd w:val="clear" w:color="auto" w:fill="FFFFFF"/>
        </w:rPr>
        <w:fldChar w:fldCharType="begin" w:fldLock="1"/>
      </w:r>
      <w:r w:rsidR="00A613B2">
        <w:rPr>
          <w:color w:val="222222"/>
          <w:shd w:val="clear" w:color="auto" w:fill="FFFFFF"/>
        </w:rPr>
        <w:instrText>ADDIN CSL_CITATION {"citationItems":[{"id":"ITEM-1","itemData":{"DOI":"10.3791/56081","ISSN":"1940-087X","PMID":"28872142","abstract":"Many cancer types, including pancreatic cancer, have a dense fibrotic stroma that plays an important role in tumor progression and invasion. Activated cancer associated fibroblasts are a key component of the tumor stroma that interact with cancer cells and support their growth and survival. Models that recapitulate the interaction of cancer cells and activated fibroblasts are important tools for studying the stromal biology and for development of antitumor agents. Here, a method is described for the rapid generation of robust 3-dimensional (3D) spheroid co-culture of pancreatic cancer cells and activated pancreatic fibroblasts that can be used for subsequent biological studies. Additionally, described is the use of 3D spheroids in carrying out functional metabolic assays to probe cellular bioenergetics pathways using an extracellular flux analyzer paired with a spheroid microplate. Pancreatic cancer cells (Patu8902) and activated pancreatic fibroblast cells (PS1) were co-cultured and magnetized using a biocompatible nanoparticle assembly. Magnetized cells were rapidly bioprinted using magnetic drives in a 96 well format, in growth media to generate spheroids with a diameter ranging between 400-600 µm within 5-7 days of culture. Functional metabolic assays using Patu8902-PS1 spheroids were then carried out using the extracellular flux technology to probe cellular energetic pathways. The method herein is simple, allows consistent generation of cancer cell-fibroblast spheroid co-cultures and can be potentially adapted to other cancer cell types upon optimization of the current described methodology.","author":[{"dropping-particle":"","family":"Noel","given":"Pawan","non-dropping-particle":"","parse-names":false,"suffix":""},{"dropping-particle":"","family":"Muñoz","given":"Ruben","non-dropping-particle":"","parse-names":false,"suffix":""},{"dropping-particle":"","family":"Rogers","given":"George W.","non-dropping-particle":"","parse-names":false,"suffix":""},{"dropping-particle":"","family":"Neilson","given":"Andrew","non-dropping-particle":"","parse-names":false,"suffix":""},{"dropping-particle":"","family":"Hoff","given":"Daniel D.","non-dropping-particle":"Von","parse-names":false,"suffix":""},{"dropping-particle":"","family":"Han","given":"Haiyong","non-dropping-particle":"","parse-names":false,"suffix":""}],"container-title":"JoVE (Journal of Visualized Experiments)","id":"ITEM-1","issue":"126","issued":{"date-parts":[["2017","8","23"]]},"page":"e56081","publisher":"Journal of Visualized Experiments","title":"Preparation and Metabolic Assay of 3-dimensional Spheroid Co-cultures of Pancreatic Cancer Cells and Fibroblasts","type":"article-journal"},"uris":["http://www.mendeley.com/documents/?uuid=0e1ba590-4897-3a38-9bab-092c834eaa4a"]}],"mendeley":{"formattedCitation":"&lt;sup&gt;20&lt;/sup&gt;","plainTextFormattedCitation":"20","previouslyFormattedCitation":"&lt;sup&gt;20&lt;/sup&gt;"},"properties":{"noteIndex":0},"schema":"https://github.com/citation-style-language/schema/raw/master/csl-citation.json"}</w:instrText>
      </w:r>
      <w:r w:rsidR="009D3257">
        <w:rPr>
          <w:color w:val="222222"/>
          <w:shd w:val="clear" w:color="auto" w:fill="FFFFFF"/>
        </w:rPr>
        <w:fldChar w:fldCharType="separate"/>
      </w:r>
      <w:r w:rsidR="009D3257" w:rsidRPr="009D3257">
        <w:rPr>
          <w:noProof/>
          <w:color w:val="222222"/>
          <w:shd w:val="clear" w:color="auto" w:fill="FFFFFF"/>
          <w:vertAlign w:val="superscript"/>
        </w:rPr>
        <w:t>20</w:t>
      </w:r>
      <w:r w:rsidR="009D3257">
        <w:rPr>
          <w:color w:val="222222"/>
          <w:shd w:val="clear" w:color="auto" w:fill="FFFFFF"/>
        </w:rPr>
        <w:fldChar w:fldCharType="end"/>
      </w:r>
      <w:r w:rsidR="009D3257" w:rsidRPr="009D3257">
        <w:rPr>
          <w:color w:val="222222"/>
          <w:shd w:val="clear" w:color="auto" w:fill="FFFFFF"/>
        </w:rPr>
        <w:t>, along with multiple other cell types contributing to metabolic syndromes</w:t>
      </w:r>
      <w:r w:rsidR="009D3257">
        <w:rPr>
          <w:color w:val="222222"/>
          <w:shd w:val="clear" w:color="auto" w:fill="FFFFFF"/>
        </w:rPr>
        <w:fldChar w:fldCharType="begin" w:fldLock="1"/>
      </w:r>
      <w:r w:rsidR="00A613B2">
        <w:rPr>
          <w:color w:val="222222"/>
          <w:shd w:val="clear" w:color="auto" w:fill="FFFFFF"/>
        </w:rPr>
        <w:instrText>ADDIN CSL_CITATION {"citationItems":[{"id":"ITEM-1","itemData":{"DOI":"10.3791/2511","ISSN":"1940-087X","PMID":"21189469","abstract":"The ability to measure cellular metabolism and understand mitochondrial dysfunction, has enabled scientists worldwide to advance their research in understanding the role of mitochondrial function in obesity, diabetes, aging, cancer, cardiovascular function and safety toxicity.\nCellular metabolism is the process of substrate uptake, such as oxygen, glucose, fatty acids, and glutamine, and subsequent energy conversion through a series of enzymatically controlled oxidation and reduction reactions. These intracellular biochemical reactions result in the production of ATP, the release of heat and chemical byproducts, such as lactate and CO2 into the extracellular environment.\nValuable insight into the physiological state of cells, and the alteration of the state of those cells, can be gained through measuring the rate of oxygen consumed by the cells, an indicator of mitochondrial respiration - the Oxygen Consumption Rate - or OCR. Cells also generate ATP through glycolysis, i.e.: the conversion of glucose to lactate, independent of oxygen. In cultured wells, lactate is the primary source of protons. Measuring the lactic acid produced indirectly via protons released into the extracellular medium surrounding the cells, which causes acidification of the medium provides the Extra-Cellular Acidification Rate - or ECAR.\nIn this experiment, C2C12 myoblast cells are seeded at a given density in Seahorse cell culture plates. The basal oxygen consumption (OCR) and extracellular acidification (ECAR) rates are measured to establish baseline rates. The cells are then metabolically perturbed by three additions of different compounds (in succession) that shift the bioenergetic profile of the cell.\nThis assay is derived from a classic experiment to assess mitochondria and serves as a framework with which to build more complex experiments aimed at understanding both physiologic and pathophysiologic function of mitochondria and to predict the ability of cells to respond to stress and/or insults.","author":[{"dropping-particle":"","family":"Nicholls","given":"David G.","non-dropping-particle":"","parse-names":false,"suffix":""},{"dropping-particle":"","family":"Darley-Usmar","given":"Victor M.","non-dropping-particle":"","parse-names":false,"suffix":""},{"dropping-particle":"","family":"Wu","given":"Min","non-dropping-particle":"","parse-names":false,"suffix":""},{"dropping-particle":"","family":"Jensen","given":"Per Bo","non-dropping-particle":"","parse-names":false,"suffix":""},{"dropping-particle":"","family":"Rogers","given":"George W.","non-dropping-particle":"","parse-names":false,"suffix":""},{"dropping-particle":"","family":"Ferrick","given":"David A.","non-dropping-particle":"","parse-names":false,"suffix":""}],"container-title":"JoVE (Journal of Visualized Experiments)","id":"ITEM-1","issue":"46","issued":{"date-parts":[["2010","12","6"]]},"page":"e2511","publisher":"Journal of Visualized Experiments","title":"Bioenergetic Profile Experiment using C2C12 Myoblast Cells","type":"article-journal","volume":"46"},"uris":["http://www.mendeley.com/documents/?uuid=50e46d53-0fe4-3acd-8011-857b4dffc616"]},{"id":"ITEM-2","itemData":{"DOI":"10.1007/S11357-018-0021-3","ISSN":"2509-2723","PMID":"29860557","abstract":"Mitochondria play a critical role in the cardiomyocyte physiology by generating majority of the ATP required for the contraction/relaxation through oxidative phosphorylation (OXPHOS). Aging is a major risk factor for cardiovascular diseases (CVD) and mitochondrial dysfunction has been proposed as potential cause of aging. Recent technological innovations in Seahorse XFe24 Analyzer enhanced the detection sensitivity of oxygen consumption rate and proton flux to advance our ability study mitochondrial function. Studies of the respiratory function tests in the isolated mitochondria have the advantages to detect specific defects in the mitochondrial protein function and evaluate the direct mitochondrial effects of therapeutic/pharmacological agents. Here, we provide the protocols for studying the respiratory function of isolated murine cardiac mitochondria by measuring oxygen consumption rate using Seahorse XFe24 Analyzer. In addition, we provide details about experimental design, measurement of various respiratory parameters along with interpretation and analysis of data.","author":[{"dropping-particle":"","family":"Sakamuri","given":"Siva S.V.P.","non-dropping-particle":"","parse-names":false,"suffix":""},{"dropping-particle":"","family":"Sperling","given":"Jared A.","non-dropping-particle":"","parse-names":false,"suffix":""},{"dropping-particle":"","family":"Sure","given":"Venkata N.","non-dropping-particle":"","parse-names":false,"suffix":""},{"dropping-particle":"","family":"Dholakia","given":"Monica H.","non-dropping-particle":"","parse-names":false,"suffix":""},{"dropping-particle":"","family":"Peterson","given":"Nicholas R.","non-dropping-particle":"","parse-names":false,"suffix":""},{"dropping-particle":"","family":"Rutkai","given":"Ibolya","non-dropping-particle":"","parse-names":false,"suffix":""},{"dropping-particle":"","family":"Mahalingam","given":"Padmini S.","non-dropping-particle":"","parse-names":false,"suffix":""},{"dropping-particle":"","family":"Satou","given":"Ryosuke","non-dropping-particle":"","parse-names":false,"suffix":""},{"dropping-particle":"","family":"Katakam","given":"Prasad V.G.","non-dropping-particle":"","parse-names":false,"suffix":""}],"container-title":"GeroScience","id":"ITEM-2","issue":"3","issued":{"date-parts":[["2018","6","1"]]},"page":"347-356","publisher":"Geroscience","title":"Measurement of respiratory function in isolated cardiac mitochondria using Seahorse XFe24 Analyzer: applications for aging research","type":"article-journal","volume":"40"},"uris":["http://www.mendeley.com/documents/?uuid=960335a4-6d75-3619-8e8e-cf77c71cf4fb"]}],"mendeley":{"formattedCitation":"&lt;sup&gt;21, 22&lt;/sup&gt;","plainTextFormattedCitation":"21, 22","previouslyFormattedCitation":"&lt;sup&gt;21, 22&lt;/sup&gt;"},"properties":{"noteIndex":0},"schema":"https://github.com/citation-style-language/schema/raw/master/csl-citation.json"}</w:instrText>
      </w:r>
      <w:r w:rsidR="009D3257">
        <w:rPr>
          <w:color w:val="222222"/>
          <w:shd w:val="clear" w:color="auto" w:fill="FFFFFF"/>
        </w:rPr>
        <w:fldChar w:fldCharType="separate"/>
      </w:r>
      <w:r w:rsidR="00A613B2" w:rsidRPr="00A613B2">
        <w:rPr>
          <w:noProof/>
          <w:color w:val="222222"/>
          <w:shd w:val="clear" w:color="auto" w:fill="FFFFFF"/>
          <w:vertAlign w:val="superscript"/>
        </w:rPr>
        <w:t>21,22</w:t>
      </w:r>
      <w:r w:rsidR="009D3257">
        <w:rPr>
          <w:color w:val="222222"/>
          <w:shd w:val="clear" w:color="auto" w:fill="FFFFFF"/>
        </w:rPr>
        <w:fldChar w:fldCharType="end"/>
      </w:r>
      <w:r w:rsidR="009D3257" w:rsidRPr="009D3257">
        <w:rPr>
          <w:color w:val="222222"/>
          <w:shd w:val="clear" w:color="auto" w:fill="FFFFFF"/>
        </w:rPr>
        <w:t>.</w:t>
      </w:r>
    </w:p>
    <w:p w14:paraId="720C3836" w14:textId="77777777" w:rsidR="00FC4EB5" w:rsidRPr="00AA24D3" w:rsidRDefault="00FC4EB5" w:rsidP="00972F6D"/>
    <w:p w14:paraId="7BE5F1AB" w14:textId="2019E0C7" w:rsidR="00252B25" w:rsidRPr="00AA24D3" w:rsidRDefault="004A3FD7" w:rsidP="006130E7">
      <w:pPr>
        <w:rPr>
          <w:b/>
          <w:color w:val="000000"/>
        </w:rPr>
      </w:pPr>
      <w:bookmarkStart w:id="3" w:name="_Hlk77866492"/>
      <w:r>
        <w:t>The advantages of Real-</w:t>
      </w:r>
      <w:r w:rsidR="00F35624">
        <w:t>t</w:t>
      </w:r>
      <w:r>
        <w:t xml:space="preserve">ime metabolic flux analyzer over alternative techniques </w:t>
      </w:r>
      <w:r w:rsidR="002A5214">
        <w:t>include</w:t>
      </w:r>
      <w:r>
        <w:t xml:space="preserve"> (1)</w:t>
      </w:r>
      <w:r w:rsidR="002A5214">
        <w:t xml:space="preserve"> the capability to</w:t>
      </w:r>
      <w:r>
        <w:t xml:space="preserve"> </w:t>
      </w:r>
      <w:r w:rsidR="002A5214">
        <w:t xml:space="preserve">measure </w:t>
      </w:r>
      <w:r>
        <w:t>cellular bioenergetics of live cells in real-time, (2)</w:t>
      </w:r>
      <w:r w:rsidR="002A5214">
        <w:t xml:space="preserve"> </w:t>
      </w:r>
      <w:r w:rsidR="00FB15CF">
        <w:t>ability to perform assay with</w:t>
      </w:r>
      <w:r w:rsidR="002A5214">
        <w:t xml:space="preserve"> </w:t>
      </w:r>
      <w:r w:rsidR="00746913">
        <w:t xml:space="preserve">a </w:t>
      </w:r>
      <w:r w:rsidR="002A5214">
        <w:t>relatively small number of cells (require</w:t>
      </w:r>
      <w:r w:rsidR="00F35624">
        <w:t>s</w:t>
      </w:r>
      <w:r w:rsidR="002A5214">
        <w:t xml:space="preserve"> as low as 5</w:t>
      </w:r>
      <w:r w:rsidR="004204A2">
        <w:t>,</w:t>
      </w:r>
      <w:r w:rsidR="002A5214">
        <w:t>000 cells), (3)</w:t>
      </w:r>
      <w:r>
        <w:t xml:space="preserve"> injection ports to </w:t>
      </w:r>
      <w:r w:rsidR="002A5214">
        <w:t xml:space="preserve">parallelly </w:t>
      </w:r>
      <w:r>
        <w:t xml:space="preserve">manipulate </w:t>
      </w:r>
      <w:r w:rsidR="002A5214">
        <w:t xml:space="preserve">multiple treatments in </w:t>
      </w:r>
      <w:r w:rsidR="007677E5">
        <w:t xml:space="preserve">a </w:t>
      </w:r>
      <w:r w:rsidR="002A5214">
        <w:t>high</w:t>
      </w:r>
      <w:r w:rsidR="007677E5">
        <w:t>-</w:t>
      </w:r>
      <w:r w:rsidR="002A5214">
        <w:t>throughput</w:t>
      </w:r>
      <w:r>
        <w:t xml:space="preserve"> </w:t>
      </w:r>
      <w:r w:rsidR="002A5214">
        <w:t xml:space="preserve">96-well </w:t>
      </w:r>
      <w:r>
        <w:t>system</w:t>
      </w:r>
      <w:r w:rsidR="001E35D7">
        <w:t>,</w:t>
      </w:r>
      <w:r>
        <w:t xml:space="preserve"> (</w:t>
      </w:r>
      <w:r w:rsidR="002A5214">
        <w:t>4</w:t>
      </w:r>
      <w:r>
        <w:t>)</w:t>
      </w:r>
      <w:r w:rsidR="002A5214">
        <w:t xml:space="preserve"> use of</w:t>
      </w:r>
      <w:r>
        <w:t xml:space="preserve"> </w:t>
      </w:r>
      <w:r w:rsidR="002A5214">
        <w:t>radioactive label</w:t>
      </w:r>
      <w:r w:rsidR="00746913">
        <w:t>-</w:t>
      </w:r>
      <w:r w:rsidR="002A5214">
        <w:t xml:space="preserve">free </w:t>
      </w:r>
      <w:r>
        <w:t xml:space="preserve">automated cell imager </w:t>
      </w:r>
      <w:r w:rsidR="002A5214">
        <w:t xml:space="preserve">for </w:t>
      </w:r>
      <w:r>
        <w:t>normalization</w:t>
      </w:r>
      <w:r w:rsidR="00317B11">
        <w:fldChar w:fldCharType="begin" w:fldLock="1"/>
      </w:r>
      <w:r w:rsidR="00A613B2">
        <w:instrText>ADDIN CSL_CITATION {"citationItems":[{"id":"ITEM-1","itemData":{"URL":"https://www.agilent.com/en/support/cell-analysis/advantages-of-using-xf-tech","id":"ITEM-1","issued":{"date-parts":[["0"]]},"title":"What are the advantages of using Seahorse XF technology?","type":"webpage"},"uris":["http://www.mendeley.com/documents/?uuid=0dbf97be-69cc-49c1-bdab-570dcdc77d39"]},{"id":"ITEM-2","itemData":{"DOI":"10.1093/gerona/glr263","ISSN":"10795006","PMID":"22459622","abstract":"There is accumulating evidence that mitochondrial respiratory malfunction is associated with aging-associated complex diseases. However, progress in our understanding of these diseases has been hampered by the sensitivity and throughput of systems employed to quantify dysfunction and inherent limitations of the biological systems studied. In this review, we describe and contrast two methodologies that have been developed for measuring mitochondrial function to address the need for improved sensitivity and increased throughput. We then consider the utility of each methodology in studying three biological systems: isolated mitochondria, cultured cells, and cell fibers and tissues. Finally, we discuss the application of each methodology in the study of mitochondrial dysfunction in Alzheimer's disease, type 2 diabetes mellitus, and aging-associated autophagy impairment and mitochondrial malfunction. We conclude that the methodologies are complementary, and researchers may need to examine multiple biological systems to unravel complex diseases of aging. © The Author 2012. Published by Oxford University Press on behalf of The Gerontological Society of America. All rights reserved.","author":[{"dropping-particle":"","family":"Horan","given":"Martin P.","non-dropping-particle":"","parse-names":false,"suffix":""},{"dropping-particle":"","family":"Pichaud","given":"Nicolas","non-dropping-particle":"","parse-names":false,"suffix":""},{"dropping-particle":"","family":"Ballard","given":"J. William O.","non-dropping-particle":"","parse-names":false,"suffix":""}],"container-title":"Journals of Gerontology - Series A Biological Sciences and Medical Sciences","id":"ITEM-2","issue":"10","issued":{"date-parts":[["2012","10"]]},"page":"1022-1035","publisher":"J Gerontol A Biol Sci Med Sci","title":"Review: Quantifying mitochondrial dysfunction in complex diseases of aging","type":"article-journal","volume":"67 A"},"uris":["http://www.mendeley.com/documents/?uuid=20f64684-2d7a-3b70-9691-479ff0cfb310"]},{"id":"ITEM-3","itemData":{"DOI":"10.1002/0471142735.im0316bs113","author":[{"dropping-particle":"","family":"Windt","given":"GJW","non-dropping-particle":"van der","parse-names":false,"suffix":""},{"dropping-particle":"","family":"Chang","given":"CH","non-dropping-particle":"","parse-names":false,"suffix":""},{"dropping-particle":"","family":"Pearce","given":"EL","non-dropping-particle":"","parse-names":false,"suffix":""}],"container-title":"Current Protocols in Immunology","id":"ITEM-3","issued":{"date-parts":[["2016"]]},"title":"Measuring bioenergetics in T cells using a Seahorse Extracellular Flux Analyzer","type":"article-journal","volume":"113 3.16B."},"uris":["http://www.mendeley.com/documents/?uuid=f4817b0f-0526-46f6-b8c0-38a41ab7de75"]}],"mendeley":{"formattedCitation":"&lt;sup&gt;18, 23, 24&lt;/sup&gt;","plainTextFormattedCitation":"18, 23, 24","previouslyFormattedCitation":"&lt;sup&gt;18, 23, 24&lt;/sup&gt;"},"properties":{"noteIndex":0},"schema":"https://github.com/citation-style-language/schema/raw/master/csl-citation.json"}</w:instrText>
      </w:r>
      <w:r w:rsidR="00317B11">
        <w:fldChar w:fldCharType="separate"/>
      </w:r>
      <w:r w:rsidR="00A613B2" w:rsidRPr="00A613B2">
        <w:rPr>
          <w:noProof/>
          <w:vertAlign w:val="superscript"/>
        </w:rPr>
        <w:t>18,23,24</w:t>
      </w:r>
      <w:r w:rsidR="00317B11">
        <w:fldChar w:fldCharType="end"/>
      </w:r>
      <w:r>
        <w:t>.</w:t>
      </w:r>
      <w:r w:rsidR="002A5214">
        <w:t xml:space="preserve"> </w:t>
      </w:r>
      <w:r w:rsidR="00FF0330" w:rsidRPr="00AA24D3">
        <w:t xml:space="preserve">The following </w:t>
      </w:r>
      <w:r w:rsidR="008625A2" w:rsidRPr="00AA24D3">
        <w:t xml:space="preserve">methods </w:t>
      </w:r>
      <w:r w:rsidR="00FF0330" w:rsidRPr="00AA24D3">
        <w:t>aim to provide a generalized</w:t>
      </w:r>
      <w:r w:rsidR="00ED10CD" w:rsidRPr="00AA24D3">
        <w:t xml:space="preserve"> but</w:t>
      </w:r>
      <w:r w:rsidR="00FF0330" w:rsidRPr="00AA24D3">
        <w:t xml:space="preserve"> detailed description of how to monitor cellular bioenergetics in murine BMSC</w:t>
      </w:r>
      <w:r w:rsidR="00ED10CD" w:rsidRPr="00AA24D3">
        <w:t>s</w:t>
      </w:r>
      <w:r w:rsidR="00FF0330" w:rsidRPr="00AA24D3">
        <w:t xml:space="preserve"> </w:t>
      </w:r>
      <w:r w:rsidR="00ED10CD" w:rsidRPr="00AA24D3">
        <w:t xml:space="preserve">throughout </w:t>
      </w:r>
      <w:r w:rsidR="00FF0330" w:rsidRPr="00AA24D3">
        <w:t>osteoblast</w:t>
      </w:r>
      <w:r w:rsidR="00ED10CD" w:rsidRPr="00AA24D3">
        <w:t xml:space="preserve"> differentiation</w:t>
      </w:r>
      <w:r w:rsidR="00FF0330" w:rsidRPr="00AA24D3">
        <w:t xml:space="preserve"> using the </w:t>
      </w:r>
      <w:r w:rsidR="00C0419A" w:rsidRPr="00AA24D3">
        <w:t>a</w:t>
      </w:r>
      <w:r w:rsidR="00FF0330" w:rsidRPr="00AA24D3">
        <w:t>nalyzer. It will include routinely performed assays</w:t>
      </w:r>
      <w:r w:rsidR="00BB320E" w:rsidRPr="00AA24D3">
        <w:t>;</w:t>
      </w:r>
      <w:r w:rsidR="00FF0330" w:rsidRPr="00AA24D3">
        <w:t xml:space="preserve"> however, as with many techniques and methods</w:t>
      </w:r>
      <w:r w:rsidR="00BB320E" w:rsidRPr="00AA24D3">
        <w:t>,</w:t>
      </w:r>
      <w:r w:rsidR="00FF0330" w:rsidRPr="00AA24D3">
        <w:t xml:space="preserve"> it is highly encouraged that individual labs determine specific details for their experiments</w:t>
      </w:r>
      <w:bookmarkEnd w:id="3"/>
      <w:r w:rsidR="00FF0330" w:rsidRPr="00AA24D3">
        <w:t>.</w:t>
      </w:r>
    </w:p>
    <w:p w14:paraId="3B8FDEA4" w14:textId="631194AA" w:rsidR="009A63CE" w:rsidRPr="00AA24D3" w:rsidRDefault="002D546F" w:rsidP="00972F6D">
      <w:pPr>
        <w:pBdr>
          <w:top w:val="nil"/>
          <w:left w:val="nil"/>
          <w:bottom w:val="nil"/>
          <w:right w:val="nil"/>
          <w:between w:val="nil"/>
        </w:pBdr>
        <w:rPr>
          <w:rFonts w:eastAsia="Times New Roman"/>
          <w:color w:val="0E101A"/>
        </w:rPr>
      </w:pPr>
      <w:r w:rsidRPr="00111B61">
        <w:rPr>
          <w:bCs/>
          <w:color w:val="000000"/>
        </w:rPr>
        <w:lastRenderedPageBreak/>
        <w:t xml:space="preserve">Selection of </w:t>
      </w:r>
      <w:r w:rsidR="00795696" w:rsidRPr="00AA24D3">
        <w:rPr>
          <w:bCs/>
          <w:color w:val="000000"/>
        </w:rPr>
        <w:t>a</w:t>
      </w:r>
      <w:r w:rsidRPr="00111B61">
        <w:rPr>
          <w:bCs/>
          <w:color w:val="000000"/>
        </w:rPr>
        <w:t>ssay and different types of assays available</w:t>
      </w:r>
      <w:r w:rsidR="004204A2">
        <w:rPr>
          <w:rFonts w:eastAsia="Times New Roman"/>
          <w:color w:val="0E101A"/>
        </w:rPr>
        <w:t xml:space="preserve">: </w:t>
      </w:r>
      <w:r w:rsidR="006130E7">
        <w:rPr>
          <w:rFonts w:eastAsia="Times New Roman"/>
          <w:color w:val="0E101A"/>
        </w:rPr>
        <w:t xml:space="preserve"> </w:t>
      </w:r>
      <w:r w:rsidR="009A63CE" w:rsidRPr="00AA24D3">
        <w:rPr>
          <w:rFonts w:eastAsia="Times New Roman"/>
          <w:color w:val="0E101A"/>
        </w:rPr>
        <w:t xml:space="preserve">A wide variety of assay kits and reagents </w:t>
      </w:r>
      <w:r w:rsidR="00BE4FF1" w:rsidRPr="00AA24D3">
        <w:rPr>
          <w:rFonts w:eastAsia="Times New Roman"/>
          <w:color w:val="0E101A"/>
        </w:rPr>
        <w:t xml:space="preserve">are available </w:t>
      </w:r>
      <w:r w:rsidR="009A63CE" w:rsidRPr="00AA24D3">
        <w:rPr>
          <w:rFonts w:eastAsia="Times New Roman"/>
          <w:color w:val="0E101A"/>
        </w:rPr>
        <w:t xml:space="preserve">to study the bioenergetics of cells while ensuring the reliability and consistency of the experimental results. Additionally, </w:t>
      </w:r>
      <w:r w:rsidR="004A1B81" w:rsidRPr="00AA24D3">
        <w:rPr>
          <w:rFonts w:eastAsia="Times New Roman"/>
          <w:color w:val="0E101A"/>
        </w:rPr>
        <w:t xml:space="preserve">the </w:t>
      </w:r>
      <w:r w:rsidR="009A63CE" w:rsidRPr="00AA24D3">
        <w:rPr>
          <w:rFonts w:eastAsia="Times New Roman"/>
          <w:color w:val="0E101A"/>
        </w:rPr>
        <w:t xml:space="preserve">desktop software also offers assay templates that can be easily customized. The assay can be defined based on the </w:t>
      </w:r>
      <w:r w:rsidR="00754782" w:rsidRPr="00AA24D3">
        <w:rPr>
          <w:rFonts w:eastAsia="Times New Roman"/>
          <w:color w:val="0E101A"/>
        </w:rPr>
        <w:t>user</w:t>
      </w:r>
      <w:r w:rsidR="00252B25" w:rsidRPr="00AA24D3">
        <w:rPr>
          <w:rFonts w:eastAsia="Times New Roman"/>
          <w:color w:val="0E101A"/>
        </w:rPr>
        <w:t>’</w:t>
      </w:r>
      <w:r w:rsidR="00754782" w:rsidRPr="00AA24D3">
        <w:rPr>
          <w:rFonts w:eastAsia="Times New Roman"/>
          <w:color w:val="0E101A"/>
        </w:rPr>
        <w:t xml:space="preserve">s </w:t>
      </w:r>
      <w:r w:rsidR="009A63CE" w:rsidRPr="00AA24D3">
        <w:rPr>
          <w:rFonts w:eastAsia="Times New Roman"/>
          <w:color w:val="0E101A"/>
        </w:rPr>
        <w:t>needs to measure different metabolic parameters.</w:t>
      </w:r>
      <w:r w:rsidR="004204A2">
        <w:rPr>
          <w:rFonts w:eastAsia="Times New Roman"/>
          <w:color w:val="0E101A"/>
        </w:rPr>
        <w:t xml:space="preserve"> </w:t>
      </w:r>
      <w:r w:rsidR="009A63CE" w:rsidRPr="00AA24D3">
        <w:rPr>
          <w:rFonts w:eastAsia="Times New Roman"/>
          <w:color w:val="0E101A"/>
        </w:rPr>
        <w:t>These assays can be modified in various ways based on the experimental goal</w:t>
      </w:r>
      <w:r w:rsidR="003E41A1" w:rsidRPr="00AA24D3">
        <w:rPr>
          <w:rFonts w:eastAsia="Times New Roman"/>
          <w:color w:val="0E101A"/>
        </w:rPr>
        <w:t xml:space="preserve"> and</w:t>
      </w:r>
      <w:r w:rsidR="006F2BD7">
        <w:rPr>
          <w:rFonts w:eastAsia="Times New Roman"/>
          <w:color w:val="0E101A"/>
        </w:rPr>
        <w:t>/</w:t>
      </w:r>
      <w:r w:rsidR="003E41A1" w:rsidRPr="00AA24D3">
        <w:rPr>
          <w:rFonts w:eastAsia="Times New Roman"/>
          <w:color w:val="0E101A"/>
        </w:rPr>
        <w:t>or scientific question</w:t>
      </w:r>
      <w:r w:rsidR="009A63CE" w:rsidRPr="00AA24D3">
        <w:rPr>
          <w:rFonts w:eastAsia="Times New Roman"/>
          <w:color w:val="0E101A"/>
        </w:rPr>
        <w:t xml:space="preserve">. </w:t>
      </w:r>
      <w:r w:rsidR="003E41A1" w:rsidRPr="00AA24D3">
        <w:rPr>
          <w:rFonts w:eastAsia="Times New Roman"/>
          <w:color w:val="0E101A"/>
        </w:rPr>
        <w:t>For example, with four injection port</w:t>
      </w:r>
      <w:r w:rsidR="00252B25" w:rsidRPr="00AA24D3">
        <w:rPr>
          <w:rFonts w:eastAsia="Times New Roman"/>
          <w:color w:val="0E101A"/>
        </w:rPr>
        <w:t>s</w:t>
      </w:r>
      <w:r w:rsidR="003E41A1" w:rsidRPr="00AA24D3">
        <w:rPr>
          <w:rFonts w:eastAsia="Times New Roman"/>
          <w:color w:val="0E101A"/>
        </w:rPr>
        <w:t xml:space="preserve">, </w:t>
      </w:r>
      <w:r w:rsidR="00746913">
        <w:rPr>
          <w:rFonts w:eastAsia="Times New Roman"/>
          <w:color w:val="0E101A"/>
        </w:rPr>
        <w:t>multiple</w:t>
      </w:r>
      <w:r w:rsidR="009A63CE" w:rsidRPr="00AA24D3">
        <w:rPr>
          <w:rFonts w:eastAsia="Times New Roman"/>
          <w:color w:val="0E101A"/>
        </w:rPr>
        <w:t xml:space="preserve"> compounds can be injected into the assay media to analyze the cellular response specific to each metabolic pathway.</w:t>
      </w:r>
    </w:p>
    <w:p w14:paraId="33FB9126" w14:textId="77777777" w:rsidR="004A1B81" w:rsidRPr="00AA24D3" w:rsidRDefault="004A1B81" w:rsidP="00972F6D">
      <w:pPr>
        <w:pBdr>
          <w:top w:val="nil"/>
          <w:left w:val="nil"/>
          <w:bottom w:val="nil"/>
          <w:right w:val="nil"/>
          <w:between w:val="nil"/>
        </w:pBdr>
        <w:rPr>
          <w:rFonts w:eastAsia="Times New Roman"/>
          <w:color w:val="0E101A"/>
        </w:rPr>
      </w:pPr>
    </w:p>
    <w:p w14:paraId="215771B6" w14:textId="060AECF1" w:rsidR="009A63CE" w:rsidRPr="00AA24D3" w:rsidRDefault="009A63CE" w:rsidP="00972F6D">
      <w:pPr>
        <w:widowControl/>
        <w:rPr>
          <w:rFonts w:eastAsia="Times New Roman"/>
          <w:color w:val="0E101A"/>
        </w:rPr>
      </w:pPr>
      <w:r w:rsidRPr="00111B61">
        <w:rPr>
          <w:rFonts w:eastAsia="Times New Roman"/>
          <w:color w:val="0E101A"/>
        </w:rPr>
        <w:t xml:space="preserve">Cell </w:t>
      </w:r>
      <w:r w:rsidR="00C9673F" w:rsidRPr="00AA24D3">
        <w:rPr>
          <w:rFonts w:eastAsia="Times New Roman"/>
          <w:color w:val="0E101A"/>
        </w:rPr>
        <w:t>e</w:t>
      </w:r>
      <w:r w:rsidRPr="00111B61">
        <w:rPr>
          <w:rFonts w:eastAsia="Times New Roman"/>
          <w:color w:val="0E101A"/>
        </w:rPr>
        <w:t xml:space="preserve">nergy </w:t>
      </w:r>
      <w:r w:rsidR="00C9673F" w:rsidRPr="00AA24D3">
        <w:rPr>
          <w:rFonts w:eastAsia="Times New Roman"/>
          <w:color w:val="0E101A"/>
        </w:rPr>
        <w:t>p</w:t>
      </w:r>
      <w:r w:rsidRPr="00111B61">
        <w:rPr>
          <w:rFonts w:eastAsia="Times New Roman"/>
          <w:color w:val="0E101A"/>
        </w:rPr>
        <w:t>henotype test</w:t>
      </w:r>
      <w:r w:rsidR="004204A2" w:rsidRPr="007E602D">
        <w:rPr>
          <w:rFonts w:eastAsia="Times New Roman"/>
          <w:color w:val="0E101A"/>
        </w:rPr>
        <w:t xml:space="preserve">: </w:t>
      </w:r>
      <w:r w:rsidRPr="00AA24D3">
        <w:rPr>
          <w:rFonts w:eastAsia="Times New Roman"/>
          <w:color w:val="0E101A"/>
        </w:rPr>
        <w:t>This assay measure</w:t>
      </w:r>
      <w:r w:rsidR="005D1DB7" w:rsidRPr="00AA24D3">
        <w:rPr>
          <w:rFonts w:eastAsia="Times New Roman"/>
          <w:color w:val="0E101A"/>
        </w:rPr>
        <w:t>s</w:t>
      </w:r>
      <w:r w:rsidRPr="00AA24D3">
        <w:rPr>
          <w:rFonts w:eastAsia="Times New Roman"/>
          <w:color w:val="0E101A"/>
        </w:rPr>
        <w:t xml:space="preserve"> the live </w:t>
      </w:r>
      <w:r w:rsidR="00754782" w:rsidRPr="00AA24D3">
        <w:rPr>
          <w:rFonts w:eastAsia="Times New Roman"/>
          <w:color w:val="0E101A"/>
        </w:rPr>
        <w:t>cell</w:t>
      </w:r>
      <w:r w:rsidR="00732534">
        <w:rPr>
          <w:rFonts w:eastAsia="Times New Roman"/>
          <w:color w:val="0E101A"/>
        </w:rPr>
        <w:t>s’</w:t>
      </w:r>
      <w:r w:rsidR="00754782" w:rsidRPr="00AA24D3">
        <w:rPr>
          <w:rFonts w:eastAsia="Times New Roman"/>
          <w:color w:val="0E101A"/>
        </w:rPr>
        <w:t xml:space="preserve"> </w:t>
      </w:r>
      <w:r w:rsidRPr="00AA24D3">
        <w:rPr>
          <w:rFonts w:eastAsia="Times New Roman"/>
          <w:color w:val="0E101A"/>
        </w:rPr>
        <w:t xml:space="preserve">metabolic phenotype and metabolic potential. This assay is also recommended as the </w:t>
      </w:r>
      <w:r w:rsidR="005D1DB7" w:rsidRPr="00AA24D3">
        <w:rPr>
          <w:rFonts w:eastAsia="Times New Roman"/>
          <w:color w:val="0E101A"/>
        </w:rPr>
        <w:t xml:space="preserve">first </w:t>
      </w:r>
      <w:r w:rsidRPr="00AA24D3">
        <w:rPr>
          <w:rFonts w:eastAsia="Times New Roman"/>
          <w:color w:val="0E101A"/>
        </w:rPr>
        <w:t xml:space="preserve">step to get a generalized idea of pathway-specific metabolism. A mixture of </w:t>
      </w:r>
      <w:r w:rsidR="00122648" w:rsidRPr="00AA24D3">
        <w:rPr>
          <w:rFonts w:eastAsia="Times New Roman"/>
          <w:color w:val="0E101A"/>
        </w:rPr>
        <w:t>o</w:t>
      </w:r>
      <w:r w:rsidRPr="00AA24D3">
        <w:rPr>
          <w:rFonts w:eastAsia="Times New Roman"/>
          <w:color w:val="0E101A"/>
        </w:rPr>
        <w:t>ligomycin</w:t>
      </w:r>
      <w:r w:rsidR="00ED0634" w:rsidRPr="00AA24D3">
        <w:rPr>
          <w:rFonts w:eastAsia="Times New Roman"/>
          <w:color w:val="0E101A"/>
        </w:rPr>
        <w:t xml:space="preserve"> </w:t>
      </w:r>
      <w:r w:rsidR="00754782" w:rsidRPr="00AA24D3">
        <w:rPr>
          <w:rFonts w:eastAsia="Times New Roman"/>
          <w:color w:val="0E101A"/>
        </w:rPr>
        <w:t>A</w:t>
      </w:r>
      <w:r w:rsidR="00981750">
        <w:rPr>
          <w:rFonts w:eastAsia="Times New Roman"/>
          <w:color w:val="0E101A"/>
        </w:rPr>
        <w:t>—</w:t>
      </w:r>
      <w:r w:rsidRPr="00AA24D3">
        <w:rPr>
          <w:rFonts w:eastAsia="Times New Roman"/>
          <w:color w:val="0E101A"/>
        </w:rPr>
        <w:t xml:space="preserve">an inhibitor of ATP synthase and </w:t>
      </w:r>
      <w:r w:rsidR="00122648" w:rsidRPr="00AA24D3">
        <w:rPr>
          <w:rFonts w:eastAsia="Times New Roman"/>
          <w:color w:val="0E101A"/>
        </w:rPr>
        <w:t>Carbonyl cyanide 4-(trifluoromethoxy) phenylhydrazone (</w:t>
      </w:r>
      <w:r w:rsidRPr="00AA24D3">
        <w:rPr>
          <w:rFonts w:eastAsia="Times New Roman"/>
          <w:color w:val="0E101A"/>
        </w:rPr>
        <w:t>FCCP</w:t>
      </w:r>
      <w:r w:rsidR="00122648" w:rsidRPr="00AA24D3">
        <w:rPr>
          <w:rFonts w:eastAsia="Times New Roman"/>
          <w:color w:val="0E101A"/>
        </w:rPr>
        <w:t>)</w:t>
      </w:r>
      <w:r w:rsidR="00981750">
        <w:rPr>
          <w:rFonts w:eastAsia="Times New Roman"/>
          <w:color w:val="0E101A"/>
        </w:rPr>
        <w:t>—</w:t>
      </w:r>
      <w:r w:rsidRPr="00AA24D3">
        <w:rPr>
          <w:rFonts w:eastAsia="Times New Roman"/>
          <w:color w:val="0E101A"/>
        </w:rPr>
        <w:t xml:space="preserve">a mitochondrial uncoupling agent is injected to understand the cell energy potential. The injection of </w:t>
      </w:r>
      <w:r w:rsidR="005B00D9" w:rsidRPr="00AA24D3">
        <w:rPr>
          <w:rFonts w:eastAsia="Times New Roman"/>
          <w:color w:val="0E101A"/>
        </w:rPr>
        <w:t>o</w:t>
      </w:r>
      <w:r w:rsidRPr="00AA24D3">
        <w:rPr>
          <w:rFonts w:eastAsia="Times New Roman"/>
          <w:color w:val="0E101A"/>
        </w:rPr>
        <w:t>ligomycin</w:t>
      </w:r>
      <w:r w:rsidR="00754782" w:rsidRPr="00AA24D3">
        <w:rPr>
          <w:rFonts w:eastAsia="Times New Roman"/>
          <w:color w:val="0E101A"/>
        </w:rPr>
        <w:t xml:space="preserve"> A</w:t>
      </w:r>
      <w:r w:rsidRPr="00AA24D3">
        <w:rPr>
          <w:rFonts w:eastAsia="Times New Roman"/>
          <w:color w:val="0E101A"/>
        </w:rPr>
        <w:t xml:space="preserve"> inhibits the synthesis of ATP, resulting in an increase in the rate of glycolysis (ECAR) to enable the cells to meet their energy demands; on the other hand, the injection of FCCP results in higher OCR due to depolarization of the mitochondrial membrane. Essentially, this assay depicts basal metabolic respiration, and following the dual injections, pushes</w:t>
      </w:r>
      <w:r w:rsidR="00754782" w:rsidRPr="00AA24D3">
        <w:rPr>
          <w:rFonts w:eastAsia="Times New Roman"/>
          <w:color w:val="0E101A"/>
        </w:rPr>
        <w:t>,</w:t>
      </w:r>
      <w:r w:rsidRPr="00AA24D3">
        <w:rPr>
          <w:rFonts w:eastAsia="Times New Roman"/>
          <w:color w:val="0E101A"/>
        </w:rPr>
        <w:t xml:space="preserve"> or </w:t>
      </w:r>
      <w:r w:rsidR="00754782" w:rsidRPr="00AA24D3">
        <w:rPr>
          <w:rFonts w:eastAsia="Times New Roman"/>
          <w:color w:val="0E101A"/>
        </w:rPr>
        <w:t>stresses</w:t>
      </w:r>
      <w:r w:rsidR="00746913">
        <w:rPr>
          <w:rFonts w:eastAsia="Times New Roman"/>
          <w:color w:val="0E101A"/>
        </w:rPr>
        <w:t>,</w:t>
      </w:r>
      <w:r w:rsidR="00754782" w:rsidRPr="00AA24D3">
        <w:rPr>
          <w:rFonts w:eastAsia="Times New Roman"/>
          <w:color w:val="0E101A"/>
        </w:rPr>
        <w:t xml:space="preserve"> </w:t>
      </w:r>
      <w:r w:rsidRPr="00AA24D3">
        <w:rPr>
          <w:rFonts w:eastAsia="Times New Roman"/>
          <w:color w:val="0E101A"/>
        </w:rPr>
        <w:t xml:space="preserve">the metabolic response. Based on these parameters, the </w:t>
      </w:r>
      <w:r w:rsidR="00412975" w:rsidRPr="00AA24D3">
        <w:rPr>
          <w:rFonts w:eastAsia="Times New Roman"/>
          <w:color w:val="0E101A"/>
        </w:rPr>
        <w:t>s</w:t>
      </w:r>
      <w:r w:rsidRPr="00AA24D3">
        <w:rPr>
          <w:rFonts w:eastAsia="Times New Roman"/>
          <w:color w:val="0E101A"/>
        </w:rPr>
        <w:t xml:space="preserve">oftware then plots OCR and ECAR of the cells by classifying the cells as </w:t>
      </w:r>
      <w:r w:rsidR="00F66300" w:rsidRPr="00AA24D3">
        <w:rPr>
          <w:rFonts w:eastAsia="Times New Roman"/>
          <w:color w:val="0E101A"/>
        </w:rPr>
        <w:t>a</w:t>
      </w:r>
      <w:r w:rsidRPr="00AA24D3">
        <w:rPr>
          <w:rFonts w:eastAsia="Times New Roman"/>
          <w:color w:val="0E101A"/>
        </w:rPr>
        <w:t xml:space="preserve">erobic, </w:t>
      </w:r>
      <w:r w:rsidR="00F66300" w:rsidRPr="00AA24D3">
        <w:rPr>
          <w:rFonts w:eastAsia="Times New Roman"/>
          <w:color w:val="0E101A"/>
        </w:rPr>
        <w:t>q</w:t>
      </w:r>
      <w:r w:rsidRPr="00AA24D3">
        <w:rPr>
          <w:rFonts w:eastAsia="Times New Roman"/>
          <w:color w:val="0E101A"/>
        </w:rPr>
        <w:t xml:space="preserve">uiescent, </w:t>
      </w:r>
      <w:r w:rsidR="00F66300" w:rsidRPr="00AA24D3">
        <w:rPr>
          <w:rFonts w:eastAsia="Times New Roman"/>
          <w:color w:val="0E101A"/>
        </w:rPr>
        <w:t>g</w:t>
      </w:r>
      <w:r w:rsidRPr="00AA24D3">
        <w:rPr>
          <w:rFonts w:eastAsia="Times New Roman"/>
          <w:color w:val="0E101A"/>
        </w:rPr>
        <w:t>lycolytic, or energetic state over time</w:t>
      </w:r>
      <w:r w:rsidR="00457EAD">
        <w:rPr>
          <w:rFonts w:eastAsia="Times New Roman"/>
          <w:color w:val="0E101A"/>
        </w:rPr>
        <w:fldChar w:fldCharType="begin" w:fldLock="1"/>
      </w:r>
      <w:r w:rsidR="00A613B2">
        <w:rPr>
          <w:rFonts w:eastAsia="Times New Roman"/>
          <w:color w:val="0E101A"/>
        </w:rPr>
        <w:instrText>ADDIN CSL_CITATION {"citationItems":[{"id":"ITEM-1","itemData":{"URL":"https://www.agilent.com/en/product/cell-analysis/real-time-cell-metabolic-analysis/xf-assay-kits-reagents-cell-assay-media/seahorse-xf-cell-energy-phenotype-test-kit-740884","id":"ITEM-1","issued":{"date-parts":[["0"]]},"title":"XF Cell energy phenotype Test","type":"webpage"},"uris":["http://www.mendeley.com/documents/?uuid=8c4f99ec-c1eb-4e12-bf74-f954bfcc6dab"]},{"id":"ITEM-2","itemData":{"DOI":"https://doi.org/10.1007/978-1-4939-7498-6_22","author":[{"dropping-particle":"","family":"Leung","given":"D.T.H","non-dropping-particle":"","parse-names":false,"suffix":""},{"dropping-particle":"","family":"S","given":"Chu","non-dropping-particle":"","parse-names":false,"suffix":""}],"chapter-number":"vol 1710","container-title":"Preeclampsia","id":"ITEM-2","issued":{"date-parts":[["2018"]]},"page":"285-293","title":"Measurement of Oxidative Stress: Mitochondrial Function Using the Seahorse System","type":"chapter"},"uris":["http://www.mendeley.com/documents/?uuid=5653079f-d67d-47f4-9fe1-149b37816018"]}],"mendeley":{"formattedCitation":"&lt;sup&gt;25, 26&lt;/sup&gt;","plainTextFormattedCitation":"25, 26","previouslyFormattedCitation":"&lt;sup&gt;25, 26&lt;/sup&gt;"},"properties":{"noteIndex":0},"schema":"https://github.com/citation-style-language/schema/raw/master/csl-citation.json"}</w:instrText>
      </w:r>
      <w:r w:rsidR="00457EAD">
        <w:rPr>
          <w:rFonts w:eastAsia="Times New Roman"/>
          <w:color w:val="0E101A"/>
        </w:rPr>
        <w:fldChar w:fldCharType="separate"/>
      </w:r>
      <w:r w:rsidR="00A613B2" w:rsidRPr="00A613B2">
        <w:rPr>
          <w:rFonts w:eastAsia="Times New Roman"/>
          <w:noProof/>
          <w:color w:val="0E101A"/>
          <w:vertAlign w:val="superscript"/>
        </w:rPr>
        <w:t>25,26</w:t>
      </w:r>
      <w:r w:rsidR="00457EAD">
        <w:rPr>
          <w:rFonts w:eastAsia="Times New Roman"/>
          <w:color w:val="0E101A"/>
        </w:rPr>
        <w:fldChar w:fldCharType="end"/>
      </w:r>
      <w:r w:rsidRPr="00AA24D3">
        <w:rPr>
          <w:rFonts w:eastAsia="Times New Roman"/>
          <w:color w:val="0E101A"/>
        </w:rPr>
        <w:t>.</w:t>
      </w:r>
    </w:p>
    <w:p w14:paraId="1B6FB79B" w14:textId="77777777" w:rsidR="00F66300" w:rsidRPr="00AA24D3" w:rsidRDefault="00F66300" w:rsidP="00972F6D">
      <w:pPr>
        <w:widowControl/>
        <w:rPr>
          <w:rFonts w:eastAsia="Times New Roman"/>
          <w:color w:val="0E101A"/>
        </w:rPr>
      </w:pPr>
    </w:p>
    <w:p w14:paraId="1AF1F76F" w14:textId="6A3F2441" w:rsidR="002D546F" w:rsidRPr="00AA24D3" w:rsidRDefault="009A63CE" w:rsidP="00972F6D">
      <w:pPr>
        <w:widowControl/>
        <w:rPr>
          <w:bCs/>
          <w:color w:val="000000"/>
        </w:rPr>
      </w:pPr>
      <w:r w:rsidRPr="00111B61">
        <w:rPr>
          <w:rFonts w:eastAsia="Times New Roman"/>
          <w:color w:val="0E101A"/>
        </w:rPr>
        <w:t xml:space="preserve">ATP </w:t>
      </w:r>
      <w:r w:rsidR="00F66300" w:rsidRPr="00AA24D3">
        <w:rPr>
          <w:rFonts w:eastAsia="Times New Roman"/>
          <w:color w:val="0E101A"/>
        </w:rPr>
        <w:t>r</w:t>
      </w:r>
      <w:r w:rsidRPr="00111B61">
        <w:rPr>
          <w:rFonts w:eastAsia="Times New Roman"/>
          <w:color w:val="0E101A"/>
        </w:rPr>
        <w:t>eal-</w:t>
      </w:r>
      <w:r w:rsidR="00F66300" w:rsidRPr="00AA24D3">
        <w:rPr>
          <w:rFonts w:eastAsia="Times New Roman"/>
          <w:color w:val="0E101A"/>
        </w:rPr>
        <w:t>t</w:t>
      </w:r>
      <w:r w:rsidRPr="00111B61">
        <w:rPr>
          <w:rFonts w:eastAsia="Times New Roman"/>
          <w:color w:val="0E101A"/>
        </w:rPr>
        <w:t xml:space="preserve">ime production </w:t>
      </w:r>
      <w:r w:rsidR="00F66300" w:rsidRPr="00AA24D3">
        <w:rPr>
          <w:rFonts w:eastAsia="Times New Roman"/>
          <w:color w:val="0E101A"/>
        </w:rPr>
        <w:t>r</w:t>
      </w:r>
      <w:r w:rsidRPr="00111B61">
        <w:rPr>
          <w:rFonts w:eastAsia="Times New Roman"/>
          <w:color w:val="0E101A"/>
        </w:rPr>
        <w:t>ate</w:t>
      </w:r>
      <w:r w:rsidR="00981750">
        <w:rPr>
          <w:rFonts w:eastAsia="Times New Roman"/>
          <w:color w:val="0E101A"/>
        </w:rPr>
        <w:t xml:space="preserve"> </w:t>
      </w:r>
      <w:r w:rsidRPr="00111B61">
        <w:rPr>
          <w:rFonts w:eastAsia="Times New Roman"/>
          <w:color w:val="0E101A"/>
        </w:rPr>
        <w:t>assay</w:t>
      </w:r>
      <w:r w:rsidR="00981750">
        <w:rPr>
          <w:rFonts w:eastAsia="Times New Roman"/>
          <w:color w:val="0E101A"/>
        </w:rPr>
        <w:t xml:space="preserve">: </w:t>
      </w:r>
      <w:r w:rsidR="00F66300" w:rsidRPr="00AA24D3">
        <w:rPr>
          <w:rFonts w:eastAsia="Times New Roman"/>
          <w:color w:val="0E101A"/>
        </w:rPr>
        <w:t>This m</w:t>
      </w:r>
      <w:r w:rsidRPr="00AA24D3">
        <w:rPr>
          <w:rFonts w:eastAsia="Times New Roman"/>
          <w:color w:val="0E101A"/>
        </w:rPr>
        <w:t>easures the cellular ATP production simultaneously from glycolysis and mitochondrial respiration. This assay quantitatively measures the metabolic shifts from the two energy pathways and provides data on the mitochondrial and glycolytic ATP production rates over time. The assay obtains basal OCR and ECAR data followed by calculati</w:t>
      </w:r>
      <w:r w:rsidR="00746913">
        <w:rPr>
          <w:rFonts w:eastAsia="Times New Roman"/>
          <w:color w:val="0E101A"/>
        </w:rPr>
        <w:t>ng</w:t>
      </w:r>
      <w:r w:rsidRPr="00AA24D3">
        <w:rPr>
          <w:rFonts w:eastAsia="Times New Roman"/>
          <w:color w:val="0E101A"/>
        </w:rPr>
        <w:t xml:space="preserve"> mitochondrial ATP production </w:t>
      </w:r>
      <w:r w:rsidR="007F0293" w:rsidRPr="00AA24D3">
        <w:rPr>
          <w:rFonts w:eastAsia="Times New Roman"/>
          <w:color w:val="0E101A"/>
        </w:rPr>
        <w:t>r</w:t>
      </w:r>
      <w:r w:rsidRPr="00AA24D3">
        <w:rPr>
          <w:rFonts w:eastAsia="Times New Roman"/>
          <w:color w:val="0E101A"/>
        </w:rPr>
        <w:t xml:space="preserve">ate through injection of </w:t>
      </w:r>
      <w:r w:rsidR="007F0293" w:rsidRPr="00AA24D3">
        <w:rPr>
          <w:rFonts w:eastAsia="Times New Roman"/>
          <w:color w:val="0E101A"/>
        </w:rPr>
        <w:t>o</w:t>
      </w:r>
      <w:r w:rsidRPr="00AA24D3">
        <w:rPr>
          <w:rFonts w:eastAsia="Times New Roman"/>
          <w:color w:val="0E101A"/>
        </w:rPr>
        <w:t>ligomycin</w:t>
      </w:r>
      <w:r w:rsidR="002D4FC1">
        <w:rPr>
          <w:rFonts w:eastAsia="Times New Roman"/>
          <w:color w:val="0E101A"/>
        </w:rPr>
        <w:t xml:space="preserve"> A</w:t>
      </w:r>
      <w:r w:rsidRPr="00AA24D3">
        <w:rPr>
          <w:rFonts w:eastAsia="Times New Roman"/>
          <w:color w:val="0E101A"/>
        </w:rPr>
        <w:t xml:space="preserve"> and glycolytic ATP production rate through injection of </w:t>
      </w:r>
      <w:r w:rsidR="007F0293" w:rsidRPr="00AA24D3">
        <w:rPr>
          <w:rFonts w:eastAsia="Times New Roman"/>
          <w:color w:val="0E101A"/>
        </w:rPr>
        <w:t>r</w:t>
      </w:r>
      <w:r w:rsidRPr="00AA24D3">
        <w:rPr>
          <w:rFonts w:eastAsia="Times New Roman"/>
          <w:color w:val="0E101A"/>
        </w:rPr>
        <w:t xml:space="preserve">otenone + </w:t>
      </w:r>
      <w:r w:rsidR="007F0293" w:rsidRPr="00AA24D3">
        <w:rPr>
          <w:rFonts w:eastAsia="Times New Roman"/>
          <w:color w:val="0E101A"/>
        </w:rPr>
        <w:t>a</w:t>
      </w:r>
      <w:r w:rsidRPr="00AA24D3">
        <w:rPr>
          <w:rFonts w:eastAsia="Times New Roman"/>
          <w:color w:val="0E101A"/>
        </w:rPr>
        <w:t>ntimycin A mixture (total inhibition of mitochondrial function), resulting in mitochondrial acidification</w:t>
      </w:r>
      <w:r w:rsidR="00E65807" w:rsidRPr="00AA24D3">
        <w:rPr>
          <w:rFonts w:eastAsia="Times New Roman"/>
          <w:color w:val="0E101A"/>
        </w:rPr>
        <w:fldChar w:fldCharType="begin" w:fldLock="1"/>
      </w:r>
      <w:r w:rsidR="00A613B2">
        <w:rPr>
          <w:rFonts w:eastAsia="Times New Roman"/>
          <w:color w:val="0E101A"/>
        </w:rPr>
        <w:instrText>ADDIN CSL_CITATION {"citationItems":[{"id":"ITEM-1","itemData":{"author":[{"dropping-particle":"","family":"Romero","given":"N.","non-dropping-particle":"","parse-names":false,"suffix":""},{"dropping-particle":"","family":"Rogers","given":"G.","non-dropping-particle":"","parse-names":false,"suffix":""},{"dropping-particle":"","family":"Neilson","given":"Andy","non-dropping-particle":"","parse-names":false,"suffix":""},{"dropping-particle":"","family":"Dranka","given":"B.","non-dropping-particle":"","parse-names":false,"suffix":""}],"id":"ITEM-1","issued":{"date-parts":[["2018"]]},"title":"Quantifying Cellular ATP Production Rate Using Agilent Seahorse XF Technology","type":"article-journal"},"uris":["http://www.mendeley.com/documents/?uuid=78e4018c-9807-3253-b093-3ae26167db75"]},{"id":"ITEM-2","itemData":{"URL":"https://www.agilent.com/en/product/cell-analysis/real-time-cell-metabolic-analysis/xf-assay-kits-reagents-cell-assay-media/seahorse-xf-real-time-atp-rate-assay-kit-740889","id":"ITEM-2","issued":{"date-parts":[["0"]]},"title":"XF ATP Rate assay","type":"webpage"},"uris":["http://www.mendeley.com/documents/?uuid=2f4b37f7-4715-46e3-92cf-2fd353298628"]}],"mendeley":{"formattedCitation":"&lt;sup&gt;17, 27&lt;/sup&gt;","plainTextFormattedCitation":"17, 27","previouslyFormattedCitation":"&lt;sup&gt;17, 27&lt;/sup&gt;"},"properties":{"noteIndex":0},"schema":"https://github.com/citation-style-language/schema/raw/master/csl-citation.json"}</w:instrText>
      </w:r>
      <w:r w:rsidR="00E65807" w:rsidRPr="00AA24D3">
        <w:rPr>
          <w:rFonts w:eastAsia="Times New Roman"/>
          <w:color w:val="0E101A"/>
        </w:rPr>
        <w:fldChar w:fldCharType="separate"/>
      </w:r>
      <w:r w:rsidR="00A613B2" w:rsidRPr="00A613B2">
        <w:rPr>
          <w:rFonts w:eastAsia="Times New Roman"/>
          <w:noProof/>
          <w:color w:val="0E101A"/>
          <w:vertAlign w:val="superscript"/>
        </w:rPr>
        <w:t>17,27</w:t>
      </w:r>
      <w:r w:rsidR="00E65807" w:rsidRPr="00AA24D3">
        <w:rPr>
          <w:rFonts w:eastAsia="Times New Roman"/>
          <w:color w:val="0E101A"/>
        </w:rPr>
        <w:fldChar w:fldCharType="end"/>
      </w:r>
      <w:r w:rsidR="005C16C6" w:rsidRPr="00AA24D3">
        <w:rPr>
          <w:bCs/>
          <w:color w:val="000000"/>
        </w:rPr>
        <w:t>.</w:t>
      </w:r>
    </w:p>
    <w:p w14:paraId="315641E5" w14:textId="77777777" w:rsidR="007F0293" w:rsidRPr="00AA24D3" w:rsidRDefault="007F0293" w:rsidP="00972F6D">
      <w:pPr>
        <w:widowControl/>
        <w:rPr>
          <w:bCs/>
          <w:color w:val="000000"/>
        </w:rPr>
      </w:pPr>
    </w:p>
    <w:p w14:paraId="1AC9539F" w14:textId="73D763F1" w:rsidR="009A63CE" w:rsidRPr="00AA24D3" w:rsidRDefault="009A63CE" w:rsidP="00972F6D">
      <w:pPr>
        <w:pStyle w:val="NormalWeb"/>
        <w:spacing w:before="0" w:beforeAutospacing="0" w:after="0" w:afterAutospacing="0"/>
        <w:jc w:val="both"/>
        <w:rPr>
          <w:rFonts w:ascii="Calibri" w:hAnsi="Calibri" w:cs="Calibri"/>
          <w:color w:val="0E101A"/>
        </w:rPr>
      </w:pPr>
      <w:r w:rsidRPr="00111B61">
        <w:rPr>
          <w:rStyle w:val="Strong"/>
          <w:rFonts w:ascii="Calibri" w:hAnsi="Calibri" w:cs="Calibri"/>
          <w:b w:val="0"/>
          <w:bCs w:val="0"/>
          <w:color w:val="0E101A"/>
        </w:rPr>
        <w:t xml:space="preserve">Cell </w:t>
      </w:r>
      <w:r w:rsidR="000D5768" w:rsidRPr="00120856">
        <w:rPr>
          <w:rStyle w:val="Strong"/>
          <w:rFonts w:ascii="Calibri" w:hAnsi="Calibri" w:cs="Calibri"/>
          <w:b w:val="0"/>
          <w:bCs w:val="0"/>
          <w:color w:val="0E101A"/>
        </w:rPr>
        <w:t>m</w:t>
      </w:r>
      <w:r w:rsidRPr="00111B61">
        <w:rPr>
          <w:rStyle w:val="Strong"/>
          <w:rFonts w:ascii="Calibri" w:hAnsi="Calibri" w:cs="Calibri"/>
          <w:b w:val="0"/>
          <w:bCs w:val="0"/>
          <w:color w:val="0E101A"/>
        </w:rPr>
        <w:t>ito</w:t>
      </w:r>
      <w:r w:rsidR="00060178">
        <w:rPr>
          <w:rStyle w:val="Strong"/>
          <w:rFonts w:ascii="Calibri" w:hAnsi="Calibri" w:cs="Calibri"/>
          <w:b w:val="0"/>
          <w:bCs w:val="0"/>
          <w:color w:val="0E101A"/>
        </w:rPr>
        <w:t>chondria</w:t>
      </w:r>
      <w:r w:rsidR="00746913">
        <w:rPr>
          <w:rStyle w:val="Strong"/>
          <w:rFonts w:ascii="Calibri" w:hAnsi="Calibri" w:cs="Calibri"/>
          <w:b w:val="0"/>
          <w:bCs w:val="0"/>
          <w:color w:val="0E101A"/>
        </w:rPr>
        <w:t xml:space="preserve"> </w:t>
      </w:r>
      <w:r w:rsidRPr="00111B61">
        <w:rPr>
          <w:rStyle w:val="Strong"/>
          <w:rFonts w:ascii="Calibri" w:hAnsi="Calibri" w:cs="Calibri"/>
          <w:b w:val="0"/>
          <w:bCs w:val="0"/>
          <w:color w:val="0E101A"/>
        </w:rPr>
        <w:t>stress test</w:t>
      </w:r>
      <w:r w:rsidR="00060178">
        <w:rPr>
          <w:rStyle w:val="Strong"/>
          <w:rFonts w:ascii="Calibri" w:hAnsi="Calibri" w:cs="Calibri"/>
          <w:b w:val="0"/>
          <w:bCs w:val="0"/>
          <w:color w:val="0E101A"/>
        </w:rPr>
        <w:t xml:space="preserve"> (or cell </w:t>
      </w:r>
      <w:proofErr w:type="spellStart"/>
      <w:r w:rsidR="00060178">
        <w:rPr>
          <w:rStyle w:val="Strong"/>
          <w:rFonts w:ascii="Calibri" w:hAnsi="Calibri" w:cs="Calibri"/>
          <w:b w:val="0"/>
          <w:bCs w:val="0"/>
          <w:color w:val="0E101A"/>
        </w:rPr>
        <w:t>mito</w:t>
      </w:r>
      <w:proofErr w:type="spellEnd"/>
      <w:r w:rsidR="00060178">
        <w:rPr>
          <w:rStyle w:val="Strong"/>
          <w:rFonts w:ascii="Calibri" w:hAnsi="Calibri" w:cs="Calibri"/>
          <w:b w:val="0"/>
          <w:bCs w:val="0"/>
          <w:color w:val="0E101A"/>
        </w:rPr>
        <w:t xml:space="preserve"> stress test)</w:t>
      </w:r>
      <w:r w:rsidR="00981750">
        <w:rPr>
          <w:rStyle w:val="Strong"/>
          <w:rFonts w:ascii="Calibri" w:hAnsi="Calibri" w:cs="Calibri"/>
          <w:b w:val="0"/>
          <w:bCs w:val="0"/>
          <w:color w:val="0E101A"/>
        </w:rPr>
        <w:t xml:space="preserve">: </w:t>
      </w:r>
      <w:r w:rsidR="00E776E4">
        <w:rPr>
          <w:rStyle w:val="Strong"/>
          <w:rFonts w:ascii="Calibri" w:hAnsi="Calibri" w:cs="Calibri"/>
          <w:b w:val="0"/>
          <w:bCs w:val="0"/>
          <w:color w:val="0E101A"/>
        </w:rPr>
        <w:t xml:space="preserve">This </w:t>
      </w:r>
      <w:r w:rsidR="00746913">
        <w:rPr>
          <w:rFonts w:ascii="Calibri" w:hAnsi="Calibri" w:cs="Calibri"/>
          <w:bCs/>
          <w:color w:val="0E101A"/>
        </w:rPr>
        <w:t>measures the mitochondrial function through ATP-linked respiration, quantifies cellular bioenergetics, identifies mitochondrial dysfunction, and measures</w:t>
      </w:r>
      <w:r w:rsidRPr="00AA24D3">
        <w:rPr>
          <w:rFonts w:ascii="Calibri" w:hAnsi="Calibri" w:cs="Calibri"/>
          <w:color w:val="0E101A"/>
        </w:rPr>
        <w:t xml:space="preserve"> </w:t>
      </w:r>
      <w:r w:rsidR="00754782" w:rsidRPr="00AA24D3">
        <w:rPr>
          <w:rFonts w:ascii="Calibri" w:hAnsi="Calibri" w:cs="Calibri"/>
          <w:color w:val="0E101A"/>
        </w:rPr>
        <w:t>cells</w:t>
      </w:r>
      <w:r w:rsidR="00732534">
        <w:rPr>
          <w:rFonts w:ascii="Calibri" w:hAnsi="Calibri" w:cs="Calibri"/>
          <w:color w:val="0E101A"/>
        </w:rPr>
        <w:t>'</w:t>
      </w:r>
      <w:r w:rsidR="00754782" w:rsidRPr="00AA24D3">
        <w:rPr>
          <w:rFonts w:ascii="Calibri" w:hAnsi="Calibri" w:cs="Calibri"/>
          <w:color w:val="0E101A"/>
        </w:rPr>
        <w:t xml:space="preserve"> </w:t>
      </w:r>
      <w:r w:rsidRPr="00AA24D3">
        <w:rPr>
          <w:rFonts w:ascii="Calibri" w:hAnsi="Calibri" w:cs="Calibri"/>
          <w:color w:val="0E101A"/>
        </w:rPr>
        <w:t xml:space="preserve">response to stress. Various parameters, including basal and spare respiratory capacity, ATP-linked respiration, </w:t>
      </w:r>
      <w:r w:rsidR="00AC6E76" w:rsidRPr="00AA24D3">
        <w:rPr>
          <w:rFonts w:ascii="Calibri" w:hAnsi="Calibri" w:cs="Calibri"/>
          <w:color w:val="0E101A"/>
        </w:rPr>
        <w:t>m</w:t>
      </w:r>
      <w:r w:rsidRPr="00AA24D3">
        <w:rPr>
          <w:rFonts w:ascii="Calibri" w:hAnsi="Calibri" w:cs="Calibri"/>
          <w:color w:val="0E101A"/>
        </w:rPr>
        <w:t>aximal respiration, and non</w:t>
      </w:r>
      <w:r w:rsidR="00981750">
        <w:rPr>
          <w:rFonts w:ascii="Calibri" w:hAnsi="Calibri" w:cs="Calibri"/>
          <w:color w:val="0E101A"/>
        </w:rPr>
        <w:t>-</w:t>
      </w:r>
      <w:r w:rsidRPr="00AA24D3">
        <w:rPr>
          <w:rFonts w:ascii="Calibri" w:hAnsi="Calibri" w:cs="Calibri"/>
          <w:color w:val="0E101A"/>
        </w:rPr>
        <w:t xml:space="preserve">mitochondrial oxygen consumption, can be obtained in one assay. This assay involves serial injections of </w:t>
      </w:r>
      <w:r w:rsidR="00AC6E76" w:rsidRPr="00AA24D3">
        <w:rPr>
          <w:rFonts w:ascii="Calibri" w:hAnsi="Calibri" w:cs="Calibri"/>
          <w:color w:val="0E101A"/>
        </w:rPr>
        <w:t>o</w:t>
      </w:r>
      <w:r w:rsidRPr="00AA24D3">
        <w:rPr>
          <w:rFonts w:ascii="Calibri" w:hAnsi="Calibri" w:cs="Calibri"/>
          <w:color w:val="0E101A"/>
        </w:rPr>
        <w:t xml:space="preserve">ligomycin </w:t>
      </w:r>
      <w:r w:rsidR="00247235">
        <w:rPr>
          <w:rFonts w:ascii="Calibri" w:hAnsi="Calibri" w:cs="Calibri"/>
          <w:color w:val="0E101A"/>
        </w:rPr>
        <w:t>A</w:t>
      </w:r>
      <w:r w:rsidRPr="00AA24D3">
        <w:rPr>
          <w:rFonts w:ascii="Calibri" w:hAnsi="Calibri" w:cs="Calibri"/>
          <w:color w:val="0E101A"/>
        </w:rPr>
        <w:t>, FCCP (</w:t>
      </w:r>
      <w:r w:rsidR="00B16045" w:rsidRPr="00AA24D3">
        <w:rPr>
          <w:rFonts w:ascii="Calibri" w:hAnsi="Calibri" w:cs="Calibri"/>
          <w:color w:val="0E101A"/>
        </w:rPr>
        <w:t>m</w:t>
      </w:r>
      <w:r w:rsidRPr="00AA24D3">
        <w:rPr>
          <w:rFonts w:ascii="Calibri" w:hAnsi="Calibri" w:cs="Calibri"/>
          <w:color w:val="0E101A"/>
        </w:rPr>
        <w:t xml:space="preserve">itochondrial uncoupling agent), </w:t>
      </w:r>
      <w:r w:rsidR="00AC6E76" w:rsidRPr="00AA24D3">
        <w:rPr>
          <w:rFonts w:ascii="Calibri" w:hAnsi="Calibri" w:cs="Calibri"/>
          <w:color w:val="0E101A"/>
        </w:rPr>
        <w:t>r</w:t>
      </w:r>
      <w:r w:rsidRPr="00AA24D3">
        <w:rPr>
          <w:rFonts w:ascii="Calibri" w:hAnsi="Calibri" w:cs="Calibri"/>
          <w:color w:val="0E101A"/>
        </w:rPr>
        <w:t>otenone/</w:t>
      </w:r>
      <w:r w:rsidR="00AC6E76" w:rsidRPr="00AA24D3">
        <w:rPr>
          <w:rFonts w:ascii="Calibri" w:hAnsi="Calibri" w:cs="Calibri"/>
          <w:color w:val="0E101A"/>
        </w:rPr>
        <w:t>a</w:t>
      </w:r>
      <w:r w:rsidRPr="00AA24D3">
        <w:rPr>
          <w:rFonts w:ascii="Calibri" w:hAnsi="Calibri" w:cs="Calibri"/>
          <w:color w:val="0E101A"/>
        </w:rPr>
        <w:t xml:space="preserve">ntimycin A mixture inhibitors to efficiently analyze the effect </w:t>
      </w:r>
      <w:r w:rsidR="00996F67">
        <w:rPr>
          <w:rFonts w:ascii="Calibri" w:hAnsi="Calibri" w:cs="Calibri"/>
          <w:color w:val="0E101A"/>
        </w:rPr>
        <w:t xml:space="preserve">of these </w:t>
      </w:r>
      <w:r w:rsidRPr="00AA24D3">
        <w:rPr>
          <w:rFonts w:ascii="Calibri" w:hAnsi="Calibri" w:cs="Calibri"/>
          <w:color w:val="0E101A"/>
        </w:rPr>
        <w:t xml:space="preserve">on </w:t>
      </w:r>
      <w:r w:rsidR="00981750">
        <w:rPr>
          <w:rFonts w:ascii="Calibri" w:hAnsi="Calibri" w:cs="Calibri"/>
          <w:color w:val="0E101A"/>
        </w:rPr>
        <w:t xml:space="preserve">the </w:t>
      </w:r>
      <w:r w:rsidRPr="00AA24D3">
        <w:rPr>
          <w:rFonts w:ascii="Calibri" w:hAnsi="Calibri" w:cs="Calibri"/>
          <w:color w:val="0E101A"/>
        </w:rPr>
        <w:t>mitochondrial function</w:t>
      </w:r>
      <w:r w:rsidR="00457EAD">
        <w:rPr>
          <w:rFonts w:ascii="Calibri" w:hAnsi="Calibri" w:cs="Calibri"/>
          <w:color w:val="0E101A"/>
        </w:rPr>
        <w:fldChar w:fldCharType="begin" w:fldLock="1"/>
      </w:r>
      <w:r w:rsidR="00A613B2">
        <w:rPr>
          <w:rFonts w:ascii="Calibri" w:hAnsi="Calibri" w:cs="Calibri"/>
          <w:color w:val="0E101A"/>
        </w:rPr>
        <w:instrText>ADDIN CSL_CITATION {"citationItems":[{"id":"ITEM-1","itemData":{"URL":"https://www.agilent.com/en/product/cell-analysis/real-time-cell-metabolic-analysis/xf-assay-kits-reagents-cell-assay-media/seahorse-xf-cell-mito-stress-test-kit-740885","id":"ITEM-1","issued":{"date-parts":[["0"]]},"title":"XF Cell Mito Stress Test","type":"webpage"},"uris":["http://www.mendeley.com/documents/?uuid=b617a70e-01bf-48e7-9a01-dc57226a46c3"]}],"mendeley":{"formattedCitation":"&lt;sup&gt;28&lt;/sup&gt;","plainTextFormattedCitation":"28","previouslyFormattedCitation":"&lt;sup&gt;28&lt;/sup&gt;"},"properties":{"noteIndex":0},"schema":"https://github.com/citation-style-language/schema/raw/master/csl-citation.json"}</w:instrText>
      </w:r>
      <w:r w:rsidR="00457EAD">
        <w:rPr>
          <w:rFonts w:ascii="Calibri" w:hAnsi="Calibri" w:cs="Calibri"/>
          <w:color w:val="0E101A"/>
        </w:rPr>
        <w:fldChar w:fldCharType="separate"/>
      </w:r>
      <w:r w:rsidR="00A613B2" w:rsidRPr="00A613B2">
        <w:rPr>
          <w:rFonts w:ascii="Calibri" w:hAnsi="Calibri" w:cs="Calibri"/>
          <w:noProof/>
          <w:color w:val="0E101A"/>
          <w:vertAlign w:val="superscript"/>
        </w:rPr>
        <w:t>28</w:t>
      </w:r>
      <w:r w:rsidR="00457EAD">
        <w:rPr>
          <w:rFonts w:ascii="Calibri" w:hAnsi="Calibri" w:cs="Calibri"/>
          <w:color w:val="0E101A"/>
        </w:rPr>
        <w:fldChar w:fldCharType="end"/>
      </w:r>
      <w:r w:rsidRPr="00AA24D3">
        <w:rPr>
          <w:rFonts w:ascii="Calibri" w:hAnsi="Calibri" w:cs="Calibri"/>
          <w:color w:val="0E101A"/>
        </w:rPr>
        <w:t>.</w:t>
      </w:r>
    </w:p>
    <w:p w14:paraId="21297854" w14:textId="77777777" w:rsidR="00AC6E76" w:rsidRPr="00AA24D3" w:rsidRDefault="00AC6E76" w:rsidP="00972F6D">
      <w:pPr>
        <w:pStyle w:val="NormalWeb"/>
        <w:spacing w:before="0" w:beforeAutospacing="0" w:after="0" w:afterAutospacing="0"/>
        <w:jc w:val="both"/>
        <w:rPr>
          <w:rFonts w:ascii="Calibri" w:hAnsi="Calibri" w:cs="Calibri"/>
          <w:color w:val="0E101A"/>
        </w:rPr>
      </w:pPr>
    </w:p>
    <w:p w14:paraId="65F6CEB8" w14:textId="4564DDBC" w:rsidR="009A63CE" w:rsidRPr="00AA24D3" w:rsidRDefault="009A63CE" w:rsidP="00972F6D">
      <w:pPr>
        <w:pStyle w:val="NormalWeb"/>
        <w:spacing w:before="0" w:beforeAutospacing="0" w:after="0" w:afterAutospacing="0"/>
        <w:jc w:val="both"/>
        <w:rPr>
          <w:rFonts w:ascii="Calibri" w:hAnsi="Calibri" w:cs="Calibri"/>
          <w:color w:val="0E101A"/>
        </w:rPr>
      </w:pPr>
      <w:r w:rsidRPr="00972F6D">
        <w:rPr>
          <w:rStyle w:val="Strong"/>
          <w:rFonts w:ascii="Calibri" w:hAnsi="Calibri" w:cs="Calibri"/>
          <w:b w:val="0"/>
          <w:bCs w:val="0"/>
          <w:color w:val="0E101A"/>
        </w:rPr>
        <w:t>Flexibility</w:t>
      </w:r>
      <w:r w:rsidR="00981750">
        <w:rPr>
          <w:rStyle w:val="Strong"/>
          <w:rFonts w:ascii="Calibri" w:hAnsi="Calibri" w:cs="Calibri"/>
          <w:b w:val="0"/>
          <w:bCs w:val="0"/>
          <w:color w:val="0E101A"/>
        </w:rPr>
        <w:t xml:space="preserve"> </w:t>
      </w:r>
      <w:proofErr w:type="spellStart"/>
      <w:r w:rsidR="00AC6E76" w:rsidRPr="00972F6D">
        <w:rPr>
          <w:rStyle w:val="Strong"/>
          <w:rFonts w:ascii="Calibri" w:hAnsi="Calibri" w:cs="Calibri"/>
          <w:b w:val="0"/>
          <w:bCs w:val="0"/>
          <w:color w:val="0E101A"/>
        </w:rPr>
        <w:t>m</w:t>
      </w:r>
      <w:r w:rsidRPr="00972F6D">
        <w:rPr>
          <w:rStyle w:val="Strong"/>
          <w:rFonts w:ascii="Calibri" w:hAnsi="Calibri" w:cs="Calibri"/>
          <w:b w:val="0"/>
          <w:bCs w:val="0"/>
          <w:color w:val="0E101A"/>
        </w:rPr>
        <w:t>ito</w:t>
      </w:r>
      <w:proofErr w:type="spellEnd"/>
      <w:r w:rsidRPr="00972F6D">
        <w:rPr>
          <w:rStyle w:val="Strong"/>
          <w:rFonts w:ascii="Calibri" w:hAnsi="Calibri" w:cs="Calibri"/>
          <w:b w:val="0"/>
          <w:bCs w:val="0"/>
          <w:color w:val="0E101A"/>
        </w:rPr>
        <w:t xml:space="preserve"> </w:t>
      </w:r>
      <w:r w:rsidR="00AC6E76" w:rsidRPr="00972F6D">
        <w:rPr>
          <w:rStyle w:val="Strong"/>
          <w:rFonts w:ascii="Calibri" w:hAnsi="Calibri" w:cs="Calibri"/>
          <w:b w:val="0"/>
          <w:bCs w:val="0"/>
          <w:color w:val="0E101A"/>
        </w:rPr>
        <w:t>f</w:t>
      </w:r>
      <w:r w:rsidRPr="00972F6D">
        <w:rPr>
          <w:rStyle w:val="Strong"/>
          <w:rFonts w:ascii="Calibri" w:hAnsi="Calibri" w:cs="Calibri"/>
          <w:b w:val="0"/>
          <w:bCs w:val="0"/>
          <w:color w:val="0E101A"/>
        </w:rPr>
        <w:t xml:space="preserve">uel </w:t>
      </w:r>
      <w:r w:rsidR="00AC6E76" w:rsidRPr="00972F6D">
        <w:rPr>
          <w:rStyle w:val="Strong"/>
          <w:rFonts w:ascii="Calibri" w:hAnsi="Calibri" w:cs="Calibri"/>
          <w:b w:val="0"/>
          <w:bCs w:val="0"/>
          <w:color w:val="0E101A"/>
        </w:rPr>
        <w:t>f</w:t>
      </w:r>
      <w:r w:rsidRPr="00972F6D">
        <w:rPr>
          <w:rStyle w:val="Strong"/>
          <w:rFonts w:ascii="Calibri" w:hAnsi="Calibri" w:cs="Calibri"/>
          <w:b w:val="0"/>
          <w:bCs w:val="0"/>
          <w:color w:val="0E101A"/>
        </w:rPr>
        <w:t>lex test</w:t>
      </w:r>
      <w:r w:rsidR="00981750">
        <w:rPr>
          <w:rStyle w:val="Strong"/>
          <w:rFonts w:ascii="Calibri" w:hAnsi="Calibri" w:cs="Calibri"/>
          <w:b w:val="0"/>
          <w:bCs w:val="0"/>
          <w:color w:val="0E101A"/>
        </w:rPr>
        <w:t xml:space="preserve">: </w:t>
      </w:r>
      <w:r w:rsidR="00146F04" w:rsidRPr="004A3B77">
        <w:rPr>
          <w:rStyle w:val="Strong"/>
          <w:rFonts w:ascii="Calibri" w:hAnsi="Calibri" w:cs="Calibri"/>
          <w:b w:val="0"/>
          <w:bCs w:val="0"/>
          <w:color w:val="0E101A"/>
        </w:rPr>
        <w:t xml:space="preserve">This </w:t>
      </w:r>
      <w:r w:rsidRPr="00AA24D3">
        <w:rPr>
          <w:rFonts w:ascii="Calibri" w:hAnsi="Calibri" w:cs="Calibri"/>
          <w:color w:val="0E101A"/>
        </w:rPr>
        <w:t xml:space="preserve">measures the mitochondrial respiration rate by the oxidation of the three primary mitochondrial fuels by the presence and absence of their inhibitors. The sequential inhibition of glucose, glutamine, and </w:t>
      </w:r>
      <w:r w:rsidR="00167170" w:rsidRPr="00AA24D3">
        <w:rPr>
          <w:rFonts w:ascii="Calibri" w:hAnsi="Calibri" w:cs="Calibri"/>
          <w:color w:val="0E101A"/>
        </w:rPr>
        <w:t>f</w:t>
      </w:r>
      <w:r w:rsidRPr="00AA24D3">
        <w:rPr>
          <w:rFonts w:ascii="Calibri" w:hAnsi="Calibri" w:cs="Calibri"/>
          <w:color w:val="0E101A"/>
        </w:rPr>
        <w:t>atty acids aids in measuring the dependency, capacity, and flexibility of cells and the dependency of the cells in various cellular pathways to meet the energy demand.</w:t>
      </w:r>
      <w:r w:rsidR="00167170" w:rsidRPr="00AA24D3">
        <w:rPr>
          <w:rFonts w:ascii="Calibri" w:hAnsi="Calibri" w:cs="Calibri"/>
          <w:color w:val="0E101A"/>
        </w:rPr>
        <w:t xml:space="preserve"> </w:t>
      </w:r>
      <w:r w:rsidRPr="00AA24D3">
        <w:rPr>
          <w:rFonts w:ascii="Calibri" w:hAnsi="Calibri" w:cs="Calibri"/>
          <w:color w:val="0E101A"/>
        </w:rPr>
        <w:t xml:space="preserve">When the mitochondria cannot meet the demands of the blocked pathway of interest by oxidizing other fuels, the cells enter a dependency state. The capacity of the cells is calculated by inhibition of the other two alternative pathways followed by the </w:t>
      </w:r>
      <w:r w:rsidRPr="00AA24D3">
        <w:rPr>
          <w:rFonts w:ascii="Calibri" w:hAnsi="Calibri" w:cs="Calibri"/>
          <w:color w:val="0E101A"/>
        </w:rPr>
        <w:lastRenderedPageBreak/>
        <w:t>inhibition of the pathway of interest. The flexibility of cells helps in understanding the ability of mitochondria to compensate and meet the fuel needs of the inhibited pathway. It is calculated by subtracting the dependency of cells from the capacity of cells.</w:t>
      </w:r>
      <w:r w:rsidR="00981750">
        <w:rPr>
          <w:rFonts w:ascii="Calibri" w:hAnsi="Calibri" w:cs="Calibri"/>
          <w:color w:val="0E101A"/>
        </w:rPr>
        <w:t xml:space="preserve"> </w:t>
      </w:r>
      <w:r w:rsidRPr="00AA24D3">
        <w:rPr>
          <w:rFonts w:ascii="Calibri" w:hAnsi="Calibri" w:cs="Calibri"/>
          <w:color w:val="0E101A"/>
        </w:rPr>
        <w:t xml:space="preserve">Three different inhibitors are used independently or as a mixture of two to effectively calculate the assay parameters. </w:t>
      </w:r>
      <w:r w:rsidR="00F0113A" w:rsidRPr="00AA24D3">
        <w:rPr>
          <w:rFonts w:ascii="Calibri" w:hAnsi="Calibri" w:cs="Calibri"/>
          <w:color w:val="222222"/>
          <w:shd w:val="clear" w:color="auto" w:fill="FFFFFF"/>
        </w:rPr>
        <w:t>2-cyano-3-(1-phenyl-1H-indol-3-yl)-2-propenoic acid</w:t>
      </w:r>
      <w:r w:rsidR="00F0113A" w:rsidRPr="00AA24D3">
        <w:rPr>
          <w:rFonts w:ascii="Calibri" w:hAnsi="Calibri" w:cs="Calibri"/>
          <w:color w:val="0E101A"/>
        </w:rPr>
        <w:t xml:space="preserve"> (</w:t>
      </w:r>
      <w:r w:rsidRPr="00AA24D3">
        <w:rPr>
          <w:rFonts w:ascii="Calibri" w:hAnsi="Calibri" w:cs="Calibri"/>
          <w:color w:val="0E101A"/>
        </w:rPr>
        <w:t>UK5099</w:t>
      </w:r>
      <w:r w:rsidR="00F0113A" w:rsidRPr="00AA24D3">
        <w:rPr>
          <w:rFonts w:ascii="Calibri" w:hAnsi="Calibri" w:cs="Calibri"/>
          <w:color w:val="0E101A"/>
        </w:rPr>
        <w:t>)</w:t>
      </w:r>
      <w:r w:rsidR="00C54CA6" w:rsidRPr="00AA24D3">
        <w:rPr>
          <w:rFonts w:ascii="Calibri" w:hAnsi="Calibri" w:cs="Calibri"/>
          <w:color w:val="0E101A"/>
        </w:rPr>
        <w:t xml:space="preserve"> </w:t>
      </w:r>
      <w:r w:rsidRPr="00AA24D3">
        <w:rPr>
          <w:rFonts w:ascii="Calibri" w:hAnsi="Calibri" w:cs="Calibri"/>
          <w:color w:val="0E101A"/>
        </w:rPr>
        <w:t xml:space="preserve">inhibits the oxidation of glucose by blocking the pyruvate carrier in glycolysis. </w:t>
      </w:r>
      <w:r w:rsidR="00C54CA6" w:rsidRPr="00AA24D3">
        <w:rPr>
          <w:rFonts w:ascii="Calibri" w:hAnsi="Calibri" w:cs="Calibri"/>
          <w:color w:val="0E101A"/>
        </w:rPr>
        <w:t>Bis-2-(5-phenylacetamido-1,3,4-thiadiazol-2-yl)</w:t>
      </w:r>
      <w:r w:rsidR="00284DDA" w:rsidRPr="00AA24D3">
        <w:rPr>
          <w:rFonts w:ascii="Calibri" w:hAnsi="Calibri" w:cs="Calibri"/>
          <w:color w:val="0E101A"/>
        </w:rPr>
        <w:t xml:space="preserve"> </w:t>
      </w:r>
      <w:r w:rsidR="00F0113A" w:rsidRPr="00AA24D3">
        <w:rPr>
          <w:rFonts w:ascii="Calibri" w:hAnsi="Calibri" w:cs="Calibri"/>
          <w:color w:val="0E101A"/>
        </w:rPr>
        <w:t xml:space="preserve">(BPTES) </w:t>
      </w:r>
      <w:r w:rsidR="00C54CA6" w:rsidRPr="00AA24D3">
        <w:rPr>
          <w:rFonts w:ascii="Calibri" w:hAnsi="Calibri" w:cs="Calibri"/>
          <w:color w:val="0E101A"/>
        </w:rPr>
        <w:t>ethyl sulfide</w:t>
      </w:r>
      <w:r w:rsidR="00F0113A" w:rsidRPr="00AA24D3">
        <w:rPr>
          <w:rFonts w:ascii="Calibri" w:hAnsi="Calibri" w:cs="Calibri"/>
          <w:color w:val="0E101A"/>
        </w:rPr>
        <w:t xml:space="preserve"> </w:t>
      </w:r>
      <w:r w:rsidRPr="00AA24D3">
        <w:rPr>
          <w:rFonts w:ascii="Calibri" w:hAnsi="Calibri" w:cs="Calibri"/>
          <w:color w:val="0E101A"/>
        </w:rPr>
        <w:t xml:space="preserve">inhibits the glutamine oxidation pathway, and </w:t>
      </w:r>
      <w:r w:rsidR="00B16045" w:rsidRPr="00AA24D3">
        <w:rPr>
          <w:rFonts w:ascii="Calibri" w:hAnsi="Calibri" w:cs="Calibri"/>
          <w:color w:val="0E101A"/>
        </w:rPr>
        <w:t>e</w:t>
      </w:r>
      <w:r w:rsidRPr="00AA24D3">
        <w:rPr>
          <w:rFonts w:ascii="Calibri" w:hAnsi="Calibri" w:cs="Calibri"/>
          <w:color w:val="0E101A"/>
        </w:rPr>
        <w:t xml:space="preserve">tomoxir inhibits the oxidation of </w:t>
      </w:r>
      <w:r w:rsidR="008410E8" w:rsidRPr="00AA24D3">
        <w:rPr>
          <w:rFonts w:ascii="Calibri" w:hAnsi="Calibri" w:cs="Calibri"/>
          <w:color w:val="0E101A"/>
        </w:rPr>
        <w:t xml:space="preserve">long-chain </w:t>
      </w:r>
      <w:r w:rsidRPr="00AA24D3">
        <w:rPr>
          <w:rFonts w:ascii="Calibri" w:hAnsi="Calibri" w:cs="Calibri"/>
          <w:color w:val="0E101A"/>
        </w:rPr>
        <w:t>fatty acids</w:t>
      </w:r>
      <w:r w:rsidR="00457EAD">
        <w:rPr>
          <w:rFonts w:ascii="Calibri" w:hAnsi="Calibri" w:cs="Calibri"/>
          <w:color w:val="0E101A"/>
        </w:rPr>
        <w:fldChar w:fldCharType="begin" w:fldLock="1"/>
      </w:r>
      <w:r w:rsidR="00A613B2">
        <w:rPr>
          <w:rFonts w:ascii="Calibri" w:hAnsi="Calibri" w:cs="Calibri"/>
          <w:color w:val="0E101A"/>
        </w:rPr>
        <w:instrText>ADDIN CSL_CITATION {"citationItems":[{"id":"ITEM-1","itemData":{"URL":"https://www.agilent.com/en/product/cell-analysis/real-time-cell-metabolic-analysis/xf-assay-kits-reagents-cell-assay-media/seahorse-xf-mito-fuel-flex-test-kit-740888","id":"ITEM-1","issued":{"date-parts":[["0"]]},"title":"XF Mito Fuel Flex Test","type":"webpage"},"uris":["http://www.mendeley.com/documents/?uuid=eb4eb895-bd7a-44c9-aca6-ac8a81b76263"]}],"mendeley":{"formattedCitation":"&lt;sup&gt;29&lt;/sup&gt;","plainTextFormattedCitation":"29","previouslyFormattedCitation":"&lt;sup&gt;29&lt;/sup&gt;"},"properties":{"noteIndex":0},"schema":"https://github.com/citation-style-language/schema/raw/master/csl-citation.json"}</w:instrText>
      </w:r>
      <w:r w:rsidR="00457EAD">
        <w:rPr>
          <w:rFonts w:ascii="Calibri" w:hAnsi="Calibri" w:cs="Calibri"/>
          <w:color w:val="0E101A"/>
        </w:rPr>
        <w:fldChar w:fldCharType="separate"/>
      </w:r>
      <w:r w:rsidR="00A613B2" w:rsidRPr="00A613B2">
        <w:rPr>
          <w:rFonts w:ascii="Calibri" w:hAnsi="Calibri" w:cs="Calibri"/>
          <w:noProof/>
          <w:color w:val="0E101A"/>
          <w:vertAlign w:val="superscript"/>
        </w:rPr>
        <w:t>29</w:t>
      </w:r>
      <w:r w:rsidR="00457EAD">
        <w:rPr>
          <w:rFonts w:ascii="Calibri" w:hAnsi="Calibri" w:cs="Calibri"/>
          <w:color w:val="0E101A"/>
        </w:rPr>
        <w:fldChar w:fldCharType="end"/>
      </w:r>
      <w:r w:rsidRPr="00AA24D3">
        <w:rPr>
          <w:rFonts w:ascii="Calibri" w:hAnsi="Calibri" w:cs="Calibri"/>
          <w:color w:val="0E101A"/>
        </w:rPr>
        <w:t>.</w:t>
      </w:r>
    </w:p>
    <w:bookmarkEnd w:id="1"/>
    <w:p w14:paraId="160A2F4B" w14:textId="77777777" w:rsidR="002D546F" w:rsidRPr="00AA24D3" w:rsidRDefault="002D546F" w:rsidP="00AA24D3">
      <w:pPr>
        <w:pStyle w:val="ListParagraph"/>
        <w:pBdr>
          <w:top w:val="nil"/>
          <w:left w:val="nil"/>
          <w:bottom w:val="nil"/>
          <w:right w:val="nil"/>
          <w:between w:val="nil"/>
        </w:pBdr>
        <w:ind w:left="0"/>
        <w:contextualSpacing w:val="0"/>
        <w:jc w:val="left"/>
        <w:rPr>
          <w:i/>
          <w:iCs/>
        </w:rPr>
      </w:pPr>
    </w:p>
    <w:p w14:paraId="586EF5E5" w14:textId="55EABD2F" w:rsidR="00C43277" w:rsidRPr="00111B61" w:rsidRDefault="00C43277" w:rsidP="00AA24D3">
      <w:pPr>
        <w:jc w:val="left"/>
      </w:pPr>
      <w:r w:rsidRPr="00111B61">
        <w:t xml:space="preserve">[Place </w:t>
      </w:r>
      <w:r w:rsidR="00322472" w:rsidRPr="00120856">
        <w:rPr>
          <w:b/>
          <w:bCs/>
        </w:rPr>
        <w:t>F</w:t>
      </w:r>
      <w:r w:rsidRPr="00111B61">
        <w:rPr>
          <w:b/>
          <w:bCs/>
        </w:rPr>
        <w:t>igure 1</w:t>
      </w:r>
      <w:r w:rsidRPr="00111B61">
        <w:t xml:space="preserve"> here]</w:t>
      </w:r>
    </w:p>
    <w:p w14:paraId="1CD8A842" w14:textId="77777777" w:rsidR="00252B25" w:rsidRPr="00AA24D3" w:rsidRDefault="00252B25" w:rsidP="00AA24D3">
      <w:pPr>
        <w:jc w:val="left"/>
        <w:rPr>
          <w:b/>
          <w:bCs/>
        </w:rPr>
      </w:pPr>
    </w:p>
    <w:p w14:paraId="32A92E82" w14:textId="00438404" w:rsidR="006E4797" w:rsidRPr="00AA24D3" w:rsidRDefault="00551D82" w:rsidP="00AA24D3">
      <w:pPr>
        <w:jc w:val="left"/>
      </w:pPr>
      <w:r w:rsidRPr="00AA24D3">
        <w:rPr>
          <w:b/>
        </w:rPr>
        <w:t>PROTOCOL:</w:t>
      </w:r>
    </w:p>
    <w:p w14:paraId="5ED0C03A" w14:textId="392C4B0C" w:rsidR="00322472" w:rsidRPr="00AA24D3" w:rsidRDefault="00322472" w:rsidP="00972F6D">
      <w:pPr>
        <w:widowControl/>
        <w:rPr>
          <w:rFonts w:eastAsia="Times New Roman"/>
          <w:color w:val="0E101A"/>
        </w:rPr>
      </w:pPr>
      <w:r w:rsidRPr="00AA24D3">
        <w:rPr>
          <w:rFonts w:eastAsia="Times New Roman"/>
          <w:color w:val="0E101A"/>
        </w:rPr>
        <w:t xml:space="preserve">All </w:t>
      </w:r>
      <w:r w:rsidR="00981750">
        <w:rPr>
          <w:rFonts w:eastAsia="Times New Roman"/>
          <w:color w:val="0E101A"/>
        </w:rPr>
        <w:t xml:space="preserve">the </w:t>
      </w:r>
      <w:r w:rsidRPr="00AA24D3">
        <w:rPr>
          <w:rFonts w:eastAsia="Times New Roman"/>
          <w:color w:val="0E101A"/>
        </w:rPr>
        <w:t>procedures were based on the guidelines and approval of the Institutional Animal Care and Use Committee at Vanderbilt University Medical center.</w:t>
      </w:r>
    </w:p>
    <w:p w14:paraId="33B70D1A" w14:textId="77777777" w:rsidR="00322472" w:rsidRPr="00AA24D3" w:rsidRDefault="00322472" w:rsidP="00972F6D">
      <w:pPr>
        <w:rPr>
          <w:color w:val="808080"/>
        </w:rPr>
      </w:pPr>
    </w:p>
    <w:p w14:paraId="7D9B6133" w14:textId="7347CAAC" w:rsidR="009A63CE" w:rsidRPr="00AA24D3" w:rsidRDefault="00F25F54" w:rsidP="00972F6D">
      <w:pPr>
        <w:widowControl/>
        <w:rPr>
          <w:rFonts w:eastAsia="Times New Roman"/>
          <w:color w:val="0E101A"/>
        </w:rPr>
      </w:pPr>
      <w:r w:rsidRPr="00AA24D3">
        <w:rPr>
          <w:rFonts w:eastAsia="Times New Roman"/>
          <w:b/>
          <w:bCs/>
          <w:color w:val="0E101A"/>
        </w:rPr>
        <w:t>1.</w:t>
      </w:r>
      <w:r w:rsidR="00852C0F">
        <w:rPr>
          <w:rFonts w:eastAsia="Times New Roman"/>
          <w:b/>
          <w:bCs/>
          <w:color w:val="0E101A"/>
        </w:rPr>
        <w:tab/>
      </w:r>
      <w:r w:rsidR="009A63CE" w:rsidRPr="00AA24D3">
        <w:rPr>
          <w:rFonts w:eastAsia="Times New Roman"/>
          <w:b/>
          <w:bCs/>
          <w:color w:val="0E101A"/>
        </w:rPr>
        <w:t>Preparation of reagents and assay setup</w:t>
      </w:r>
    </w:p>
    <w:p w14:paraId="37828A56" w14:textId="2437235E" w:rsidR="009A63CE" w:rsidRPr="00AA24D3" w:rsidRDefault="009A63CE" w:rsidP="00972F6D">
      <w:pPr>
        <w:widowControl/>
        <w:rPr>
          <w:rFonts w:eastAsia="Times New Roman"/>
          <w:color w:val="0E101A"/>
        </w:rPr>
      </w:pPr>
    </w:p>
    <w:p w14:paraId="1D7A1BEE" w14:textId="7254A2CA" w:rsidR="00BF261F" w:rsidRPr="00AA24D3" w:rsidRDefault="00F26508" w:rsidP="007E602D">
      <w:pPr>
        <w:pStyle w:val="ListParagraph"/>
        <w:widowControl/>
        <w:ind w:left="0"/>
        <w:contextualSpacing w:val="0"/>
        <w:rPr>
          <w:bCs/>
          <w:color w:val="000000"/>
        </w:rPr>
      </w:pPr>
      <w:r>
        <w:rPr>
          <w:rFonts w:eastAsia="Times New Roman"/>
          <w:color w:val="0E101A"/>
        </w:rPr>
        <w:t>1.1.</w:t>
      </w:r>
      <w:r>
        <w:rPr>
          <w:rFonts w:eastAsia="Times New Roman"/>
          <w:color w:val="0E101A"/>
        </w:rPr>
        <w:tab/>
      </w:r>
      <w:r w:rsidR="009A63CE" w:rsidRPr="00111B61">
        <w:rPr>
          <w:rFonts w:eastAsia="Times New Roman"/>
          <w:color w:val="0E101A"/>
        </w:rPr>
        <w:t xml:space="preserve">Isolation and </w:t>
      </w:r>
      <w:r w:rsidR="002567F0">
        <w:rPr>
          <w:rFonts w:eastAsia="Times New Roman"/>
          <w:color w:val="0E101A"/>
        </w:rPr>
        <w:t>c</w:t>
      </w:r>
      <w:r w:rsidR="009A63CE" w:rsidRPr="00111B61">
        <w:rPr>
          <w:rFonts w:eastAsia="Times New Roman"/>
          <w:color w:val="0E101A"/>
        </w:rPr>
        <w:t xml:space="preserve">ulturing of </w:t>
      </w:r>
      <w:r w:rsidR="002567F0">
        <w:rPr>
          <w:rFonts w:eastAsia="Times New Roman"/>
          <w:color w:val="0E101A"/>
        </w:rPr>
        <w:t>b</w:t>
      </w:r>
      <w:r w:rsidR="009A63CE" w:rsidRPr="00111B61">
        <w:rPr>
          <w:rFonts w:eastAsia="Times New Roman"/>
          <w:color w:val="0E101A"/>
        </w:rPr>
        <w:t xml:space="preserve">one </w:t>
      </w:r>
      <w:r w:rsidR="002567F0">
        <w:rPr>
          <w:rFonts w:eastAsia="Times New Roman"/>
          <w:color w:val="0E101A"/>
        </w:rPr>
        <w:t>m</w:t>
      </w:r>
      <w:r w:rsidR="009A63CE" w:rsidRPr="00111B61">
        <w:rPr>
          <w:rFonts w:eastAsia="Times New Roman"/>
          <w:color w:val="0E101A"/>
        </w:rPr>
        <w:t>arrow stromal cells</w:t>
      </w:r>
      <w:r w:rsidR="002C476A" w:rsidRPr="007E602D">
        <w:rPr>
          <w:rFonts w:eastAsia="Times New Roman"/>
          <w:color w:val="0E101A"/>
        </w:rPr>
        <w:t xml:space="preserve"> </w:t>
      </w:r>
      <w:r w:rsidR="002C476A" w:rsidRPr="00120856">
        <w:rPr>
          <w:rFonts w:eastAsia="Times New Roman"/>
          <w:color w:val="0E101A"/>
        </w:rPr>
        <w:t>(also see</w:t>
      </w:r>
      <w:r w:rsidR="009A63CE" w:rsidRPr="00111B61">
        <w:rPr>
          <w:rFonts w:eastAsia="Times New Roman"/>
          <w:color w:val="0E101A"/>
        </w:rPr>
        <w:t xml:space="preserve"> </w:t>
      </w:r>
      <w:r w:rsidR="00746913">
        <w:rPr>
          <w:rFonts w:eastAsia="Times New Roman"/>
          <w:color w:val="0E101A"/>
        </w:rPr>
        <w:t xml:space="preserve">the </w:t>
      </w:r>
      <w:r w:rsidR="009A63CE" w:rsidRPr="00111B61">
        <w:rPr>
          <w:rFonts w:eastAsia="Times New Roman"/>
          <w:color w:val="0E101A"/>
        </w:rPr>
        <w:t>previous article</w:t>
      </w:r>
      <w:r w:rsidR="00E65807" w:rsidRPr="00111B61">
        <w:rPr>
          <w:rFonts w:eastAsia="Times New Roman"/>
          <w:color w:val="0E101A"/>
        </w:rPr>
        <w:fldChar w:fldCharType="begin" w:fldLock="1"/>
      </w:r>
      <w:r w:rsidR="00A613B2">
        <w:rPr>
          <w:rFonts w:eastAsia="Times New Roman"/>
          <w:color w:val="0E101A"/>
        </w:rPr>
        <w:instrText>ADDIN CSL_CITATION {"citationItems":[{"id":"ITEM-1","itemData":{"DOI":"10.3791/56750","ISSN":"1940087X","PMID":"29364278","abstract":"Bone marrow stromal cells (BMSCs) constitute a cell population routinely used as a representation of mesenchymal stem cells in vitro. They reside within the bone marrow cavity alongside hematopoietic stem cells (HSCs), which can give rise to red blood cells, immune progenitors, and osteoclasts. Thus, extractions of cell populations from the bone marrow results in a very heterogeneous mix of various cell populations, which can present challenges in experimental design and confound data interpretation. Several isolation and culture techniques have been developed in laboratories in order to obtain more or less homogeneous populations of BMSCs and HSCs invitro. Here, we present two methods for isolation of BMSCs and HSCs from mouse long bones: one method that yields a mixed population of BMSCs and HSCs and one method that attempts to separate the two cell populations based on adherence. Both methods provide cells suitable for osteogenic and adipogenic differentiation experiments as well as functional assays.","author":[{"dropping-particle":"","family":"Maridas","given":"David E.","non-dropping-particle":"","parse-names":false,"suffix":""},{"dropping-particle":"","family":"Rendina-Ruedy","given":"Elizabeth","non-dropping-particle":"","parse-names":false,"suffix":""},{"dropping-particle":"","family":"Le","given":"Phuong T.","non-dropping-particle":"","parse-names":false,"suffix":""},{"dropping-particle":"","family":"Rosen","given":"Clifford J.","non-dropping-particle":"","parse-names":false,"suffix":""}],"container-title":"Journal of Visualized Experiments","id":"ITEM-1","issue":"131","issued":{"date-parts":[["2018","1","6"]]},"publisher":"J Vis Exp","title":"Isolation, culture, and differentiation of bone marrow stromal cells and osteoclast progenitors from mice","type":"article-journal","volume":"e56750"},"uris":["http://www.mendeley.com/documents/?uuid=da22b30f-d578-3d6b-aaee-9419a2db1e0c"]}],"mendeley":{"formattedCitation":"&lt;sup&gt;30&lt;/sup&gt;","plainTextFormattedCitation":"30","previouslyFormattedCitation":"&lt;sup&gt;30&lt;/sup&gt;"},"properties":{"noteIndex":0},"schema":"https://github.com/citation-style-language/schema/raw/master/csl-citation.json"}</w:instrText>
      </w:r>
      <w:r w:rsidR="00E65807" w:rsidRPr="00111B61">
        <w:rPr>
          <w:rFonts w:eastAsia="Times New Roman"/>
          <w:color w:val="0E101A"/>
        </w:rPr>
        <w:fldChar w:fldCharType="separate"/>
      </w:r>
      <w:r w:rsidR="00A613B2" w:rsidRPr="00A613B2">
        <w:rPr>
          <w:rFonts w:eastAsia="Times New Roman"/>
          <w:noProof/>
          <w:color w:val="0E101A"/>
          <w:vertAlign w:val="superscript"/>
        </w:rPr>
        <w:t>30</w:t>
      </w:r>
      <w:r w:rsidR="00E65807" w:rsidRPr="00111B61">
        <w:rPr>
          <w:rFonts w:eastAsia="Times New Roman"/>
          <w:color w:val="0E101A"/>
        </w:rPr>
        <w:fldChar w:fldCharType="end"/>
      </w:r>
      <w:r w:rsidR="002C476A" w:rsidRPr="00AA24D3">
        <w:rPr>
          <w:bCs/>
          <w:color w:val="000000"/>
        </w:rPr>
        <w:t>)</w:t>
      </w:r>
      <w:r w:rsidR="00916CE2">
        <w:rPr>
          <w:bCs/>
          <w:color w:val="000000"/>
        </w:rPr>
        <w:t>.</w:t>
      </w:r>
    </w:p>
    <w:p w14:paraId="531B0FF3" w14:textId="77777777" w:rsidR="002C476A" w:rsidRPr="00111B61" w:rsidRDefault="002C476A" w:rsidP="00972F6D">
      <w:pPr>
        <w:pStyle w:val="ListParagraph"/>
        <w:widowControl/>
        <w:ind w:left="0"/>
        <w:contextualSpacing w:val="0"/>
        <w:rPr>
          <w:bCs/>
          <w:color w:val="000000"/>
        </w:rPr>
      </w:pPr>
    </w:p>
    <w:p w14:paraId="79A7897A" w14:textId="0952DFD3" w:rsidR="009A63CE" w:rsidRPr="00120856" w:rsidRDefault="009A63CE" w:rsidP="00D22DE9">
      <w:pPr>
        <w:pStyle w:val="ListParagraph"/>
        <w:widowControl/>
        <w:numPr>
          <w:ilvl w:val="2"/>
          <w:numId w:val="1"/>
        </w:numPr>
        <w:ind w:left="0" w:firstLine="0"/>
        <w:contextualSpacing w:val="0"/>
        <w:rPr>
          <w:rFonts w:eastAsia="Times New Roman"/>
          <w:color w:val="0E101A"/>
        </w:rPr>
      </w:pPr>
      <w:r w:rsidRPr="00111B61">
        <w:rPr>
          <w:rFonts w:eastAsia="Times New Roman"/>
          <w:color w:val="0E101A"/>
        </w:rPr>
        <w:t xml:space="preserve">Prepare complete </w:t>
      </w:r>
      <w:r w:rsidR="00ED0634" w:rsidRPr="00111B61">
        <w:rPr>
          <w:rFonts w:eastAsia="Times New Roman"/>
          <w:color w:val="0E101A"/>
        </w:rPr>
        <w:t xml:space="preserve">alpha </w:t>
      </w:r>
      <w:r w:rsidR="00FC6E33" w:rsidRPr="00120856">
        <w:rPr>
          <w:rFonts w:eastAsia="Times New Roman"/>
          <w:color w:val="0E101A"/>
        </w:rPr>
        <w:t>m</w:t>
      </w:r>
      <w:r w:rsidR="00ED0634" w:rsidRPr="00111B61">
        <w:rPr>
          <w:rFonts w:eastAsia="Times New Roman"/>
          <w:color w:val="0E101A"/>
        </w:rPr>
        <w:t xml:space="preserve">inimum </w:t>
      </w:r>
      <w:r w:rsidR="00FC6E33" w:rsidRPr="00120856">
        <w:rPr>
          <w:rFonts w:eastAsia="Times New Roman"/>
          <w:color w:val="0E101A"/>
        </w:rPr>
        <w:t>e</w:t>
      </w:r>
      <w:r w:rsidR="00ED0634" w:rsidRPr="00111B61">
        <w:rPr>
          <w:rFonts w:eastAsia="Times New Roman"/>
          <w:color w:val="0E101A"/>
        </w:rPr>
        <w:t xml:space="preserve">ssential </w:t>
      </w:r>
      <w:r w:rsidR="00FC6E33" w:rsidRPr="00120856">
        <w:rPr>
          <w:rFonts w:eastAsia="Times New Roman"/>
          <w:color w:val="0E101A"/>
        </w:rPr>
        <w:t>m</w:t>
      </w:r>
      <w:r w:rsidR="00ED0634" w:rsidRPr="00111B61">
        <w:rPr>
          <w:rFonts w:eastAsia="Times New Roman"/>
          <w:color w:val="0E101A"/>
        </w:rPr>
        <w:t>edia</w:t>
      </w:r>
      <w:r w:rsidR="00B57686" w:rsidRPr="00B57686">
        <w:rPr>
          <w:rFonts w:eastAsia="Times New Roman"/>
          <w:color w:val="0E101A"/>
        </w:rPr>
        <w:t xml:space="preserve"> </w:t>
      </w:r>
      <w:r w:rsidR="00B57686">
        <w:rPr>
          <w:rFonts w:eastAsia="Times New Roman"/>
          <w:color w:val="0E101A"/>
        </w:rPr>
        <w:t>(</w:t>
      </w:r>
      <w:r w:rsidR="00B57686" w:rsidRPr="00111B61">
        <w:rPr>
          <w:rFonts w:eastAsia="Times New Roman"/>
          <w:color w:val="0E101A"/>
        </w:rPr>
        <w:t>αMEM</w:t>
      </w:r>
      <w:r w:rsidR="00ED0634" w:rsidRPr="00111B61">
        <w:rPr>
          <w:rFonts w:eastAsia="Times New Roman"/>
          <w:color w:val="0E101A"/>
        </w:rPr>
        <w:t>)</w:t>
      </w:r>
      <w:r w:rsidRPr="00111B61">
        <w:rPr>
          <w:rFonts w:eastAsia="Times New Roman"/>
          <w:color w:val="0E101A"/>
        </w:rPr>
        <w:t xml:space="preserve"> cell culture media by supplementing </w:t>
      </w:r>
      <w:r w:rsidR="002C476A" w:rsidRPr="00120856">
        <w:rPr>
          <w:rFonts w:eastAsia="Times New Roman"/>
          <w:color w:val="0E101A"/>
        </w:rPr>
        <w:t>m</w:t>
      </w:r>
      <w:r w:rsidRPr="00111B61">
        <w:rPr>
          <w:rFonts w:eastAsia="Times New Roman"/>
          <w:color w:val="0E101A"/>
        </w:rPr>
        <w:t xml:space="preserve">inimum </w:t>
      </w:r>
      <w:r w:rsidR="002C476A" w:rsidRPr="00120856">
        <w:rPr>
          <w:rFonts w:eastAsia="Times New Roman"/>
          <w:color w:val="0E101A"/>
        </w:rPr>
        <w:t>e</w:t>
      </w:r>
      <w:r w:rsidRPr="00111B61">
        <w:rPr>
          <w:rFonts w:eastAsia="Times New Roman"/>
          <w:color w:val="0E101A"/>
        </w:rPr>
        <w:t xml:space="preserve">ssential </w:t>
      </w:r>
      <w:r w:rsidR="004A3FD7">
        <w:rPr>
          <w:rFonts w:eastAsia="Times New Roman"/>
          <w:color w:val="0E101A"/>
        </w:rPr>
        <w:t>m</w:t>
      </w:r>
      <w:r w:rsidRPr="00111B61">
        <w:rPr>
          <w:rFonts w:eastAsia="Times New Roman"/>
          <w:color w:val="0E101A"/>
        </w:rPr>
        <w:t>edia with alpha modification with 10% FBS</w:t>
      </w:r>
      <w:r w:rsidR="007F5785" w:rsidRPr="00111B61">
        <w:rPr>
          <w:rFonts w:eastAsia="Times New Roman"/>
          <w:color w:val="0E101A"/>
        </w:rPr>
        <w:t xml:space="preserve"> (</w:t>
      </w:r>
      <w:r w:rsidR="00FC6E33" w:rsidRPr="00120856">
        <w:rPr>
          <w:rFonts w:eastAsia="Times New Roman"/>
          <w:color w:val="0E101A"/>
        </w:rPr>
        <w:t>f</w:t>
      </w:r>
      <w:r w:rsidR="007F5785" w:rsidRPr="00111B61">
        <w:rPr>
          <w:rFonts w:eastAsia="Times New Roman"/>
          <w:color w:val="0E101A"/>
        </w:rPr>
        <w:t xml:space="preserve">etal </w:t>
      </w:r>
      <w:r w:rsidR="00FC6E33" w:rsidRPr="00120856">
        <w:rPr>
          <w:rFonts w:eastAsia="Times New Roman"/>
          <w:color w:val="0E101A"/>
        </w:rPr>
        <w:t>b</w:t>
      </w:r>
      <w:r w:rsidR="007F5785" w:rsidRPr="00111B61">
        <w:rPr>
          <w:rFonts w:eastAsia="Times New Roman"/>
          <w:color w:val="0E101A"/>
        </w:rPr>
        <w:t xml:space="preserve">ovine </w:t>
      </w:r>
      <w:r w:rsidR="00FC6E33" w:rsidRPr="00120856">
        <w:rPr>
          <w:rFonts w:eastAsia="Times New Roman"/>
          <w:color w:val="0E101A"/>
        </w:rPr>
        <w:t>s</w:t>
      </w:r>
      <w:r w:rsidR="007F5785" w:rsidRPr="00111B61">
        <w:rPr>
          <w:rFonts w:eastAsia="Times New Roman"/>
          <w:color w:val="0E101A"/>
        </w:rPr>
        <w:t>erum)</w:t>
      </w:r>
      <w:r w:rsidR="00252B25" w:rsidRPr="00111B61">
        <w:rPr>
          <w:rFonts w:eastAsia="Times New Roman"/>
          <w:color w:val="0E101A"/>
        </w:rPr>
        <w:t>,</w:t>
      </w:r>
      <w:r w:rsidRPr="00111B61">
        <w:rPr>
          <w:rFonts w:eastAsia="Times New Roman"/>
          <w:color w:val="0E101A"/>
        </w:rPr>
        <w:t xml:space="preserve"> 100</w:t>
      </w:r>
      <w:r w:rsidR="00B57686">
        <w:rPr>
          <w:rFonts w:eastAsia="Times New Roman"/>
          <w:color w:val="0E101A"/>
        </w:rPr>
        <w:t xml:space="preserve"> </w:t>
      </w:r>
      <w:r w:rsidRPr="00111B61">
        <w:rPr>
          <w:rFonts w:eastAsia="Times New Roman"/>
          <w:color w:val="0E101A"/>
        </w:rPr>
        <w:t xml:space="preserve">U/mL of </w:t>
      </w:r>
      <w:r w:rsidR="00FC6E33" w:rsidRPr="00120856">
        <w:rPr>
          <w:rFonts w:eastAsia="Times New Roman"/>
          <w:color w:val="0E101A"/>
        </w:rPr>
        <w:t>p</w:t>
      </w:r>
      <w:r w:rsidRPr="00111B61">
        <w:rPr>
          <w:rFonts w:eastAsia="Times New Roman"/>
          <w:color w:val="0E101A"/>
        </w:rPr>
        <w:t>enicillin</w:t>
      </w:r>
      <w:r w:rsidR="00252B25" w:rsidRPr="00111B61">
        <w:rPr>
          <w:rFonts w:eastAsia="Times New Roman"/>
          <w:color w:val="0E101A"/>
        </w:rPr>
        <w:t>,</w:t>
      </w:r>
      <w:r w:rsidRPr="00111B61">
        <w:rPr>
          <w:rFonts w:eastAsia="Times New Roman"/>
          <w:color w:val="0E101A"/>
        </w:rPr>
        <w:t xml:space="preserve"> and 100 µg/mL of </w:t>
      </w:r>
      <w:r w:rsidR="00FC6E33" w:rsidRPr="00120856">
        <w:rPr>
          <w:rFonts w:eastAsia="Times New Roman"/>
          <w:color w:val="0E101A"/>
        </w:rPr>
        <w:t>s</w:t>
      </w:r>
      <w:r w:rsidRPr="00111B61">
        <w:rPr>
          <w:rFonts w:eastAsia="Times New Roman"/>
          <w:color w:val="0E101A"/>
        </w:rPr>
        <w:t>treptomycin.</w:t>
      </w:r>
    </w:p>
    <w:p w14:paraId="66FB1C32" w14:textId="77777777" w:rsidR="00FC6E33" w:rsidRPr="00111B61" w:rsidRDefault="00FC6E33" w:rsidP="00972F6D">
      <w:pPr>
        <w:pStyle w:val="ListParagraph"/>
        <w:widowControl/>
        <w:ind w:left="0"/>
        <w:contextualSpacing w:val="0"/>
        <w:rPr>
          <w:rFonts w:eastAsia="Times New Roman"/>
          <w:color w:val="0E101A"/>
        </w:rPr>
      </w:pPr>
    </w:p>
    <w:p w14:paraId="340BEE57" w14:textId="33F610D3" w:rsidR="0048302A" w:rsidRPr="00120856" w:rsidRDefault="0048302A" w:rsidP="00D22DE9">
      <w:pPr>
        <w:pStyle w:val="ListParagraph"/>
        <w:widowControl/>
        <w:numPr>
          <w:ilvl w:val="2"/>
          <w:numId w:val="1"/>
        </w:numPr>
        <w:ind w:left="0" w:firstLine="0"/>
        <w:contextualSpacing w:val="0"/>
        <w:rPr>
          <w:rFonts w:eastAsia="Times New Roman"/>
          <w:color w:val="0E101A"/>
        </w:rPr>
      </w:pPr>
      <w:r w:rsidRPr="00111B61">
        <w:rPr>
          <w:rFonts w:eastAsia="Times New Roman"/>
          <w:color w:val="0E101A"/>
        </w:rPr>
        <w:t>Prepare the bone marrow collection tube</w:t>
      </w:r>
      <w:r w:rsidR="00483303" w:rsidRPr="00120856">
        <w:rPr>
          <w:rFonts w:eastAsia="Times New Roman"/>
          <w:color w:val="0E101A"/>
        </w:rPr>
        <w:t xml:space="preserve"> by</w:t>
      </w:r>
      <w:r w:rsidRPr="00111B61">
        <w:rPr>
          <w:rFonts w:eastAsia="Times New Roman"/>
          <w:color w:val="0E101A"/>
        </w:rPr>
        <w:t xml:space="preserve"> trim</w:t>
      </w:r>
      <w:r w:rsidR="00483303" w:rsidRPr="00120856">
        <w:rPr>
          <w:rFonts w:eastAsia="Times New Roman"/>
          <w:color w:val="0E101A"/>
        </w:rPr>
        <w:t>ming</w:t>
      </w:r>
      <w:r w:rsidRPr="00111B61">
        <w:rPr>
          <w:rFonts w:eastAsia="Times New Roman"/>
          <w:color w:val="0E101A"/>
        </w:rPr>
        <w:t xml:space="preserve"> the end of </w:t>
      </w:r>
      <w:r w:rsidR="00636517" w:rsidRPr="00120856">
        <w:rPr>
          <w:rFonts w:eastAsia="Times New Roman"/>
          <w:color w:val="0E101A"/>
        </w:rPr>
        <w:t>a</w:t>
      </w:r>
      <w:r w:rsidRPr="00111B61">
        <w:rPr>
          <w:rFonts w:eastAsia="Times New Roman"/>
          <w:color w:val="0E101A"/>
        </w:rPr>
        <w:t xml:space="preserve"> 0.6 mL microcentrifuge tube so </w:t>
      </w:r>
      <w:r w:rsidR="00916CE2">
        <w:rPr>
          <w:rFonts w:eastAsia="Times New Roman"/>
          <w:color w:val="0E101A"/>
        </w:rPr>
        <w:t xml:space="preserve">that </w:t>
      </w:r>
      <w:r w:rsidRPr="00111B61">
        <w:rPr>
          <w:rFonts w:eastAsia="Times New Roman"/>
          <w:color w:val="0E101A"/>
        </w:rPr>
        <w:t xml:space="preserve">the cells can pass </w:t>
      </w:r>
      <w:r w:rsidR="004A3FD7" w:rsidRPr="00111B61">
        <w:rPr>
          <w:rFonts w:eastAsia="Times New Roman"/>
          <w:color w:val="0E101A"/>
        </w:rPr>
        <w:t>through and</w:t>
      </w:r>
      <w:r w:rsidRPr="00111B61">
        <w:rPr>
          <w:rFonts w:eastAsia="Times New Roman"/>
          <w:color w:val="0E101A"/>
        </w:rPr>
        <w:t xml:space="preserve"> insert</w:t>
      </w:r>
      <w:r w:rsidR="00636517" w:rsidRPr="00120856">
        <w:rPr>
          <w:rFonts w:eastAsia="Times New Roman"/>
          <w:color w:val="0E101A"/>
        </w:rPr>
        <w:t>ing</w:t>
      </w:r>
      <w:r w:rsidRPr="00111B61">
        <w:rPr>
          <w:rFonts w:eastAsia="Times New Roman"/>
          <w:color w:val="0E101A"/>
        </w:rPr>
        <w:t xml:space="preserve"> it in </w:t>
      </w:r>
      <w:r w:rsidR="00636517" w:rsidRPr="00120856">
        <w:rPr>
          <w:rFonts w:eastAsia="Times New Roman"/>
          <w:color w:val="0E101A"/>
        </w:rPr>
        <w:t>a</w:t>
      </w:r>
      <w:r w:rsidRPr="00111B61">
        <w:rPr>
          <w:rFonts w:eastAsia="Times New Roman"/>
          <w:color w:val="0E101A"/>
        </w:rPr>
        <w:t xml:space="preserve"> 1.5 mL microcentrifuge tube containing 100</w:t>
      </w:r>
      <w:r w:rsidR="00636517" w:rsidRPr="00120856">
        <w:rPr>
          <w:rFonts w:eastAsia="Times New Roman"/>
          <w:color w:val="0E101A"/>
        </w:rPr>
        <w:t xml:space="preserve"> </w:t>
      </w:r>
      <w:r w:rsidRPr="00111B61">
        <w:rPr>
          <w:rFonts w:eastAsia="Times New Roman"/>
          <w:color w:val="0E101A"/>
        </w:rPr>
        <w:t>µL of complete αMEM.</w:t>
      </w:r>
    </w:p>
    <w:p w14:paraId="16C274F5" w14:textId="77777777" w:rsidR="00636517" w:rsidRPr="00111B61" w:rsidRDefault="00636517" w:rsidP="00972F6D">
      <w:pPr>
        <w:widowControl/>
        <w:rPr>
          <w:rFonts w:eastAsia="Times New Roman"/>
          <w:color w:val="0E101A"/>
        </w:rPr>
      </w:pPr>
    </w:p>
    <w:p w14:paraId="5D897F8E" w14:textId="7A255AED" w:rsidR="0048302A" w:rsidRPr="00120856" w:rsidRDefault="007F5785" w:rsidP="00D22DE9">
      <w:pPr>
        <w:pStyle w:val="ListParagraph"/>
        <w:widowControl/>
        <w:numPr>
          <w:ilvl w:val="2"/>
          <w:numId w:val="1"/>
        </w:numPr>
        <w:ind w:left="0" w:firstLine="0"/>
        <w:contextualSpacing w:val="0"/>
        <w:rPr>
          <w:rFonts w:eastAsia="Times New Roman"/>
          <w:color w:val="0E101A"/>
        </w:rPr>
      </w:pPr>
      <w:r w:rsidRPr="00111B61">
        <w:rPr>
          <w:rFonts w:eastAsia="Times New Roman"/>
          <w:color w:val="0E101A"/>
        </w:rPr>
        <w:t xml:space="preserve">Euthanize the mice </w:t>
      </w:r>
      <w:r w:rsidR="00916CE2">
        <w:rPr>
          <w:rFonts w:eastAsia="Times New Roman"/>
          <w:color w:val="0E101A"/>
        </w:rPr>
        <w:t>using</w:t>
      </w:r>
      <w:r w:rsidR="00916CE2" w:rsidRPr="00111B61">
        <w:rPr>
          <w:rFonts w:eastAsia="Times New Roman"/>
          <w:color w:val="0E101A"/>
        </w:rPr>
        <w:t xml:space="preserve"> </w:t>
      </w:r>
      <w:r w:rsidRPr="00111B61">
        <w:rPr>
          <w:rFonts w:eastAsia="Times New Roman"/>
          <w:color w:val="0E101A"/>
        </w:rPr>
        <w:t>CO</w:t>
      </w:r>
      <w:r w:rsidRPr="00111B61">
        <w:rPr>
          <w:rFonts w:eastAsia="Times New Roman"/>
          <w:color w:val="0E101A"/>
          <w:vertAlign w:val="subscript"/>
        </w:rPr>
        <w:t>2</w:t>
      </w:r>
      <w:r w:rsidRPr="00111B61">
        <w:rPr>
          <w:rFonts w:eastAsia="Times New Roman"/>
          <w:color w:val="0E101A"/>
        </w:rPr>
        <w:t xml:space="preserve"> treatment</w:t>
      </w:r>
      <w:r w:rsidR="00636517" w:rsidRPr="00120856">
        <w:rPr>
          <w:rFonts w:eastAsia="Times New Roman"/>
          <w:color w:val="0E101A"/>
        </w:rPr>
        <w:t xml:space="preserve"> as follows.</w:t>
      </w:r>
      <w:r w:rsidRPr="00111B61">
        <w:rPr>
          <w:rFonts w:eastAsia="Times New Roman"/>
          <w:color w:val="0E101A"/>
        </w:rPr>
        <w:t xml:space="preserve"> </w:t>
      </w:r>
      <w:r w:rsidR="0048302A" w:rsidRPr="00111B61">
        <w:rPr>
          <w:rFonts w:eastAsia="Times New Roman"/>
          <w:color w:val="0E101A"/>
        </w:rPr>
        <w:t>Place the animal in the CO</w:t>
      </w:r>
      <w:r w:rsidR="0048302A" w:rsidRPr="00111B61">
        <w:rPr>
          <w:rFonts w:eastAsia="Times New Roman"/>
          <w:color w:val="0E101A"/>
          <w:vertAlign w:val="subscript"/>
        </w:rPr>
        <w:t>2</w:t>
      </w:r>
      <w:r w:rsidR="0048302A" w:rsidRPr="00111B61">
        <w:rPr>
          <w:rFonts w:eastAsia="Times New Roman"/>
          <w:color w:val="0E101A"/>
        </w:rPr>
        <w:t xml:space="preserve"> chamber for 2</w:t>
      </w:r>
      <w:r w:rsidR="00916CE2">
        <w:rPr>
          <w:rFonts w:eastAsia="Times New Roman"/>
          <w:color w:val="0E101A"/>
        </w:rPr>
        <w:t>–</w:t>
      </w:r>
      <w:r w:rsidR="0048302A" w:rsidRPr="00111B61">
        <w:rPr>
          <w:rFonts w:eastAsia="Times New Roman"/>
          <w:color w:val="0E101A"/>
        </w:rPr>
        <w:t xml:space="preserve">3 min or until respiration ceases. </w:t>
      </w:r>
      <w:r w:rsidRPr="00111B61">
        <w:rPr>
          <w:rFonts w:eastAsia="Times New Roman"/>
          <w:color w:val="0E101A"/>
        </w:rPr>
        <w:t xml:space="preserve">Wait for at least </w:t>
      </w:r>
      <w:r w:rsidR="00A02F72" w:rsidRPr="00120856">
        <w:rPr>
          <w:rFonts w:eastAsia="Times New Roman"/>
          <w:color w:val="0E101A"/>
        </w:rPr>
        <w:t xml:space="preserve">1 </w:t>
      </w:r>
      <w:r w:rsidRPr="00111B61">
        <w:rPr>
          <w:rFonts w:eastAsia="Times New Roman"/>
          <w:color w:val="0E101A"/>
        </w:rPr>
        <w:t>min</w:t>
      </w:r>
      <w:r w:rsidR="00252B25" w:rsidRPr="00111B61">
        <w:rPr>
          <w:rFonts w:eastAsia="Times New Roman"/>
          <w:color w:val="0E101A"/>
        </w:rPr>
        <w:t xml:space="preserve"> after the animal becomes unconscious to remove the mice from</w:t>
      </w:r>
      <w:r w:rsidR="0048302A" w:rsidRPr="00111B61">
        <w:rPr>
          <w:rFonts w:eastAsia="Times New Roman"/>
          <w:color w:val="0E101A"/>
        </w:rPr>
        <w:t xml:space="preserve"> the chamber and cervically dislocate.</w:t>
      </w:r>
    </w:p>
    <w:p w14:paraId="5E0781BE" w14:textId="77777777" w:rsidR="00A02F72" w:rsidRPr="00111B61" w:rsidRDefault="00A02F72" w:rsidP="00972F6D">
      <w:pPr>
        <w:widowControl/>
        <w:rPr>
          <w:rFonts w:eastAsia="Times New Roman"/>
          <w:color w:val="0E101A"/>
        </w:rPr>
      </w:pPr>
    </w:p>
    <w:p w14:paraId="2B520056" w14:textId="27466AAD" w:rsidR="009A63CE" w:rsidRPr="00120856" w:rsidRDefault="0048302A" w:rsidP="00D22DE9">
      <w:pPr>
        <w:pStyle w:val="ListParagraph"/>
        <w:widowControl/>
        <w:numPr>
          <w:ilvl w:val="2"/>
          <w:numId w:val="1"/>
        </w:numPr>
        <w:ind w:left="0" w:firstLine="0"/>
        <w:contextualSpacing w:val="0"/>
        <w:rPr>
          <w:rFonts w:eastAsia="Times New Roman"/>
          <w:color w:val="0E101A"/>
        </w:rPr>
      </w:pPr>
      <w:r w:rsidRPr="00111B61">
        <w:rPr>
          <w:rFonts w:eastAsia="Times New Roman"/>
          <w:color w:val="0E101A"/>
        </w:rPr>
        <w:t xml:space="preserve">Using sterile forceps and a pair of scissors, cut open the lower abdomen of the euthanized mice to make a small incision. </w:t>
      </w:r>
      <w:r w:rsidR="009A63CE" w:rsidRPr="00111B61">
        <w:rPr>
          <w:rFonts w:eastAsia="Times New Roman"/>
          <w:color w:val="0E101A"/>
        </w:rPr>
        <w:t>Isolate the long bones (femur, tibia, and iliac crest) of the mice.</w:t>
      </w:r>
    </w:p>
    <w:p w14:paraId="17114BBD" w14:textId="77777777" w:rsidR="00B67DD4" w:rsidRPr="00111B61" w:rsidRDefault="00B67DD4" w:rsidP="00972F6D">
      <w:pPr>
        <w:pStyle w:val="ListParagraph"/>
        <w:widowControl/>
        <w:ind w:left="0"/>
        <w:contextualSpacing w:val="0"/>
        <w:rPr>
          <w:rFonts w:eastAsia="Times New Roman"/>
          <w:color w:val="0E101A"/>
        </w:rPr>
      </w:pPr>
    </w:p>
    <w:p w14:paraId="13D7463D" w14:textId="4D8C6DE0" w:rsidR="00373F87" w:rsidRPr="00AA24D3" w:rsidRDefault="009A63CE" w:rsidP="00D22DE9">
      <w:pPr>
        <w:pStyle w:val="ListParagraph"/>
        <w:widowControl/>
        <w:numPr>
          <w:ilvl w:val="2"/>
          <w:numId w:val="1"/>
        </w:numPr>
        <w:ind w:left="0" w:firstLine="0"/>
        <w:contextualSpacing w:val="0"/>
        <w:rPr>
          <w:color w:val="222222"/>
          <w:shd w:val="clear" w:color="auto" w:fill="FFFFFF"/>
        </w:rPr>
      </w:pPr>
      <w:r w:rsidRPr="00AA24D3">
        <w:rPr>
          <w:rFonts w:eastAsia="Times New Roman"/>
          <w:color w:val="0E101A"/>
        </w:rPr>
        <w:t>Trim the long bones</w:t>
      </w:r>
      <w:r w:rsidR="00F1634F" w:rsidRPr="00AA24D3">
        <w:rPr>
          <w:rFonts w:eastAsia="Times New Roman"/>
          <w:color w:val="0E101A"/>
        </w:rPr>
        <w:t xml:space="preserve"> to remove all soft tissue. Once </w:t>
      </w:r>
      <w:r w:rsidR="00252B25" w:rsidRPr="00AA24D3">
        <w:rPr>
          <w:rFonts w:eastAsia="Times New Roman"/>
          <w:color w:val="0E101A"/>
        </w:rPr>
        <w:t xml:space="preserve">the </w:t>
      </w:r>
      <w:r w:rsidR="00F1634F" w:rsidRPr="00AA24D3">
        <w:rPr>
          <w:rFonts w:eastAsia="Times New Roman"/>
          <w:color w:val="0E101A"/>
        </w:rPr>
        <w:t>bone is cleaned</w:t>
      </w:r>
      <w:r w:rsidR="00252B25" w:rsidRPr="00AA24D3">
        <w:rPr>
          <w:rFonts w:eastAsia="Times New Roman"/>
          <w:color w:val="0E101A"/>
        </w:rPr>
        <w:t>,</w:t>
      </w:r>
      <w:r w:rsidR="00F1634F" w:rsidRPr="00AA24D3">
        <w:rPr>
          <w:rFonts w:eastAsia="Times New Roman"/>
          <w:color w:val="0E101A"/>
        </w:rPr>
        <w:t xml:space="preserve"> cut ~</w:t>
      </w:r>
      <w:r w:rsidR="00066337" w:rsidRPr="00AA24D3">
        <w:rPr>
          <w:rFonts w:eastAsia="Times New Roman"/>
          <w:color w:val="0E101A"/>
        </w:rPr>
        <w:t>1</w:t>
      </w:r>
      <w:r w:rsidR="00916CE2">
        <w:rPr>
          <w:rFonts w:eastAsia="Times New Roman"/>
          <w:color w:val="0E101A"/>
        </w:rPr>
        <w:t>–</w:t>
      </w:r>
      <w:r w:rsidR="00066337" w:rsidRPr="00AA24D3">
        <w:rPr>
          <w:rFonts w:eastAsia="Times New Roman"/>
          <w:color w:val="0E101A"/>
        </w:rPr>
        <w:t>2 mm</w:t>
      </w:r>
      <w:r w:rsidRPr="00AA24D3">
        <w:rPr>
          <w:rFonts w:eastAsia="Times New Roman"/>
          <w:color w:val="0E101A"/>
        </w:rPr>
        <w:t xml:space="preserve"> </w:t>
      </w:r>
      <w:r w:rsidR="00F1634F" w:rsidRPr="00AA24D3">
        <w:rPr>
          <w:rFonts w:eastAsia="Times New Roman"/>
          <w:color w:val="0E101A"/>
        </w:rPr>
        <w:t xml:space="preserve">from </w:t>
      </w:r>
      <w:r w:rsidR="00916CE2">
        <w:rPr>
          <w:rFonts w:eastAsia="Times New Roman"/>
          <w:color w:val="0E101A"/>
        </w:rPr>
        <w:t xml:space="preserve">the </w:t>
      </w:r>
      <w:r w:rsidR="00F1634F" w:rsidRPr="00AA24D3">
        <w:rPr>
          <w:rFonts w:eastAsia="Times New Roman"/>
          <w:color w:val="0E101A"/>
        </w:rPr>
        <w:t>distal and proximal ends</w:t>
      </w:r>
      <w:r w:rsidR="002D6B43" w:rsidRPr="00111B61">
        <w:rPr>
          <w:color w:val="222222"/>
          <w:shd w:val="clear" w:color="auto" w:fill="FFFFFF"/>
        </w:rPr>
        <w:t xml:space="preserve"> to create an opening for </w:t>
      </w:r>
      <w:r w:rsidR="00252B25" w:rsidRPr="00111B61">
        <w:rPr>
          <w:color w:val="222222"/>
          <w:shd w:val="clear" w:color="auto" w:fill="FFFFFF"/>
        </w:rPr>
        <w:t xml:space="preserve">the </w:t>
      </w:r>
      <w:r w:rsidR="002D6B43" w:rsidRPr="00111B61">
        <w:rPr>
          <w:color w:val="222222"/>
          <w:shd w:val="clear" w:color="auto" w:fill="FFFFFF"/>
        </w:rPr>
        <w:t>marrow to flush through</w:t>
      </w:r>
      <w:r w:rsidR="00252B25" w:rsidRPr="00111B61">
        <w:rPr>
          <w:color w:val="222222"/>
          <w:shd w:val="clear" w:color="auto" w:fill="FFFFFF"/>
        </w:rPr>
        <w:t>.</w:t>
      </w:r>
    </w:p>
    <w:p w14:paraId="0F6459B7" w14:textId="77777777" w:rsidR="00373F87" w:rsidRPr="00AA24D3" w:rsidRDefault="00373F87" w:rsidP="00972F6D">
      <w:pPr>
        <w:pStyle w:val="ListParagraph"/>
        <w:widowControl/>
        <w:ind w:left="0"/>
        <w:contextualSpacing w:val="0"/>
        <w:rPr>
          <w:color w:val="222222"/>
          <w:shd w:val="clear" w:color="auto" w:fill="FFFFFF"/>
        </w:rPr>
      </w:pPr>
    </w:p>
    <w:p w14:paraId="46178423" w14:textId="7D1B68CB" w:rsidR="00B67DD4" w:rsidRPr="00120856" w:rsidRDefault="00373F87" w:rsidP="00972F6D">
      <w:pPr>
        <w:pStyle w:val="ListParagraph"/>
        <w:widowControl/>
        <w:ind w:left="0"/>
        <w:contextualSpacing w:val="0"/>
        <w:rPr>
          <w:color w:val="222222"/>
          <w:shd w:val="clear" w:color="auto" w:fill="FFFFFF"/>
        </w:rPr>
      </w:pPr>
      <w:r w:rsidRPr="00AA24D3">
        <w:rPr>
          <w:color w:val="222222"/>
          <w:shd w:val="clear" w:color="auto" w:fill="FFFFFF"/>
        </w:rPr>
        <w:t>NOTE:</w:t>
      </w:r>
      <w:r w:rsidR="003441F9">
        <w:rPr>
          <w:color w:val="222222"/>
          <w:shd w:val="clear" w:color="auto" w:fill="FFFFFF"/>
        </w:rPr>
        <w:t xml:space="preserve"> </w:t>
      </w:r>
      <w:r w:rsidR="00252B25" w:rsidRPr="00111B61">
        <w:rPr>
          <w:color w:val="222222"/>
          <w:shd w:val="clear" w:color="auto" w:fill="FFFFFF"/>
        </w:rPr>
        <w:t>T</w:t>
      </w:r>
      <w:r w:rsidR="00F1634F" w:rsidRPr="00111B61">
        <w:rPr>
          <w:color w:val="222222"/>
          <w:shd w:val="clear" w:color="auto" w:fill="FFFFFF"/>
        </w:rPr>
        <w:t>his opening should be</w:t>
      </w:r>
      <w:r w:rsidR="002D6B43" w:rsidRPr="00111B61">
        <w:rPr>
          <w:color w:val="222222"/>
          <w:shd w:val="clear" w:color="auto" w:fill="FFFFFF"/>
        </w:rPr>
        <w:t xml:space="preserve"> conservative </w:t>
      </w:r>
      <w:r w:rsidR="00746913">
        <w:rPr>
          <w:color w:val="222222"/>
          <w:shd w:val="clear" w:color="auto" w:fill="FFFFFF"/>
        </w:rPr>
        <w:t>so as not to lose the marrow while allowing</w:t>
      </w:r>
      <w:r w:rsidR="00F1634F" w:rsidRPr="00111B61">
        <w:rPr>
          <w:color w:val="222222"/>
          <w:shd w:val="clear" w:color="auto" w:fill="FFFFFF"/>
        </w:rPr>
        <w:t xml:space="preserve"> </w:t>
      </w:r>
      <w:r w:rsidR="00716ABC">
        <w:rPr>
          <w:color w:val="222222"/>
          <w:shd w:val="clear" w:color="auto" w:fill="FFFFFF"/>
        </w:rPr>
        <w:t xml:space="preserve">it </w:t>
      </w:r>
      <w:r w:rsidR="00F1634F" w:rsidRPr="00111B61">
        <w:rPr>
          <w:color w:val="222222"/>
          <w:shd w:val="clear" w:color="auto" w:fill="FFFFFF"/>
        </w:rPr>
        <w:t>to flush out.</w:t>
      </w:r>
    </w:p>
    <w:p w14:paraId="1A029556" w14:textId="77777777" w:rsidR="00B67DD4" w:rsidRPr="00120856" w:rsidRDefault="00B67DD4" w:rsidP="00120856">
      <w:pPr>
        <w:pStyle w:val="ListParagraph"/>
        <w:widowControl/>
        <w:ind w:left="0"/>
        <w:contextualSpacing w:val="0"/>
        <w:jc w:val="left"/>
        <w:rPr>
          <w:color w:val="222222"/>
          <w:shd w:val="clear" w:color="auto" w:fill="FFFFFF"/>
        </w:rPr>
      </w:pPr>
    </w:p>
    <w:p w14:paraId="5AE1DA7F" w14:textId="3749F2DB" w:rsidR="00DA726F" w:rsidRPr="00AA24D3" w:rsidRDefault="00F1634F" w:rsidP="00D22DE9">
      <w:pPr>
        <w:pStyle w:val="ListParagraph"/>
        <w:widowControl/>
        <w:numPr>
          <w:ilvl w:val="2"/>
          <w:numId w:val="1"/>
        </w:numPr>
        <w:ind w:left="0" w:firstLine="0"/>
        <w:contextualSpacing w:val="0"/>
        <w:rPr>
          <w:rFonts w:eastAsia="Times New Roman"/>
          <w:color w:val="0E101A"/>
        </w:rPr>
      </w:pPr>
      <w:r w:rsidRPr="00111B61">
        <w:rPr>
          <w:rFonts w:eastAsia="Times New Roman"/>
          <w:color w:val="0E101A"/>
        </w:rPr>
        <w:t>P</w:t>
      </w:r>
      <w:r w:rsidR="009A63CE" w:rsidRPr="00111B61">
        <w:rPr>
          <w:rFonts w:eastAsia="Times New Roman"/>
          <w:color w:val="0E101A"/>
        </w:rPr>
        <w:t xml:space="preserve">lace the bones in a collection tube containing </w:t>
      </w:r>
      <w:r w:rsidR="00013967">
        <w:rPr>
          <w:rFonts w:eastAsia="Times New Roman"/>
          <w:color w:val="0E101A"/>
        </w:rPr>
        <w:t>100</w:t>
      </w:r>
      <w:r w:rsidR="00CB4FC6">
        <w:rPr>
          <w:rFonts w:eastAsia="Times New Roman"/>
          <w:color w:val="0E101A"/>
        </w:rPr>
        <w:t xml:space="preserve"> µ</w:t>
      </w:r>
      <w:r w:rsidR="00013967">
        <w:rPr>
          <w:rFonts w:eastAsia="Times New Roman"/>
          <w:color w:val="0E101A"/>
        </w:rPr>
        <w:t xml:space="preserve">L of </w:t>
      </w:r>
      <w:r w:rsidR="009A63CE" w:rsidRPr="00111B61">
        <w:rPr>
          <w:rFonts w:eastAsia="Times New Roman"/>
          <w:color w:val="0E101A"/>
        </w:rPr>
        <w:t>1</w:t>
      </w:r>
      <w:r w:rsidR="00CB4FC6">
        <w:rPr>
          <w:rFonts w:eastAsia="Times New Roman"/>
          <w:color w:val="0E101A"/>
        </w:rPr>
        <w:t>x</w:t>
      </w:r>
      <w:r w:rsidR="009A63CE" w:rsidRPr="00111B61">
        <w:rPr>
          <w:rFonts w:eastAsia="Times New Roman"/>
          <w:color w:val="0E101A"/>
        </w:rPr>
        <w:t xml:space="preserve"> sterile PBS</w:t>
      </w:r>
      <w:r w:rsidR="00A34F72" w:rsidRPr="00111B61">
        <w:rPr>
          <w:rFonts w:eastAsia="Times New Roman"/>
          <w:color w:val="0E101A"/>
        </w:rPr>
        <w:t xml:space="preserve"> (</w:t>
      </w:r>
      <w:r w:rsidRPr="00111B61">
        <w:rPr>
          <w:rFonts w:eastAsia="Times New Roman"/>
          <w:color w:val="0E101A"/>
        </w:rPr>
        <w:t>p</w:t>
      </w:r>
      <w:r w:rsidR="00A34F72" w:rsidRPr="00111B61">
        <w:rPr>
          <w:rFonts w:eastAsia="Times New Roman"/>
          <w:color w:val="0E101A"/>
        </w:rPr>
        <w:t>hosphate</w:t>
      </w:r>
      <w:r w:rsidRPr="00111B61">
        <w:rPr>
          <w:rFonts w:eastAsia="Times New Roman"/>
          <w:color w:val="0E101A"/>
        </w:rPr>
        <w:t>-b</w:t>
      </w:r>
      <w:r w:rsidR="00A34F72" w:rsidRPr="00111B61">
        <w:rPr>
          <w:rFonts w:eastAsia="Times New Roman"/>
          <w:color w:val="0E101A"/>
        </w:rPr>
        <w:t>uffer</w:t>
      </w:r>
      <w:r w:rsidRPr="00111B61">
        <w:rPr>
          <w:rFonts w:eastAsia="Times New Roman"/>
          <w:color w:val="0E101A"/>
        </w:rPr>
        <w:t>ed</w:t>
      </w:r>
      <w:r w:rsidR="00A34F72" w:rsidRPr="00111B61">
        <w:rPr>
          <w:rFonts w:eastAsia="Times New Roman"/>
          <w:color w:val="0E101A"/>
        </w:rPr>
        <w:t xml:space="preserve"> </w:t>
      </w:r>
      <w:r w:rsidRPr="00111B61">
        <w:rPr>
          <w:rFonts w:eastAsia="Times New Roman"/>
          <w:color w:val="0E101A"/>
        </w:rPr>
        <w:t>s</w:t>
      </w:r>
      <w:r w:rsidR="00A34F72" w:rsidRPr="00111B61">
        <w:rPr>
          <w:rFonts w:eastAsia="Times New Roman"/>
          <w:color w:val="0E101A"/>
        </w:rPr>
        <w:t>aline)</w:t>
      </w:r>
      <w:r w:rsidR="0048302A" w:rsidRPr="00111B61">
        <w:rPr>
          <w:rFonts w:eastAsia="Times New Roman"/>
          <w:color w:val="0E101A"/>
        </w:rPr>
        <w:t xml:space="preserve"> to isolate the total bone marrow</w:t>
      </w:r>
      <w:r w:rsidR="009A63CE" w:rsidRPr="00111B61">
        <w:rPr>
          <w:rFonts w:eastAsia="Times New Roman"/>
          <w:color w:val="0E101A"/>
        </w:rPr>
        <w:t>.</w:t>
      </w:r>
    </w:p>
    <w:p w14:paraId="055AB090" w14:textId="77777777" w:rsidR="008D14D7" w:rsidRPr="00120856" w:rsidRDefault="008D14D7" w:rsidP="00972F6D">
      <w:pPr>
        <w:pStyle w:val="ListParagraph"/>
        <w:widowControl/>
        <w:ind w:left="0"/>
        <w:contextualSpacing w:val="0"/>
        <w:rPr>
          <w:rFonts w:eastAsia="Times New Roman"/>
          <w:color w:val="0E101A"/>
        </w:rPr>
      </w:pPr>
    </w:p>
    <w:p w14:paraId="3E0EF1F9" w14:textId="5E88A0C3" w:rsidR="00330AF5" w:rsidRDefault="009A63CE" w:rsidP="00D22DE9">
      <w:pPr>
        <w:pStyle w:val="ListParagraph"/>
        <w:widowControl/>
        <w:numPr>
          <w:ilvl w:val="2"/>
          <w:numId w:val="1"/>
        </w:numPr>
        <w:ind w:left="0" w:firstLine="0"/>
        <w:contextualSpacing w:val="0"/>
        <w:rPr>
          <w:rFonts w:eastAsia="Times New Roman"/>
          <w:color w:val="0E101A"/>
        </w:rPr>
      </w:pPr>
      <w:r w:rsidRPr="00111B61">
        <w:rPr>
          <w:rFonts w:eastAsia="Times New Roman"/>
          <w:color w:val="0E101A"/>
        </w:rPr>
        <w:lastRenderedPageBreak/>
        <w:t xml:space="preserve">Flush the marrow </w:t>
      </w:r>
      <w:r w:rsidR="008D14D7" w:rsidRPr="00AA24D3">
        <w:rPr>
          <w:rFonts w:eastAsia="Times New Roman"/>
          <w:color w:val="0E101A"/>
        </w:rPr>
        <w:t>by</w:t>
      </w:r>
      <w:r w:rsidR="008D14D7" w:rsidRPr="00120856">
        <w:rPr>
          <w:rFonts w:eastAsia="Times New Roman"/>
          <w:color w:val="0E101A"/>
        </w:rPr>
        <w:t xml:space="preserve"> </w:t>
      </w:r>
      <w:r w:rsidRPr="00111B61">
        <w:rPr>
          <w:rFonts w:eastAsia="Times New Roman"/>
          <w:color w:val="0E101A"/>
        </w:rPr>
        <w:t>centrifugation at 10,000 x</w:t>
      </w:r>
      <w:r w:rsidR="00916CE2">
        <w:rPr>
          <w:rFonts w:eastAsia="Times New Roman"/>
          <w:color w:val="0E101A"/>
        </w:rPr>
        <w:t xml:space="preserve"> </w:t>
      </w:r>
      <w:r w:rsidRPr="00111B61">
        <w:rPr>
          <w:rFonts w:eastAsia="Times New Roman"/>
          <w:i/>
          <w:iCs/>
          <w:color w:val="0E101A"/>
        </w:rPr>
        <w:t>g</w:t>
      </w:r>
      <w:r w:rsidR="00916CE2">
        <w:rPr>
          <w:rFonts w:eastAsia="Times New Roman"/>
          <w:color w:val="0E101A"/>
        </w:rPr>
        <w:t xml:space="preserve"> </w:t>
      </w:r>
      <w:r w:rsidRPr="00111B61">
        <w:rPr>
          <w:rFonts w:eastAsia="Times New Roman"/>
          <w:color w:val="0E101A"/>
        </w:rPr>
        <w:t>for 15</w:t>
      </w:r>
      <w:r w:rsidR="00916CE2">
        <w:rPr>
          <w:rFonts w:eastAsia="Times New Roman"/>
          <w:color w:val="0E101A"/>
        </w:rPr>
        <w:t>–</w:t>
      </w:r>
      <w:r w:rsidRPr="00111B61">
        <w:rPr>
          <w:rFonts w:eastAsia="Times New Roman"/>
          <w:color w:val="0E101A"/>
        </w:rPr>
        <w:t xml:space="preserve">20 s at room temperature. </w:t>
      </w:r>
      <w:r w:rsidR="00FC12F7" w:rsidRPr="00AA24D3">
        <w:rPr>
          <w:rFonts w:eastAsia="Times New Roman"/>
          <w:color w:val="0E101A"/>
        </w:rPr>
        <w:t>M</w:t>
      </w:r>
      <w:r w:rsidRPr="00111B61">
        <w:rPr>
          <w:rFonts w:eastAsia="Times New Roman"/>
          <w:color w:val="0E101A"/>
        </w:rPr>
        <w:t xml:space="preserve">arrow </w:t>
      </w:r>
      <w:r w:rsidR="00F1634F" w:rsidRPr="00111B61">
        <w:rPr>
          <w:rFonts w:eastAsia="Times New Roman"/>
          <w:color w:val="0E101A"/>
        </w:rPr>
        <w:t>cells pellet at the bottom of the tube</w:t>
      </w:r>
      <w:r w:rsidR="00FC12F7" w:rsidRPr="00AA24D3">
        <w:rPr>
          <w:rFonts w:eastAsia="Times New Roman"/>
          <w:color w:val="0E101A"/>
        </w:rPr>
        <w:t>.</w:t>
      </w:r>
    </w:p>
    <w:p w14:paraId="3AA3F910" w14:textId="77777777" w:rsidR="00916CE2" w:rsidRPr="0043597A" w:rsidRDefault="00916CE2" w:rsidP="007E602D">
      <w:pPr>
        <w:pStyle w:val="ListParagraph"/>
        <w:widowControl/>
        <w:ind w:left="0"/>
        <w:contextualSpacing w:val="0"/>
        <w:rPr>
          <w:rFonts w:eastAsia="Times New Roman"/>
          <w:color w:val="0E101A"/>
        </w:rPr>
      </w:pPr>
    </w:p>
    <w:p w14:paraId="25106DA2" w14:textId="0E32E28A" w:rsidR="003700C8" w:rsidRPr="00AA24D3" w:rsidRDefault="00FC12F7" w:rsidP="00D22DE9">
      <w:pPr>
        <w:pStyle w:val="ListParagraph"/>
        <w:widowControl/>
        <w:numPr>
          <w:ilvl w:val="2"/>
          <w:numId w:val="1"/>
        </w:numPr>
        <w:ind w:left="0" w:firstLine="0"/>
        <w:contextualSpacing w:val="0"/>
        <w:rPr>
          <w:b/>
          <w:color w:val="000000"/>
        </w:rPr>
      </w:pPr>
      <w:r w:rsidRPr="00AA24D3">
        <w:rPr>
          <w:rFonts w:eastAsia="Times New Roman"/>
          <w:color w:val="0E101A"/>
        </w:rPr>
        <w:t>R</w:t>
      </w:r>
      <w:r w:rsidR="009A63CE" w:rsidRPr="00111B61">
        <w:rPr>
          <w:rFonts w:eastAsia="Times New Roman"/>
          <w:color w:val="0E101A"/>
        </w:rPr>
        <w:t xml:space="preserve">epeat centrifugation until the bone </w:t>
      </w:r>
      <w:r w:rsidR="00F1634F" w:rsidRPr="00111B61">
        <w:rPr>
          <w:rFonts w:eastAsia="Times New Roman"/>
          <w:color w:val="0E101A"/>
        </w:rPr>
        <w:t xml:space="preserve">cavity </w:t>
      </w:r>
      <w:r w:rsidR="009A63CE" w:rsidRPr="00111B61">
        <w:rPr>
          <w:rFonts w:eastAsia="Times New Roman"/>
          <w:color w:val="0E101A"/>
        </w:rPr>
        <w:t>appears white</w:t>
      </w:r>
      <w:r w:rsidR="00F1634F" w:rsidRPr="00111B61">
        <w:rPr>
          <w:rFonts w:eastAsia="Times New Roman"/>
          <w:color w:val="0E101A"/>
        </w:rPr>
        <w:t xml:space="preserve"> and devoid of most marrow elements</w:t>
      </w:r>
      <w:r w:rsidR="009A63CE" w:rsidRPr="00111B61">
        <w:rPr>
          <w:rFonts w:eastAsia="Times New Roman"/>
          <w:color w:val="0E101A"/>
        </w:rPr>
        <w:t>.</w:t>
      </w:r>
      <w:r w:rsidR="00330AF5" w:rsidRPr="00AA24D3">
        <w:rPr>
          <w:rFonts w:eastAsia="Times New Roman"/>
          <w:color w:val="0E101A"/>
        </w:rPr>
        <w:t xml:space="preserve"> </w:t>
      </w:r>
      <w:r w:rsidR="00BF261F" w:rsidRPr="00AA24D3">
        <w:rPr>
          <w:bCs/>
          <w:color w:val="000000"/>
        </w:rPr>
        <w:t>R</w:t>
      </w:r>
      <w:r w:rsidR="0033241E" w:rsidRPr="00AA24D3">
        <w:rPr>
          <w:bCs/>
          <w:color w:val="000000"/>
        </w:rPr>
        <w:t xml:space="preserve">esuspend the mixed population of </w:t>
      </w:r>
      <w:r w:rsidR="0047537D" w:rsidRPr="00AA24D3">
        <w:rPr>
          <w:bCs/>
          <w:color w:val="000000"/>
        </w:rPr>
        <w:t xml:space="preserve">bone marrow </w:t>
      </w:r>
      <w:r w:rsidR="0033241E" w:rsidRPr="00AA24D3">
        <w:rPr>
          <w:bCs/>
          <w:color w:val="000000"/>
        </w:rPr>
        <w:t xml:space="preserve">by </w:t>
      </w:r>
      <w:r w:rsidR="0047537D" w:rsidRPr="00AA24D3">
        <w:rPr>
          <w:bCs/>
          <w:color w:val="000000"/>
        </w:rPr>
        <w:t xml:space="preserve">gently </w:t>
      </w:r>
      <w:r w:rsidR="0033241E" w:rsidRPr="00AA24D3">
        <w:rPr>
          <w:bCs/>
          <w:color w:val="000000"/>
        </w:rPr>
        <w:t>pipetting up and down</w:t>
      </w:r>
      <w:r w:rsidR="0047537D" w:rsidRPr="00AA24D3">
        <w:rPr>
          <w:bCs/>
          <w:color w:val="000000"/>
        </w:rPr>
        <w:t>.</w:t>
      </w:r>
    </w:p>
    <w:p w14:paraId="2198C5D2" w14:textId="77777777" w:rsidR="003700C8" w:rsidRPr="00AA24D3" w:rsidRDefault="003700C8" w:rsidP="00972F6D">
      <w:pPr>
        <w:shd w:val="clear" w:color="auto" w:fill="FFFFFF"/>
        <w:textAlignment w:val="baseline"/>
        <w:rPr>
          <w:bCs/>
          <w:color w:val="000000"/>
        </w:rPr>
      </w:pPr>
    </w:p>
    <w:p w14:paraId="31A2DBE1" w14:textId="3A8C4A0F" w:rsidR="00721735" w:rsidRPr="00AA24D3" w:rsidRDefault="008C17AE" w:rsidP="00D22DE9">
      <w:pPr>
        <w:pStyle w:val="ListParagraph"/>
        <w:numPr>
          <w:ilvl w:val="2"/>
          <w:numId w:val="1"/>
        </w:numPr>
        <w:shd w:val="clear" w:color="auto" w:fill="FFFFFF"/>
        <w:ind w:left="0" w:firstLine="0"/>
        <w:contextualSpacing w:val="0"/>
        <w:textAlignment w:val="baseline"/>
        <w:rPr>
          <w:bCs/>
          <w:color w:val="000000"/>
        </w:rPr>
      </w:pPr>
      <w:r w:rsidRPr="00111B61">
        <w:rPr>
          <w:bCs/>
          <w:color w:val="000000"/>
        </w:rPr>
        <w:t xml:space="preserve">Culture the cells from one animal (both femur and tibia) in </w:t>
      </w:r>
      <w:r w:rsidR="00754782" w:rsidRPr="00111B61">
        <w:rPr>
          <w:bCs/>
          <w:color w:val="000000"/>
        </w:rPr>
        <w:t xml:space="preserve">a </w:t>
      </w:r>
      <w:r w:rsidR="0020410C" w:rsidRPr="00111B61">
        <w:rPr>
          <w:bCs/>
          <w:color w:val="000000"/>
        </w:rPr>
        <w:t>7</w:t>
      </w:r>
      <w:r w:rsidRPr="00111B61">
        <w:rPr>
          <w:bCs/>
          <w:color w:val="000000"/>
        </w:rPr>
        <w:t>5</w:t>
      </w:r>
      <w:r w:rsidR="0047537D" w:rsidRPr="00111B61">
        <w:rPr>
          <w:bCs/>
          <w:color w:val="000000"/>
        </w:rPr>
        <w:t xml:space="preserve"> </w:t>
      </w:r>
      <w:r w:rsidRPr="00111B61">
        <w:rPr>
          <w:bCs/>
          <w:color w:val="000000"/>
        </w:rPr>
        <w:t>cm</w:t>
      </w:r>
      <w:r w:rsidRPr="00111B61">
        <w:rPr>
          <w:bCs/>
          <w:color w:val="000000"/>
          <w:vertAlign w:val="superscript"/>
        </w:rPr>
        <w:t>2</w:t>
      </w:r>
      <w:r w:rsidRPr="00111B61">
        <w:rPr>
          <w:bCs/>
          <w:color w:val="000000"/>
        </w:rPr>
        <w:t xml:space="preserve"> cell culture flask </w:t>
      </w:r>
      <w:r w:rsidR="00C66C44" w:rsidRPr="00111B61">
        <w:rPr>
          <w:bCs/>
          <w:color w:val="000000"/>
        </w:rPr>
        <w:t>in 10 m</w:t>
      </w:r>
      <w:r w:rsidR="0047537D" w:rsidRPr="00111B61">
        <w:rPr>
          <w:bCs/>
          <w:color w:val="000000"/>
        </w:rPr>
        <w:t>L</w:t>
      </w:r>
      <w:r w:rsidR="00C66C44" w:rsidRPr="00111B61">
        <w:rPr>
          <w:bCs/>
          <w:color w:val="000000"/>
        </w:rPr>
        <w:t xml:space="preserve"> of cell culture </w:t>
      </w:r>
      <w:r w:rsidR="00FA5C65" w:rsidRPr="00111B61">
        <w:rPr>
          <w:bCs/>
          <w:color w:val="000000"/>
        </w:rPr>
        <w:t xml:space="preserve">media and incubate </w:t>
      </w:r>
      <w:r w:rsidRPr="00111B61">
        <w:rPr>
          <w:bCs/>
          <w:color w:val="000000"/>
        </w:rPr>
        <w:t>at 37</w:t>
      </w:r>
      <w:r w:rsidR="005E7E3F" w:rsidRPr="00120856">
        <w:rPr>
          <w:bCs/>
          <w:color w:val="000000"/>
        </w:rPr>
        <w:t xml:space="preserve"> </w:t>
      </w:r>
      <w:r w:rsidR="00522792" w:rsidRPr="00AA24D3">
        <w:t>°</w:t>
      </w:r>
      <w:r w:rsidRPr="00111B61">
        <w:rPr>
          <w:bCs/>
          <w:color w:val="000000"/>
        </w:rPr>
        <w:t xml:space="preserve">C </w:t>
      </w:r>
      <w:r w:rsidR="005E7E3F" w:rsidRPr="00120856">
        <w:rPr>
          <w:bCs/>
          <w:color w:val="000000"/>
        </w:rPr>
        <w:t xml:space="preserve">in a </w:t>
      </w:r>
      <w:r w:rsidRPr="00111B61">
        <w:rPr>
          <w:bCs/>
          <w:color w:val="000000"/>
        </w:rPr>
        <w:t>cell culture incubator with 5% CO</w:t>
      </w:r>
      <w:r w:rsidRPr="00111B61">
        <w:rPr>
          <w:bCs/>
          <w:color w:val="000000"/>
          <w:vertAlign w:val="subscript"/>
        </w:rPr>
        <w:t>2</w:t>
      </w:r>
      <w:r w:rsidR="0047537D" w:rsidRPr="00111B61">
        <w:rPr>
          <w:bCs/>
          <w:color w:val="000000"/>
        </w:rPr>
        <w:t>.</w:t>
      </w:r>
      <w:r w:rsidR="0020410C" w:rsidRPr="00111B61">
        <w:rPr>
          <w:bCs/>
          <w:color w:val="000000"/>
        </w:rPr>
        <w:t xml:space="preserve"> If </w:t>
      </w:r>
      <w:r w:rsidR="005E7E3F" w:rsidRPr="00120856">
        <w:rPr>
          <w:bCs/>
          <w:color w:val="000000"/>
        </w:rPr>
        <w:t xml:space="preserve">pooling </w:t>
      </w:r>
      <w:r w:rsidR="0020410C" w:rsidRPr="00111B61">
        <w:rPr>
          <w:bCs/>
          <w:color w:val="000000"/>
        </w:rPr>
        <w:t>cells from 2</w:t>
      </w:r>
      <w:r w:rsidR="00916CE2">
        <w:rPr>
          <w:bCs/>
          <w:color w:val="000000"/>
        </w:rPr>
        <w:t>–</w:t>
      </w:r>
      <w:r w:rsidR="0020410C" w:rsidRPr="00111B61">
        <w:rPr>
          <w:bCs/>
          <w:color w:val="000000"/>
        </w:rPr>
        <w:t>3 animals, use a 150 cm</w:t>
      </w:r>
      <w:r w:rsidR="0020410C" w:rsidRPr="00111B61">
        <w:rPr>
          <w:bCs/>
          <w:color w:val="000000"/>
          <w:vertAlign w:val="superscript"/>
        </w:rPr>
        <w:t>2</w:t>
      </w:r>
      <w:r w:rsidR="0020410C" w:rsidRPr="00111B61">
        <w:rPr>
          <w:bCs/>
          <w:color w:val="000000"/>
        </w:rPr>
        <w:t xml:space="preserve"> cell culture flask</w:t>
      </w:r>
      <w:r w:rsidR="005E7E3F" w:rsidRPr="00120856">
        <w:rPr>
          <w:bCs/>
          <w:color w:val="000000"/>
        </w:rPr>
        <w:t xml:space="preserve"> (recommended)</w:t>
      </w:r>
      <w:r w:rsidR="0020410C" w:rsidRPr="00111B61">
        <w:rPr>
          <w:bCs/>
          <w:color w:val="000000"/>
        </w:rPr>
        <w:t>.</w:t>
      </w:r>
    </w:p>
    <w:p w14:paraId="4FD1C7D1" w14:textId="77777777" w:rsidR="00330AF5" w:rsidRPr="00120856" w:rsidRDefault="00330AF5" w:rsidP="00972F6D">
      <w:pPr>
        <w:pStyle w:val="ListParagraph"/>
        <w:shd w:val="clear" w:color="auto" w:fill="FFFFFF"/>
        <w:ind w:left="0"/>
        <w:contextualSpacing w:val="0"/>
        <w:textAlignment w:val="baseline"/>
        <w:rPr>
          <w:bCs/>
          <w:color w:val="000000"/>
        </w:rPr>
      </w:pPr>
    </w:p>
    <w:p w14:paraId="7DB7559B" w14:textId="3301E689" w:rsidR="00F25F54" w:rsidRPr="00AA24D3" w:rsidRDefault="00E12A25" w:rsidP="00D22DE9">
      <w:pPr>
        <w:pStyle w:val="ListParagraph"/>
        <w:numPr>
          <w:ilvl w:val="2"/>
          <w:numId w:val="1"/>
        </w:numPr>
        <w:shd w:val="clear" w:color="auto" w:fill="FFFFFF"/>
        <w:ind w:left="0" w:firstLine="0"/>
        <w:contextualSpacing w:val="0"/>
        <w:textAlignment w:val="baseline"/>
        <w:rPr>
          <w:bCs/>
        </w:rPr>
      </w:pPr>
      <w:r w:rsidRPr="00AA24D3">
        <w:rPr>
          <w:bCs/>
        </w:rPr>
        <w:t>Following 24</w:t>
      </w:r>
      <w:r w:rsidR="00721735" w:rsidRPr="00AA24D3">
        <w:rPr>
          <w:bCs/>
        </w:rPr>
        <w:t>–</w:t>
      </w:r>
      <w:r w:rsidR="008C17AE" w:rsidRPr="00AA24D3">
        <w:rPr>
          <w:bCs/>
        </w:rPr>
        <w:t>48 h of incubation of the</w:t>
      </w:r>
      <w:r w:rsidR="00AF75D4" w:rsidRPr="00AA24D3">
        <w:rPr>
          <w:bCs/>
        </w:rPr>
        <w:t xml:space="preserve"> </w:t>
      </w:r>
      <w:r w:rsidR="008C17AE" w:rsidRPr="00AA24D3">
        <w:rPr>
          <w:bCs/>
        </w:rPr>
        <w:t>mixed population</w:t>
      </w:r>
      <w:r w:rsidR="0047537D" w:rsidRPr="00AA24D3">
        <w:rPr>
          <w:bCs/>
        </w:rPr>
        <w:t xml:space="preserve">, </w:t>
      </w:r>
      <w:r w:rsidR="00AF75D4" w:rsidRPr="00AA24D3">
        <w:rPr>
          <w:bCs/>
        </w:rPr>
        <w:t xml:space="preserve">aspirate the </w:t>
      </w:r>
      <w:r w:rsidR="0047537D" w:rsidRPr="00AA24D3">
        <w:rPr>
          <w:bCs/>
        </w:rPr>
        <w:t xml:space="preserve">non-adherent </w:t>
      </w:r>
      <w:r w:rsidR="001229C8" w:rsidRPr="00AA24D3">
        <w:rPr>
          <w:bCs/>
        </w:rPr>
        <w:t>hematopoietic</w:t>
      </w:r>
      <w:r w:rsidR="0047537D" w:rsidRPr="00AA24D3">
        <w:rPr>
          <w:bCs/>
        </w:rPr>
        <w:t xml:space="preserve"> </w:t>
      </w:r>
      <w:r w:rsidR="00AF75D4" w:rsidRPr="00AA24D3">
        <w:rPr>
          <w:bCs/>
        </w:rPr>
        <w:t xml:space="preserve">cell </w:t>
      </w:r>
      <w:r w:rsidR="0047537D" w:rsidRPr="00AA24D3">
        <w:rPr>
          <w:bCs/>
        </w:rPr>
        <w:t xml:space="preserve">population contained within the </w:t>
      </w:r>
      <w:r w:rsidR="00AF75D4" w:rsidRPr="00AA24D3">
        <w:rPr>
          <w:bCs/>
        </w:rPr>
        <w:t xml:space="preserve">culture media and wash the </w:t>
      </w:r>
      <w:r w:rsidR="0047537D" w:rsidRPr="00AA24D3">
        <w:rPr>
          <w:bCs/>
        </w:rPr>
        <w:t xml:space="preserve">adherent cells </w:t>
      </w:r>
      <w:r w:rsidR="00AF75D4" w:rsidRPr="00AA24D3">
        <w:rPr>
          <w:bCs/>
        </w:rPr>
        <w:t>with 1</w:t>
      </w:r>
      <w:r w:rsidR="00462D6A">
        <w:rPr>
          <w:bCs/>
        </w:rPr>
        <w:t>x</w:t>
      </w:r>
      <w:r w:rsidR="00AF75D4" w:rsidRPr="00AA24D3">
        <w:rPr>
          <w:bCs/>
        </w:rPr>
        <w:t xml:space="preserve"> PBS</w:t>
      </w:r>
      <w:r w:rsidR="0047537D" w:rsidRPr="00AA24D3">
        <w:rPr>
          <w:bCs/>
        </w:rPr>
        <w:t>.</w:t>
      </w:r>
    </w:p>
    <w:p w14:paraId="70B260B0" w14:textId="77777777" w:rsidR="00F25F54" w:rsidRPr="00AA24D3" w:rsidRDefault="00F25F54" w:rsidP="00972F6D">
      <w:pPr>
        <w:shd w:val="clear" w:color="auto" w:fill="FFFFFF"/>
        <w:textAlignment w:val="baseline"/>
        <w:rPr>
          <w:bCs/>
          <w:color w:val="000000"/>
        </w:rPr>
      </w:pPr>
    </w:p>
    <w:p w14:paraId="1FC301A3" w14:textId="0F761CDB" w:rsidR="00F25F54" w:rsidRPr="00120856" w:rsidRDefault="00F25F54" w:rsidP="00D22DE9">
      <w:pPr>
        <w:pStyle w:val="ListParagraph"/>
        <w:numPr>
          <w:ilvl w:val="1"/>
          <w:numId w:val="1"/>
        </w:numPr>
        <w:shd w:val="clear" w:color="auto" w:fill="FFFFFF"/>
        <w:ind w:left="0" w:firstLine="0"/>
        <w:contextualSpacing w:val="0"/>
        <w:textAlignment w:val="baseline"/>
        <w:rPr>
          <w:bCs/>
          <w:color w:val="000000"/>
        </w:rPr>
      </w:pPr>
      <w:r w:rsidRPr="00111B61">
        <w:rPr>
          <w:bCs/>
          <w:color w:val="000000"/>
        </w:rPr>
        <w:t>Cell seeding from BMSCs and osteoblast differentiation</w:t>
      </w:r>
    </w:p>
    <w:p w14:paraId="217AC995" w14:textId="77777777" w:rsidR="00721735" w:rsidRPr="00111B61" w:rsidRDefault="00721735" w:rsidP="00972F6D">
      <w:pPr>
        <w:pStyle w:val="ListParagraph"/>
        <w:shd w:val="clear" w:color="auto" w:fill="FFFFFF"/>
        <w:ind w:left="0"/>
        <w:contextualSpacing w:val="0"/>
        <w:textAlignment w:val="baseline"/>
        <w:rPr>
          <w:bCs/>
          <w:color w:val="000000"/>
        </w:rPr>
      </w:pPr>
    </w:p>
    <w:p w14:paraId="3032EC87" w14:textId="74EDE842" w:rsidR="008C17AE" w:rsidRPr="00120856" w:rsidRDefault="00B67B9A" w:rsidP="00D22DE9">
      <w:pPr>
        <w:pStyle w:val="ListParagraph"/>
        <w:numPr>
          <w:ilvl w:val="2"/>
          <w:numId w:val="1"/>
        </w:numPr>
        <w:shd w:val="clear" w:color="auto" w:fill="FFFFFF"/>
        <w:ind w:left="0" w:firstLine="0"/>
        <w:contextualSpacing w:val="0"/>
        <w:textAlignment w:val="baseline"/>
        <w:rPr>
          <w:bCs/>
          <w:color w:val="000000"/>
        </w:rPr>
      </w:pPr>
      <w:proofErr w:type="spellStart"/>
      <w:r w:rsidRPr="00111B61">
        <w:rPr>
          <w:bCs/>
          <w:color w:val="000000"/>
        </w:rPr>
        <w:t>Trypsinize</w:t>
      </w:r>
      <w:proofErr w:type="spellEnd"/>
      <w:r w:rsidRPr="00111B61">
        <w:rPr>
          <w:bCs/>
          <w:color w:val="000000"/>
        </w:rPr>
        <w:t xml:space="preserve"> the</w:t>
      </w:r>
      <w:r w:rsidR="00AF75D4" w:rsidRPr="00111B61">
        <w:rPr>
          <w:bCs/>
          <w:color w:val="000000"/>
        </w:rPr>
        <w:t xml:space="preserve"> </w:t>
      </w:r>
      <w:r w:rsidR="008F3447" w:rsidRPr="00111B61">
        <w:rPr>
          <w:bCs/>
          <w:color w:val="000000"/>
        </w:rPr>
        <w:t xml:space="preserve">adherent </w:t>
      </w:r>
      <w:r w:rsidR="00AF75D4" w:rsidRPr="00111B61">
        <w:rPr>
          <w:bCs/>
          <w:color w:val="000000"/>
        </w:rPr>
        <w:t xml:space="preserve">cells </w:t>
      </w:r>
      <w:r w:rsidR="00FA5C65" w:rsidRPr="00111B61">
        <w:rPr>
          <w:bCs/>
          <w:color w:val="000000"/>
        </w:rPr>
        <w:t>by adding</w:t>
      </w:r>
      <w:r w:rsidR="008F3447" w:rsidRPr="00111B61">
        <w:rPr>
          <w:bCs/>
          <w:color w:val="000000"/>
        </w:rPr>
        <w:t xml:space="preserve"> enough</w:t>
      </w:r>
      <w:r w:rsidR="00FA5C65" w:rsidRPr="00111B61">
        <w:rPr>
          <w:bCs/>
          <w:color w:val="000000"/>
        </w:rPr>
        <w:t xml:space="preserve"> </w:t>
      </w:r>
      <w:r w:rsidRPr="00111B61">
        <w:rPr>
          <w:bCs/>
          <w:color w:val="000000"/>
        </w:rPr>
        <w:t>0.25% trypsin</w:t>
      </w:r>
      <w:r w:rsidR="001229C8" w:rsidRPr="00111B61">
        <w:rPr>
          <w:bCs/>
          <w:color w:val="000000"/>
        </w:rPr>
        <w:t>- EDTA</w:t>
      </w:r>
      <w:r w:rsidR="00DE7F66">
        <w:rPr>
          <w:bCs/>
          <w:color w:val="000000"/>
        </w:rPr>
        <w:t xml:space="preserve"> (approximately 3</w:t>
      </w:r>
      <w:r w:rsidR="00916CE2">
        <w:rPr>
          <w:bCs/>
          <w:color w:val="000000"/>
        </w:rPr>
        <w:t>–</w:t>
      </w:r>
      <w:r w:rsidR="00DE7F66">
        <w:rPr>
          <w:bCs/>
          <w:color w:val="000000"/>
        </w:rPr>
        <w:t>4 mL)</w:t>
      </w:r>
      <w:r w:rsidRPr="00111B61">
        <w:rPr>
          <w:bCs/>
          <w:color w:val="000000"/>
        </w:rPr>
        <w:t xml:space="preserve"> </w:t>
      </w:r>
      <w:r w:rsidR="008F3447" w:rsidRPr="00111B61">
        <w:rPr>
          <w:bCs/>
          <w:color w:val="000000"/>
        </w:rPr>
        <w:t xml:space="preserve">to slightly cover the flask surface, </w:t>
      </w:r>
      <w:r w:rsidR="00FA5C65" w:rsidRPr="00111B61">
        <w:rPr>
          <w:bCs/>
          <w:color w:val="000000"/>
        </w:rPr>
        <w:t>followed by</w:t>
      </w:r>
      <w:r w:rsidR="00916CE2">
        <w:rPr>
          <w:bCs/>
          <w:color w:val="000000"/>
        </w:rPr>
        <w:t xml:space="preserve"> a</w:t>
      </w:r>
      <w:r w:rsidR="00FA5C65" w:rsidRPr="00111B61">
        <w:rPr>
          <w:bCs/>
          <w:color w:val="000000"/>
        </w:rPr>
        <w:t xml:space="preserve"> </w:t>
      </w:r>
      <w:r w:rsidR="00AF75D4" w:rsidRPr="00111B61">
        <w:rPr>
          <w:bCs/>
          <w:color w:val="000000"/>
        </w:rPr>
        <w:t>3 min</w:t>
      </w:r>
      <w:r w:rsidR="009A63CE" w:rsidRPr="00111B61">
        <w:rPr>
          <w:bCs/>
          <w:color w:val="000000"/>
        </w:rPr>
        <w:t xml:space="preserve"> incubation</w:t>
      </w:r>
      <w:r w:rsidR="00AF75D4" w:rsidRPr="00111B61">
        <w:rPr>
          <w:bCs/>
          <w:color w:val="000000"/>
        </w:rPr>
        <w:t xml:space="preserve"> at 37</w:t>
      </w:r>
      <w:r w:rsidR="00522792" w:rsidRPr="00120856">
        <w:rPr>
          <w:bCs/>
          <w:color w:val="000000"/>
        </w:rPr>
        <w:t xml:space="preserve"> </w:t>
      </w:r>
      <w:r w:rsidR="00D52DD5" w:rsidRPr="00AA24D3">
        <w:t>°</w:t>
      </w:r>
      <w:r w:rsidR="00AF75D4" w:rsidRPr="00111B61">
        <w:rPr>
          <w:bCs/>
          <w:color w:val="000000"/>
        </w:rPr>
        <w:t>C.</w:t>
      </w:r>
    </w:p>
    <w:p w14:paraId="5E2B7D85" w14:textId="77777777" w:rsidR="00522792" w:rsidRPr="00111B61" w:rsidRDefault="00522792" w:rsidP="00972F6D">
      <w:pPr>
        <w:pStyle w:val="ListParagraph"/>
        <w:shd w:val="clear" w:color="auto" w:fill="FFFFFF"/>
        <w:ind w:left="0"/>
        <w:contextualSpacing w:val="0"/>
        <w:textAlignment w:val="baseline"/>
        <w:rPr>
          <w:b/>
          <w:color w:val="000000"/>
        </w:rPr>
      </w:pPr>
    </w:p>
    <w:p w14:paraId="5252E334" w14:textId="634432F9" w:rsidR="00AF75D4" w:rsidRPr="00120856" w:rsidRDefault="00B67B9A" w:rsidP="00D22DE9">
      <w:pPr>
        <w:pStyle w:val="ListParagraph"/>
        <w:numPr>
          <w:ilvl w:val="2"/>
          <w:numId w:val="1"/>
        </w:numPr>
        <w:shd w:val="clear" w:color="auto" w:fill="FFFFFF"/>
        <w:ind w:left="0" w:firstLine="0"/>
        <w:contextualSpacing w:val="0"/>
        <w:textAlignment w:val="baseline"/>
        <w:rPr>
          <w:bCs/>
          <w:color w:val="000000"/>
        </w:rPr>
      </w:pPr>
      <w:r w:rsidRPr="00111B61">
        <w:rPr>
          <w:bCs/>
          <w:color w:val="000000"/>
        </w:rPr>
        <w:t xml:space="preserve">Add </w:t>
      </w:r>
      <w:r w:rsidR="00DE7F66">
        <w:rPr>
          <w:bCs/>
          <w:color w:val="000000"/>
        </w:rPr>
        <w:t>6</w:t>
      </w:r>
      <w:r w:rsidR="00916CE2">
        <w:rPr>
          <w:bCs/>
          <w:color w:val="000000"/>
        </w:rPr>
        <w:t>–</w:t>
      </w:r>
      <w:r w:rsidR="00DE7F66">
        <w:rPr>
          <w:bCs/>
          <w:color w:val="000000"/>
        </w:rPr>
        <w:t xml:space="preserve">7 mL of </w:t>
      </w:r>
      <w:r w:rsidR="00053FDB" w:rsidRPr="00111B61">
        <w:rPr>
          <w:bCs/>
          <w:color w:val="000000"/>
        </w:rPr>
        <w:t>complete αMEM</w:t>
      </w:r>
      <w:r w:rsidR="00053FDB" w:rsidRPr="00111B61" w:rsidDel="00053FDB">
        <w:rPr>
          <w:bCs/>
          <w:color w:val="000000"/>
        </w:rPr>
        <w:t xml:space="preserve"> </w:t>
      </w:r>
      <w:r w:rsidRPr="00111B61">
        <w:rPr>
          <w:bCs/>
          <w:color w:val="000000"/>
        </w:rPr>
        <w:t xml:space="preserve">to the </w:t>
      </w:r>
      <w:r w:rsidR="00053FDB" w:rsidRPr="00111B61">
        <w:rPr>
          <w:bCs/>
          <w:color w:val="000000"/>
        </w:rPr>
        <w:t>flask/trypsin to resuspend the adherent BMSCs by</w:t>
      </w:r>
      <w:r w:rsidRPr="00111B61">
        <w:rPr>
          <w:bCs/>
          <w:color w:val="000000"/>
        </w:rPr>
        <w:t xml:space="preserve"> carefully pipet</w:t>
      </w:r>
      <w:r w:rsidR="00053FDB" w:rsidRPr="00111B61">
        <w:rPr>
          <w:bCs/>
          <w:color w:val="000000"/>
        </w:rPr>
        <w:t>ting</w:t>
      </w:r>
      <w:r w:rsidRPr="00111B61">
        <w:rPr>
          <w:bCs/>
          <w:color w:val="000000"/>
        </w:rPr>
        <w:t xml:space="preserve"> up and down</w:t>
      </w:r>
      <w:r w:rsidR="00053FDB" w:rsidRPr="00111B61">
        <w:rPr>
          <w:bCs/>
          <w:color w:val="000000"/>
        </w:rPr>
        <w:t>. Transfer BMSC</w:t>
      </w:r>
      <w:r w:rsidRPr="00111B61">
        <w:rPr>
          <w:bCs/>
          <w:color w:val="000000"/>
        </w:rPr>
        <w:t xml:space="preserve"> suspension to a </w:t>
      </w:r>
      <w:r w:rsidR="00053FDB" w:rsidRPr="00111B61">
        <w:rPr>
          <w:bCs/>
          <w:color w:val="000000"/>
        </w:rPr>
        <w:t xml:space="preserve">conical </w:t>
      </w:r>
      <w:r w:rsidRPr="00111B61">
        <w:rPr>
          <w:bCs/>
          <w:color w:val="000000"/>
        </w:rPr>
        <w:t>centrifuge tube</w:t>
      </w:r>
      <w:r w:rsidR="00053FDB" w:rsidRPr="00111B61">
        <w:rPr>
          <w:bCs/>
          <w:color w:val="000000"/>
        </w:rPr>
        <w:t>.</w:t>
      </w:r>
    </w:p>
    <w:p w14:paraId="5B6DF28E" w14:textId="77777777" w:rsidR="00522792" w:rsidRPr="00111B61" w:rsidRDefault="00522792" w:rsidP="00972F6D">
      <w:pPr>
        <w:shd w:val="clear" w:color="auto" w:fill="FFFFFF"/>
        <w:textAlignment w:val="baseline"/>
        <w:rPr>
          <w:bCs/>
          <w:color w:val="000000"/>
        </w:rPr>
      </w:pPr>
    </w:p>
    <w:p w14:paraId="538AECF7" w14:textId="4A646B4C" w:rsidR="00DB6073" w:rsidRPr="00120856" w:rsidRDefault="005C5828" w:rsidP="00D22DE9">
      <w:pPr>
        <w:pStyle w:val="ListParagraph"/>
        <w:numPr>
          <w:ilvl w:val="2"/>
          <w:numId w:val="1"/>
        </w:numPr>
        <w:shd w:val="clear" w:color="auto" w:fill="FFFFFF"/>
        <w:ind w:left="0" w:firstLine="0"/>
        <w:contextualSpacing w:val="0"/>
        <w:textAlignment w:val="baseline"/>
        <w:rPr>
          <w:bCs/>
          <w:color w:val="000000"/>
        </w:rPr>
      </w:pPr>
      <w:r w:rsidRPr="00111B61">
        <w:rPr>
          <w:bCs/>
          <w:color w:val="000000"/>
        </w:rPr>
        <w:t>Remove a 50 µL aliquot of the BMSC suspension and add 50 µL of trypan blue (1:1 dilution)</w:t>
      </w:r>
      <w:r w:rsidR="00E95FC9">
        <w:rPr>
          <w:bCs/>
          <w:color w:val="000000"/>
        </w:rPr>
        <w:t xml:space="preserve"> to it</w:t>
      </w:r>
      <w:r w:rsidRPr="00111B61">
        <w:rPr>
          <w:bCs/>
          <w:color w:val="000000"/>
        </w:rPr>
        <w:t xml:space="preserve">. </w:t>
      </w:r>
      <w:r w:rsidR="00E509A3" w:rsidRPr="00120856">
        <w:rPr>
          <w:bCs/>
          <w:color w:val="000000"/>
        </w:rPr>
        <w:t>Count t</w:t>
      </w:r>
      <w:r w:rsidRPr="00111B61">
        <w:rPr>
          <w:bCs/>
          <w:color w:val="000000"/>
        </w:rPr>
        <w:t>he</w:t>
      </w:r>
      <w:r w:rsidR="008A2EA1" w:rsidRPr="00111B61">
        <w:rPr>
          <w:bCs/>
          <w:color w:val="000000"/>
        </w:rPr>
        <w:t xml:space="preserve"> total number of</w:t>
      </w:r>
      <w:r w:rsidRPr="00111B61">
        <w:rPr>
          <w:bCs/>
          <w:color w:val="000000"/>
        </w:rPr>
        <w:t xml:space="preserve"> viable cells that exclude the dye by pipetting 10 µL of this mixture onto a </w:t>
      </w:r>
      <w:r w:rsidR="00DB6073" w:rsidRPr="00111B61">
        <w:rPr>
          <w:bCs/>
          <w:color w:val="000000"/>
        </w:rPr>
        <w:t>h</w:t>
      </w:r>
      <w:r w:rsidRPr="00111B61">
        <w:rPr>
          <w:bCs/>
          <w:color w:val="000000"/>
        </w:rPr>
        <w:t>emocytometer</w:t>
      </w:r>
      <w:r w:rsidR="008A2EA1" w:rsidRPr="00111B61">
        <w:rPr>
          <w:bCs/>
          <w:color w:val="000000"/>
        </w:rPr>
        <w:t xml:space="preserve"> and observing </w:t>
      </w:r>
      <w:r w:rsidR="00252B25" w:rsidRPr="00111B61">
        <w:rPr>
          <w:bCs/>
          <w:color w:val="000000"/>
        </w:rPr>
        <w:t xml:space="preserve">it </w:t>
      </w:r>
      <w:r w:rsidR="008A2EA1" w:rsidRPr="00111B61">
        <w:rPr>
          <w:bCs/>
          <w:color w:val="000000"/>
        </w:rPr>
        <w:t>under the microscope</w:t>
      </w:r>
      <w:r w:rsidRPr="00111B61">
        <w:rPr>
          <w:bCs/>
          <w:color w:val="000000"/>
        </w:rPr>
        <w:t xml:space="preserve">. </w:t>
      </w:r>
      <w:r w:rsidR="00DB3D20" w:rsidRPr="00120856">
        <w:rPr>
          <w:bCs/>
          <w:color w:val="000000"/>
        </w:rPr>
        <w:t>Do not count a</w:t>
      </w:r>
      <w:r w:rsidR="00DB6073" w:rsidRPr="00111B61">
        <w:rPr>
          <w:bCs/>
          <w:color w:val="000000"/>
        </w:rPr>
        <w:t xml:space="preserve">ny </w:t>
      </w:r>
      <w:r w:rsidRPr="00111B61">
        <w:rPr>
          <w:bCs/>
          <w:color w:val="000000"/>
        </w:rPr>
        <w:t xml:space="preserve">dead </w:t>
      </w:r>
      <w:r w:rsidR="00DB6073" w:rsidRPr="00111B61">
        <w:rPr>
          <w:bCs/>
          <w:color w:val="000000"/>
        </w:rPr>
        <w:t xml:space="preserve">or </w:t>
      </w:r>
      <w:r w:rsidRPr="00111B61">
        <w:rPr>
          <w:bCs/>
          <w:color w:val="000000"/>
        </w:rPr>
        <w:t xml:space="preserve">unhealthy cells that appear </w:t>
      </w:r>
      <w:r w:rsidR="00F25F54" w:rsidRPr="00111B61">
        <w:rPr>
          <w:bCs/>
          <w:color w:val="000000"/>
        </w:rPr>
        <w:t>blue</w:t>
      </w:r>
      <w:r w:rsidR="00252B25" w:rsidRPr="00111B61">
        <w:rPr>
          <w:bCs/>
          <w:color w:val="000000"/>
        </w:rPr>
        <w:t>-</w:t>
      </w:r>
      <w:r w:rsidR="00F25F54" w:rsidRPr="00111B61">
        <w:rPr>
          <w:bCs/>
          <w:color w:val="000000"/>
        </w:rPr>
        <w:t>colored</w:t>
      </w:r>
      <w:r w:rsidRPr="00111B61">
        <w:rPr>
          <w:bCs/>
          <w:color w:val="000000"/>
        </w:rPr>
        <w:t xml:space="preserve"> </w:t>
      </w:r>
      <w:r w:rsidR="00DB6073" w:rsidRPr="00111B61">
        <w:rPr>
          <w:bCs/>
          <w:color w:val="000000"/>
        </w:rPr>
        <w:t>(&lt;10% cells)</w:t>
      </w:r>
      <w:r w:rsidR="008A2EA1" w:rsidRPr="00111B61">
        <w:rPr>
          <w:bCs/>
          <w:color w:val="000000"/>
        </w:rPr>
        <w:t>.</w:t>
      </w:r>
    </w:p>
    <w:p w14:paraId="33A6ACC0" w14:textId="77777777" w:rsidR="00DB3D20" w:rsidRPr="00111B61" w:rsidRDefault="00DB3D20" w:rsidP="00972F6D">
      <w:pPr>
        <w:shd w:val="clear" w:color="auto" w:fill="FFFFFF"/>
        <w:textAlignment w:val="baseline"/>
        <w:rPr>
          <w:bCs/>
          <w:color w:val="000000"/>
        </w:rPr>
      </w:pPr>
    </w:p>
    <w:p w14:paraId="4CA506FC" w14:textId="09753195" w:rsidR="00DB3D20" w:rsidRPr="00120856" w:rsidRDefault="00C41ABD" w:rsidP="00D22DE9">
      <w:pPr>
        <w:pStyle w:val="ListParagraph"/>
        <w:numPr>
          <w:ilvl w:val="2"/>
          <w:numId w:val="1"/>
        </w:numPr>
        <w:shd w:val="clear" w:color="auto" w:fill="FFFFFF"/>
        <w:ind w:left="0" w:firstLine="0"/>
        <w:contextualSpacing w:val="0"/>
        <w:textAlignment w:val="baseline"/>
        <w:rPr>
          <w:bCs/>
          <w:color w:val="000000"/>
        </w:rPr>
      </w:pPr>
      <w:r w:rsidRPr="00111B61">
        <w:rPr>
          <w:bCs/>
          <w:color w:val="000000"/>
        </w:rPr>
        <w:t>Based on the cell count,</w:t>
      </w:r>
      <w:r w:rsidR="00BF5B55" w:rsidRPr="00111B61">
        <w:rPr>
          <w:bCs/>
          <w:color w:val="000000"/>
        </w:rPr>
        <w:t xml:space="preserve"> </w:t>
      </w:r>
      <w:r w:rsidR="00F25F54" w:rsidRPr="00111B61">
        <w:rPr>
          <w:bCs/>
          <w:color w:val="000000"/>
        </w:rPr>
        <w:t xml:space="preserve">calculate the volume of </w:t>
      </w:r>
      <w:r w:rsidR="00194D2B" w:rsidRPr="00111B61">
        <w:rPr>
          <w:bCs/>
          <w:color w:val="000000"/>
        </w:rPr>
        <w:t>cel</w:t>
      </w:r>
      <w:r w:rsidR="00194D2B">
        <w:rPr>
          <w:bCs/>
          <w:color w:val="000000"/>
        </w:rPr>
        <w:t>l</w:t>
      </w:r>
      <w:r w:rsidR="00194D2B" w:rsidRPr="00111B61">
        <w:rPr>
          <w:bCs/>
          <w:color w:val="000000"/>
        </w:rPr>
        <w:t xml:space="preserve"> </w:t>
      </w:r>
      <w:r w:rsidR="00F25F54" w:rsidRPr="00111B61">
        <w:rPr>
          <w:bCs/>
          <w:color w:val="000000"/>
        </w:rPr>
        <w:t xml:space="preserve">suspension </w:t>
      </w:r>
      <w:r w:rsidR="00B83869">
        <w:rPr>
          <w:bCs/>
          <w:color w:val="000000"/>
        </w:rPr>
        <w:t>in</w:t>
      </w:r>
      <w:r w:rsidR="00B83869" w:rsidRPr="00111B61">
        <w:rPr>
          <w:bCs/>
          <w:color w:val="000000"/>
        </w:rPr>
        <w:t xml:space="preserve"> </w:t>
      </w:r>
      <w:r w:rsidR="00BF5B55" w:rsidRPr="00111B61">
        <w:rPr>
          <w:bCs/>
          <w:color w:val="000000"/>
        </w:rPr>
        <w:t xml:space="preserve">complete αMEM </w:t>
      </w:r>
      <w:r w:rsidR="00F25F54" w:rsidRPr="00111B61">
        <w:rPr>
          <w:bCs/>
          <w:color w:val="000000"/>
        </w:rPr>
        <w:t xml:space="preserve">needed </w:t>
      </w:r>
      <w:r w:rsidR="00BF5B55" w:rsidRPr="00111B61">
        <w:rPr>
          <w:bCs/>
          <w:color w:val="000000"/>
        </w:rPr>
        <w:t>for a final concentration of 2.4 x</w:t>
      </w:r>
      <w:r w:rsidR="00194D2B">
        <w:rPr>
          <w:bCs/>
          <w:color w:val="000000"/>
        </w:rPr>
        <w:t xml:space="preserve"> </w:t>
      </w:r>
      <w:r w:rsidR="00BF5B55" w:rsidRPr="00111B61">
        <w:rPr>
          <w:bCs/>
          <w:color w:val="000000"/>
        </w:rPr>
        <w:t>10</w:t>
      </w:r>
      <w:r w:rsidR="00BF5B55" w:rsidRPr="00111B61">
        <w:rPr>
          <w:bCs/>
          <w:color w:val="000000"/>
          <w:vertAlign w:val="superscript"/>
        </w:rPr>
        <w:t>6</w:t>
      </w:r>
      <w:r w:rsidR="00BF5B55" w:rsidRPr="00111B61">
        <w:rPr>
          <w:bCs/>
          <w:color w:val="000000"/>
        </w:rPr>
        <w:t xml:space="preserve"> cells/m</w:t>
      </w:r>
      <w:r w:rsidR="00DB3D20" w:rsidRPr="00120856">
        <w:rPr>
          <w:bCs/>
          <w:color w:val="000000"/>
        </w:rPr>
        <w:t>L</w:t>
      </w:r>
      <w:r w:rsidR="00BF5B55" w:rsidRPr="00111B61">
        <w:rPr>
          <w:bCs/>
          <w:color w:val="000000"/>
        </w:rPr>
        <w:t xml:space="preserve"> for a total volume of at least 10 m</w:t>
      </w:r>
      <w:r w:rsidR="00DB3D20" w:rsidRPr="00120856">
        <w:rPr>
          <w:bCs/>
          <w:color w:val="000000"/>
        </w:rPr>
        <w:t>L</w:t>
      </w:r>
      <w:r w:rsidRPr="00111B61">
        <w:rPr>
          <w:bCs/>
          <w:color w:val="000000"/>
        </w:rPr>
        <w:t xml:space="preserve"> </w:t>
      </w:r>
      <w:r w:rsidR="00BF5B55" w:rsidRPr="00111B61">
        <w:rPr>
          <w:bCs/>
          <w:color w:val="000000"/>
        </w:rPr>
        <w:t>per plate</w:t>
      </w:r>
      <w:r w:rsidR="00DB3D20" w:rsidRPr="00120856">
        <w:rPr>
          <w:bCs/>
          <w:color w:val="000000"/>
        </w:rPr>
        <w:t>.</w:t>
      </w:r>
    </w:p>
    <w:p w14:paraId="06020B1B" w14:textId="77777777" w:rsidR="00DB3D20" w:rsidRPr="00120856" w:rsidRDefault="00DB3D20" w:rsidP="00063C97">
      <w:pPr>
        <w:pStyle w:val="ListParagraph"/>
        <w:ind w:left="0"/>
        <w:contextualSpacing w:val="0"/>
        <w:rPr>
          <w:bCs/>
          <w:color w:val="000000"/>
        </w:rPr>
      </w:pPr>
    </w:p>
    <w:p w14:paraId="390B81F5" w14:textId="2F54F1A9" w:rsidR="00163634" w:rsidRPr="00AA24D3" w:rsidRDefault="00163634" w:rsidP="00972F6D">
      <w:pPr>
        <w:shd w:val="clear" w:color="auto" w:fill="FFFFFF"/>
        <w:textAlignment w:val="baseline"/>
        <w:rPr>
          <w:bCs/>
          <w:color w:val="000000"/>
        </w:rPr>
      </w:pPr>
      <w:r w:rsidRPr="00111B61">
        <w:rPr>
          <w:bCs/>
          <w:color w:val="000000"/>
        </w:rPr>
        <w:t xml:space="preserve">[Place </w:t>
      </w:r>
      <w:r w:rsidR="00DB3D20" w:rsidRPr="00120856">
        <w:rPr>
          <w:b/>
          <w:color w:val="000000"/>
        </w:rPr>
        <w:t>Figure</w:t>
      </w:r>
      <w:r w:rsidRPr="00111B61">
        <w:rPr>
          <w:b/>
          <w:color w:val="000000"/>
        </w:rPr>
        <w:t xml:space="preserve"> 2</w:t>
      </w:r>
      <w:r w:rsidRPr="00111B61">
        <w:rPr>
          <w:bCs/>
          <w:color w:val="000000"/>
        </w:rPr>
        <w:t xml:space="preserve"> here]</w:t>
      </w:r>
    </w:p>
    <w:p w14:paraId="280D421C" w14:textId="77777777" w:rsidR="00DB3D20" w:rsidRPr="00111B61" w:rsidRDefault="00DB3D20" w:rsidP="00972F6D">
      <w:pPr>
        <w:shd w:val="clear" w:color="auto" w:fill="FFFFFF"/>
        <w:textAlignment w:val="baseline"/>
        <w:rPr>
          <w:bCs/>
          <w:color w:val="000000"/>
        </w:rPr>
      </w:pPr>
    </w:p>
    <w:p w14:paraId="18AD6C5B" w14:textId="6FFBD4FA" w:rsidR="00893631" w:rsidRPr="00120856" w:rsidRDefault="00C41ABD" w:rsidP="00D22DE9">
      <w:pPr>
        <w:pStyle w:val="ListParagraph"/>
        <w:numPr>
          <w:ilvl w:val="2"/>
          <w:numId w:val="1"/>
        </w:numPr>
        <w:pBdr>
          <w:top w:val="nil"/>
          <w:left w:val="nil"/>
          <w:bottom w:val="nil"/>
          <w:right w:val="nil"/>
          <w:between w:val="nil"/>
        </w:pBdr>
        <w:ind w:left="0" w:firstLine="0"/>
        <w:contextualSpacing w:val="0"/>
        <w:rPr>
          <w:bCs/>
          <w:color w:val="000000"/>
        </w:rPr>
      </w:pPr>
      <w:r w:rsidRPr="00111B61">
        <w:rPr>
          <w:bCs/>
          <w:color w:val="000000"/>
        </w:rPr>
        <w:t xml:space="preserve">Centrifuge </w:t>
      </w:r>
      <w:r w:rsidR="005C5828" w:rsidRPr="00111B61">
        <w:rPr>
          <w:bCs/>
          <w:color w:val="000000"/>
        </w:rPr>
        <w:t>the cells in the conical tube at 1</w:t>
      </w:r>
      <w:r w:rsidR="00194D2B">
        <w:rPr>
          <w:bCs/>
          <w:color w:val="000000"/>
        </w:rPr>
        <w:t>,</w:t>
      </w:r>
      <w:r w:rsidR="005C5828" w:rsidRPr="00111B61">
        <w:rPr>
          <w:bCs/>
          <w:color w:val="000000"/>
        </w:rPr>
        <w:t xml:space="preserve">000 </w:t>
      </w:r>
      <w:r w:rsidR="00BF5B55" w:rsidRPr="00111B61">
        <w:rPr>
          <w:bCs/>
          <w:color w:val="000000"/>
        </w:rPr>
        <w:t xml:space="preserve">x </w:t>
      </w:r>
      <w:r w:rsidR="00BF5B55" w:rsidRPr="00111B61">
        <w:rPr>
          <w:bCs/>
          <w:i/>
          <w:iCs/>
          <w:color w:val="000000"/>
        </w:rPr>
        <w:t>g</w:t>
      </w:r>
      <w:r w:rsidR="00BF5B55" w:rsidRPr="00111B61">
        <w:rPr>
          <w:bCs/>
          <w:color w:val="000000"/>
        </w:rPr>
        <w:t xml:space="preserve"> </w:t>
      </w:r>
      <w:r w:rsidR="005C5828" w:rsidRPr="00111B61">
        <w:rPr>
          <w:bCs/>
          <w:color w:val="000000"/>
        </w:rPr>
        <w:t xml:space="preserve">for 5 min </w:t>
      </w:r>
      <w:r w:rsidRPr="00111B61">
        <w:rPr>
          <w:bCs/>
          <w:color w:val="000000"/>
        </w:rPr>
        <w:t>and resuspend the cells to the desired final concentration</w:t>
      </w:r>
      <w:r w:rsidR="002B3299" w:rsidRPr="00AA24D3">
        <w:rPr>
          <w:bCs/>
          <w:color w:val="000000"/>
        </w:rPr>
        <w:t xml:space="preserve"> of 2.4 x</w:t>
      </w:r>
      <w:r w:rsidR="00194D2B">
        <w:rPr>
          <w:bCs/>
          <w:color w:val="000000"/>
        </w:rPr>
        <w:t xml:space="preserve"> </w:t>
      </w:r>
      <w:r w:rsidR="002B3299" w:rsidRPr="00AA24D3">
        <w:rPr>
          <w:bCs/>
          <w:color w:val="000000"/>
        </w:rPr>
        <w:t>10</w:t>
      </w:r>
      <w:r w:rsidR="002B3299" w:rsidRPr="00AA24D3">
        <w:rPr>
          <w:bCs/>
          <w:color w:val="000000"/>
          <w:vertAlign w:val="superscript"/>
        </w:rPr>
        <w:t>6</w:t>
      </w:r>
      <w:r w:rsidR="002B3299" w:rsidRPr="00AA24D3">
        <w:rPr>
          <w:bCs/>
          <w:color w:val="000000"/>
        </w:rPr>
        <w:t xml:space="preserve"> cells/</w:t>
      </w:r>
      <w:proofErr w:type="spellStart"/>
      <w:r w:rsidR="002B3299" w:rsidRPr="00AA24D3">
        <w:rPr>
          <w:bCs/>
          <w:color w:val="000000"/>
        </w:rPr>
        <w:t>mL</w:t>
      </w:r>
      <w:r w:rsidRPr="00111B61">
        <w:rPr>
          <w:bCs/>
          <w:color w:val="000000"/>
        </w:rPr>
        <w:t>.</w:t>
      </w:r>
      <w:proofErr w:type="spellEnd"/>
    </w:p>
    <w:p w14:paraId="60BA394A" w14:textId="77777777" w:rsidR="002B3299" w:rsidRPr="00111B61" w:rsidRDefault="002B3299" w:rsidP="00972F6D">
      <w:pPr>
        <w:pStyle w:val="ListParagraph"/>
        <w:pBdr>
          <w:top w:val="nil"/>
          <w:left w:val="nil"/>
          <w:bottom w:val="nil"/>
          <w:right w:val="nil"/>
          <w:between w:val="nil"/>
        </w:pBdr>
        <w:ind w:left="0"/>
        <w:contextualSpacing w:val="0"/>
        <w:rPr>
          <w:bCs/>
          <w:color w:val="000000"/>
        </w:rPr>
      </w:pPr>
    </w:p>
    <w:p w14:paraId="6F64F3DB" w14:textId="5F9F9C75" w:rsidR="00584472" w:rsidRPr="00120856" w:rsidRDefault="00584472" w:rsidP="00D22DE9">
      <w:pPr>
        <w:pStyle w:val="ListParagraph"/>
        <w:numPr>
          <w:ilvl w:val="2"/>
          <w:numId w:val="1"/>
        </w:numPr>
        <w:pBdr>
          <w:top w:val="nil"/>
          <w:left w:val="nil"/>
          <w:bottom w:val="nil"/>
          <w:right w:val="nil"/>
          <w:between w:val="nil"/>
        </w:pBdr>
        <w:ind w:left="0" w:firstLine="0"/>
        <w:rPr>
          <w:bCs/>
          <w:color w:val="000000"/>
        </w:rPr>
      </w:pPr>
      <w:r w:rsidRPr="00111B61">
        <w:rPr>
          <w:bCs/>
          <w:color w:val="000000"/>
        </w:rPr>
        <w:t>Transfer the cell suspension to a reservoir and</w:t>
      </w:r>
      <w:r w:rsidR="00754782" w:rsidRPr="00111B61">
        <w:rPr>
          <w:bCs/>
          <w:color w:val="000000"/>
        </w:rPr>
        <w:t>,</w:t>
      </w:r>
      <w:r w:rsidRPr="00111B61">
        <w:rPr>
          <w:bCs/>
          <w:color w:val="000000"/>
        </w:rPr>
        <w:t xml:space="preserve"> using a multichannel pipet</w:t>
      </w:r>
      <w:r w:rsidR="00746913">
        <w:rPr>
          <w:bCs/>
          <w:color w:val="000000"/>
        </w:rPr>
        <w:t>,</w:t>
      </w:r>
      <w:r w:rsidR="002E467E" w:rsidRPr="00120856">
        <w:rPr>
          <w:bCs/>
          <w:color w:val="000000"/>
        </w:rPr>
        <w:t xml:space="preserve"> c</w:t>
      </w:r>
      <w:r w:rsidRPr="00111B61">
        <w:rPr>
          <w:bCs/>
          <w:color w:val="000000"/>
        </w:rPr>
        <w:t xml:space="preserve">arefully resuspend the cells to ensure </w:t>
      </w:r>
      <w:r w:rsidR="00754782" w:rsidRPr="00111B61">
        <w:rPr>
          <w:bCs/>
          <w:color w:val="000000"/>
        </w:rPr>
        <w:t xml:space="preserve">a </w:t>
      </w:r>
      <w:r w:rsidRPr="00111B61">
        <w:rPr>
          <w:bCs/>
          <w:color w:val="000000"/>
        </w:rPr>
        <w:t>homogenous mixture of cells.</w:t>
      </w:r>
    </w:p>
    <w:p w14:paraId="48C01E8E" w14:textId="77777777" w:rsidR="002E467E" w:rsidRPr="00111B61" w:rsidRDefault="002E467E" w:rsidP="00972F6D">
      <w:pPr>
        <w:pBdr>
          <w:top w:val="nil"/>
          <w:left w:val="nil"/>
          <w:bottom w:val="nil"/>
          <w:right w:val="nil"/>
          <w:between w:val="nil"/>
        </w:pBdr>
        <w:rPr>
          <w:bCs/>
          <w:color w:val="000000"/>
        </w:rPr>
      </w:pPr>
    </w:p>
    <w:p w14:paraId="292935BA" w14:textId="2B266F56" w:rsidR="001D5305" w:rsidRPr="00111B61" w:rsidRDefault="006F484C" w:rsidP="00D22DE9">
      <w:pPr>
        <w:pStyle w:val="ListParagraph"/>
        <w:numPr>
          <w:ilvl w:val="2"/>
          <w:numId w:val="1"/>
        </w:numPr>
        <w:pBdr>
          <w:top w:val="nil"/>
          <w:left w:val="nil"/>
          <w:bottom w:val="nil"/>
          <w:right w:val="nil"/>
          <w:between w:val="nil"/>
        </w:pBdr>
        <w:ind w:left="0" w:firstLine="0"/>
        <w:rPr>
          <w:bCs/>
          <w:color w:val="000000"/>
        </w:rPr>
      </w:pPr>
      <w:r w:rsidRPr="00111B61">
        <w:rPr>
          <w:bCs/>
          <w:color w:val="000000"/>
        </w:rPr>
        <w:t>Seed 2.5 x 10</w:t>
      </w:r>
      <w:r w:rsidRPr="00111B61">
        <w:rPr>
          <w:bCs/>
          <w:color w:val="000000"/>
          <w:vertAlign w:val="superscript"/>
        </w:rPr>
        <w:t>4</w:t>
      </w:r>
      <w:r w:rsidRPr="00111B61">
        <w:rPr>
          <w:bCs/>
          <w:color w:val="000000"/>
        </w:rPr>
        <w:t xml:space="preserve"> cells per well in the </w:t>
      </w:r>
      <w:r w:rsidR="00893631" w:rsidRPr="00111B61">
        <w:rPr>
          <w:bCs/>
          <w:color w:val="000000"/>
        </w:rPr>
        <w:t>96</w:t>
      </w:r>
      <w:r w:rsidR="00194D2B">
        <w:rPr>
          <w:bCs/>
          <w:color w:val="000000"/>
        </w:rPr>
        <w:t>-</w:t>
      </w:r>
      <w:r w:rsidR="00893631" w:rsidRPr="00111B61">
        <w:rPr>
          <w:bCs/>
          <w:color w:val="000000"/>
        </w:rPr>
        <w:t xml:space="preserve">well </w:t>
      </w:r>
      <w:r w:rsidRPr="00111B61">
        <w:rPr>
          <w:bCs/>
          <w:color w:val="000000"/>
        </w:rPr>
        <w:t>cell culture microplate with 80</w:t>
      </w:r>
      <w:r w:rsidR="00FE57C6" w:rsidRPr="00111B61">
        <w:rPr>
          <w:bCs/>
          <w:color w:val="000000"/>
        </w:rPr>
        <w:t xml:space="preserve"> </w:t>
      </w:r>
      <w:proofErr w:type="spellStart"/>
      <w:r w:rsidR="00D52DD5" w:rsidRPr="00AA24D3">
        <w:t>μ</w:t>
      </w:r>
      <w:r w:rsidRPr="00111B61">
        <w:rPr>
          <w:bCs/>
          <w:color w:val="000000"/>
        </w:rPr>
        <w:t>L</w:t>
      </w:r>
      <w:proofErr w:type="spellEnd"/>
      <w:r w:rsidRPr="00111B61">
        <w:rPr>
          <w:bCs/>
          <w:color w:val="000000"/>
        </w:rPr>
        <w:t xml:space="preserve"> of </w:t>
      </w:r>
      <w:r w:rsidR="00893631" w:rsidRPr="00111B61">
        <w:rPr>
          <w:bCs/>
          <w:color w:val="000000"/>
        </w:rPr>
        <w:t>complete αMEM</w:t>
      </w:r>
      <w:r w:rsidRPr="00111B61">
        <w:rPr>
          <w:bCs/>
          <w:color w:val="000000"/>
        </w:rPr>
        <w:t xml:space="preserve">. </w:t>
      </w:r>
      <w:r w:rsidR="0039758F" w:rsidRPr="00111B61">
        <w:rPr>
          <w:bCs/>
          <w:color w:val="000000"/>
        </w:rPr>
        <w:t>Do not seed cells in the background correction wells (A1, A12, H1, H12)</w:t>
      </w:r>
      <w:r w:rsidR="009A63CE" w:rsidRPr="00111B61">
        <w:rPr>
          <w:bCs/>
          <w:color w:val="000000"/>
        </w:rPr>
        <w:t>;</w:t>
      </w:r>
      <w:r w:rsidR="0039758F" w:rsidRPr="00111B61">
        <w:rPr>
          <w:bCs/>
          <w:color w:val="000000"/>
        </w:rPr>
        <w:t xml:space="preserve"> </w:t>
      </w:r>
      <w:r w:rsidR="00C9340B" w:rsidRPr="00111B61">
        <w:rPr>
          <w:bCs/>
          <w:color w:val="000000"/>
        </w:rPr>
        <w:t>instead,</w:t>
      </w:r>
      <w:r w:rsidR="0039758F" w:rsidRPr="00111B61">
        <w:rPr>
          <w:bCs/>
          <w:color w:val="000000"/>
        </w:rPr>
        <w:t xml:space="preserve"> just add </w:t>
      </w:r>
      <w:r w:rsidR="00194D2B">
        <w:rPr>
          <w:bCs/>
          <w:color w:val="000000"/>
        </w:rPr>
        <w:t xml:space="preserve">the </w:t>
      </w:r>
      <w:r w:rsidR="0039758F" w:rsidRPr="00111B61">
        <w:rPr>
          <w:bCs/>
          <w:color w:val="000000"/>
        </w:rPr>
        <w:t>medium in these four wells.</w:t>
      </w:r>
    </w:p>
    <w:p w14:paraId="4B9940D8" w14:textId="77777777" w:rsidR="00F25F54" w:rsidRPr="00AA24D3" w:rsidRDefault="00F25F54" w:rsidP="00972F6D">
      <w:pPr>
        <w:pBdr>
          <w:top w:val="nil"/>
          <w:left w:val="nil"/>
          <w:bottom w:val="nil"/>
          <w:right w:val="nil"/>
          <w:between w:val="nil"/>
        </w:pBdr>
        <w:rPr>
          <w:bCs/>
          <w:color w:val="000000"/>
        </w:rPr>
      </w:pPr>
    </w:p>
    <w:p w14:paraId="48D5479D" w14:textId="7B45274D" w:rsidR="006F484C" w:rsidRPr="00AA24D3" w:rsidRDefault="002C38EE" w:rsidP="00972F6D">
      <w:pPr>
        <w:pStyle w:val="ListParagraph"/>
        <w:ind w:left="0"/>
        <w:contextualSpacing w:val="0"/>
        <w:rPr>
          <w:bCs/>
          <w:color w:val="000000"/>
        </w:rPr>
      </w:pPr>
      <w:r w:rsidRPr="00111B61">
        <w:rPr>
          <w:rFonts w:eastAsia="Times New Roman"/>
          <w:color w:val="0E101A"/>
        </w:rPr>
        <w:t>N</w:t>
      </w:r>
      <w:r w:rsidR="008E5897" w:rsidRPr="00120856">
        <w:rPr>
          <w:rFonts w:eastAsia="Times New Roman"/>
          <w:color w:val="0E101A"/>
        </w:rPr>
        <w:t>OTE</w:t>
      </w:r>
      <w:r w:rsidRPr="00111B61">
        <w:rPr>
          <w:rFonts w:eastAsia="Times New Roman"/>
          <w:color w:val="0E101A"/>
        </w:rPr>
        <w:t>:</w:t>
      </w:r>
      <w:r w:rsidRPr="00AA24D3">
        <w:rPr>
          <w:rFonts w:eastAsia="Times New Roman"/>
          <w:color w:val="0E101A"/>
        </w:rPr>
        <w:t xml:space="preserve"> </w:t>
      </w:r>
      <w:r w:rsidRPr="00AA24D3">
        <w:t xml:space="preserve">BMSCs for </w:t>
      </w:r>
      <w:r w:rsidR="00EF5CD9">
        <w:t>the</w:t>
      </w:r>
      <w:r w:rsidRPr="00AA24D3">
        <w:t xml:space="preserve"> assays are plated in 96</w:t>
      </w:r>
      <w:r w:rsidR="00194D2B">
        <w:t>-</w:t>
      </w:r>
      <w:r w:rsidRPr="00AA24D3">
        <w:t xml:space="preserve">well </w:t>
      </w:r>
      <w:r w:rsidR="00EF5CD9">
        <w:t>c</w:t>
      </w:r>
      <w:r w:rsidRPr="00AA24D3">
        <w:t xml:space="preserve">ell culture microplate designed for the </w:t>
      </w:r>
      <w:r w:rsidR="001F65FE">
        <w:t>a</w:t>
      </w:r>
      <w:r w:rsidRPr="00AA24D3">
        <w:t xml:space="preserve">nalyzer </w:t>
      </w:r>
      <w:r w:rsidRPr="00AA24D3">
        <w:lastRenderedPageBreak/>
        <w:t xml:space="preserve">in conjunction with the </w:t>
      </w:r>
      <w:r w:rsidR="001F65FE">
        <w:t>s</w:t>
      </w:r>
      <w:r w:rsidRPr="00AA24D3">
        <w:t>ensor cartridges. The surface area of these plates is different from a regular 96</w:t>
      </w:r>
      <w:r w:rsidR="00194D2B">
        <w:t>-</w:t>
      </w:r>
      <w:r w:rsidRPr="00AA24D3">
        <w:t>well plate. The surface area of each well in the plate is 0.106 cm</w:t>
      </w:r>
      <w:r w:rsidRPr="00AA24D3">
        <w:rPr>
          <w:vertAlign w:val="superscript"/>
        </w:rPr>
        <w:t>2</w:t>
      </w:r>
      <w:r w:rsidRPr="00AA24D3">
        <w:t>, which is approximately 40% of the typical 96</w:t>
      </w:r>
      <w:r w:rsidR="00194D2B">
        <w:t>-</w:t>
      </w:r>
      <w:r w:rsidRPr="00AA24D3">
        <w:t xml:space="preserve">well plate area. </w:t>
      </w:r>
      <w:r w:rsidR="006F484C" w:rsidRPr="00AA24D3">
        <w:rPr>
          <w:bCs/>
          <w:color w:val="000000"/>
        </w:rPr>
        <w:t xml:space="preserve">Optimal cell seeding density is chosen based on the cell type. Typically, </w:t>
      </w:r>
      <w:r w:rsidR="00E40036">
        <w:rPr>
          <w:bCs/>
          <w:color w:val="000000"/>
        </w:rPr>
        <w:t xml:space="preserve">the analyzer </w:t>
      </w:r>
      <w:r w:rsidR="006F484C" w:rsidRPr="00AA24D3">
        <w:rPr>
          <w:bCs/>
          <w:color w:val="000000"/>
        </w:rPr>
        <w:t>can detect between 0.5</w:t>
      </w:r>
      <w:r w:rsidR="00194D2B">
        <w:rPr>
          <w:bCs/>
          <w:color w:val="000000"/>
        </w:rPr>
        <w:t>–</w:t>
      </w:r>
      <w:r w:rsidR="006F484C" w:rsidRPr="00AA24D3">
        <w:rPr>
          <w:bCs/>
          <w:color w:val="000000"/>
        </w:rPr>
        <w:t>4 x 10</w:t>
      </w:r>
      <w:r w:rsidR="006F484C" w:rsidRPr="00AA24D3">
        <w:rPr>
          <w:bCs/>
          <w:color w:val="000000"/>
          <w:vertAlign w:val="superscript"/>
        </w:rPr>
        <w:t>4</w:t>
      </w:r>
      <w:r w:rsidR="006F484C" w:rsidRPr="00AA24D3">
        <w:rPr>
          <w:bCs/>
          <w:color w:val="000000"/>
        </w:rPr>
        <w:t xml:space="preserve"> cells per well. Osteoblasts need to be in contact to </w:t>
      </w:r>
      <w:r w:rsidR="00754782" w:rsidRPr="00AA24D3">
        <w:rPr>
          <w:bCs/>
          <w:color w:val="000000"/>
        </w:rPr>
        <w:t>differentiate effectively</w:t>
      </w:r>
      <w:r w:rsidR="009A63CE" w:rsidRPr="00AA24D3">
        <w:rPr>
          <w:bCs/>
          <w:color w:val="000000"/>
        </w:rPr>
        <w:t>;</w:t>
      </w:r>
      <w:r w:rsidR="006F484C" w:rsidRPr="00AA24D3">
        <w:rPr>
          <w:bCs/>
          <w:color w:val="000000"/>
        </w:rPr>
        <w:t xml:space="preserve"> for this purpose, </w:t>
      </w:r>
      <w:r w:rsidR="00776708" w:rsidRPr="00AA24D3">
        <w:rPr>
          <w:bCs/>
          <w:color w:val="000000"/>
        </w:rPr>
        <w:t>plating</w:t>
      </w:r>
      <w:r w:rsidR="006F484C" w:rsidRPr="00AA24D3">
        <w:rPr>
          <w:bCs/>
          <w:color w:val="000000"/>
        </w:rPr>
        <w:t xml:space="preserve"> between 2.0 x 10</w:t>
      </w:r>
      <w:r w:rsidR="006F484C" w:rsidRPr="00AA24D3">
        <w:rPr>
          <w:bCs/>
          <w:color w:val="000000"/>
          <w:vertAlign w:val="superscript"/>
        </w:rPr>
        <w:t>4</w:t>
      </w:r>
      <w:r w:rsidR="00194D2B">
        <w:rPr>
          <w:bCs/>
          <w:color w:val="000000"/>
        </w:rPr>
        <w:t>–</w:t>
      </w:r>
      <w:r w:rsidR="006F484C" w:rsidRPr="00AA24D3">
        <w:rPr>
          <w:bCs/>
          <w:color w:val="000000"/>
        </w:rPr>
        <w:t>3.0 x 10</w:t>
      </w:r>
      <w:r w:rsidR="006F484C" w:rsidRPr="00AA24D3">
        <w:rPr>
          <w:bCs/>
          <w:color w:val="000000"/>
          <w:vertAlign w:val="superscript"/>
        </w:rPr>
        <w:t>4</w:t>
      </w:r>
      <w:r w:rsidR="006F484C" w:rsidRPr="00AA24D3">
        <w:rPr>
          <w:bCs/>
          <w:color w:val="000000"/>
        </w:rPr>
        <w:t xml:space="preserve"> </w:t>
      </w:r>
      <w:r w:rsidR="00776708" w:rsidRPr="00AA24D3">
        <w:rPr>
          <w:bCs/>
          <w:color w:val="000000"/>
        </w:rPr>
        <w:t>BMSCs</w:t>
      </w:r>
      <w:r w:rsidR="006F484C" w:rsidRPr="00AA24D3">
        <w:rPr>
          <w:bCs/>
          <w:color w:val="000000"/>
        </w:rPr>
        <w:t>/well in 80</w:t>
      </w:r>
      <w:r w:rsidR="00776708" w:rsidRPr="00AA24D3">
        <w:rPr>
          <w:bCs/>
          <w:color w:val="000000"/>
        </w:rPr>
        <w:t xml:space="preserve"> </w:t>
      </w:r>
      <w:proofErr w:type="spellStart"/>
      <w:r w:rsidR="00D52DD5" w:rsidRPr="00AA24D3">
        <w:t>μ</w:t>
      </w:r>
      <w:r w:rsidR="006F484C" w:rsidRPr="00AA24D3">
        <w:rPr>
          <w:bCs/>
          <w:color w:val="000000"/>
        </w:rPr>
        <w:t>L</w:t>
      </w:r>
      <w:proofErr w:type="spellEnd"/>
      <w:r w:rsidR="006F484C" w:rsidRPr="00AA24D3">
        <w:rPr>
          <w:bCs/>
          <w:color w:val="000000"/>
        </w:rPr>
        <w:t xml:space="preserve"> of complete </w:t>
      </w:r>
      <w:r w:rsidR="00776708" w:rsidRPr="00AA24D3">
        <w:rPr>
          <w:bCs/>
          <w:color w:val="000000"/>
        </w:rPr>
        <w:t>α</w:t>
      </w:r>
      <w:r w:rsidR="006F484C" w:rsidRPr="00AA24D3">
        <w:rPr>
          <w:bCs/>
          <w:color w:val="000000"/>
        </w:rPr>
        <w:t>MEM</w:t>
      </w:r>
      <w:r w:rsidR="00776708" w:rsidRPr="00AA24D3">
        <w:rPr>
          <w:bCs/>
          <w:color w:val="000000"/>
        </w:rPr>
        <w:t xml:space="preserve"> has been selected.</w:t>
      </w:r>
    </w:p>
    <w:p w14:paraId="59508906" w14:textId="77777777" w:rsidR="00F25F54" w:rsidRPr="00AA24D3" w:rsidRDefault="00F25F54" w:rsidP="00972F6D">
      <w:pPr>
        <w:pBdr>
          <w:top w:val="nil"/>
          <w:left w:val="nil"/>
          <w:bottom w:val="nil"/>
          <w:right w:val="nil"/>
          <w:between w:val="nil"/>
        </w:pBdr>
        <w:rPr>
          <w:bCs/>
          <w:color w:val="000000"/>
        </w:rPr>
      </w:pPr>
    </w:p>
    <w:p w14:paraId="631A9405" w14:textId="19FCB5CC" w:rsidR="0039758F" w:rsidRPr="00120856" w:rsidRDefault="0039758F" w:rsidP="00D22DE9">
      <w:pPr>
        <w:pStyle w:val="ListParagraph"/>
        <w:numPr>
          <w:ilvl w:val="2"/>
          <w:numId w:val="1"/>
        </w:numPr>
        <w:pBdr>
          <w:top w:val="nil"/>
          <w:left w:val="nil"/>
          <w:bottom w:val="nil"/>
          <w:right w:val="nil"/>
          <w:between w:val="nil"/>
        </w:pBdr>
        <w:ind w:left="0" w:firstLine="0"/>
        <w:rPr>
          <w:bCs/>
          <w:color w:val="000000"/>
        </w:rPr>
      </w:pPr>
      <w:r w:rsidRPr="00111B61">
        <w:rPr>
          <w:bCs/>
          <w:color w:val="000000"/>
        </w:rPr>
        <w:t xml:space="preserve">Gently </w:t>
      </w:r>
      <w:r w:rsidR="00893631" w:rsidRPr="00111B61">
        <w:rPr>
          <w:bCs/>
          <w:color w:val="000000"/>
        </w:rPr>
        <w:t xml:space="preserve">agitate </w:t>
      </w:r>
      <w:r w:rsidRPr="00111B61">
        <w:rPr>
          <w:bCs/>
          <w:color w:val="000000"/>
        </w:rPr>
        <w:t xml:space="preserve">the plate to ensure </w:t>
      </w:r>
      <w:r w:rsidR="00754782" w:rsidRPr="00111B61">
        <w:rPr>
          <w:bCs/>
          <w:color w:val="000000"/>
        </w:rPr>
        <w:t xml:space="preserve">the </w:t>
      </w:r>
      <w:r w:rsidRPr="00111B61">
        <w:rPr>
          <w:bCs/>
          <w:color w:val="000000"/>
        </w:rPr>
        <w:t xml:space="preserve">even distribution of cells in the wells </w:t>
      </w:r>
      <w:r w:rsidR="00776708" w:rsidRPr="00111B61">
        <w:rPr>
          <w:bCs/>
          <w:color w:val="000000"/>
        </w:rPr>
        <w:t xml:space="preserve">and incubate at </w:t>
      </w:r>
      <w:r w:rsidRPr="00111B61">
        <w:rPr>
          <w:bCs/>
          <w:color w:val="000000"/>
        </w:rPr>
        <w:t>37</w:t>
      </w:r>
      <w:r w:rsidR="00194D2B">
        <w:rPr>
          <w:bCs/>
          <w:color w:val="000000"/>
        </w:rPr>
        <w:t xml:space="preserve"> </w:t>
      </w:r>
      <w:r w:rsidR="00D52DD5" w:rsidRPr="00AA24D3">
        <w:t>°</w:t>
      </w:r>
      <w:r w:rsidRPr="00111B61">
        <w:rPr>
          <w:bCs/>
          <w:color w:val="000000"/>
        </w:rPr>
        <w:t>C</w:t>
      </w:r>
      <w:r w:rsidR="006F484C" w:rsidRPr="00111B61">
        <w:rPr>
          <w:bCs/>
          <w:color w:val="000000"/>
        </w:rPr>
        <w:t>, 5% CO</w:t>
      </w:r>
      <w:r w:rsidR="006F484C" w:rsidRPr="00111B61">
        <w:rPr>
          <w:bCs/>
          <w:color w:val="000000"/>
          <w:vertAlign w:val="subscript"/>
        </w:rPr>
        <w:t>2</w:t>
      </w:r>
      <w:r w:rsidR="00776708" w:rsidRPr="00111B61">
        <w:rPr>
          <w:bCs/>
          <w:color w:val="000000"/>
        </w:rPr>
        <w:t>.</w:t>
      </w:r>
      <w:r w:rsidR="00893631" w:rsidRPr="00111B61">
        <w:rPr>
          <w:bCs/>
          <w:color w:val="000000"/>
        </w:rPr>
        <w:t xml:space="preserve"> </w:t>
      </w:r>
      <w:r w:rsidR="001D5305" w:rsidRPr="00120856">
        <w:rPr>
          <w:bCs/>
          <w:color w:val="000000"/>
        </w:rPr>
        <w:t>C</w:t>
      </w:r>
      <w:r w:rsidRPr="00111B61">
        <w:rPr>
          <w:bCs/>
          <w:color w:val="000000"/>
        </w:rPr>
        <w:t xml:space="preserve">heck the </w:t>
      </w:r>
      <w:r w:rsidR="00DA57FD" w:rsidRPr="00111B61">
        <w:rPr>
          <w:bCs/>
          <w:color w:val="000000"/>
        </w:rPr>
        <w:t>growth of the cells and cell confluency under the microscope</w:t>
      </w:r>
      <w:r w:rsidR="00776708" w:rsidRPr="00111B61">
        <w:rPr>
          <w:bCs/>
          <w:color w:val="000000"/>
        </w:rPr>
        <w:t xml:space="preserve"> after 48 h.</w:t>
      </w:r>
      <w:r w:rsidR="00297A84" w:rsidRPr="00111B61">
        <w:rPr>
          <w:bCs/>
          <w:color w:val="000000"/>
        </w:rPr>
        <w:t xml:space="preserve"> </w:t>
      </w:r>
      <w:r w:rsidR="00776708" w:rsidRPr="00111B61">
        <w:rPr>
          <w:bCs/>
          <w:color w:val="000000"/>
        </w:rPr>
        <w:t>C</w:t>
      </w:r>
      <w:r w:rsidR="00297A84" w:rsidRPr="00111B61">
        <w:rPr>
          <w:bCs/>
          <w:color w:val="000000"/>
        </w:rPr>
        <w:t>hange the cell culture media if required</w:t>
      </w:r>
      <w:r w:rsidR="00DA57FD" w:rsidRPr="00111B61">
        <w:rPr>
          <w:bCs/>
          <w:color w:val="000000"/>
        </w:rPr>
        <w:t>.</w:t>
      </w:r>
    </w:p>
    <w:p w14:paraId="250B17D6" w14:textId="77777777" w:rsidR="001D5305" w:rsidRPr="00111B61" w:rsidRDefault="001D5305" w:rsidP="00972F6D">
      <w:pPr>
        <w:pStyle w:val="ListParagraph"/>
        <w:pBdr>
          <w:top w:val="nil"/>
          <w:left w:val="nil"/>
          <w:bottom w:val="nil"/>
          <w:right w:val="nil"/>
          <w:between w:val="nil"/>
        </w:pBdr>
        <w:ind w:left="0"/>
        <w:rPr>
          <w:bCs/>
          <w:color w:val="000000"/>
        </w:rPr>
      </w:pPr>
    </w:p>
    <w:p w14:paraId="10F14FF1" w14:textId="0B615D7A" w:rsidR="00DA57FD" w:rsidRPr="00120856" w:rsidRDefault="004F35CF" w:rsidP="00D22DE9">
      <w:pPr>
        <w:pStyle w:val="ListParagraph"/>
        <w:numPr>
          <w:ilvl w:val="2"/>
          <w:numId w:val="1"/>
        </w:numPr>
        <w:pBdr>
          <w:top w:val="nil"/>
          <w:left w:val="nil"/>
          <w:bottom w:val="nil"/>
          <w:right w:val="nil"/>
          <w:between w:val="nil"/>
        </w:pBdr>
        <w:ind w:left="0" w:firstLine="0"/>
        <w:rPr>
          <w:bCs/>
          <w:color w:val="000000"/>
        </w:rPr>
      </w:pPr>
      <w:r w:rsidRPr="00111B61">
        <w:rPr>
          <w:bCs/>
          <w:color w:val="000000"/>
        </w:rPr>
        <w:t xml:space="preserve">Depending on the </w:t>
      </w:r>
      <w:r w:rsidR="0073382D" w:rsidRPr="00111B61">
        <w:rPr>
          <w:bCs/>
          <w:color w:val="000000"/>
        </w:rPr>
        <w:t>goal</w:t>
      </w:r>
      <w:r w:rsidRPr="00111B61">
        <w:rPr>
          <w:bCs/>
          <w:color w:val="000000"/>
        </w:rPr>
        <w:t xml:space="preserve"> of the assay, w</w:t>
      </w:r>
      <w:r w:rsidR="00DA57FD" w:rsidRPr="00111B61">
        <w:rPr>
          <w:bCs/>
          <w:color w:val="000000"/>
        </w:rPr>
        <w:t xml:space="preserve">hen </w:t>
      </w:r>
      <w:r w:rsidR="00776708" w:rsidRPr="00111B61">
        <w:rPr>
          <w:bCs/>
          <w:color w:val="000000"/>
        </w:rPr>
        <w:t>BMSCs</w:t>
      </w:r>
      <w:r w:rsidR="00DA57FD" w:rsidRPr="00111B61">
        <w:rPr>
          <w:bCs/>
          <w:color w:val="000000"/>
        </w:rPr>
        <w:t xml:space="preserve"> are </w:t>
      </w:r>
      <w:r w:rsidR="00A5299D" w:rsidRPr="00111B61">
        <w:rPr>
          <w:bCs/>
          <w:color w:val="000000"/>
        </w:rPr>
        <w:t>60</w:t>
      </w:r>
      <w:r w:rsidR="00194D2B" w:rsidRPr="00120856">
        <w:rPr>
          <w:bCs/>
          <w:color w:val="000000"/>
        </w:rPr>
        <w:t>%</w:t>
      </w:r>
      <w:r w:rsidR="00194D2B">
        <w:rPr>
          <w:bCs/>
          <w:color w:val="000000"/>
        </w:rPr>
        <w:t>–</w:t>
      </w:r>
      <w:r w:rsidR="00A5299D" w:rsidRPr="00111B61">
        <w:rPr>
          <w:bCs/>
          <w:color w:val="000000"/>
        </w:rPr>
        <w:t xml:space="preserve">80% </w:t>
      </w:r>
      <w:r w:rsidR="00776708" w:rsidRPr="00111B61">
        <w:rPr>
          <w:bCs/>
          <w:color w:val="000000"/>
        </w:rPr>
        <w:t>c</w:t>
      </w:r>
      <w:r w:rsidR="00A5299D" w:rsidRPr="00111B61">
        <w:rPr>
          <w:bCs/>
          <w:color w:val="000000"/>
        </w:rPr>
        <w:t>onfluent (</w:t>
      </w:r>
      <w:r w:rsidR="00776708" w:rsidRPr="00111B61">
        <w:rPr>
          <w:bCs/>
          <w:color w:val="000000"/>
        </w:rPr>
        <w:t xml:space="preserve">typically </w:t>
      </w:r>
      <w:r w:rsidR="00A5299D" w:rsidRPr="00111B61">
        <w:rPr>
          <w:bCs/>
          <w:color w:val="000000"/>
        </w:rPr>
        <w:t>48</w:t>
      </w:r>
      <w:r w:rsidR="00194D2B">
        <w:rPr>
          <w:bCs/>
          <w:color w:val="000000"/>
        </w:rPr>
        <w:t>–</w:t>
      </w:r>
      <w:r w:rsidR="00A5299D" w:rsidRPr="00111B61">
        <w:rPr>
          <w:bCs/>
          <w:color w:val="000000"/>
        </w:rPr>
        <w:t xml:space="preserve">72 h), </w:t>
      </w:r>
      <w:r w:rsidR="00244A20" w:rsidRPr="00120856">
        <w:rPr>
          <w:bCs/>
          <w:color w:val="000000"/>
        </w:rPr>
        <w:t xml:space="preserve">initiate </w:t>
      </w:r>
      <w:r w:rsidR="008E2011" w:rsidRPr="00111B61">
        <w:rPr>
          <w:bCs/>
          <w:color w:val="000000"/>
        </w:rPr>
        <w:t xml:space="preserve">osteoblast </w:t>
      </w:r>
      <w:r w:rsidR="00A5299D" w:rsidRPr="00111B61">
        <w:rPr>
          <w:bCs/>
          <w:color w:val="000000"/>
        </w:rPr>
        <w:t>differentiati</w:t>
      </w:r>
      <w:r w:rsidR="008E2011" w:rsidRPr="00111B61">
        <w:rPr>
          <w:bCs/>
          <w:color w:val="000000"/>
        </w:rPr>
        <w:t xml:space="preserve">on </w:t>
      </w:r>
      <w:r w:rsidR="00A5299D" w:rsidRPr="00111B61">
        <w:rPr>
          <w:bCs/>
          <w:color w:val="000000"/>
        </w:rPr>
        <w:t xml:space="preserve">by </w:t>
      </w:r>
      <w:r w:rsidR="005355E8" w:rsidRPr="00111B61">
        <w:rPr>
          <w:bCs/>
          <w:color w:val="000000"/>
        </w:rPr>
        <w:t xml:space="preserve">changing </w:t>
      </w:r>
      <w:r w:rsidR="00A5299D" w:rsidRPr="00111B61">
        <w:rPr>
          <w:bCs/>
          <w:color w:val="000000"/>
        </w:rPr>
        <w:t>the cell culture media to osteoblast differentiation media</w:t>
      </w:r>
      <w:r w:rsidR="00452248">
        <w:rPr>
          <w:bCs/>
          <w:color w:val="000000"/>
        </w:rPr>
        <w:t xml:space="preserve"> </w:t>
      </w:r>
      <w:r w:rsidR="00244A20" w:rsidRPr="00120856">
        <w:rPr>
          <w:bCs/>
          <w:color w:val="000000"/>
        </w:rPr>
        <w:t>(</w:t>
      </w:r>
      <w:r w:rsidR="00893631" w:rsidRPr="00111B61">
        <w:rPr>
          <w:bCs/>
          <w:color w:val="000000"/>
        </w:rPr>
        <w:t>complete αMEM</w:t>
      </w:r>
      <w:r w:rsidR="00A5299D" w:rsidRPr="00111B61">
        <w:rPr>
          <w:bCs/>
          <w:color w:val="000000"/>
        </w:rPr>
        <w:t xml:space="preserve"> </w:t>
      </w:r>
      <w:r w:rsidR="00893631" w:rsidRPr="00111B61">
        <w:rPr>
          <w:bCs/>
          <w:color w:val="000000"/>
        </w:rPr>
        <w:t xml:space="preserve">supplemented with </w:t>
      </w:r>
      <w:r w:rsidR="004F3AD8" w:rsidRPr="00111B61">
        <w:rPr>
          <w:bCs/>
          <w:color w:val="000000"/>
        </w:rPr>
        <w:t>5</w:t>
      </w:r>
      <w:r w:rsidR="00893631" w:rsidRPr="00111B61">
        <w:rPr>
          <w:bCs/>
          <w:color w:val="000000"/>
        </w:rPr>
        <w:t xml:space="preserve"> </w:t>
      </w:r>
      <w:r w:rsidR="004F3AD8" w:rsidRPr="00111B61">
        <w:rPr>
          <w:bCs/>
          <w:color w:val="000000"/>
        </w:rPr>
        <w:t>mM</w:t>
      </w:r>
      <w:r w:rsidR="00893631" w:rsidRPr="00111B61">
        <w:rPr>
          <w:bCs/>
          <w:color w:val="000000"/>
        </w:rPr>
        <w:t xml:space="preserve"> </w:t>
      </w:r>
      <w:r w:rsidR="00A5299D" w:rsidRPr="00111B61">
        <w:rPr>
          <w:bCs/>
          <w:color w:val="000000"/>
        </w:rPr>
        <w:t xml:space="preserve">β-glycerol phosphate and </w:t>
      </w:r>
      <w:r w:rsidR="006F484C" w:rsidRPr="00111B61">
        <w:rPr>
          <w:bCs/>
          <w:color w:val="000000"/>
        </w:rPr>
        <w:t>50</w:t>
      </w:r>
      <w:r w:rsidR="008E2011" w:rsidRPr="00111B61">
        <w:rPr>
          <w:bCs/>
          <w:color w:val="000000"/>
        </w:rPr>
        <w:t xml:space="preserve"> µ</w:t>
      </w:r>
      <w:r w:rsidR="006F484C" w:rsidRPr="00111B61">
        <w:rPr>
          <w:bCs/>
          <w:color w:val="000000"/>
        </w:rPr>
        <w:t>g/m</w:t>
      </w:r>
      <w:r w:rsidR="00FF67EA" w:rsidRPr="00111B61">
        <w:rPr>
          <w:bCs/>
          <w:color w:val="000000"/>
        </w:rPr>
        <w:t>L</w:t>
      </w:r>
      <w:r w:rsidR="006F484C" w:rsidRPr="00111B61">
        <w:rPr>
          <w:bCs/>
          <w:color w:val="000000"/>
        </w:rPr>
        <w:t xml:space="preserve"> of</w:t>
      </w:r>
      <w:r w:rsidR="00A5299D" w:rsidRPr="00111B61">
        <w:rPr>
          <w:bCs/>
          <w:color w:val="000000"/>
        </w:rPr>
        <w:t xml:space="preserve"> </w:t>
      </w:r>
      <w:r w:rsidR="008E2011" w:rsidRPr="00111B61">
        <w:rPr>
          <w:bCs/>
          <w:color w:val="000000"/>
        </w:rPr>
        <w:t>L-</w:t>
      </w:r>
      <w:r w:rsidR="00A5299D" w:rsidRPr="00111B61">
        <w:rPr>
          <w:bCs/>
          <w:color w:val="000000"/>
        </w:rPr>
        <w:t>ascorbic acid</w:t>
      </w:r>
      <w:r w:rsidR="00244A20" w:rsidRPr="00120856">
        <w:rPr>
          <w:bCs/>
          <w:color w:val="000000"/>
        </w:rPr>
        <w:t>)</w:t>
      </w:r>
      <w:r w:rsidR="006F484C" w:rsidRPr="00111B61">
        <w:rPr>
          <w:bCs/>
          <w:color w:val="000000"/>
        </w:rPr>
        <w:t>.</w:t>
      </w:r>
    </w:p>
    <w:p w14:paraId="1B1709B2" w14:textId="77777777" w:rsidR="00244A20" w:rsidRPr="00111B61" w:rsidRDefault="00244A20" w:rsidP="00972F6D">
      <w:pPr>
        <w:pBdr>
          <w:top w:val="nil"/>
          <w:left w:val="nil"/>
          <w:bottom w:val="nil"/>
          <w:right w:val="nil"/>
          <w:between w:val="nil"/>
        </w:pBdr>
        <w:rPr>
          <w:bCs/>
          <w:color w:val="000000"/>
        </w:rPr>
      </w:pPr>
    </w:p>
    <w:p w14:paraId="3B13FF53" w14:textId="314BC28D" w:rsidR="008E2011" w:rsidRDefault="0020410C" w:rsidP="00D22DE9">
      <w:pPr>
        <w:pStyle w:val="ListParagraph"/>
        <w:numPr>
          <w:ilvl w:val="2"/>
          <w:numId w:val="1"/>
        </w:numPr>
        <w:pBdr>
          <w:top w:val="nil"/>
          <w:left w:val="nil"/>
          <w:bottom w:val="nil"/>
          <w:right w:val="nil"/>
          <w:between w:val="nil"/>
        </w:pBdr>
        <w:ind w:left="0" w:firstLine="0"/>
        <w:contextualSpacing w:val="0"/>
        <w:rPr>
          <w:bCs/>
          <w:color w:val="000000"/>
        </w:rPr>
      </w:pPr>
      <w:r w:rsidRPr="00AA24D3">
        <w:rPr>
          <w:bCs/>
          <w:color w:val="000000"/>
        </w:rPr>
        <w:t>If undifferentiated stromal cells (Day 0) are to be analyzed, maintain cells under complete αMEM.</w:t>
      </w:r>
    </w:p>
    <w:p w14:paraId="6C557035" w14:textId="77777777" w:rsidR="00511F1B" w:rsidRPr="00AA24D3" w:rsidRDefault="00511F1B" w:rsidP="00111B61">
      <w:pPr>
        <w:pBdr>
          <w:top w:val="nil"/>
          <w:left w:val="nil"/>
          <w:bottom w:val="nil"/>
          <w:right w:val="nil"/>
          <w:between w:val="nil"/>
        </w:pBdr>
        <w:jc w:val="left"/>
      </w:pPr>
    </w:p>
    <w:p w14:paraId="07658CC6" w14:textId="3404D02D" w:rsidR="00157F33" w:rsidRPr="00AA24D3" w:rsidRDefault="00F25F54" w:rsidP="00972F6D">
      <w:pPr>
        <w:pBdr>
          <w:top w:val="nil"/>
          <w:left w:val="nil"/>
          <w:bottom w:val="nil"/>
          <w:right w:val="nil"/>
          <w:between w:val="nil"/>
        </w:pBdr>
        <w:rPr>
          <w:bCs/>
          <w:color w:val="000000"/>
        </w:rPr>
      </w:pPr>
      <w:r w:rsidRPr="00AA24D3">
        <w:rPr>
          <w:bCs/>
          <w:color w:val="000000"/>
        </w:rPr>
        <w:t>1.2.11.</w:t>
      </w:r>
      <w:r w:rsidR="00194D2B">
        <w:rPr>
          <w:bCs/>
          <w:color w:val="000000"/>
        </w:rPr>
        <w:tab/>
      </w:r>
      <w:r w:rsidR="00157F33" w:rsidRPr="00AA24D3">
        <w:rPr>
          <w:bCs/>
          <w:color w:val="000000"/>
        </w:rPr>
        <w:t>Change the osteoblast differentiation media every other day and visualize the cells under</w:t>
      </w:r>
      <w:r w:rsidR="009A63CE" w:rsidRPr="00AA24D3">
        <w:rPr>
          <w:bCs/>
          <w:color w:val="000000"/>
        </w:rPr>
        <w:t xml:space="preserve"> the</w:t>
      </w:r>
      <w:r w:rsidR="00157F33" w:rsidRPr="00AA24D3">
        <w:rPr>
          <w:bCs/>
          <w:color w:val="000000"/>
        </w:rPr>
        <w:t xml:space="preserve"> microscope to ensure they are healthy</w:t>
      </w:r>
      <w:r w:rsidR="004F35CF" w:rsidRPr="00AA24D3">
        <w:rPr>
          <w:bCs/>
          <w:color w:val="000000"/>
        </w:rPr>
        <w:t xml:space="preserve"> until the day of </w:t>
      </w:r>
      <w:r w:rsidR="00194D2B">
        <w:rPr>
          <w:bCs/>
          <w:color w:val="000000"/>
        </w:rPr>
        <w:t xml:space="preserve">the </w:t>
      </w:r>
      <w:r w:rsidR="004F35CF" w:rsidRPr="00AA24D3">
        <w:rPr>
          <w:bCs/>
          <w:color w:val="000000"/>
        </w:rPr>
        <w:t>assay</w:t>
      </w:r>
      <w:r w:rsidR="00157F33" w:rsidRPr="00AA24D3">
        <w:rPr>
          <w:bCs/>
          <w:color w:val="000000"/>
        </w:rPr>
        <w:t>.</w:t>
      </w:r>
      <w:r w:rsidR="0020410C" w:rsidRPr="00AA24D3">
        <w:rPr>
          <w:bCs/>
          <w:color w:val="000000"/>
        </w:rPr>
        <w:t xml:space="preserve"> Preferably, 24 h </w:t>
      </w:r>
      <w:r w:rsidR="00252B25" w:rsidRPr="00AA24D3">
        <w:rPr>
          <w:bCs/>
          <w:color w:val="000000"/>
        </w:rPr>
        <w:t>before</w:t>
      </w:r>
      <w:r w:rsidR="0020410C" w:rsidRPr="00AA24D3">
        <w:rPr>
          <w:bCs/>
          <w:color w:val="000000"/>
        </w:rPr>
        <w:t xml:space="preserve"> the scheduled assay, change the media</w:t>
      </w:r>
      <w:r w:rsidR="00893631" w:rsidRPr="00AA24D3">
        <w:rPr>
          <w:bCs/>
          <w:color w:val="000000"/>
        </w:rPr>
        <w:t xml:space="preserve"> and </w:t>
      </w:r>
      <w:r w:rsidR="00252B25" w:rsidRPr="00AA24D3">
        <w:rPr>
          <w:bCs/>
          <w:color w:val="000000"/>
        </w:rPr>
        <w:t>maintain a consistent medium change schedule</w:t>
      </w:r>
      <w:r w:rsidR="00511F1B">
        <w:rPr>
          <w:bCs/>
          <w:color w:val="000000"/>
        </w:rPr>
        <w:t xml:space="preserve"> (recommended)</w:t>
      </w:r>
      <w:r w:rsidR="00893631" w:rsidRPr="00AA24D3">
        <w:rPr>
          <w:bCs/>
          <w:color w:val="000000"/>
        </w:rPr>
        <w:t>.</w:t>
      </w:r>
    </w:p>
    <w:p w14:paraId="1FC1ADF6" w14:textId="77777777" w:rsidR="00F25F54" w:rsidRPr="00AA24D3" w:rsidRDefault="00F25F54" w:rsidP="00972F6D">
      <w:pPr>
        <w:pBdr>
          <w:top w:val="nil"/>
          <w:left w:val="nil"/>
          <w:bottom w:val="nil"/>
          <w:right w:val="nil"/>
          <w:between w:val="nil"/>
        </w:pBdr>
        <w:rPr>
          <w:bCs/>
          <w:color w:val="000000"/>
        </w:rPr>
      </w:pPr>
    </w:p>
    <w:p w14:paraId="5DD643DF" w14:textId="37B31EAC" w:rsidR="00157F33" w:rsidRPr="00AA24D3" w:rsidRDefault="00511F1B" w:rsidP="00972F6D">
      <w:pPr>
        <w:pStyle w:val="ListParagraph"/>
        <w:pBdr>
          <w:top w:val="nil"/>
          <w:left w:val="nil"/>
          <w:bottom w:val="nil"/>
          <w:right w:val="nil"/>
          <w:between w:val="nil"/>
        </w:pBdr>
        <w:ind w:left="0"/>
        <w:contextualSpacing w:val="0"/>
        <w:rPr>
          <w:bCs/>
          <w:color w:val="000000"/>
        </w:rPr>
      </w:pPr>
      <w:r>
        <w:rPr>
          <w:bCs/>
          <w:color w:val="000000"/>
        </w:rPr>
        <w:t xml:space="preserve">NOTE: </w:t>
      </w:r>
      <w:r w:rsidR="00157F33" w:rsidRPr="00AA24D3">
        <w:rPr>
          <w:bCs/>
          <w:color w:val="000000"/>
        </w:rPr>
        <w:t>Carefully change the media by slightly tilting the plates</w:t>
      </w:r>
      <w:r w:rsidR="00754782" w:rsidRPr="00AA24D3">
        <w:rPr>
          <w:bCs/>
          <w:color w:val="000000"/>
        </w:rPr>
        <w:t xml:space="preserve"> at an angle; </w:t>
      </w:r>
      <w:r w:rsidR="00157F33" w:rsidRPr="00AA24D3">
        <w:rPr>
          <w:bCs/>
          <w:color w:val="000000"/>
        </w:rPr>
        <w:t>this avoids accidental contact of pipette tips to the cell culture plates and disruption of the monolayer of cells.</w:t>
      </w:r>
    </w:p>
    <w:p w14:paraId="0896B071" w14:textId="77777777" w:rsidR="00F25F54" w:rsidRPr="00AA24D3" w:rsidRDefault="00F25F54" w:rsidP="00972F6D">
      <w:pPr>
        <w:pStyle w:val="ListParagraph"/>
        <w:pBdr>
          <w:top w:val="nil"/>
          <w:left w:val="nil"/>
          <w:bottom w:val="nil"/>
          <w:right w:val="nil"/>
          <w:between w:val="nil"/>
        </w:pBdr>
        <w:ind w:left="0"/>
        <w:contextualSpacing w:val="0"/>
        <w:rPr>
          <w:bCs/>
          <w:color w:val="000000"/>
        </w:rPr>
      </w:pPr>
    </w:p>
    <w:p w14:paraId="651882B6" w14:textId="19FF2CB6" w:rsidR="00947640" w:rsidRPr="00120856" w:rsidRDefault="007C2B7D" w:rsidP="00D22DE9">
      <w:pPr>
        <w:pStyle w:val="ListParagraph"/>
        <w:numPr>
          <w:ilvl w:val="0"/>
          <w:numId w:val="1"/>
        </w:numPr>
        <w:pBdr>
          <w:top w:val="nil"/>
          <w:left w:val="nil"/>
          <w:bottom w:val="nil"/>
          <w:right w:val="nil"/>
          <w:between w:val="nil"/>
        </w:pBdr>
        <w:ind w:left="0" w:firstLine="0"/>
        <w:rPr>
          <w:b/>
          <w:color w:val="000000"/>
        </w:rPr>
      </w:pPr>
      <w:r w:rsidRPr="00111B61">
        <w:rPr>
          <w:b/>
          <w:color w:val="000000"/>
        </w:rPr>
        <w:t xml:space="preserve">Preparation of </w:t>
      </w:r>
      <w:r w:rsidR="00987389" w:rsidRPr="00111B61">
        <w:rPr>
          <w:b/>
          <w:color w:val="000000"/>
        </w:rPr>
        <w:t xml:space="preserve">sensor cartridge </w:t>
      </w:r>
      <w:r w:rsidRPr="00111B61">
        <w:rPr>
          <w:b/>
          <w:color w:val="000000"/>
        </w:rPr>
        <w:t>for extracellular flux calibration</w:t>
      </w:r>
    </w:p>
    <w:p w14:paraId="63890608" w14:textId="77777777" w:rsidR="00FA2807" w:rsidRPr="00111B61" w:rsidRDefault="00FA2807" w:rsidP="00972F6D">
      <w:pPr>
        <w:pStyle w:val="ListParagraph"/>
        <w:pBdr>
          <w:top w:val="nil"/>
          <w:left w:val="nil"/>
          <w:bottom w:val="nil"/>
          <w:right w:val="nil"/>
          <w:between w:val="nil"/>
        </w:pBdr>
        <w:ind w:left="0"/>
        <w:rPr>
          <w:b/>
          <w:color w:val="000000"/>
        </w:rPr>
      </w:pPr>
    </w:p>
    <w:p w14:paraId="1DBCA46F" w14:textId="6DAC7B88" w:rsidR="00893631" w:rsidRPr="00120856" w:rsidRDefault="007D3BE7" w:rsidP="007E602D">
      <w:pPr>
        <w:pStyle w:val="ListParagraph"/>
        <w:pBdr>
          <w:top w:val="nil"/>
          <w:left w:val="nil"/>
          <w:bottom w:val="nil"/>
          <w:right w:val="nil"/>
          <w:between w:val="nil"/>
        </w:pBdr>
        <w:ind w:left="0"/>
        <w:rPr>
          <w:bCs/>
          <w:color w:val="000000"/>
        </w:rPr>
      </w:pPr>
      <w:r>
        <w:rPr>
          <w:bCs/>
          <w:color w:val="000000"/>
        </w:rPr>
        <w:t>2.1.</w:t>
      </w:r>
      <w:r>
        <w:rPr>
          <w:bCs/>
          <w:color w:val="000000"/>
        </w:rPr>
        <w:tab/>
      </w:r>
      <w:r w:rsidR="007C2B7D" w:rsidRPr="00111B61">
        <w:rPr>
          <w:bCs/>
          <w:color w:val="000000"/>
        </w:rPr>
        <w:t xml:space="preserve">Hydrate the sensor cartridges from the </w:t>
      </w:r>
      <w:r w:rsidR="008B090E" w:rsidRPr="00120856">
        <w:rPr>
          <w:bCs/>
          <w:color w:val="000000"/>
        </w:rPr>
        <w:t>e</w:t>
      </w:r>
      <w:r w:rsidR="007C2B7D" w:rsidRPr="00111B61">
        <w:rPr>
          <w:bCs/>
          <w:color w:val="000000"/>
        </w:rPr>
        <w:t>xtracellular assay kit</w:t>
      </w:r>
      <w:r w:rsidR="00777F09" w:rsidRPr="00111B61">
        <w:rPr>
          <w:bCs/>
          <w:color w:val="000000"/>
        </w:rPr>
        <w:t xml:space="preserve"> prior to the day of the assay</w:t>
      </w:r>
      <w:r w:rsidR="007C2B7D" w:rsidRPr="00111B61">
        <w:rPr>
          <w:bCs/>
          <w:color w:val="000000"/>
        </w:rPr>
        <w:t>. Remove the sensor cartridges (green plate) and place the sensors upside down.</w:t>
      </w:r>
    </w:p>
    <w:p w14:paraId="7995A4BD" w14:textId="77777777" w:rsidR="00B234B6" w:rsidRPr="00111B61" w:rsidRDefault="00B234B6" w:rsidP="00972F6D">
      <w:pPr>
        <w:pStyle w:val="ListParagraph"/>
        <w:pBdr>
          <w:top w:val="nil"/>
          <w:left w:val="nil"/>
          <w:bottom w:val="nil"/>
          <w:right w:val="nil"/>
          <w:between w:val="nil"/>
        </w:pBdr>
        <w:ind w:left="0"/>
        <w:rPr>
          <w:bCs/>
          <w:color w:val="000000"/>
        </w:rPr>
      </w:pPr>
    </w:p>
    <w:p w14:paraId="702246EE" w14:textId="453641BA" w:rsidR="007C2B7D" w:rsidRPr="00AA24D3" w:rsidRDefault="007D3BE7" w:rsidP="00972F6D">
      <w:pPr>
        <w:pBdr>
          <w:top w:val="nil"/>
          <w:left w:val="nil"/>
          <w:bottom w:val="nil"/>
          <w:right w:val="nil"/>
          <w:between w:val="nil"/>
        </w:pBdr>
        <w:rPr>
          <w:bCs/>
          <w:color w:val="000000"/>
        </w:rPr>
      </w:pPr>
      <w:r>
        <w:rPr>
          <w:bCs/>
          <w:color w:val="000000"/>
        </w:rPr>
        <w:t>2.2.</w:t>
      </w:r>
      <w:r>
        <w:rPr>
          <w:bCs/>
          <w:color w:val="000000"/>
        </w:rPr>
        <w:tab/>
      </w:r>
      <w:r w:rsidR="007C2B7D" w:rsidRPr="00AA24D3">
        <w:rPr>
          <w:bCs/>
          <w:color w:val="000000"/>
        </w:rPr>
        <w:t>Using a multichannel pipet, add 200</w:t>
      </w:r>
      <w:r w:rsidR="00EA1381" w:rsidRPr="00AA24D3">
        <w:rPr>
          <w:bCs/>
          <w:color w:val="000000"/>
        </w:rPr>
        <w:t xml:space="preserve"> </w:t>
      </w:r>
      <w:proofErr w:type="spellStart"/>
      <w:r w:rsidR="00EA1381" w:rsidRPr="00AA24D3">
        <w:t>μ</w:t>
      </w:r>
      <w:r w:rsidR="007C2B7D" w:rsidRPr="00AA24D3">
        <w:rPr>
          <w:bCs/>
          <w:color w:val="000000"/>
        </w:rPr>
        <w:t>L</w:t>
      </w:r>
      <w:proofErr w:type="spellEnd"/>
      <w:r w:rsidR="007C2B7D" w:rsidRPr="00AA24D3">
        <w:rPr>
          <w:bCs/>
          <w:color w:val="000000"/>
        </w:rPr>
        <w:t xml:space="preserve"> of H</w:t>
      </w:r>
      <w:r w:rsidR="007C2B7D" w:rsidRPr="00AA24D3">
        <w:rPr>
          <w:bCs/>
          <w:color w:val="000000"/>
          <w:vertAlign w:val="subscript"/>
        </w:rPr>
        <w:t>2</w:t>
      </w:r>
      <w:r w:rsidR="007C2363">
        <w:rPr>
          <w:bCs/>
          <w:color w:val="000000"/>
        </w:rPr>
        <w:t>O</w:t>
      </w:r>
      <w:r w:rsidR="007C2B7D" w:rsidRPr="00AA24D3">
        <w:rPr>
          <w:bCs/>
          <w:color w:val="000000"/>
        </w:rPr>
        <w:t xml:space="preserve"> to each well of the utility plate. Carefully place the sensor cartridges back on the utility plate and incubate the plate overnight at room temperature</w:t>
      </w:r>
      <w:r w:rsidR="009A63CE" w:rsidRPr="00AA24D3">
        <w:rPr>
          <w:bCs/>
          <w:color w:val="000000"/>
        </w:rPr>
        <w:t>.</w:t>
      </w:r>
    </w:p>
    <w:p w14:paraId="45F96766" w14:textId="77777777" w:rsidR="00F25F54" w:rsidRPr="00AA24D3" w:rsidRDefault="00F25F54" w:rsidP="00972F6D">
      <w:pPr>
        <w:pBdr>
          <w:top w:val="nil"/>
          <w:left w:val="nil"/>
          <w:bottom w:val="nil"/>
          <w:right w:val="nil"/>
          <w:between w:val="nil"/>
        </w:pBdr>
        <w:rPr>
          <w:bCs/>
          <w:color w:val="000000"/>
        </w:rPr>
      </w:pPr>
    </w:p>
    <w:p w14:paraId="02D7183E" w14:textId="60A9F1EB" w:rsidR="007C2B7D" w:rsidRPr="00AA24D3" w:rsidRDefault="007C2363" w:rsidP="00972F6D">
      <w:pPr>
        <w:pStyle w:val="ListParagraph"/>
        <w:pBdr>
          <w:top w:val="nil"/>
          <w:left w:val="nil"/>
          <w:bottom w:val="nil"/>
          <w:right w:val="nil"/>
          <w:between w:val="nil"/>
        </w:pBdr>
        <w:ind w:left="0"/>
        <w:contextualSpacing w:val="0"/>
        <w:rPr>
          <w:bCs/>
          <w:color w:val="000000"/>
        </w:rPr>
      </w:pPr>
      <w:r w:rsidRPr="00120856">
        <w:rPr>
          <w:bCs/>
          <w:color w:val="000000"/>
        </w:rPr>
        <w:t>NOTE:</w:t>
      </w:r>
      <w:r w:rsidR="007C2B7D" w:rsidRPr="00FC692A">
        <w:rPr>
          <w:bCs/>
          <w:color w:val="000000"/>
        </w:rPr>
        <w:t xml:space="preserve"> </w:t>
      </w:r>
      <w:r w:rsidR="0060203D" w:rsidRPr="00FC692A">
        <w:rPr>
          <w:bCs/>
          <w:color w:val="000000"/>
        </w:rPr>
        <w:t>The</w:t>
      </w:r>
      <w:r w:rsidR="0060203D">
        <w:rPr>
          <w:bCs/>
          <w:color w:val="000000"/>
        </w:rPr>
        <w:t xml:space="preserve"> manufacturer</w:t>
      </w:r>
      <w:r w:rsidR="0060203D" w:rsidRPr="00AA24D3">
        <w:rPr>
          <w:bCs/>
          <w:color w:val="000000"/>
        </w:rPr>
        <w:t xml:space="preserve"> </w:t>
      </w:r>
      <w:r w:rsidR="007C2B7D" w:rsidRPr="00AA24D3">
        <w:rPr>
          <w:bCs/>
          <w:color w:val="000000"/>
        </w:rPr>
        <w:t xml:space="preserve">recommends </w:t>
      </w:r>
      <w:r w:rsidR="007E1549" w:rsidRPr="00AA24D3">
        <w:rPr>
          <w:bCs/>
          <w:color w:val="000000"/>
        </w:rPr>
        <w:t>incubating th</w:t>
      </w:r>
      <w:r w:rsidR="009A63CE" w:rsidRPr="00AA24D3">
        <w:rPr>
          <w:bCs/>
          <w:color w:val="000000"/>
        </w:rPr>
        <w:t>e</w:t>
      </w:r>
      <w:r w:rsidR="007E1549" w:rsidRPr="00AA24D3">
        <w:rPr>
          <w:bCs/>
          <w:color w:val="000000"/>
        </w:rPr>
        <w:t xml:space="preserve"> sensor cartridges in a non-C</w:t>
      </w:r>
      <w:r w:rsidR="00C1388D" w:rsidRPr="00AA24D3">
        <w:rPr>
          <w:bCs/>
          <w:color w:val="000000"/>
        </w:rPr>
        <w:t>O</w:t>
      </w:r>
      <w:r w:rsidR="007E1549" w:rsidRPr="00AA24D3">
        <w:rPr>
          <w:bCs/>
          <w:color w:val="000000"/>
          <w:vertAlign w:val="subscript"/>
        </w:rPr>
        <w:t>2</w:t>
      </w:r>
      <w:r w:rsidR="007E1549" w:rsidRPr="00AA24D3">
        <w:rPr>
          <w:bCs/>
          <w:color w:val="000000"/>
        </w:rPr>
        <w:t xml:space="preserve"> 37</w:t>
      </w:r>
      <w:r w:rsidR="007E4B6D">
        <w:rPr>
          <w:bCs/>
          <w:color w:val="000000"/>
        </w:rPr>
        <w:t xml:space="preserve"> </w:t>
      </w:r>
      <w:r w:rsidR="00C1388D" w:rsidRPr="00AA24D3">
        <w:rPr>
          <w:bCs/>
          <w:color w:val="000000"/>
        </w:rPr>
        <w:t>°</w:t>
      </w:r>
      <w:r w:rsidR="007E1549" w:rsidRPr="00AA24D3">
        <w:rPr>
          <w:bCs/>
          <w:color w:val="000000"/>
        </w:rPr>
        <w:t>C incubator</w:t>
      </w:r>
      <w:r w:rsidR="004D594C" w:rsidRPr="00AA24D3">
        <w:rPr>
          <w:bCs/>
          <w:color w:val="000000"/>
        </w:rPr>
        <w:t xml:space="preserve"> overnight. However, significant evaporation of the sensor cartridges</w:t>
      </w:r>
      <w:r w:rsidR="00A56D62" w:rsidRPr="00AA24D3">
        <w:rPr>
          <w:bCs/>
          <w:color w:val="000000"/>
        </w:rPr>
        <w:t xml:space="preserve"> </w:t>
      </w:r>
      <w:r w:rsidR="00947640" w:rsidRPr="00AA24D3">
        <w:rPr>
          <w:bCs/>
          <w:color w:val="000000"/>
        </w:rPr>
        <w:t xml:space="preserve">can occur. If this </w:t>
      </w:r>
      <w:r w:rsidR="00252B25" w:rsidRPr="00AA24D3">
        <w:rPr>
          <w:bCs/>
          <w:color w:val="000000"/>
        </w:rPr>
        <w:t>happen</w:t>
      </w:r>
      <w:r w:rsidR="00947640" w:rsidRPr="00AA24D3">
        <w:rPr>
          <w:bCs/>
          <w:color w:val="000000"/>
        </w:rPr>
        <w:t xml:space="preserve">s, </w:t>
      </w:r>
      <w:r w:rsidR="00A56D62" w:rsidRPr="00AA24D3">
        <w:rPr>
          <w:bCs/>
          <w:color w:val="000000"/>
        </w:rPr>
        <w:t xml:space="preserve">sensor cartridges </w:t>
      </w:r>
      <w:r w:rsidR="00947640" w:rsidRPr="00AA24D3">
        <w:rPr>
          <w:bCs/>
          <w:color w:val="000000"/>
        </w:rPr>
        <w:t xml:space="preserve">can be incubated </w:t>
      </w:r>
      <w:r w:rsidR="007E1549" w:rsidRPr="00AA24D3">
        <w:rPr>
          <w:bCs/>
          <w:color w:val="000000"/>
        </w:rPr>
        <w:t xml:space="preserve">at room temperature. </w:t>
      </w:r>
      <w:r w:rsidR="00BC5CC1" w:rsidRPr="00AA24D3">
        <w:rPr>
          <w:bCs/>
          <w:color w:val="000000"/>
        </w:rPr>
        <w:t>These plates</w:t>
      </w:r>
      <w:r w:rsidR="007E1549" w:rsidRPr="00AA24D3">
        <w:rPr>
          <w:bCs/>
          <w:color w:val="000000"/>
        </w:rPr>
        <w:t xml:space="preserve"> should be incubated </w:t>
      </w:r>
      <w:r w:rsidR="00252B25" w:rsidRPr="00AA24D3">
        <w:rPr>
          <w:bCs/>
          <w:color w:val="000000"/>
        </w:rPr>
        <w:t xml:space="preserve">for </w:t>
      </w:r>
      <w:r w:rsidR="007E1549" w:rsidRPr="00AA24D3">
        <w:rPr>
          <w:bCs/>
          <w:color w:val="000000"/>
        </w:rPr>
        <w:t>a minimum of 4 h</w:t>
      </w:r>
      <w:r w:rsidR="00777F09" w:rsidRPr="00AA24D3">
        <w:rPr>
          <w:bCs/>
          <w:color w:val="000000"/>
        </w:rPr>
        <w:t xml:space="preserve"> </w:t>
      </w:r>
      <w:r w:rsidR="00EA1381" w:rsidRPr="00AA24D3">
        <w:rPr>
          <w:bCs/>
          <w:color w:val="000000"/>
        </w:rPr>
        <w:t>and a maximum of 72 h</w:t>
      </w:r>
      <w:r w:rsidR="00947640" w:rsidRPr="00AA24D3">
        <w:rPr>
          <w:bCs/>
          <w:color w:val="000000"/>
        </w:rPr>
        <w:t>.</w:t>
      </w:r>
    </w:p>
    <w:p w14:paraId="0DB005FF" w14:textId="77777777" w:rsidR="00F572D4" w:rsidRPr="00AA24D3" w:rsidRDefault="00F572D4" w:rsidP="00972F6D">
      <w:pPr>
        <w:pStyle w:val="ListParagraph"/>
        <w:pBdr>
          <w:top w:val="nil"/>
          <w:left w:val="nil"/>
          <w:bottom w:val="nil"/>
          <w:right w:val="nil"/>
          <w:between w:val="nil"/>
        </w:pBdr>
        <w:ind w:left="0"/>
        <w:contextualSpacing w:val="0"/>
        <w:rPr>
          <w:bCs/>
          <w:color w:val="000000"/>
        </w:rPr>
      </w:pPr>
    </w:p>
    <w:p w14:paraId="1505B2DD" w14:textId="0EACA686" w:rsidR="007E1549" w:rsidRPr="00AA24D3" w:rsidRDefault="007D3BE7" w:rsidP="00972F6D">
      <w:pPr>
        <w:pBdr>
          <w:top w:val="nil"/>
          <w:left w:val="nil"/>
          <w:bottom w:val="nil"/>
          <w:right w:val="nil"/>
          <w:between w:val="nil"/>
        </w:pBdr>
        <w:rPr>
          <w:bCs/>
          <w:color w:val="000000"/>
        </w:rPr>
      </w:pPr>
      <w:r>
        <w:rPr>
          <w:bCs/>
          <w:color w:val="000000"/>
        </w:rPr>
        <w:t>2.3.</w:t>
      </w:r>
      <w:r>
        <w:rPr>
          <w:bCs/>
          <w:color w:val="000000"/>
        </w:rPr>
        <w:tab/>
      </w:r>
      <w:r w:rsidR="001931DA" w:rsidRPr="00AA24D3">
        <w:rPr>
          <w:bCs/>
          <w:color w:val="000000"/>
        </w:rPr>
        <w:t xml:space="preserve">On the day of the assay, </w:t>
      </w:r>
      <w:r w:rsidR="009F7BE7" w:rsidRPr="00AA24D3">
        <w:rPr>
          <w:bCs/>
          <w:color w:val="000000"/>
        </w:rPr>
        <w:t>discard</w:t>
      </w:r>
      <w:r w:rsidR="007E1549" w:rsidRPr="00AA24D3">
        <w:rPr>
          <w:bCs/>
          <w:color w:val="000000"/>
        </w:rPr>
        <w:t xml:space="preserve"> the H</w:t>
      </w:r>
      <w:r w:rsidR="007E1549" w:rsidRPr="00AA24D3">
        <w:rPr>
          <w:bCs/>
          <w:color w:val="000000"/>
          <w:vertAlign w:val="subscript"/>
        </w:rPr>
        <w:t>2</w:t>
      </w:r>
      <w:r w:rsidR="00C1388D" w:rsidRPr="00AA24D3">
        <w:rPr>
          <w:bCs/>
          <w:color w:val="000000"/>
        </w:rPr>
        <w:t>O</w:t>
      </w:r>
      <w:r w:rsidR="007E1549" w:rsidRPr="00AA24D3">
        <w:rPr>
          <w:bCs/>
          <w:color w:val="000000"/>
        </w:rPr>
        <w:t xml:space="preserve"> from the utility plate and add 200</w:t>
      </w:r>
      <w:r w:rsidR="001931DA" w:rsidRPr="00AA24D3">
        <w:rPr>
          <w:bCs/>
          <w:color w:val="000000"/>
        </w:rPr>
        <w:t xml:space="preserve"> </w:t>
      </w:r>
      <w:proofErr w:type="spellStart"/>
      <w:r w:rsidR="00D52DD5" w:rsidRPr="00AA24D3">
        <w:t>μ</w:t>
      </w:r>
      <w:r w:rsidR="007E1549" w:rsidRPr="00AA24D3">
        <w:rPr>
          <w:bCs/>
          <w:color w:val="000000"/>
        </w:rPr>
        <w:t>L</w:t>
      </w:r>
      <w:proofErr w:type="spellEnd"/>
      <w:r w:rsidR="007E1549" w:rsidRPr="00AA24D3">
        <w:rPr>
          <w:bCs/>
          <w:color w:val="000000"/>
        </w:rPr>
        <w:t xml:space="preserve"> of calibrant. Incubate the utility plate for at least </w:t>
      </w:r>
      <w:r w:rsidR="00A01AE1" w:rsidRPr="00AA24D3">
        <w:rPr>
          <w:bCs/>
          <w:color w:val="000000"/>
        </w:rPr>
        <w:t>1</w:t>
      </w:r>
      <w:r w:rsidR="00754782" w:rsidRPr="00AA24D3">
        <w:rPr>
          <w:bCs/>
          <w:color w:val="000000"/>
        </w:rPr>
        <w:t xml:space="preserve"> </w:t>
      </w:r>
      <w:r w:rsidR="007E1549" w:rsidRPr="00AA24D3">
        <w:rPr>
          <w:bCs/>
          <w:color w:val="000000"/>
        </w:rPr>
        <w:t>h</w:t>
      </w:r>
      <w:r w:rsidR="006527BF" w:rsidRPr="00AA24D3">
        <w:rPr>
          <w:bCs/>
          <w:color w:val="000000"/>
        </w:rPr>
        <w:t xml:space="preserve"> </w:t>
      </w:r>
      <w:r w:rsidR="00252B25" w:rsidRPr="00AA24D3">
        <w:rPr>
          <w:bCs/>
          <w:color w:val="000000"/>
        </w:rPr>
        <w:t>before</w:t>
      </w:r>
      <w:r w:rsidR="00A01AE1" w:rsidRPr="00AA24D3">
        <w:rPr>
          <w:bCs/>
          <w:color w:val="000000"/>
        </w:rPr>
        <w:t xml:space="preserve"> the</w:t>
      </w:r>
      <w:r w:rsidR="007E1549" w:rsidRPr="00AA24D3">
        <w:rPr>
          <w:bCs/>
          <w:color w:val="000000"/>
        </w:rPr>
        <w:t xml:space="preserve"> assay</w:t>
      </w:r>
      <w:r w:rsidR="005E63DD">
        <w:rPr>
          <w:bCs/>
          <w:color w:val="000000"/>
        </w:rPr>
        <w:t>.</w:t>
      </w:r>
    </w:p>
    <w:p w14:paraId="2EA60073" w14:textId="77777777" w:rsidR="00F25F54" w:rsidRPr="00AA24D3" w:rsidRDefault="00F25F54" w:rsidP="00972F6D">
      <w:pPr>
        <w:pBdr>
          <w:top w:val="nil"/>
          <w:left w:val="nil"/>
          <w:bottom w:val="nil"/>
          <w:right w:val="nil"/>
          <w:between w:val="nil"/>
        </w:pBdr>
        <w:rPr>
          <w:bCs/>
          <w:color w:val="000000"/>
        </w:rPr>
      </w:pPr>
    </w:p>
    <w:p w14:paraId="19559C18" w14:textId="47FBD695" w:rsidR="00515A5C" w:rsidRPr="00A75BFC" w:rsidRDefault="00F634CD" w:rsidP="00D22DE9">
      <w:pPr>
        <w:pStyle w:val="ListParagraph"/>
        <w:numPr>
          <w:ilvl w:val="0"/>
          <w:numId w:val="1"/>
        </w:numPr>
        <w:pBdr>
          <w:top w:val="nil"/>
          <w:left w:val="nil"/>
          <w:bottom w:val="nil"/>
          <w:right w:val="nil"/>
          <w:between w:val="nil"/>
        </w:pBdr>
        <w:ind w:left="0" w:firstLine="0"/>
        <w:rPr>
          <w:b/>
          <w:color w:val="000000"/>
        </w:rPr>
      </w:pPr>
      <w:r w:rsidRPr="00A75BFC">
        <w:rPr>
          <w:b/>
          <w:bCs/>
        </w:rPr>
        <w:lastRenderedPageBreak/>
        <w:t>Real-</w:t>
      </w:r>
      <w:r w:rsidR="006B5D27" w:rsidRPr="00A75BFC">
        <w:rPr>
          <w:b/>
          <w:bCs/>
        </w:rPr>
        <w:t>t</w:t>
      </w:r>
      <w:r w:rsidRPr="00A75BFC">
        <w:rPr>
          <w:b/>
          <w:bCs/>
        </w:rPr>
        <w:t xml:space="preserve">ime </w:t>
      </w:r>
      <w:r w:rsidR="006B5D27" w:rsidRPr="00A75BFC">
        <w:rPr>
          <w:b/>
          <w:bCs/>
        </w:rPr>
        <w:t>c</w:t>
      </w:r>
      <w:r w:rsidRPr="00A75BFC">
        <w:rPr>
          <w:b/>
          <w:bCs/>
        </w:rPr>
        <w:t xml:space="preserve">ell </w:t>
      </w:r>
      <w:r w:rsidR="006B5D27" w:rsidRPr="00A75BFC">
        <w:rPr>
          <w:b/>
          <w:bCs/>
        </w:rPr>
        <w:t>m</w:t>
      </w:r>
      <w:r w:rsidRPr="00A75BFC">
        <w:rPr>
          <w:b/>
          <w:bCs/>
        </w:rPr>
        <w:t xml:space="preserve">etabolic </w:t>
      </w:r>
      <w:r w:rsidR="006B5D27" w:rsidRPr="00A75BFC">
        <w:rPr>
          <w:b/>
          <w:bCs/>
        </w:rPr>
        <w:t>f</w:t>
      </w:r>
      <w:r w:rsidRPr="00A75BFC">
        <w:rPr>
          <w:b/>
          <w:bCs/>
        </w:rPr>
        <w:t xml:space="preserve">lux analyzer </w:t>
      </w:r>
      <w:r w:rsidR="00515A5C" w:rsidRPr="00A75BFC">
        <w:rPr>
          <w:b/>
          <w:color w:val="000000"/>
        </w:rPr>
        <w:t>media prep</w:t>
      </w:r>
      <w:r w:rsidR="007E1549" w:rsidRPr="00A75BFC">
        <w:rPr>
          <w:b/>
          <w:color w:val="000000"/>
        </w:rPr>
        <w:t>aration</w:t>
      </w:r>
    </w:p>
    <w:p w14:paraId="15981C1F" w14:textId="77777777" w:rsidR="005E63DD" w:rsidRPr="00A75BFC" w:rsidRDefault="005E63DD" w:rsidP="00972F6D">
      <w:pPr>
        <w:pStyle w:val="ListParagraph"/>
        <w:pBdr>
          <w:top w:val="nil"/>
          <w:left w:val="nil"/>
          <w:bottom w:val="nil"/>
          <w:right w:val="nil"/>
          <w:between w:val="nil"/>
        </w:pBdr>
        <w:ind w:left="0"/>
        <w:rPr>
          <w:b/>
          <w:color w:val="000000"/>
        </w:rPr>
      </w:pPr>
    </w:p>
    <w:p w14:paraId="4BF6B3DD" w14:textId="6CAA6267" w:rsidR="00613B42" w:rsidRPr="00A75BFC" w:rsidRDefault="002569BA" w:rsidP="002569BA">
      <w:pPr>
        <w:pStyle w:val="ListParagraph"/>
        <w:pBdr>
          <w:top w:val="nil"/>
          <w:left w:val="nil"/>
          <w:bottom w:val="nil"/>
          <w:right w:val="nil"/>
          <w:between w:val="nil"/>
        </w:pBdr>
        <w:ind w:left="0"/>
        <w:rPr>
          <w:bCs/>
          <w:color w:val="000000"/>
        </w:rPr>
      </w:pPr>
      <w:r w:rsidRPr="00A75BFC">
        <w:rPr>
          <w:bCs/>
          <w:color w:val="000000"/>
        </w:rPr>
        <w:t>3.1.</w:t>
      </w:r>
      <w:r w:rsidRPr="00A75BFC">
        <w:rPr>
          <w:bCs/>
          <w:color w:val="000000"/>
        </w:rPr>
        <w:tab/>
      </w:r>
      <w:r w:rsidR="00613B42" w:rsidRPr="00A75BFC">
        <w:rPr>
          <w:bCs/>
          <w:color w:val="000000"/>
        </w:rPr>
        <w:t>Use t</w:t>
      </w:r>
      <w:r w:rsidR="00643A72" w:rsidRPr="00A75BFC">
        <w:rPr>
          <w:bCs/>
          <w:color w:val="000000"/>
        </w:rPr>
        <w:t xml:space="preserve">he </w:t>
      </w:r>
      <w:r w:rsidR="00531D54" w:rsidRPr="00A75BFC">
        <w:rPr>
          <w:bCs/>
          <w:color w:val="000000"/>
        </w:rPr>
        <w:t xml:space="preserve">DMEM media </w:t>
      </w:r>
      <w:r w:rsidR="00477D74" w:rsidRPr="00A75BFC">
        <w:rPr>
          <w:bCs/>
          <w:color w:val="000000"/>
        </w:rPr>
        <w:t xml:space="preserve">with </w:t>
      </w:r>
      <w:r w:rsidR="00746913" w:rsidRPr="00A75BFC">
        <w:rPr>
          <w:bCs/>
          <w:color w:val="000000"/>
        </w:rPr>
        <w:t>a pre-adjusted pH of 7.4 (recommended) to run</w:t>
      </w:r>
      <w:r w:rsidR="00643A72" w:rsidRPr="00A75BFC">
        <w:rPr>
          <w:bCs/>
          <w:color w:val="000000"/>
        </w:rPr>
        <w:t xml:space="preserve"> </w:t>
      </w:r>
      <w:r w:rsidR="00613B42" w:rsidRPr="00A75BFC">
        <w:rPr>
          <w:bCs/>
          <w:color w:val="000000"/>
        </w:rPr>
        <w:t xml:space="preserve">the </w:t>
      </w:r>
      <w:r w:rsidR="00643A72" w:rsidRPr="00A75BFC">
        <w:rPr>
          <w:bCs/>
          <w:color w:val="000000"/>
        </w:rPr>
        <w:t>assay</w:t>
      </w:r>
      <w:r w:rsidR="006A1B3F" w:rsidRPr="00A75BFC">
        <w:rPr>
          <w:bCs/>
          <w:color w:val="000000"/>
        </w:rPr>
        <w:t xml:space="preserve"> with BMSCs</w:t>
      </w:r>
      <w:r w:rsidR="00643A72" w:rsidRPr="00A75BFC">
        <w:rPr>
          <w:bCs/>
          <w:color w:val="000000"/>
        </w:rPr>
        <w:t>.</w:t>
      </w:r>
    </w:p>
    <w:p w14:paraId="3C8D07DF" w14:textId="77777777" w:rsidR="00613B42" w:rsidRPr="00A75BFC" w:rsidRDefault="00613B42" w:rsidP="002569BA">
      <w:pPr>
        <w:pBdr>
          <w:top w:val="nil"/>
          <w:left w:val="nil"/>
          <w:bottom w:val="nil"/>
          <w:right w:val="nil"/>
          <w:between w:val="nil"/>
        </w:pBdr>
        <w:jc w:val="left"/>
      </w:pPr>
    </w:p>
    <w:p w14:paraId="08CF9261" w14:textId="1CEC9066" w:rsidR="00D52DD5" w:rsidRPr="00A75BFC" w:rsidRDefault="00C82CC6" w:rsidP="00C82CC6">
      <w:pPr>
        <w:pStyle w:val="ListParagraph"/>
        <w:pBdr>
          <w:top w:val="nil"/>
          <w:left w:val="nil"/>
          <w:bottom w:val="nil"/>
          <w:right w:val="nil"/>
          <w:between w:val="nil"/>
        </w:pBdr>
        <w:ind w:left="0"/>
      </w:pPr>
      <w:r w:rsidRPr="00A75BFC">
        <w:t>3.2.</w:t>
      </w:r>
      <w:r w:rsidRPr="00A75BFC">
        <w:tab/>
      </w:r>
      <w:r w:rsidR="007E1549" w:rsidRPr="00A75BFC">
        <w:t>Prepare 80</w:t>
      </w:r>
      <w:r w:rsidR="006A1B3F" w:rsidRPr="00A75BFC">
        <w:t xml:space="preserve"> </w:t>
      </w:r>
      <w:r w:rsidR="007E1549" w:rsidRPr="00A75BFC">
        <w:t>m</w:t>
      </w:r>
      <w:r w:rsidR="006A1B3F" w:rsidRPr="00A75BFC">
        <w:t>L</w:t>
      </w:r>
      <w:r w:rsidR="007E1549" w:rsidRPr="00A75BFC">
        <w:t xml:space="preserve"> of </w:t>
      </w:r>
      <w:r w:rsidR="00613B42" w:rsidRPr="00A75BFC">
        <w:t>a</w:t>
      </w:r>
      <w:r w:rsidR="007E1549" w:rsidRPr="00A75BFC">
        <w:t xml:space="preserve">ssay </w:t>
      </w:r>
      <w:r w:rsidR="00613B42" w:rsidRPr="00A75BFC">
        <w:t>m</w:t>
      </w:r>
      <w:r w:rsidR="007E1549" w:rsidRPr="00A75BFC">
        <w:t xml:space="preserve">edia by supplementing </w:t>
      </w:r>
      <w:r w:rsidR="006A1B3F" w:rsidRPr="00A75BFC">
        <w:rPr>
          <w:bCs/>
          <w:color w:val="000000"/>
        </w:rPr>
        <w:t xml:space="preserve">DMEM media </w:t>
      </w:r>
      <w:r w:rsidR="007E1549" w:rsidRPr="00A75BFC">
        <w:t>with</w:t>
      </w:r>
      <w:r w:rsidR="00772156" w:rsidRPr="00A75BFC">
        <w:t xml:space="preserve"> </w:t>
      </w:r>
      <w:r w:rsidR="001820A8" w:rsidRPr="00A75BFC">
        <w:rPr>
          <w:color w:val="202122"/>
        </w:rPr>
        <w:t>1</w:t>
      </w:r>
      <w:r w:rsidR="006A1B3F" w:rsidRPr="00A75BFC">
        <w:rPr>
          <w:color w:val="202122"/>
        </w:rPr>
        <w:t xml:space="preserve"> </w:t>
      </w:r>
      <w:r w:rsidR="001820A8" w:rsidRPr="00A75BFC">
        <w:rPr>
          <w:color w:val="202122"/>
        </w:rPr>
        <w:t xml:space="preserve">mM </w:t>
      </w:r>
      <w:r w:rsidR="006A1B3F" w:rsidRPr="00A75BFC">
        <w:rPr>
          <w:color w:val="202122"/>
        </w:rPr>
        <w:t>sodium p</w:t>
      </w:r>
      <w:r w:rsidR="001820A8" w:rsidRPr="00A75BFC">
        <w:rPr>
          <w:color w:val="202122"/>
        </w:rPr>
        <w:t>yruvate, 2</w:t>
      </w:r>
      <w:r w:rsidR="006A1B3F" w:rsidRPr="00A75BFC">
        <w:rPr>
          <w:color w:val="202122"/>
        </w:rPr>
        <w:t xml:space="preserve"> </w:t>
      </w:r>
      <w:r w:rsidR="001820A8" w:rsidRPr="00A75BFC">
        <w:rPr>
          <w:color w:val="202122"/>
        </w:rPr>
        <w:t xml:space="preserve">mM </w:t>
      </w:r>
      <w:r w:rsidR="006A1B3F" w:rsidRPr="00A75BFC">
        <w:rPr>
          <w:color w:val="202122"/>
        </w:rPr>
        <w:t>g</w:t>
      </w:r>
      <w:r w:rsidR="001820A8" w:rsidRPr="00A75BFC">
        <w:rPr>
          <w:color w:val="202122"/>
        </w:rPr>
        <w:t>lutamine, 10</w:t>
      </w:r>
      <w:r w:rsidR="006A1B3F" w:rsidRPr="00A75BFC">
        <w:rPr>
          <w:color w:val="202122"/>
        </w:rPr>
        <w:t xml:space="preserve"> </w:t>
      </w:r>
      <w:r w:rsidR="001820A8" w:rsidRPr="00A75BFC">
        <w:rPr>
          <w:color w:val="202122"/>
        </w:rPr>
        <w:t xml:space="preserve">mM </w:t>
      </w:r>
      <w:r w:rsidR="006A1B3F" w:rsidRPr="00A75BFC">
        <w:rPr>
          <w:color w:val="202122"/>
        </w:rPr>
        <w:t>g</w:t>
      </w:r>
      <w:r w:rsidR="001820A8" w:rsidRPr="00A75BFC">
        <w:rPr>
          <w:color w:val="202122"/>
        </w:rPr>
        <w:t xml:space="preserve">lucose, 200 </w:t>
      </w:r>
      <w:proofErr w:type="spellStart"/>
      <w:r w:rsidR="001820A8" w:rsidRPr="00A75BFC">
        <w:rPr>
          <w:color w:val="202122"/>
        </w:rPr>
        <w:t>nM</w:t>
      </w:r>
      <w:proofErr w:type="spellEnd"/>
      <w:r w:rsidR="001820A8" w:rsidRPr="00A75BFC">
        <w:rPr>
          <w:color w:val="202122"/>
        </w:rPr>
        <w:t xml:space="preserve"> </w:t>
      </w:r>
      <w:r w:rsidR="006A1B3F" w:rsidRPr="00A75BFC">
        <w:rPr>
          <w:color w:val="202122"/>
        </w:rPr>
        <w:t>i</w:t>
      </w:r>
      <w:r w:rsidR="001820A8" w:rsidRPr="00A75BFC">
        <w:rPr>
          <w:color w:val="202122"/>
        </w:rPr>
        <w:t xml:space="preserve">nsulin, </w:t>
      </w:r>
      <w:r w:rsidR="00D52DD5" w:rsidRPr="00A75BFC">
        <w:rPr>
          <w:color w:val="202122"/>
        </w:rPr>
        <w:t>50</w:t>
      </w:r>
      <w:r w:rsidR="00605ADF" w:rsidRPr="00A75BFC">
        <w:rPr>
          <w:color w:val="202122"/>
        </w:rPr>
        <w:t>–</w:t>
      </w:r>
      <w:r w:rsidR="001820A8" w:rsidRPr="00A75BFC">
        <w:t xml:space="preserve">200 </w:t>
      </w:r>
      <w:proofErr w:type="spellStart"/>
      <w:r w:rsidR="001820A8" w:rsidRPr="00A75BFC">
        <w:t>μM</w:t>
      </w:r>
      <w:proofErr w:type="spellEnd"/>
      <w:r w:rsidR="001820A8" w:rsidRPr="00A75BFC">
        <w:t xml:space="preserve"> </w:t>
      </w:r>
      <w:r w:rsidR="006A1B3F" w:rsidRPr="00A75BFC">
        <w:t>o</w:t>
      </w:r>
      <w:r w:rsidR="001820A8" w:rsidRPr="00A75BFC">
        <w:t xml:space="preserve">leic </w:t>
      </w:r>
      <w:r w:rsidR="006A1B3F" w:rsidRPr="00A75BFC">
        <w:t>a</w:t>
      </w:r>
      <w:r w:rsidR="001820A8" w:rsidRPr="00A75BFC">
        <w:t>cid BSA</w:t>
      </w:r>
      <w:r w:rsidR="006A1B3F" w:rsidRPr="00A75BFC">
        <w:t>.</w:t>
      </w:r>
    </w:p>
    <w:p w14:paraId="2D2DD674" w14:textId="77777777" w:rsidR="00613B42" w:rsidRPr="00A75BFC" w:rsidRDefault="00613B42" w:rsidP="002569BA">
      <w:pPr>
        <w:pBdr>
          <w:top w:val="nil"/>
          <w:left w:val="nil"/>
          <w:bottom w:val="nil"/>
          <w:right w:val="nil"/>
          <w:between w:val="nil"/>
        </w:pBdr>
        <w:rPr>
          <w:b/>
          <w:bCs/>
          <w:color w:val="FF0000"/>
          <w:u w:val="single"/>
        </w:rPr>
      </w:pPr>
    </w:p>
    <w:p w14:paraId="33F1B14F" w14:textId="535F3EED" w:rsidR="007E1549" w:rsidRPr="00A75BFC" w:rsidRDefault="00C82CC6" w:rsidP="00C82CC6">
      <w:pPr>
        <w:pStyle w:val="ListParagraph"/>
        <w:widowControl/>
        <w:ind w:left="0"/>
      </w:pPr>
      <w:r w:rsidRPr="00A75BFC">
        <w:t>3.3.</w:t>
      </w:r>
      <w:r w:rsidRPr="00A75BFC">
        <w:tab/>
      </w:r>
      <w:r w:rsidR="007E1549" w:rsidRPr="00A75BFC">
        <w:t xml:space="preserve">Incubate the </w:t>
      </w:r>
      <w:r w:rsidR="006A1B3F" w:rsidRPr="00A75BFC">
        <w:t xml:space="preserve">complete </w:t>
      </w:r>
      <w:r w:rsidR="00613B42" w:rsidRPr="00A75BFC">
        <w:t>a</w:t>
      </w:r>
      <w:r w:rsidR="007E1549" w:rsidRPr="00A75BFC">
        <w:t xml:space="preserve">ssay </w:t>
      </w:r>
      <w:r w:rsidR="00613B42" w:rsidRPr="00A75BFC">
        <w:t>m</w:t>
      </w:r>
      <w:r w:rsidR="007E1549" w:rsidRPr="00A75BFC">
        <w:t>edia at 37</w:t>
      </w:r>
      <w:r w:rsidR="00613B42" w:rsidRPr="00A75BFC">
        <w:t xml:space="preserve"> </w:t>
      </w:r>
      <w:r w:rsidR="00D52DD5" w:rsidRPr="00A75BFC">
        <w:t>°</w:t>
      </w:r>
      <w:r w:rsidR="007E1549" w:rsidRPr="00A75BFC">
        <w:t xml:space="preserve">C </w:t>
      </w:r>
      <w:r w:rsidR="00613B42" w:rsidRPr="00A75BFC">
        <w:t xml:space="preserve">in a </w:t>
      </w:r>
      <w:r w:rsidR="007E1549" w:rsidRPr="00A75BFC">
        <w:t>water bath</w:t>
      </w:r>
      <w:r w:rsidR="00605ADF" w:rsidRPr="00A75BFC">
        <w:t>.</w:t>
      </w:r>
    </w:p>
    <w:p w14:paraId="55D3BF68" w14:textId="77777777" w:rsidR="00252B25" w:rsidRPr="007E602D" w:rsidRDefault="00252B25" w:rsidP="00972F6D">
      <w:pPr>
        <w:widowControl/>
        <w:rPr>
          <w:highlight w:val="yellow"/>
          <w:u w:val="single"/>
        </w:rPr>
      </w:pPr>
    </w:p>
    <w:p w14:paraId="09CC85EB" w14:textId="3098716D" w:rsidR="007E1549" w:rsidRPr="00120856" w:rsidRDefault="007E1549" w:rsidP="00D22DE9">
      <w:pPr>
        <w:pStyle w:val="ListParagraph"/>
        <w:numPr>
          <w:ilvl w:val="0"/>
          <w:numId w:val="1"/>
        </w:numPr>
        <w:pBdr>
          <w:top w:val="nil"/>
          <w:left w:val="nil"/>
          <w:bottom w:val="nil"/>
          <w:right w:val="nil"/>
          <w:between w:val="nil"/>
        </w:pBdr>
        <w:ind w:left="0" w:firstLine="0"/>
        <w:rPr>
          <w:b/>
          <w:bCs/>
          <w:highlight w:val="yellow"/>
        </w:rPr>
      </w:pPr>
      <w:r w:rsidRPr="00111B61">
        <w:rPr>
          <w:b/>
          <w:bCs/>
          <w:highlight w:val="yellow"/>
        </w:rPr>
        <w:t>Preparation of compounds for the sensor cartridges</w:t>
      </w:r>
    </w:p>
    <w:p w14:paraId="62D5B4F7" w14:textId="77777777" w:rsidR="002569BA" w:rsidRPr="00111B61" w:rsidRDefault="002569BA" w:rsidP="00972F6D">
      <w:pPr>
        <w:widowControl/>
        <w:rPr>
          <w:rFonts w:eastAsia="Times New Roman"/>
          <w:color w:val="0E101A"/>
        </w:rPr>
      </w:pPr>
    </w:p>
    <w:p w14:paraId="41570EB0" w14:textId="1A2C3BB3" w:rsidR="00042894" w:rsidRPr="00AE0EA3" w:rsidRDefault="00042894" w:rsidP="00BB18B0">
      <w:pPr>
        <w:pStyle w:val="ListParagraph"/>
        <w:numPr>
          <w:ilvl w:val="1"/>
          <w:numId w:val="1"/>
        </w:numPr>
        <w:ind w:left="0" w:firstLine="0"/>
        <w:rPr>
          <w:highlight w:val="yellow"/>
        </w:rPr>
      </w:pPr>
      <w:r w:rsidRPr="00BB18B0">
        <w:rPr>
          <w:rFonts w:eastAsia="Times New Roman"/>
          <w:color w:val="0E101A"/>
          <w:highlight w:val="yellow"/>
        </w:rPr>
        <w:t xml:space="preserve">Thaw </w:t>
      </w:r>
      <w:r w:rsidR="00C319DA" w:rsidRPr="00BB18B0">
        <w:rPr>
          <w:rFonts w:eastAsia="Times New Roman"/>
          <w:color w:val="0E101A"/>
          <w:highlight w:val="yellow"/>
        </w:rPr>
        <w:t>o</w:t>
      </w:r>
      <w:r w:rsidRPr="00BB18B0">
        <w:rPr>
          <w:rFonts w:eastAsia="Times New Roman"/>
          <w:color w:val="0E101A"/>
          <w:highlight w:val="yellow"/>
        </w:rPr>
        <w:t xml:space="preserve">ligomycin A, </w:t>
      </w:r>
      <w:r w:rsidR="00C319DA" w:rsidRPr="00BB18B0">
        <w:rPr>
          <w:rFonts w:eastAsia="Times New Roman"/>
          <w:color w:val="0E101A"/>
          <w:highlight w:val="yellow"/>
        </w:rPr>
        <w:t>r</w:t>
      </w:r>
      <w:r w:rsidRPr="00BB18B0">
        <w:rPr>
          <w:rFonts w:eastAsia="Times New Roman"/>
          <w:color w:val="0E101A"/>
          <w:highlight w:val="yellow"/>
        </w:rPr>
        <w:t xml:space="preserve">otenone, and </w:t>
      </w:r>
      <w:r w:rsidR="006640CF" w:rsidRPr="00BB18B0">
        <w:rPr>
          <w:rFonts w:eastAsia="Times New Roman"/>
          <w:color w:val="0E101A"/>
          <w:highlight w:val="yellow"/>
        </w:rPr>
        <w:t>a</w:t>
      </w:r>
      <w:r w:rsidRPr="00BB18B0">
        <w:rPr>
          <w:rFonts w:eastAsia="Times New Roman"/>
          <w:color w:val="0E101A"/>
          <w:highlight w:val="yellow"/>
        </w:rPr>
        <w:t>ntimycin A on ice</w:t>
      </w:r>
      <w:r w:rsidR="006640CF" w:rsidRPr="00BB18B0">
        <w:rPr>
          <w:rFonts w:eastAsia="Times New Roman"/>
          <w:color w:val="0E101A"/>
          <w:highlight w:val="yellow"/>
        </w:rPr>
        <w:t>.</w:t>
      </w:r>
      <w:r w:rsidR="00AE0EA3" w:rsidRPr="008A0E46">
        <w:rPr>
          <w:rFonts w:eastAsia="Times New Roman"/>
          <w:color w:val="0E101A"/>
          <w:highlight w:val="yellow"/>
        </w:rPr>
        <w:t xml:space="preserve"> </w:t>
      </w:r>
      <w:r w:rsidRPr="00AE0EA3">
        <w:rPr>
          <w:highlight w:val="yellow"/>
        </w:rPr>
        <w:t>Pipette up and down to solubilize the compounds before use.</w:t>
      </w:r>
    </w:p>
    <w:p w14:paraId="57B3A158" w14:textId="77777777" w:rsidR="006640CF" w:rsidRPr="00111B61" w:rsidRDefault="006640CF" w:rsidP="00972F6D">
      <w:pPr>
        <w:widowControl/>
        <w:rPr>
          <w:rFonts w:eastAsia="Times New Roman"/>
          <w:color w:val="0E101A"/>
          <w:highlight w:val="yellow"/>
        </w:rPr>
      </w:pPr>
    </w:p>
    <w:p w14:paraId="4F8ACB3A" w14:textId="77777777" w:rsidR="00585064" w:rsidRDefault="00042894" w:rsidP="00D22DE9">
      <w:pPr>
        <w:pStyle w:val="ListParagraph"/>
        <w:widowControl/>
        <w:numPr>
          <w:ilvl w:val="1"/>
          <w:numId w:val="1"/>
        </w:numPr>
        <w:ind w:left="0" w:firstLine="0"/>
        <w:rPr>
          <w:rFonts w:eastAsia="Times New Roman"/>
          <w:color w:val="0E101A"/>
          <w:highlight w:val="yellow"/>
        </w:rPr>
      </w:pPr>
      <w:r w:rsidRPr="00796335">
        <w:rPr>
          <w:rFonts w:eastAsia="Times New Roman"/>
          <w:color w:val="0E101A"/>
          <w:highlight w:val="yellow"/>
        </w:rPr>
        <w:t>Add 3 m</w:t>
      </w:r>
      <w:r w:rsidR="00FF67EA" w:rsidRPr="00796335">
        <w:rPr>
          <w:rFonts w:eastAsia="Times New Roman"/>
          <w:color w:val="0E101A"/>
          <w:highlight w:val="yellow"/>
        </w:rPr>
        <w:t>L</w:t>
      </w:r>
      <w:r w:rsidRPr="00796335">
        <w:rPr>
          <w:rFonts w:eastAsia="Times New Roman"/>
          <w:color w:val="0E101A"/>
          <w:highlight w:val="yellow"/>
        </w:rPr>
        <w:t xml:space="preserve"> of prepared assay medium to each tube, followed by the addition of the respective compound</w:t>
      </w:r>
      <w:r w:rsidR="00605ADF" w:rsidRPr="00796335">
        <w:rPr>
          <w:rFonts w:eastAsia="Times New Roman"/>
          <w:color w:val="0E101A"/>
          <w:highlight w:val="yellow"/>
        </w:rPr>
        <w:t>—</w:t>
      </w:r>
      <w:r w:rsidR="00B26823" w:rsidRPr="00796335">
        <w:rPr>
          <w:rFonts w:eastAsia="Times New Roman"/>
          <w:color w:val="0E101A"/>
          <w:highlight w:val="yellow"/>
        </w:rPr>
        <w:t>t</w:t>
      </w:r>
      <w:r w:rsidRPr="00796335">
        <w:rPr>
          <w:rFonts w:eastAsia="Times New Roman"/>
          <w:color w:val="0E101A"/>
          <w:highlight w:val="yellow"/>
        </w:rPr>
        <w:t xml:space="preserve">ube A: 26.4 </w:t>
      </w:r>
      <w:proofErr w:type="spellStart"/>
      <w:r w:rsidRPr="00796335">
        <w:rPr>
          <w:rFonts w:eastAsia="Times New Roman"/>
          <w:color w:val="0E101A"/>
          <w:highlight w:val="yellow"/>
        </w:rPr>
        <w:t>μL</w:t>
      </w:r>
      <w:proofErr w:type="spellEnd"/>
      <w:r w:rsidRPr="00796335">
        <w:rPr>
          <w:rFonts w:eastAsia="Times New Roman"/>
          <w:color w:val="0E101A"/>
          <w:highlight w:val="yellow"/>
        </w:rPr>
        <w:t xml:space="preserve"> of 2.5 mM </w:t>
      </w:r>
      <w:r w:rsidR="002875BE" w:rsidRPr="00796335">
        <w:rPr>
          <w:rFonts w:eastAsia="Times New Roman"/>
          <w:color w:val="0E101A"/>
          <w:highlight w:val="yellow"/>
        </w:rPr>
        <w:t>oligomycin</w:t>
      </w:r>
      <w:r w:rsidR="002875BE" w:rsidRPr="00796335" w:rsidDel="002875BE">
        <w:rPr>
          <w:rFonts w:eastAsia="Times New Roman"/>
          <w:color w:val="0E101A"/>
          <w:highlight w:val="yellow"/>
        </w:rPr>
        <w:t xml:space="preserve"> </w:t>
      </w:r>
      <w:r w:rsidRPr="00796335">
        <w:rPr>
          <w:rFonts w:eastAsia="Times New Roman"/>
          <w:color w:val="0E101A"/>
          <w:highlight w:val="yellow"/>
        </w:rPr>
        <w:t>A</w:t>
      </w:r>
      <w:r w:rsidR="00B26823" w:rsidRPr="00796335">
        <w:rPr>
          <w:rFonts w:eastAsia="Times New Roman"/>
          <w:color w:val="0E101A"/>
          <w:highlight w:val="yellow"/>
        </w:rPr>
        <w:t>; t</w:t>
      </w:r>
      <w:r w:rsidRPr="00796335">
        <w:rPr>
          <w:rFonts w:eastAsia="Times New Roman"/>
          <w:color w:val="0E101A"/>
          <w:highlight w:val="yellow"/>
        </w:rPr>
        <w:t xml:space="preserve">ube B: 3.1 </w:t>
      </w:r>
      <w:proofErr w:type="spellStart"/>
      <w:r w:rsidRPr="00796335">
        <w:rPr>
          <w:rFonts w:eastAsia="Times New Roman"/>
          <w:color w:val="0E101A"/>
          <w:highlight w:val="yellow"/>
        </w:rPr>
        <w:t>μL</w:t>
      </w:r>
      <w:proofErr w:type="spellEnd"/>
      <w:r w:rsidRPr="00796335">
        <w:rPr>
          <w:rFonts w:eastAsia="Times New Roman"/>
          <w:color w:val="0E101A"/>
          <w:highlight w:val="yellow"/>
        </w:rPr>
        <w:t xml:space="preserve"> of 12.67 mM </w:t>
      </w:r>
      <w:r w:rsidR="00B26823" w:rsidRPr="00796335">
        <w:rPr>
          <w:rFonts w:eastAsia="Times New Roman"/>
          <w:color w:val="0E101A"/>
          <w:highlight w:val="yellow"/>
        </w:rPr>
        <w:t>r</w:t>
      </w:r>
      <w:r w:rsidRPr="00796335">
        <w:rPr>
          <w:rFonts w:eastAsia="Times New Roman"/>
          <w:color w:val="0E101A"/>
          <w:highlight w:val="yellow"/>
        </w:rPr>
        <w:t xml:space="preserve">otenone + 4.1 </w:t>
      </w:r>
      <w:proofErr w:type="spellStart"/>
      <w:r w:rsidRPr="00796335">
        <w:rPr>
          <w:rFonts w:eastAsia="Times New Roman"/>
          <w:color w:val="0E101A"/>
          <w:highlight w:val="yellow"/>
        </w:rPr>
        <w:t>μL</w:t>
      </w:r>
      <w:proofErr w:type="spellEnd"/>
      <w:r w:rsidRPr="00796335">
        <w:rPr>
          <w:rFonts w:eastAsia="Times New Roman"/>
          <w:color w:val="0E101A"/>
          <w:highlight w:val="yellow"/>
        </w:rPr>
        <w:t xml:space="preserve"> of 9.4 mM </w:t>
      </w:r>
      <w:r w:rsidR="00B26823" w:rsidRPr="00796335">
        <w:rPr>
          <w:rFonts w:eastAsia="Times New Roman"/>
          <w:color w:val="0E101A"/>
          <w:highlight w:val="yellow"/>
        </w:rPr>
        <w:t>a</w:t>
      </w:r>
      <w:r w:rsidRPr="00796335">
        <w:rPr>
          <w:rFonts w:eastAsia="Times New Roman"/>
          <w:color w:val="0E101A"/>
          <w:highlight w:val="yellow"/>
        </w:rPr>
        <w:t xml:space="preserve">ntimycin A + 30 </w:t>
      </w:r>
      <w:proofErr w:type="spellStart"/>
      <w:r w:rsidRPr="00796335">
        <w:rPr>
          <w:rFonts w:eastAsia="Times New Roman"/>
          <w:color w:val="0E101A"/>
          <w:highlight w:val="yellow"/>
        </w:rPr>
        <w:t>μL</w:t>
      </w:r>
      <w:proofErr w:type="spellEnd"/>
      <w:r w:rsidRPr="00796335">
        <w:rPr>
          <w:rFonts w:eastAsia="Times New Roman"/>
          <w:color w:val="0E101A"/>
          <w:highlight w:val="yellow"/>
        </w:rPr>
        <w:t xml:space="preserve"> Hoechst stain</w:t>
      </w:r>
      <w:r w:rsidR="009C7731" w:rsidRPr="00796335">
        <w:rPr>
          <w:rFonts w:eastAsia="Times New Roman"/>
          <w:color w:val="0E101A"/>
          <w:highlight w:val="yellow"/>
        </w:rPr>
        <w:t>.</w:t>
      </w:r>
      <w:r w:rsidR="00026095" w:rsidRPr="00796335">
        <w:rPr>
          <w:rFonts w:eastAsia="Times New Roman"/>
          <w:color w:val="0E101A"/>
          <w:highlight w:val="yellow"/>
        </w:rPr>
        <w:t xml:space="preserve"> </w:t>
      </w:r>
    </w:p>
    <w:p w14:paraId="1BC8B4F7" w14:textId="77777777" w:rsidR="00585064" w:rsidRPr="008A0E46" w:rsidRDefault="00585064" w:rsidP="00D61D1F">
      <w:pPr>
        <w:pStyle w:val="ListParagraph"/>
        <w:rPr>
          <w:rFonts w:eastAsia="Times New Roman"/>
          <w:color w:val="0E101A"/>
          <w:highlight w:val="yellow"/>
        </w:rPr>
      </w:pPr>
    </w:p>
    <w:p w14:paraId="50A9DB8B" w14:textId="256BD36D" w:rsidR="00585064" w:rsidRPr="00301171" w:rsidRDefault="00585064" w:rsidP="00D22DE9">
      <w:pPr>
        <w:pStyle w:val="ListParagraph"/>
        <w:widowControl/>
        <w:numPr>
          <w:ilvl w:val="1"/>
          <w:numId w:val="1"/>
        </w:numPr>
        <w:ind w:left="0" w:firstLine="0"/>
        <w:rPr>
          <w:rFonts w:eastAsia="Times New Roman"/>
          <w:color w:val="0E101A"/>
          <w:highlight w:val="yellow"/>
        </w:rPr>
      </w:pPr>
      <w:r w:rsidRPr="00301171">
        <w:rPr>
          <w:rFonts w:eastAsia="Times New Roman"/>
          <w:color w:val="0E101A"/>
          <w:highlight w:val="yellow"/>
        </w:rPr>
        <w:t>Load</w:t>
      </w:r>
      <w:r w:rsidR="007139F5" w:rsidRPr="00301171">
        <w:rPr>
          <w:rFonts w:eastAsia="Times New Roman"/>
          <w:color w:val="0E101A"/>
          <w:highlight w:val="yellow"/>
        </w:rPr>
        <w:t xml:space="preserve"> a</w:t>
      </w:r>
      <w:r w:rsidRPr="00301171">
        <w:rPr>
          <w:rFonts w:eastAsia="Times New Roman"/>
          <w:color w:val="0E101A"/>
          <w:highlight w:val="yellow"/>
        </w:rPr>
        <w:t xml:space="preserve"> 10x concentration of these inhibitors in the corresponding port. The final concentration of injection solutions needed is 2 </w:t>
      </w:r>
      <w:proofErr w:type="spellStart"/>
      <w:r w:rsidRPr="00301171">
        <w:rPr>
          <w:rFonts w:eastAsia="Times New Roman"/>
          <w:color w:val="0E101A"/>
          <w:highlight w:val="yellow"/>
        </w:rPr>
        <w:t>μM</w:t>
      </w:r>
      <w:proofErr w:type="spellEnd"/>
      <w:r w:rsidRPr="00301171">
        <w:rPr>
          <w:rFonts w:eastAsia="Times New Roman"/>
          <w:color w:val="0E101A"/>
          <w:highlight w:val="yellow"/>
        </w:rPr>
        <w:t xml:space="preserve"> of oligomycin</w:t>
      </w:r>
      <w:r w:rsidRPr="00301171" w:rsidDel="003D67D3">
        <w:rPr>
          <w:rFonts w:eastAsia="Times New Roman"/>
          <w:color w:val="0E101A"/>
          <w:highlight w:val="yellow"/>
        </w:rPr>
        <w:t xml:space="preserve"> </w:t>
      </w:r>
      <w:r w:rsidRPr="00301171">
        <w:rPr>
          <w:rFonts w:eastAsia="Times New Roman"/>
          <w:color w:val="0E101A"/>
          <w:highlight w:val="yellow"/>
        </w:rPr>
        <w:t xml:space="preserve">A, 1 </w:t>
      </w:r>
      <w:proofErr w:type="spellStart"/>
      <w:r w:rsidRPr="00301171">
        <w:rPr>
          <w:rFonts w:eastAsia="Times New Roman"/>
          <w:color w:val="0E101A"/>
          <w:highlight w:val="yellow"/>
        </w:rPr>
        <w:t>μM</w:t>
      </w:r>
      <w:proofErr w:type="spellEnd"/>
      <w:r w:rsidRPr="00301171">
        <w:rPr>
          <w:rFonts w:eastAsia="Times New Roman"/>
          <w:color w:val="0E101A"/>
          <w:highlight w:val="yellow"/>
        </w:rPr>
        <w:t xml:space="preserve"> of rotenone, and 4.1 </w:t>
      </w:r>
      <w:proofErr w:type="spellStart"/>
      <w:r w:rsidRPr="00301171">
        <w:rPr>
          <w:rFonts w:eastAsia="Times New Roman"/>
          <w:color w:val="0E101A"/>
          <w:highlight w:val="yellow"/>
        </w:rPr>
        <w:t>μM</w:t>
      </w:r>
      <w:proofErr w:type="spellEnd"/>
      <w:r w:rsidRPr="00301171">
        <w:rPr>
          <w:rFonts w:eastAsia="Times New Roman"/>
          <w:color w:val="0E101A"/>
          <w:highlight w:val="yellow"/>
        </w:rPr>
        <w:t xml:space="preserve"> of antimycin A.</w:t>
      </w:r>
    </w:p>
    <w:p w14:paraId="4879F3EB" w14:textId="77777777" w:rsidR="00585064" w:rsidRDefault="00585064" w:rsidP="008A0E46">
      <w:pPr>
        <w:pStyle w:val="ListParagraph"/>
        <w:widowControl/>
        <w:ind w:left="0"/>
        <w:rPr>
          <w:rFonts w:eastAsia="Times New Roman"/>
          <w:color w:val="0E101A"/>
          <w:highlight w:val="yellow"/>
        </w:rPr>
      </w:pPr>
    </w:p>
    <w:p w14:paraId="26738CDF" w14:textId="77777777" w:rsidR="00585064" w:rsidRPr="008A0E46" w:rsidRDefault="00585064" w:rsidP="00D61D1F">
      <w:pPr>
        <w:widowControl/>
        <w:rPr>
          <w:rFonts w:eastAsia="Times New Roman"/>
          <w:color w:val="0E101A"/>
        </w:rPr>
      </w:pPr>
      <w:r w:rsidRPr="008A0E46">
        <w:rPr>
          <w:rFonts w:eastAsia="Times New Roman"/>
          <w:color w:val="0E101A"/>
        </w:rPr>
        <w:t>NOTE: Hoechst is added to the final injection port for fluorescently staining the nuclei for imaging and normalization purposes. These concentrations can be optimized based on the cell type.</w:t>
      </w:r>
    </w:p>
    <w:p w14:paraId="523042FB" w14:textId="77777777" w:rsidR="00585064" w:rsidRPr="008A0E46" w:rsidRDefault="00585064" w:rsidP="00D61D1F">
      <w:pPr>
        <w:pStyle w:val="ListParagraph"/>
        <w:rPr>
          <w:rFonts w:eastAsia="Times New Roman"/>
          <w:color w:val="0E101A"/>
          <w:highlight w:val="yellow"/>
        </w:rPr>
      </w:pPr>
    </w:p>
    <w:p w14:paraId="3832579F" w14:textId="1900D226" w:rsidR="00042894" w:rsidRPr="00796335" w:rsidRDefault="00026095" w:rsidP="00D22DE9">
      <w:pPr>
        <w:pStyle w:val="ListParagraph"/>
        <w:widowControl/>
        <w:numPr>
          <w:ilvl w:val="1"/>
          <w:numId w:val="1"/>
        </w:numPr>
        <w:ind w:left="0" w:firstLine="0"/>
        <w:rPr>
          <w:rFonts w:eastAsia="Times New Roman"/>
          <w:color w:val="0E101A"/>
          <w:highlight w:val="yellow"/>
        </w:rPr>
      </w:pPr>
      <w:r w:rsidRPr="00796335">
        <w:rPr>
          <w:rFonts w:eastAsia="Times New Roman"/>
          <w:color w:val="0E101A"/>
          <w:highlight w:val="yellow"/>
        </w:rPr>
        <w:t>L</w:t>
      </w:r>
      <w:r w:rsidR="00DE1486" w:rsidRPr="00796335">
        <w:rPr>
          <w:rFonts w:eastAsia="Times New Roman"/>
          <w:color w:val="0E101A"/>
          <w:highlight w:val="yellow"/>
        </w:rPr>
        <w:t>oad 2</w:t>
      </w:r>
      <w:r w:rsidRPr="00796335">
        <w:rPr>
          <w:rFonts w:eastAsia="Times New Roman"/>
          <w:color w:val="0E101A"/>
          <w:highlight w:val="yellow"/>
        </w:rPr>
        <w:t xml:space="preserve">0 </w:t>
      </w:r>
      <w:r w:rsidR="00DE1486" w:rsidRPr="00796335">
        <w:rPr>
          <w:rFonts w:eastAsia="Times New Roman"/>
          <w:color w:val="0E101A"/>
          <w:highlight w:val="yellow"/>
        </w:rPr>
        <w:t>µ</w:t>
      </w:r>
      <w:r w:rsidRPr="00796335">
        <w:rPr>
          <w:rFonts w:eastAsia="Times New Roman"/>
          <w:color w:val="0E101A"/>
          <w:highlight w:val="yellow"/>
        </w:rPr>
        <w:t xml:space="preserve">L of these compounds into the cells in 180 </w:t>
      </w:r>
      <w:r w:rsidR="00DE1486" w:rsidRPr="00796335">
        <w:rPr>
          <w:rFonts w:eastAsia="Times New Roman"/>
          <w:color w:val="0E101A"/>
          <w:highlight w:val="yellow"/>
        </w:rPr>
        <w:t>µ</w:t>
      </w:r>
      <w:r w:rsidRPr="00796335">
        <w:rPr>
          <w:rFonts w:eastAsia="Times New Roman"/>
          <w:color w:val="0E101A"/>
          <w:highlight w:val="yellow"/>
        </w:rPr>
        <w:t>L of assay media.</w:t>
      </w:r>
    </w:p>
    <w:p w14:paraId="0006827F" w14:textId="77777777" w:rsidR="00F57A8C" w:rsidRPr="00AA24D3" w:rsidRDefault="00F57A8C" w:rsidP="00972F6D">
      <w:pPr>
        <w:widowControl/>
        <w:rPr>
          <w:rFonts w:eastAsia="Times New Roman"/>
          <w:color w:val="0E101A"/>
          <w:highlight w:val="yellow"/>
        </w:rPr>
      </w:pPr>
    </w:p>
    <w:p w14:paraId="0A5FE250" w14:textId="319136E9" w:rsidR="00042894" w:rsidRPr="00120856" w:rsidRDefault="00042894" w:rsidP="00D22DE9">
      <w:pPr>
        <w:pStyle w:val="ListParagraph"/>
        <w:widowControl/>
        <w:numPr>
          <w:ilvl w:val="0"/>
          <w:numId w:val="1"/>
        </w:numPr>
        <w:rPr>
          <w:rFonts w:eastAsia="Times New Roman"/>
          <w:b/>
          <w:bCs/>
          <w:color w:val="0E101A"/>
          <w:highlight w:val="yellow"/>
        </w:rPr>
      </w:pPr>
      <w:r w:rsidRPr="00111B61">
        <w:rPr>
          <w:rFonts w:eastAsia="Times New Roman"/>
          <w:b/>
          <w:bCs/>
          <w:color w:val="0E101A"/>
          <w:highlight w:val="yellow"/>
        </w:rPr>
        <w:t xml:space="preserve">Prepare </w:t>
      </w:r>
      <w:r w:rsidR="003D67D3">
        <w:rPr>
          <w:rFonts w:eastAsia="Times New Roman"/>
          <w:b/>
          <w:bCs/>
          <w:color w:val="0E101A"/>
          <w:highlight w:val="yellow"/>
        </w:rPr>
        <w:t>c</w:t>
      </w:r>
      <w:r w:rsidRPr="00111B61">
        <w:rPr>
          <w:rFonts w:eastAsia="Times New Roman"/>
          <w:b/>
          <w:bCs/>
          <w:color w:val="0E101A"/>
          <w:highlight w:val="yellow"/>
        </w:rPr>
        <w:t xml:space="preserve">ell culture </w:t>
      </w:r>
      <w:r w:rsidR="003D67D3">
        <w:rPr>
          <w:rFonts w:eastAsia="Times New Roman"/>
          <w:b/>
          <w:bCs/>
          <w:color w:val="0E101A"/>
          <w:highlight w:val="yellow"/>
        </w:rPr>
        <w:t>m</w:t>
      </w:r>
      <w:r w:rsidRPr="00111B61">
        <w:rPr>
          <w:rFonts w:eastAsia="Times New Roman"/>
          <w:b/>
          <w:bCs/>
          <w:color w:val="0E101A"/>
          <w:highlight w:val="yellow"/>
        </w:rPr>
        <w:t>icroplate for assay</w:t>
      </w:r>
    </w:p>
    <w:p w14:paraId="27E296AF" w14:textId="77777777" w:rsidR="00B03658" w:rsidRPr="007E602D" w:rsidRDefault="00B03658" w:rsidP="007E602D">
      <w:pPr>
        <w:widowControl/>
        <w:rPr>
          <w:rFonts w:eastAsia="Times New Roman"/>
          <w:color w:val="0E101A"/>
          <w:highlight w:val="yellow"/>
        </w:rPr>
      </w:pPr>
    </w:p>
    <w:p w14:paraId="2C4A4B90" w14:textId="1F2A9384" w:rsidR="00042894" w:rsidRPr="00120856" w:rsidRDefault="00042894" w:rsidP="00D22DE9">
      <w:pPr>
        <w:pStyle w:val="ListParagraph"/>
        <w:widowControl/>
        <w:numPr>
          <w:ilvl w:val="1"/>
          <w:numId w:val="1"/>
        </w:numPr>
        <w:ind w:left="0" w:firstLine="0"/>
        <w:rPr>
          <w:rFonts w:eastAsia="Times New Roman"/>
          <w:color w:val="0E101A"/>
          <w:highlight w:val="yellow"/>
        </w:rPr>
      </w:pPr>
      <w:r w:rsidRPr="00111B61">
        <w:rPr>
          <w:rFonts w:eastAsia="Times New Roman"/>
          <w:color w:val="0E101A"/>
          <w:highlight w:val="yellow"/>
        </w:rPr>
        <w:t xml:space="preserve">Remove the </w:t>
      </w:r>
      <w:r w:rsidR="00B03658" w:rsidRPr="00120856">
        <w:rPr>
          <w:rFonts w:eastAsia="Times New Roman"/>
          <w:color w:val="0E101A"/>
          <w:highlight w:val="yellow"/>
        </w:rPr>
        <w:t>c</w:t>
      </w:r>
      <w:r w:rsidRPr="00111B61">
        <w:rPr>
          <w:rFonts w:eastAsia="Times New Roman"/>
          <w:color w:val="0E101A"/>
          <w:highlight w:val="yellow"/>
        </w:rPr>
        <w:t xml:space="preserve">ell culture </w:t>
      </w:r>
      <w:r w:rsidR="00031CC2" w:rsidRPr="00111B61">
        <w:rPr>
          <w:rFonts w:eastAsia="Times New Roman"/>
          <w:color w:val="0E101A"/>
          <w:highlight w:val="yellow"/>
        </w:rPr>
        <w:t>m</w:t>
      </w:r>
      <w:r w:rsidRPr="00111B61">
        <w:rPr>
          <w:rFonts w:eastAsia="Times New Roman"/>
          <w:color w:val="0E101A"/>
          <w:highlight w:val="yellow"/>
        </w:rPr>
        <w:t xml:space="preserve">icroplate from </w:t>
      </w:r>
      <w:r w:rsidR="00252B25" w:rsidRPr="00111B61">
        <w:rPr>
          <w:rFonts w:eastAsia="Times New Roman"/>
          <w:color w:val="0E101A"/>
          <w:highlight w:val="yellow"/>
        </w:rPr>
        <w:t xml:space="preserve">the </w:t>
      </w:r>
      <w:r w:rsidRPr="00111B61">
        <w:rPr>
          <w:rFonts w:eastAsia="Times New Roman"/>
          <w:color w:val="0E101A"/>
          <w:highlight w:val="yellow"/>
        </w:rPr>
        <w:t>37</w:t>
      </w:r>
      <w:r w:rsidR="00B03658" w:rsidRPr="00120856">
        <w:rPr>
          <w:rFonts w:eastAsia="Times New Roman"/>
          <w:color w:val="0E101A"/>
          <w:highlight w:val="yellow"/>
        </w:rPr>
        <w:t xml:space="preserve"> </w:t>
      </w:r>
      <w:r w:rsidRPr="00111B61">
        <w:rPr>
          <w:rFonts w:eastAsia="Times New Roman"/>
          <w:color w:val="0E101A"/>
          <w:highlight w:val="yellow"/>
        </w:rPr>
        <w:t xml:space="preserve">°C </w:t>
      </w:r>
      <w:r w:rsidR="00031CC2" w:rsidRPr="00111B61">
        <w:rPr>
          <w:rFonts w:eastAsia="Times New Roman"/>
          <w:color w:val="0E101A"/>
          <w:highlight w:val="yellow"/>
        </w:rPr>
        <w:t>i</w:t>
      </w:r>
      <w:r w:rsidRPr="00111B61">
        <w:rPr>
          <w:rFonts w:eastAsia="Times New Roman"/>
          <w:color w:val="0E101A"/>
          <w:highlight w:val="yellow"/>
        </w:rPr>
        <w:t>ncubator and observe the cells under the microscope.</w:t>
      </w:r>
    </w:p>
    <w:p w14:paraId="40E801D0" w14:textId="77777777" w:rsidR="00B03658" w:rsidRPr="007E602D" w:rsidRDefault="00B03658" w:rsidP="007E602D">
      <w:pPr>
        <w:widowControl/>
        <w:rPr>
          <w:rFonts w:eastAsia="Times New Roman"/>
          <w:color w:val="0E101A"/>
          <w:highlight w:val="yellow"/>
        </w:rPr>
      </w:pPr>
    </w:p>
    <w:p w14:paraId="5EAE0497" w14:textId="446F90F7" w:rsidR="00031CC2" w:rsidRPr="00120856" w:rsidRDefault="00042894" w:rsidP="00D22DE9">
      <w:pPr>
        <w:pStyle w:val="ListParagraph"/>
        <w:widowControl/>
        <w:numPr>
          <w:ilvl w:val="1"/>
          <w:numId w:val="1"/>
        </w:numPr>
        <w:rPr>
          <w:rFonts w:eastAsia="Times New Roman"/>
          <w:color w:val="0E101A"/>
          <w:highlight w:val="yellow"/>
        </w:rPr>
      </w:pPr>
      <w:r w:rsidRPr="00111B61">
        <w:rPr>
          <w:rFonts w:eastAsia="Times New Roman"/>
          <w:color w:val="0E101A"/>
          <w:highlight w:val="yellow"/>
        </w:rPr>
        <w:t xml:space="preserve">Remove the </w:t>
      </w:r>
      <w:r w:rsidR="00B03658" w:rsidRPr="00120856">
        <w:rPr>
          <w:rFonts w:eastAsia="Times New Roman"/>
          <w:color w:val="0E101A"/>
          <w:highlight w:val="yellow"/>
        </w:rPr>
        <w:t>a</w:t>
      </w:r>
      <w:r w:rsidRPr="00111B61">
        <w:rPr>
          <w:rFonts w:eastAsia="Times New Roman"/>
          <w:color w:val="0E101A"/>
          <w:highlight w:val="yellow"/>
        </w:rPr>
        <w:t xml:space="preserve">ssay </w:t>
      </w:r>
      <w:r w:rsidR="00B03658" w:rsidRPr="00120856">
        <w:rPr>
          <w:rFonts w:eastAsia="Times New Roman"/>
          <w:color w:val="0E101A"/>
          <w:highlight w:val="yellow"/>
        </w:rPr>
        <w:t>m</w:t>
      </w:r>
      <w:r w:rsidRPr="00111B61">
        <w:rPr>
          <w:rFonts w:eastAsia="Times New Roman"/>
          <w:color w:val="0E101A"/>
          <w:highlight w:val="yellow"/>
        </w:rPr>
        <w:t>edium from the water bath.</w:t>
      </w:r>
    </w:p>
    <w:p w14:paraId="709AF8B2" w14:textId="77777777" w:rsidR="00B03658" w:rsidRPr="00111B61" w:rsidRDefault="00B03658" w:rsidP="00972F6D">
      <w:pPr>
        <w:widowControl/>
        <w:rPr>
          <w:rFonts w:eastAsia="Times New Roman"/>
          <w:color w:val="0E101A"/>
          <w:highlight w:val="yellow"/>
        </w:rPr>
      </w:pPr>
    </w:p>
    <w:p w14:paraId="24CDE32C" w14:textId="30E1799C" w:rsidR="00042894" w:rsidRPr="00AA24D3" w:rsidRDefault="00C7440B" w:rsidP="00972F6D">
      <w:pPr>
        <w:widowControl/>
        <w:rPr>
          <w:rFonts w:eastAsia="Times New Roman"/>
          <w:color w:val="0E101A"/>
          <w:highlight w:val="yellow"/>
        </w:rPr>
      </w:pPr>
      <w:r w:rsidRPr="00AA24D3">
        <w:rPr>
          <w:rFonts w:eastAsia="Times New Roman"/>
          <w:color w:val="0E101A"/>
          <w:highlight w:val="yellow"/>
        </w:rPr>
        <w:t>5.3.</w:t>
      </w:r>
      <w:r w:rsidR="00605ADF">
        <w:rPr>
          <w:rFonts w:eastAsia="Times New Roman"/>
          <w:color w:val="0E101A"/>
          <w:highlight w:val="yellow"/>
        </w:rPr>
        <w:tab/>
      </w:r>
      <w:r w:rsidR="00042894" w:rsidRPr="00AA24D3">
        <w:rPr>
          <w:rFonts w:eastAsia="Times New Roman"/>
          <w:color w:val="0E101A"/>
          <w:highlight w:val="yellow"/>
        </w:rPr>
        <w:t xml:space="preserve">Gently wash the cells with 200 </w:t>
      </w:r>
      <w:proofErr w:type="spellStart"/>
      <w:r w:rsidR="00042894" w:rsidRPr="00AA24D3">
        <w:rPr>
          <w:rFonts w:eastAsia="Times New Roman"/>
          <w:color w:val="0E101A"/>
          <w:highlight w:val="yellow"/>
        </w:rPr>
        <w:t>μL</w:t>
      </w:r>
      <w:proofErr w:type="spellEnd"/>
      <w:r w:rsidR="00042894" w:rsidRPr="00AA24D3">
        <w:rPr>
          <w:rFonts w:eastAsia="Times New Roman"/>
          <w:color w:val="0E101A"/>
          <w:highlight w:val="yellow"/>
        </w:rPr>
        <w:t xml:space="preserve"> of </w:t>
      </w:r>
      <w:r w:rsidR="00B03658">
        <w:rPr>
          <w:rFonts w:eastAsia="Times New Roman"/>
          <w:color w:val="0E101A"/>
          <w:highlight w:val="yellow"/>
        </w:rPr>
        <w:t>a</w:t>
      </w:r>
      <w:r w:rsidR="00042894" w:rsidRPr="00AA24D3">
        <w:rPr>
          <w:rFonts w:eastAsia="Times New Roman"/>
          <w:color w:val="0E101A"/>
          <w:highlight w:val="yellow"/>
        </w:rPr>
        <w:t xml:space="preserve">ssay medium twice and add 200 </w:t>
      </w:r>
      <w:proofErr w:type="spellStart"/>
      <w:r w:rsidR="00042894" w:rsidRPr="00AA24D3">
        <w:rPr>
          <w:rFonts w:eastAsia="Times New Roman"/>
          <w:color w:val="0E101A"/>
          <w:highlight w:val="yellow"/>
        </w:rPr>
        <w:t>μL</w:t>
      </w:r>
      <w:proofErr w:type="spellEnd"/>
      <w:r w:rsidR="00042894" w:rsidRPr="00AA24D3">
        <w:rPr>
          <w:rFonts w:eastAsia="Times New Roman"/>
          <w:color w:val="0E101A"/>
          <w:highlight w:val="yellow"/>
        </w:rPr>
        <w:t xml:space="preserve"> of assay media per well.</w:t>
      </w:r>
    </w:p>
    <w:p w14:paraId="6C5FC6D7" w14:textId="77777777" w:rsidR="00C7440B" w:rsidRPr="00AA24D3" w:rsidRDefault="00C7440B" w:rsidP="00972F6D">
      <w:pPr>
        <w:widowControl/>
        <w:rPr>
          <w:rFonts w:eastAsia="Times New Roman"/>
          <w:color w:val="0E101A"/>
          <w:highlight w:val="yellow"/>
        </w:rPr>
      </w:pPr>
    </w:p>
    <w:p w14:paraId="0990E2D5" w14:textId="3A8CB300" w:rsidR="00042894" w:rsidRPr="00111B61" w:rsidRDefault="00E55256" w:rsidP="00972F6D">
      <w:pPr>
        <w:widowControl/>
        <w:rPr>
          <w:rFonts w:eastAsia="Times New Roman"/>
          <w:color w:val="0E101A"/>
        </w:rPr>
      </w:pPr>
      <w:r w:rsidRPr="00120856">
        <w:rPr>
          <w:rFonts w:eastAsia="Times New Roman"/>
          <w:color w:val="0E101A"/>
        </w:rPr>
        <w:t>NOTE:</w:t>
      </w:r>
      <w:r w:rsidR="00605ADF">
        <w:rPr>
          <w:rFonts w:eastAsia="Times New Roman"/>
          <w:color w:val="0E101A"/>
        </w:rPr>
        <w:t xml:space="preserve"> </w:t>
      </w:r>
      <w:r w:rsidR="00042894" w:rsidRPr="00111B61">
        <w:rPr>
          <w:rFonts w:eastAsia="Times New Roman"/>
          <w:color w:val="0E101A"/>
        </w:rPr>
        <w:t xml:space="preserve">Once the final </w:t>
      </w:r>
      <w:r w:rsidRPr="00120856">
        <w:rPr>
          <w:rFonts w:eastAsia="Times New Roman"/>
          <w:color w:val="0E101A"/>
        </w:rPr>
        <w:t>a</w:t>
      </w:r>
      <w:r w:rsidR="00042894" w:rsidRPr="00111B61">
        <w:rPr>
          <w:rFonts w:eastAsia="Times New Roman"/>
          <w:color w:val="0E101A"/>
        </w:rPr>
        <w:t xml:space="preserve">ssay </w:t>
      </w:r>
      <w:r w:rsidRPr="00120856">
        <w:rPr>
          <w:rFonts w:eastAsia="Times New Roman"/>
          <w:color w:val="0E101A"/>
        </w:rPr>
        <w:t>m</w:t>
      </w:r>
      <w:r w:rsidR="00042894" w:rsidRPr="00111B61">
        <w:rPr>
          <w:rFonts w:eastAsia="Times New Roman"/>
          <w:color w:val="0E101A"/>
        </w:rPr>
        <w:t>edia is added to the cells, the time until the plates get in</w:t>
      </w:r>
      <w:r w:rsidR="00630672">
        <w:rPr>
          <w:rFonts w:eastAsia="Times New Roman"/>
          <w:color w:val="0E101A"/>
        </w:rPr>
        <w:t>to</w:t>
      </w:r>
      <w:r w:rsidR="00042894" w:rsidRPr="00111B61">
        <w:rPr>
          <w:rFonts w:eastAsia="Times New Roman"/>
          <w:color w:val="0E101A"/>
        </w:rPr>
        <w:t xml:space="preserve"> the </w:t>
      </w:r>
      <w:r w:rsidRPr="00120856">
        <w:rPr>
          <w:rFonts w:eastAsia="Times New Roman"/>
          <w:color w:val="0E101A"/>
        </w:rPr>
        <w:t>analyzer</w:t>
      </w:r>
      <w:r w:rsidR="00042894" w:rsidRPr="00111B61">
        <w:rPr>
          <w:rFonts w:eastAsia="Times New Roman"/>
          <w:color w:val="0E101A"/>
        </w:rPr>
        <w:t xml:space="preserve"> is crucial. Therefore, do not begin replacing </w:t>
      </w:r>
      <w:r w:rsidR="003375DE">
        <w:rPr>
          <w:rFonts w:eastAsia="Times New Roman"/>
          <w:color w:val="0E101A"/>
        </w:rPr>
        <w:t xml:space="preserve">the </w:t>
      </w:r>
      <w:r w:rsidR="00042894" w:rsidRPr="00111B61">
        <w:rPr>
          <w:rFonts w:eastAsia="Times New Roman"/>
          <w:color w:val="0E101A"/>
        </w:rPr>
        <w:t xml:space="preserve">media until the following steps </w:t>
      </w:r>
      <w:r w:rsidR="0047169B">
        <w:rPr>
          <w:rFonts w:eastAsia="Times New Roman"/>
          <w:color w:val="0E101A"/>
        </w:rPr>
        <w:t>are performed</w:t>
      </w:r>
      <w:r w:rsidR="00042894" w:rsidRPr="00111B61">
        <w:rPr>
          <w:rFonts w:eastAsia="Times New Roman"/>
          <w:color w:val="0E101A"/>
        </w:rPr>
        <w:t xml:space="preserve"> within </w:t>
      </w:r>
      <w:r w:rsidR="00FF67EA" w:rsidRPr="00111B61">
        <w:rPr>
          <w:rFonts w:eastAsia="Times New Roman"/>
          <w:color w:val="0E101A"/>
        </w:rPr>
        <w:t>1 h</w:t>
      </w:r>
      <w:r w:rsidR="00042894" w:rsidRPr="00111B61">
        <w:rPr>
          <w:rFonts w:eastAsia="Times New Roman"/>
          <w:color w:val="0E101A"/>
        </w:rPr>
        <w:t>.</w:t>
      </w:r>
    </w:p>
    <w:p w14:paraId="4AC43343" w14:textId="77777777" w:rsidR="00C7440B" w:rsidRPr="00AA24D3" w:rsidRDefault="00C7440B" w:rsidP="00972F6D">
      <w:pPr>
        <w:widowControl/>
        <w:rPr>
          <w:rFonts w:eastAsia="Times New Roman"/>
          <w:color w:val="0E101A"/>
          <w:highlight w:val="yellow"/>
        </w:rPr>
      </w:pPr>
    </w:p>
    <w:p w14:paraId="165AC2AC" w14:textId="55031BF4" w:rsidR="00042894" w:rsidRDefault="00C7440B" w:rsidP="00972F6D">
      <w:pPr>
        <w:widowControl/>
        <w:rPr>
          <w:rFonts w:eastAsia="Times New Roman"/>
          <w:color w:val="0E101A"/>
          <w:highlight w:val="yellow"/>
        </w:rPr>
      </w:pPr>
      <w:r w:rsidRPr="00AA24D3">
        <w:rPr>
          <w:rFonts w:eastAsia="Times New Roman"/>
          <w:color w:val="0E101A"/>
          <w:highlight w:val="yellow"/>
        </w:rPr>
        <w:t>5.</w:t>
      </w:r>
      <w:r w:rsidR="00067A03">
        <w:rPr>
          <w:rFonts w:eastAsia="Times New Roman"/>
          <w:color w:val="0E101A"/>
          <w:highlight w:val="yellow"/>
        </w:rPr>
        <w:t>4.</w:t>
      </w:r>
      <w:r w:rsidR="00067A03">
        <w:rPr>
          <w:rFonts w:eastAsia="Times New Roman"/>
          <w:color w:val="0E101A"/>
          <w:highlight w:val="yellow"/>
        </w:rPr>
        <w:tab/>
      </w:r>
      <w:r w:rsidR="220A0067" w:rsidRPr="00AA24D3">
        <w:rPr>
          <w:rFonts w:eastAsia="Times New Roman"/>
          <w:color w:val="0E101A"/>
          <w:highlight w:val="yellow"/>
        </w:rPr>
        <w:t>Check the cells under the microscope to ensure that the cells remain adhered to the wells.</w:t>
      </w:r>
    </w:p>
    <w:p w14:paraId="3A97B1E4" w14:textId="77777777" w:rsidR="00067A03" w:rsidRPr="00AA24D3" w:rsidRDefault="00067A03" w:rsidP="00972F6D">
      <w:pPr>
        <w:widowControl/>
        <w:rPr>
          <w:rFonts w:eastAsia="Times New Roman"/>
          <w:color w:val="0E101A"/>
          <w:highlight w:val="yellow"/>
        </w:rPr>
      </w:pPr>
    </w:p>
    <w:p w14:paraId="20B5AEA9" w14:textId="73544803" w:rsidR="00551D16" w:rsidRPr="00AA24D3" w:rsidRDefault="00C7440B" w:rsidP="00972F6D">
      <w:pPr>
        <w:widowControl/>
        <w:rPr>
          <w:rFonts w:eastAsia="Times New Roman"/>
          <w:color w:val="0E101A"/>
          <w:highlight w:val="yellow"/>
        </w:rPr>
      </w:pPr>
      <w:r w:rsidRPr="00AA24D3">
        <w:rPr>
          <w:rFonts w:eastAsia="Times New Roman"/>
          <w:color w:val="0E101A"/>
          <w:highlight w:val="yellow"/>
        </w:rPr>
        <w:lastRenderedPageBreak/>
        <w:t>5.</w:t>
      </w:r>
      <w:r w:rsidR="00067A03">
        <w:rPr>
          <w:rFonts w:eastAsia="Times New Roman"/>
          <w:color w:val="0E101A"/>
          <w:highlight w:val="yellow"/>
        </w:rPr>
        <w:t>5</w:t>
      </w:r>
      <w:r w:rsidRPr="00AA24D3">
        <w:rPr>
          <w:rFonts w:eastAsia="Times New Roman"/>
          <w:color w:val="0E101A"/>
          <w:highlight w:val="yellow"/>
        </w:rPr>
        <w:t>.</w:t>
      </w:r>
      <w:r w:rsidR="00630672">
        <w:rPr>
          <w:rFonts w:eastAsia="Times New Roman"/>
          <w:color w:val="0E101A"/>
          <w:highlight w:val="yellow"/>
        </w:rPr>
        <w:tab/>
      </w:r>
      <w:r w:rsidR="00042894" w:rsidRPr="00AA24D3">
        <w:rPr>
          <w:rFonts w:eastAsia="Times New Roman"/>
          <w:color w:val="0E101A"/>
          <w:highlight w:val="yellow"/>
        </w:rPr>
        <w:t>Ensure cells in D5 and E8 are adhered with a consistent monolayer and were not washed away during the washing step. Cell imaging software uses these two wells for setting the autofocus and autoexposure.</w:t>
      </w:r>
    </w:p>
    <w:p w14:paraId="7F77C221" w14:textId="77777777" w:rsidR="00C7440B" w:rsidRPr="00AA24D3" w:rsidRDefault="00C7440B" w:rsidP="00972F6D">
      <w:pPr>
        <w:widowControl/>
        <w:rPr>
          <w:rFonts w:eastAsia="Times New Roman"/>
          <w:color w:val="0E101A"/>
          <w:highlight w:val="yellow"/>
        </w:rPr>
      </w:pPr>
    </w:p>
    <w:p w14:paraId="7DF68F7F" w14:textId="5E9BC46E" w:rsidR="00042894" w:rsidRPr="00111B61" w:rsidRDefault="00FD1013" w:rsidP="00972F6D">
      <w:pPr>
        <w:widowControl/>
        <w:rPr>
          <w:rFonts w:eastAsia="Times New Roman"/>
          <w:color w:val="0E101A"/>
        </w:rPr>
      </w:pPr>
      <w:r w:rsidRPr="00120856">
        <w:rPr>
          <w:rFonts w:eastAsia="Times New Roman"/>
          <w:color w:val="0E101A"/>
        </w:rPr>
        <w:t xml:space="preserve">NOTE: The manufacturer </w:t>
      </w:r>
      <w:r w:rsidR="00042894" w:rsidRPr="00111B61">
        <w:rPr>
          <w:rFonts w:eastAsia="Times New Roman"/>
          <w:color w:val="0E101A"/>
        </w:rPr>
        <w:t>recommends incubating the plate in a non-CO</w:t>
      </w:r>
      <w:r w:rsidR="00042894" w:rsidRPr="007E602D">
        <w:rPr>
          <w:rFonts w:eastAsia="Times New Roman"/>
          <w:color w:val="0E101A"/>
          <w:vertAlign w:val="subscript"/>
        </w:rPr>
        <w:t>2</w:t>
      </w:r>
      <w:r w:rsidR="00042894" w:rsidRPr="00111B61">
        <w:rPr>
          <w:rFonts w:eastAsia="Times New Roman"/>
          <w:color w:val="0E101A"/>
        </w:rPr>
        <w:t xml:space="preserve"> 37</w:t>
      </w:r>
      <w:r w:rsidRPr="00120856">
        <w:rPr>
          <w:rFonts w:eastAsia="Times New Roman"/>
          <w:color w:val="0E101A"/>
        </w:rPr>
        <w:t xml:space="preserve"> </w:t>
      </w:r>
      <w:r w:rsidR="00042894" w:rsidRPr="00111B61">
        <w:rPr>
          <w:rFonts w:eastAsia="Times New Roman"/>
          <w:color w:val="0E101A"/>
        </w:rPr>
        <w:t>°C incubator for</w:t>
      </w:r>
      <w:r w:rsidR="00FF67EA" w:rsidRPr="00111B61">
        <w:rPr>
          <w:rFonts w:eastAsia="Times New Roman"/>
          <w:color w:val="0E101A"/>
        </w:rPr>
        <w:t xml:space="preserve"> 1 h</w:t>
      </w:r>
      <w:r w:rsidR="00042894" w:rsidRPr="00111B61">
        <w:rPr>
          <w:rFonts w:eastAsia="Times New Roman"/>
          <w:color w:val="0E101A"/>
        </w:rPr>
        <w:t xml:space="preserve">; this step can be skipped if automated imaging is preferred. For example, </w:t>
      </w:r>
      <w:r w:rsidR="00D77007">
        <w:rPr>
          <w:rFonts w:eastAsia="Times New Roman"/>
          <w:color w:val="0E101A"/>
        </w:rPr>
        <w:t>the m</w:t>
      </w:r>
      <w:r w:rsidR="0032242C">
        <w:rPr>
          <w:rFonts w:eastAsia="Times New Roman"/>
          <w:color w:val="0E101A"/>
        </w:rPr>
        <w:t xml:space="preserve">icroplate </w:t>
      </w:r>
      <w:r w:rsidR="00D77007">
        <w:rPr>
          <w:rFonts w:eastAsia="Times New Roman"/>
          <w:color w:val="0E101A"/>
        </w:rPr>
        <w:t>i</w:t>
      </w:r>
      <w:r w:rsidR="0032242C">
        <w:rPr>
          <w:rFonts w:eastAsia="Times New Roman"/>
          <w:color w:val="0E101A"/>
        </w:rPr>
        <w:t xml:space="preserve">mager </w:t>
      </w:r>
      <w:r w:rsidR="00042894" w:rsidRPr="00111B61">
        <w:rPr>
          <w:rFonts w:eastAsia="Times New Roman"/>
          <w:color w:val="0E101A"/>
        </w:rPr>
        <w:t xml:space="preserve">maintains the same conditions in a closed chamber, and cells can be imaged under </w:t>
      </w:r>
      <w:r w:rsidR="003F2231">
        <w:rPr>
          <w:rFonts w:eastAsia="Times New Roman"/>
          <w:color w:val="0E101A"/>
        </w:rPr>
        <w:t xml:space="preserve">a </w:t>
      </w:r>
      <w:r w:rsidR="00042894" w:rsidRPr="00111B61">
        <w:rPr>
          <w:rFonts w:eastAsia="Times New Roman"/>
          <w:color w:val="0E101A"/>
        </w:rPr>
        <w:t>brightfield.</w:t>
      </w:r>
    </w:p>
    <w:p w14:paraId="6C0353F3" w14:textId="77777777" w:rsidR="00C7440B" w:rsidRPr="00AA24D3" w:rsidRDefault="00C7440B" w:rsidP="00972F6D">
      <w:pPr>
        <w:widowControl/>
        <w:rPr>
          <w:rFonts w:eastAsia="Times New Roman"/>
          <w:color w:val="0E101A"/>
          <w:highlight w:val="yellow"/>
        </w:rPr>
      </w:pPr>
    </w:p>
    <w:p w14:paraId="55F38BE7" w14:textId="60942D98" w:rsidR="00042894" w:rsidRPr="00120856" w:rsidRDefault="00042894" w:rsidP="00D22DE9">
      <w:pPr>
        <w:pStyle w:val="ListParagraph"/>
        <w:widowControl/>
        <w:numPr>
          <w:ilvl w:val="0"/>
          <w:numId w:val="1"/>
        </w:numPr>
        <w:rPr>
          <w:rFonts w:eastAsia="Times New Roman"/>
          <w:b/>
          <w:bCs/>
          <w:color w:val="0E101A"/>
          <w:highlight w:val="yellow"/>
        </w:rPr>
      </w:pPr>
      <w:r w:rsidRPr="00111B61">
        <w:rPr>
          <w:rFonts w:eastAsia="Times New Roman"/>
          <w:b/>
          <w:bCs/>
          <w:color w:val="0E101A"/>
          <w:highlight w:val="yellow"/>
        </w:rPr>
        <w:t xml:space="preserve">Setting up the </w:t>
      </w:r>
      <w:r w:rsidR="003F7315">
        <w:rPr>
          <w:rFonts w:eastAsia="Times New Roman"/>
          <w:b/>
          <w:bCs/>
          <w:color w:val="0E101A"/>
          <w:highlight w:val="yellow"/>
        </w:rPr>
        <w:t>a</w:t>
      </w:r>
      <w:r w:rsidRPr="00111B61">
        <w:rPr>
          <w:rFonts w:eastAsia="Times New Roman"/>
          <w:b/>
          <w:bCs/>
          <w:color w:val="0E101A"/>
          <w:highlight w:val="yellow"/>
        </w:rPr>
        <w:t xml:space="preserve">ssay and </w:t>
      </w:r>
      <w:r w:rsidR="003F7315">
        <w:rPr>
          <w:rFonts w:eastAsia="Times New Roman"/>
          <w:b/>
          <w:bCs/>
          <w:color w:val="0E101A"/>
          <w:highlight w:val="yellow"/>
        </w:rPr>
        <w:t>i</w:t>
      </w:r>
      <w:r w:rsidRPr="00111B61">
        <w:rPr>
          <w:rFonts w:eastAsia="Times New Roman"/>
          <w:b/>
          <w:bCs/>
          <w:color w:val="0E101A"/>
          <w:highlight w:val="yellow"/>
        </w:rPr>
        <w:t>maging</w:t>
      </w:r>
    </w:p>
    <w:p w14:paraId="593828EE" w14:textId="77777777" w:rsidR="009C1AE5" w:rsidRPr="007E602D" w:rsidRDefault="009C1AE5" w:rsidP="007E602D">
      <w:pPr>
        <w:widowControl/>
        <w:rPr>
          <w:rFonts w:eastAsia="Times New Roman"/>
          <w:color w:val="0E101A"/>
          <w:highlight w:val="yellow"/>
        </w:rPr>
      </w:pPr>
    </w:p>
    <w:p w14:paraId="7B4B0870" w14:textId="77777777" w:rsidR="00042894" w:rsidRPr="00120856" w:rsidRDefault="00042894" w:rsidP="00972F6D">
      <w:pPr>
        <w:widowControl/>
        <w:rPr>
          <w:rFonts w:eastAsia="Times New Roman"/>
          <w:color w:val="0E101A"/>
        </w:rPr>
      </w:pPr>
      <w:r w:rsidRPr="00111B61">
        <w:rPr>
          <w:rFonts w:eastAsia="Times New Roman"/>
          <w:color w:val="0E101A"/>
        </w:rPr>
        <w:t xml:space="preserve">[Place </w:t>
      </w:r>
      <w:r w:rsidRPr="00111B61">
        <w:rPr>
          <w:rFonts w:eastAsia="Times New Roman"/>
          <w:b/>
          <w:bCs/>
          <w:color w:val="0E101A"/>
        </w:rPr>
        <w:t>Figure 3</w:t>
      </w:r>
      <w:r w:rsidRPr="00111B61">
        <w:rPr>
          <w:rFonts w:eastAsia="Times New Roman"/>
          <w:color w:val="0E101A"/>
        </w:rPr>
        <w:t xml:space="preserve"> here]</w:t>
      </w:r>
    </w:p>
    <w:p w14:paraId="5191E722" w14:textId="77777777" w:rsidR="009C1AE5" w:rsidRPr="009C1AE5" w:rsidRDefault="009C1AE5" w:rsidP="00972F6D">
      <w:pPr>
        <w:widowControl/>
        <w:rPr>
          <w:rFonts w:eastAsia="Times New Roman"/>
          <w:color w:val="0E101A"/>
          <w:highlight w:val="yellow"/>
        </w:rPr>
      </w:pPr>
    </w:p>
    <w:p w14:paraId="088FA3A2" w14:textId="6C86BC3C" w:rsidR="00042894" w:rsidRPr="00796335" w:rsidRDefault="00042894" w:rsidP="00D22DE9">
      <w:pPr>
        <w:pStyle w:val="ListParagraph"/>
        <w:widowControl/>
        <w:numPr>
          <w:ilvl w:val="1"/>
          <w:numId w:val="1"/>
        </w:numPr>
        <w:ind w:left="0" w:firstLine="0"/>
        <w:rPr>
          <w:rFonts w:eastAsia="Times New Roman"/>
          <w:color w:val="0E101A"/>
          <w:highlight w:val="yellow"/>
        </w:rPr>
      </w:pPr>
      <w:r w:rsidRPr="00796335">
        <w:rPr>
          <w:rFonts w:eastAsia="Times New Roman"/>
          <w:color w:val="0E101A"/>
          <w:highlight w:val="yellow"/>
        </w:rPr>
        <w:t xml:space="preserve">Open the </w:t>
      </w:r>
      <w:r w:rsidR="009C1AE5" w:rsidRPr="00796335">
        <w:rPr>
          <w:rFonts w:eastAsia="Times New Roman"/>
          <w:color w:val="0E101A"/>
          <w:highlight w:val="yellow"/>
        </w:rPr>
        <w:t xml:space="preserve">desktop </w:t>
      </w:r>
      <w:r w:rsidRPr="00796335">
        <w:rPr>
          <w:rFonts w:eastAsia="Times New Roman"/>
          <w:color w:val="0E101A"/>
          <w:highlight w:val="yellow"/>
        </w:rPr>
        <w:t>software in the computer next to the equipment.</w:t>
      </w:r>
    </w:p>
    <w:p w14:paraId="1E4F87B6" w14:textId="77777777" w:rsidR="009C1AE5" w:rsidRPr="007E602D" w:rsidRDefault="009C1AE5" w:rsidP="00796335">
      <w:pPr>
        <w:widowControl/>
        <w:rPr>
          <w:rFonts w:eastAsia="Times New Roman"/>
          <w:color w:val="0E101A"/>
          <w:highlight w:val="yellow"/>
        </w:rPr>
      </w:pPr>
    </w:p>
    <w:p w14:paraId="1B8A54E0" w14:textId="57A68F76" w:rsidR="009C1AE5" w:rsidRPr="00120856" w:rsidRDefault="00042894" w:rsidP="00D22DE9">
      <w:pPr>
        <w:pStyle w:val="ListParagraph"/>
        <w:widowControl/>
        <w:numPr>
          <w:ilvl w:val="1"/>
          <w:numId w:val="1"/>
        </w:numPr>
        <w:ind w:left="0" w:firstLine="0"/>
        <w:rPr>
          <w:rFonts w:eastAsia="Times New Roman"/>
          <w:color w:val="0E101A"/>
          <w:highlight w:val="yellow"/>
        </w:rPr>
      </w:pPr>
      <w:r w:rsidRPr="00111B61">
        <w:rPr>
          <w:rFonts w:eastAsia="Times New Roman"/>
          <w:color w:val="0E101A"/>
          <w:highlight w:val="yellow"/>
        </w:rPr>
        <w:t>Check the connection status in the lower-left corner of the controller software.</w:t>
      </w:r>
    </w:p>
    <w:p w14:paraId="0985238B" w14:textId="18CBA620" w:rsidR="00042894" w:rsidRPr="00972F6D" w:rsidRDefault="00042894" w:rsidP="00796335">
      <w:pPr>
        <w:widowControl/>
        <w:rPr>
          <w:rFonts w:eastAsia="Times New Roman"/>
          <w:color w:val="0E101A"/>
        </w:rPr>
      </w:pPr>
    </w:p>
    <w:p w14:paraId="53B14CFC" w14:textId="484BA392" w:rsidR="00042894" w:rsidRPr="00120856" w:rsidRDefault="00042894" w:rsidP="00D22DE9">
      <w:pPr>
        <w:pStyle w:val="ListParagraph"/>
        <w:widowControl/>
        <w:numPr>
          <w:ilvl w:val="1"/>
          <w:numId w:val="1"/>
        </w:numPr>
        <w:ind w:left="0" w:firstLine="0"/>
        <w:rPr>
          <w:rFonts w:eastAsia="Times New Roman"/>
          <w:color w:val="0E101A"/>
          <w:highlight w:val="yellow"/>
        </w:rPr>
      </w:pPr>
      <w:r w:rsidRPr="00111B61">
        <w:rPr>
          <w:rFonts w:eastAsia="Times New Roman"/>
          <w:color w:val="0E101A"/>
          <w:highlight w:val="yellow"/>
        </w:rPr>
        <w:t xml:space="preserve">Go to </w:t>
      </w:r>
      <w:r w:rsidR="009C1AE5" w:rsidRPr="00120856">
        <w:rPr>
          <w:rFonts w:eastAsia="Times New Roman"/>
          <w:b/>
          <w:bCs/>
          <w:color w:val="0E101A"/>
          <w:highlight w:val="yellow"/>
        </w:rPr>
        <w:t>T</w:t>
      </w:r>
      <w:r w:rsidRPr="00111B61">
        <w:rPr>
          <w:rFonts w:eastAsia="Times New Roman"/>
          <w:b/>
          <w:bCs/>
          <w:color w:val="0E101A"/>
          <w:highlight w:val="yellow"/>
        </w:rPr>
        <w:t>emplates</w:t>
      </w:r>
      <w:r w:rsidRPr="00111B61">
        <w:rPr>
          <w:rFonts w:eastAsia="Times New Roman"/>
          <w:color w:val="0E101A"/>
          <w:highlight w:val="yellow"/>
        </w:rPr>
        <w:t xml:space="preserve"> and select the </w:t>
      </w:r>
      <w:r w:rsidRPr="00111B61">
        <w:rPr>
          <w:rFonts w:eastAsia="Times New Roman"/>
          <w:b/>
          <w:bCs/>
          <w:color w:val="0E101A"/>
          <w:highlight w:val="yellow"/>
        </w:rPr>
        <w:t xml:space="preserve">XF ATP Rate </w:t>
      </w:r>
      <w:r w:rsidR="009E0139">
        <w:rPr>
          <w:rFonts w:eastAsia="Times New Roman"/>
          <w:b/>
          <w:bCs/>
          <w:color w:val="0E101A"/>
          <w:highlight w:val="yellow"/>
        </w:rPr>
        <w:t>A</w:t>
      </w:r>
      <w:r w:rsidRPr="00111B61">
        <w:rPr>
          <w:rFonts w:eastAsia="Times New Roman"/>
          <w:b/>
          <w:bCs/>
          <w:color w:val="0E101A"/>
          <w:highlight w:val="yellow"/>
        </w:rPr>
        <w:t>ssay</w:t>
      </w:r>
      <w:r w:rsidRPr="00111B61">
        <w:rPr>
          <w:rFonts w:eastAsia="Times New Roman"/>
          <w:color w:val="0E101A"/>
          <w:highlight w:val="yellow"/>
        </w:rPr>
        <w:t xml:space="preserve"> template file or appropriate assay template.</w:t>
      </w:r>
    </w:p>
    <w:p w14:paraId="61226412" w14:textId="77777777" w:rsidR="00796335" w:rsidRPr="00111B61" w:rsidRDefault="00796335" w:rsidP="00796335">
      <w:pPr>
        <w:widowControl/>
        <w:jc w:val="left"/>
        <w:rPr>
          <w:rFonts w:eastAsia="Times New Roman"/>
          <w:color w:val="0E101A"/>
          <w:highlight w:val="yellow"/>
        </w:rPr>
      </w:pPr>
    </w:p>
    <w:p w14:paraId="53E32FF2" w14:textId="42E378FB" w:rsidR="00042894" w:rsidRPr="00120856" w:rsidRDefault="00042894" w:rsidP="00D22DE9">
      <w:pPr>
        <w:pStyle w:val="ListParagraph"/>
        <w:widowControl/>
        <w:numPr>
          <w:ilvl w:val="1"/>
          <w:numId w:val="1"/>
        </w:numPr>
        <w:ind w:left="0" w:firstLine="0"/>
        <w:rPr>
          <w:rFonts w:eastAsia="Times New Roman"/>
          <w:color w:val="0E101A"/>
          <w:highlight w:val="yellow"/>
        </w:rPr>
      </w:pPr>
      <w:r w:rsidRPr="00111B61">
        <w:rPr>
          <w:rFonts w:eastAsia="Times New Roman"/>
          <w:color w:val="0E101A"/>
          <w:highlight w:val="yellow"/>
        </w:rPr>
        <w:t xml:space="preserve">Select </w:t>
      </w:r>
      <w:r w:rsidR="009C1AE5" w:rsidRPr="00120856">
        <w:rPr>
          <w:rFonts w:eastAsia="Times New Roman"/>
          <w:b/>
          <w:bCs/>
          <w:color w:val="0E101A"/>
          <w:highlight w:val="yellow"/>
        </w:rPr>
        <w:t>G</w:t>
      </w:r>
      <w:r w:rsidRPr="00111B61">
        <w:rPr>
          <w:rFonts w:eastAsia="Times New Roman"/>
          <w:b/>
          <w:bCs/>
          <w:color w:val="0E101A"/>
          <w:highlight w:val="yellow"/>
        </w:rPr>
        <w:t xml:space="preserve">roup </w:t>
      </w:r>
      <w:r w:rsidR="009C1AE5" w:rsidRPr="00120856">
        <w:rPr>
          <w:rFonts w:eastAsia="Times New Roman"/>
          <w:b/>
          <w:bCs/>
          <w:color w:val="0E101A"/>
          <w:highlight w:val="yellow"/>
        </w:rPr>
        <w:t>D</w:t>
      </w:r>
      <w:r w:rsidRPr="00111B61">
        <w:rPr>
          <w:rFonts w:eastAsia="Times New Roman"/>
          <w:b/>
          <w:bCs/>
          <w:color w:val="0E101A"/>
          <w:highlight w:val="yellow"/>
        </w:rPr>
        <w:t>efinitions</w:t>
      </w:r>
      <w:r w:rsidRPr="00111B61">
        <w:rPr>
          <w:rFonts w:eastAsia="Times New Roman"/>
          <w:color w:val="0E101A"/>
          <w:highlight w:val="yellow"/>
        </w:rPr>
        <w:t xml:space="preserve"> on the top of the screen and define the groups.</w:t>
      </w:r>
    </w:p>
    <w:p w14:paraId="7D4623B0" w14:textId="77777777" w:rsidR="00796335" w:rsidRPr="00111B61" w:rsidRDefault="00796335" w:rsidP="00796335">
      <w:pPr>
        <w:widowControl/>
        <w:rPr>
          <w:rFonts w:eastAsia="Times New Roman"/>
          <w:color w:val="0E101A"/>
          <w:highlight w:val="yellow"/>
        </w:rPr>
      </w:pPr>
    </w:p>
    <w:p w14:paraId="4DB32CEE" w14:textId="75193AFD" w:rsidR="00042894" w:rsidRPr="00120856" w:rsidRDefault="00042894" w:rsidP="00D22DE9">
      <w:pPr>
        <w:pStyle w:val="ListParagraph"/>
        <w:widowControl/>
        <w:numPr>
          <w:ilvl w:val="1"/>
          <w:numId w:val="2"/>
        </w:numPr>
        <w:ind w:left="0" w:firstLine="0"/>
        <w:rPr>
          <w:rFonts w:eastAsia="Times New Roman"/>
          <w:color w:val="0E101A"/>
          <w:highlight w:val="yellow"/>
        </w:rPr>
      </w:pPr>
      <w:r w:rsidRPr="00111B61">
        <w:rPr>
          <w:rFonts w:eastAsia="Times New Roman"/>
          <w:color w:val="0E101A"/>
          <w:highlight w:val="yellow"/>
        </w:rPr>
        <w:t xml:space="preserve">Select the </w:t>
      </w:r>
      <w:r w:rsidR="009C1AE5" w:rsidRPr="00120856">
        <w:rPr>
          <w:rFonts w:eastAsia="Times New Roman"/>
          <w:b/>
          <w:bCs/>
          <w:color w:val="0E101A"/>
          <w:highlight w:val="yellow"/>
        </w:rPr>
        <w:t>P</w:t>
      </w:r>
      <w:r w:rsidRPr="00111B61">
        <w:rPr>
          <w:rFonts w:eastAsia="Times New Roman"/>
          <w:b/>
          <w:bCs/>
          <w:color w:val="0E101A"/>
          <w:highlight w:val="yellow"/>
        </w:rPr>
        <w:t xml:space="preserve">late </w:t>
      </w:r>
      <w:r w:rsidR="009C1AE5" w:rsidRPr="00120856">
        <w:rPr>
          <w:rFonts w:eastAsia="Times New Roman"/>
          <w:b/>
          <w:bCs/>
          <w:color w:val="0E101A"/>
          <w:highlight w:val="yellow"/>
        </w:rPr>
        <w:t>M</w:t>
      </w:r>
      <w:r w:rsidRPr="00111B61">
        <w:rPr>
          <w:rFonts w:eastAsia="Times New Roman"/>
          <w:b/>
          <w:bCs/>
          <w:color w:val="0E101A"/>
          <w:highlight w:val="yellow"/>
        </w:rPr>
        <w:t xml:space="preserve">ap </w:t>
      </w:r>
      <w:r w:rsidR="009C1AE5" w:rsidRPr="00120856">
        <w:rPr>
          <w:rFonts w:eastAsia="Times New Roman"/>
          <w:b/>
          <w:bCs/>
          <w:color w:val="0E101A"/>
          <w:highlight w:val="yellow"/>
        </w:rPr>
        <w:t>L</w:t>
      </w:r>
      <w:r w:rsidR="00284DDA" w:rsidRPr="00111B61">
        <w:rPr>
          <w:rFonts w:eastAsia="Times New Roman"/>
          <w:b/>
          <w:bCs/>
          <w:color w:val="0E101A"/>
          <w:highlight w:val="yellow"/>
        </w:rPr>
        <w:t>ayout</w:t>
      </w:r>
      <w:r w:rsidR="00284DDA" w:rsidRPr="00111B61">
        <w:rPr>
          <w:rFonts w:eastAsia="Times New Roman"/>
          <w:color w:val="0E101A"/>
          <w:highlight w:val="yellow"/>
        </w:rPr>
        <w:t xml:space="preserve"> and</w:t>
      </w:r>
      <w:r w:rsidRPr="00111B61">
        <w:rPr>
          <w:rFonts w:eastAsia="Times New Roman"/>
          <w:color w:val="0E101A"/>
          <w:highlight w:val="yellow"/>
        </w:rPr>
        <w:t xml:space="preserve"> assign the wells depending on the groups defined.</w:t>
      </w:r>
    </w:p>
    <w:p w14:paraId="1E082914" w14:textId="77777777" w:rsidR="009C1AE5" w:rsidRPr="00111B61" w:rsidRDefault="009C1AE5" w:rsidP="00796335">
      <w:pPr>
        <w:widowControl/>
        <w:rPr>
          <w:rFonts w:eastAsia="Times New Roman"/>
          <w:color w:val="0E101A"/>
          <w:highlight w:val="yellow"/>
        </w:rPr>
      </w:pPr>
    </w:p>
    <w:p w14:paraId="6DCF9461" w14:textId="53E22D78" w:rsidR="00042894" w:rsidRPr="00796335" w:rsidRDefault="00042894" w:rsidP="00D22DE9">
      <w:pPr>
        <w:pStyle w:val="ListParagraph"/>
        <w:widowControl/>
        <w:numPr>
          <w:ilvl w:val="1"/>
          <w:numId w:val="2"/>
        </w:numPr>
        <w:ind w:left="0" w:firstLine="0"/>
        <w:rPr>
          <w:rFonts w:eastAsia="Times New Roman"/>
          <w:color w:val="0E101A"/>
          <w:highlight w:val="yellow"/>
        </w:rPr>
      </w:pPr>
      <w:r w:rsidRPr="00796335">
        <w:rPr>
          <w:rFonts w:eastAsia="Times New Roman"/>
          <w:color w:val="0E101A"/>
          <w:highlight w:val="yellow"/>
        </w:rPr>
        <w:t xml:space="preserve">Verify the instrument protocol, ensure that the compounds added are </w:t>
      </w:r>
      <w:r w:rsidR="00D3502B" w:rsidRPr="00796335">
        <w:rPr>
          <w:rFonts w:eastAsia="Times New Roman"/>
          <w:color w:val="0E101A"/>
          <w:highlight w:val="yellow"/>
        </w:rPr>
        <w:t xml:space="preserve">correctly </w:t>
      </w:r>
      <w:r w:rsidRPr="00796335">
        <w:rPr>
          <w:rFonts w:eastAsia="Times New Roman"/>
          <w:color w:val="0E101A"/>
          <w:highlight w:val="yellow"/>
        </w:rPr>
        <w:t>listed, and include the project information for future references.</w:t>
      </w:r>
    </w:p>
    <w:p w14:paraId="38B28867" w14:textId="77777777" w:rsidR="00E55D17" w:rsidRPr="00111B61" w:rsidRDefault="00E55D17" w:rsidP="00972F6D">
      <w:pPr>
        <w:widowControl/>
        <w:rPr>
          <w:rFonts w:eastAsia="Times New Roman"/>
          <w:color w:val="0E101A"/>
          <w:highlight w:val="yellow"/>
        </w:rPr>
      </w:pPr>
    </w:p>
    <w:p w14:paraId="4F7C38FC" w14:textId="1C0C7262" w:rsidR="00042894" w:rsidRPr="00796335" w:rsidRDefault="00042894" w:rsidP="00D22DE9">
      <w:pPr>
        <w:pStyle w:val="ListParagraph"/>
        <w:widowControl/>
        <w:numPr>
          <w:ilvl w:val="1"/>
          <w:numId w:val="2"/>
        </w:numPr>
        <w:rPr>
          <w:rFonts w:eastAsia="Times New Roman"/>
          <w:color w:val="0E101A"/>
          <w:highlight w:val="yellow"/>
        </w:rPr>
      </w:pPr>
      <w:r w:rsidRPr="00796335">
        <w:rPr>
          <w:rFonts w:eastAsia="Times New Roman"/>
          <w:color w:val="0E101A"/>
          <w:highlight w:val="yellow"/>
        </w:rPr>
        <w:t>Click on</w:t>
      </w:r>
      <w:r w:rsidR="003375DE" w:rsidRPr="00796335">
        <w:rPr>
          <w:rFonts w:eastAsia="Times New Roman"/>
          <w:color w:val="0E101A"/>
          <w:highlight w:val="yellow"/>
        </w:rPr>
        <w:t xml:space="preserve"> </w:t>
      </w:r>
      <w:r w:rsidRPr="00796335">
        <w:rPr>
          <w:rFonts w:eastAsia="Times New Roman"/>
          <w:b/>
          <w:bCs/>
          <w:color w:val="0E101A"/>
          <w:highlight w:val="yellow"/>
        </w:rPr>
        <w:t xml:space="preserve">Run </w:t>
      </w:r>
      <w:r w:rsidR="00E55D17" w:rsidRPr="00796335">
        <w:rPr>
          <w:rFonts w:eastAsia="Times New Roman"/>
          <w:b/>
          <w:bCs/>
          <w:color w:val="0E101A"/>
          <w:highlight w:val="yellow"/>
        </w:rPr>
        <w:t>A</w:t>
      </w:r>
      <w:r w:rsidRPr="00796335">
        <w:rPr>
          <w:rFonts w:eastAsia="Times New Roman"/>
          <w:b/>
          <w:bCs/>
          <w:color w:val="0E101A"/>
          <w:highlight w:val="yellow"/>
        </w:rPr>
        <w:t>ssay</w:t>
      </w:r>
      <w:r w:rsidRPr="00796335">
        <w:rPr>
          <w:rFonts w:eastAsia="Times New Roman"/>
          <w:color w:val="0E101A"/>
          <w:highlight w:val="yellow"/>
        </w:rPr>
        <w:t>; this</w:t>
      </w:r>
      <w:r w:rsidR="003375DE" w:rsidRPr="00796335">
        <w:rPr>
          <w:rFonts w:eastAsia="Times New Roman"/>
          <w:color w:val="0E101A"/>
          <w:highlight w:val="yellow"/>
        </w:rPr>
        <w:t xml:space="preserve"> </w:t>
      </w:r>
      <w:r w:rsidRPr="00796335">
        <w:rPr>
          <w:rFonts w:eastAsia="Times New Roman"/>
          <w:color w:val="0E101A"/>
          <w:highlight w:val="yellow"/>
        </w:rPr>
        <w:t xml:space="preserve">will prompt the selection of </w:t>
      </w:r>
      <w:r w:rsidR="00E55D17" w:rsidRPr="00796335">
        <w:rPr>
          <w:rFonts w:eastAsia="Times New Roman"/>
          <w:color w:val="0E101A"/>
          <w:highlight w:val="yellow"/>
        </w:rPr>
        <w:t xml:space="preserve">the </w:t>
      </w:r>
      <w:r w:rsidRPr="00796335">
        <w:rPr>
          <w:rFonts w:eastAsia="Times New Roman"/>
          <w:color w:val="0E101A"/>
          <w:highlight w:val="yellow"/>
        </w:rPr>
        <w:t>result file storage location</w:t>
      </w:r>
      <w:r w:rsidR="00E55D17" w:rsidRPr="00796335">
        <w:rPr>
          <w:rFonts w:eastAsia="Times New Roman"/>
          <w:color w:val="0E101A"/>
          <w:highlight w:val="yellow"/>
        </w:rPr>
        <w:t>.</w:t>
      </w:r>
    </w:p>
    <w:p w14:paraId="3E538A07" w14:textId="77777777" w:rsidR="00E55D17" w:rsidRPr="00111B61" w:rsidRDefault="00E55D17" w:rsidP="00972F6D">
      <w:pPr>
        <w:widowControl/>
        <w:rPr>
          <w:rFonts w:eastAsia="Times New Roman"/>
          <w:color w:val="0E101A"/>
          <w:highlight w:val="yellow"/>
        </w:rPr>
      </w:pPr>
    </w:p>
    <w:p w14:paraId="3237857D" w14:textId="6AED864B" w:rsidR="00E55D17" w:rsidRDefault="00C7440B" w:rsidP="00972F6D">
      <w:pPr>
        <w:widowControl/>
        <w:rPr>
          <w:rFonts w:eastAsia="Times New Roman"/>
          <w:color w:val="0E101A"/>
          <w:highlight w:val="yellow"/>
        </w:rPr>
      </w:pPr>
      <w:r w:rsidRPr="00AA24D3">
        <w:rPr>
          <w:rFonts w:eastAsia="Times New Roman"/>
          <w:color w:val="0E101A"/>
          <w:highlight w:val="yellow"/>
        </w:rPr>
        <w:t>6.8.</w:t>
      </w:r>
      <w:r w:rsidR="003375DE">
        <w:rPr>
          <w:rFonts w:eastAsia="Times New Roman"/>
          <w:color w:val="0E101A"/>
          <w:highlight w:val="yellow"/>
        </w:rPr>
        <w:tab/>
      </w:r>
      <w:r w:rsidR="00042894" w:rsidRPr="00AA24D3">
        <w:rPr>
          <w:rFonts w:eastAsia="Times New Roman"/>
          <w:color w:val="0E101A"/>
          <w:highlight w:val="yellow"/>
        </w:rPr>
        <w:t>Select the location to save the result file.</w:t>
      </w:r>
    </w:p>
    <w:p w14:paraId="69F77ED1" w14:textId="77777777" w:rsidR="00E55D17" w:rsidRPr="00AA24D3" w:rsidRDefault="00E55D17" w:rsidP="00972F6D">
      <w:pPr>
        <w:widowControl/>
        <w:rPr>
          <w:rFonts w:eastAsia="Times New Roman"/>
          <w:color w:val="0E101A"/>
          <w:highlight w:val="yellow"/>
        </w:rPr>
      </w:pPr>
    </w:p>
    <w:p w14:paraId="66D79B2F" w14:textId="3545E7C7" w:rsidR="00042894" w:rsidRPr="00746913" w:rsidRDefault="00746913" w:rsidP="00972F6D">
      <w:pPr>
        <w:widowControl/>
        <w:rPr>
          <w:rFonts w:eastAsia="Times New Roman"/>
          <w:b/>
          <w:bCs/>
          <w:color w:val="0E101A"/>
          <w:highlight w:val="yellow"/>
        </w:rPr>
      </w:pPr>
      <w:r>
        <w:rPr>
          <w:rFonts w:eastAsia="Times New Roman"/>
          <w:color w:val="0E101A"/>
          <w:highlight w:val="yellow"/>
        </w:rPr>
        <w:t>6.9.</w:t>
      </w:r>
      <w:r w:rsidR="003375DE">
        <w:rPr>
          <w:rFonts w:eastAsia="Times New Roman"/>
          <w:color w:val="0E101A"/>
          <w:highlight w:val="yellow"/>
        </w:rPr>
        <w:tab/>
      </w:r>
      <w:r w:rsidR="00042894" w:rsidRPr="00746913">
        <w:rPr>
          <w:rFonts w:eastAsia="Times New Roman"/>
          <w:color w:val="0E101A"/>
          <w:highlight w:val="yellow"/>
        </w:rPr>
        <w:t xml:space="preserve">Save the file with the date of assay and </w:t>
      </w:r>
      <w:r w:rsidR="003375DE">
        <w:rPr>
          <w:rFonts w:eastAsia="Times New Roman"/>
          <w:color w:val="0E101A"/>
          <w:highlight w:val="yellow"/>
        </w:rPr>
        <w:t>c</w:t>
      </w:r>
      <w:r w:rsidR="003375DE" w:rsidRPr="00746913">
        <w:rPr>
          <w:rFonts w:eastAsia="Times New Roman"/>
          <w:color w:val="0E101A"/>
          <w:highlight w:val="yellow"/>
        </w:rPr>
        <w:t>lick</w:t>
      </w:r>
      <w:r w:rsidR="003375DE">
        <w:rPr>
          <w:rFonts w:eastAsia="Times New Roman"/>
          <w:color w:val="0E101A"/>
          <w:highlight w:val="yellow"/>
        </w:rPr>
        <w:t xml:space="preserve"> on </w:t>
      </w:r>
      <w:r w:rsidR="00042894" w:rsidRPr="00746913">
        <w:rPr>
          <w:rFonts w:eastAsia="Times New Roman"/>
          <w:b/>
          <w:bCs/>
          <w:color w:val="0E101A"/>
          <w:highlight w:val="yellow"/>
        </w:rPr>
        <w:t>Start Run</w:t>
      </w:r>
      <w:r w:rsidR="00E55D17" w:rsidRPr="00746913">
        <w:rPr>
          <w:rFonts w:eastAsia="Times New Roman"/>
          <w:b/>
          <w:bCs/>
          <w:color w:val="0E101A"/>
          <w:highlight w:val="yellow"/>
        </w:rPr>
        <w:t>.</w:t>
      </w:r>
    </w:p>
    <w:p w14:paraId="74020C5F" w14:textId="77777777" w:rsidR="00317F4D" w:rsidRPr="00111B61" w:rsidRDefault="00317F4D" w:rsidP="00972F6D">
      <w:pPr>
        <w:pStyle w:val="ListParagraph"/>
        <w:widowControl/>
        <w:ind w:left="0"/>
        <w:rPr>
          <w:rFonts w:eastAsia="Times New Roman"/>
          <w:color w:val="0E101A"/>
          <w:highlight w:val="yellow"/>
        </w:rPr>
      </w:pPr>
    </w:p>
    <w:p w14:paraId="1497AEAE" w14:textId="55D992EF" w:rsidR="00317F4D" w:rsidRDefault="00C7440B" w:rsidP="00972F6D">
      <w:pPr>
        <w:widowControl/>
        <w:rPr>
          <w:rFonts w:eastAsia="Times New Roman"/>
          <w:b/>
          <w:bCs/>
          <w:color w:val="0E101A"/>
          <w:highlight w:val="yellow"/>
        </w:rPr>
      </w:pPr>
      <w:r w:rsidRPr="00AA24D3">
        <w:rPr>
          <w:rFonts w:eastAsia="Times New Roman"/>
          <w:color w:val="0E101A"/>
          <w:highlight w:val="yellow"/>
        </w:rPr>
        <w:t>6.10.</w:t>
      </w:r>
      <w:r w:rsidR="003375DE">
        <w:rPr>
          <w:rFonts w:eastAsia="Times New Roman"/>
          <w:color w:val="0E101A"/>
          <w:highlight w:val="yellow"/>
        </w:rPr>
        <w:tab/>
      </w:r>
      <w:r w:rsidR="00042894" w:rsidRPr="00AA24D3">
        <w:rPr>
          <w:rFonts w:eastAsia="Times New Roman"/>
          <w:color w:val="0E101A"/>
          <w:highlight w:val="yellow"/>
        </w:rPr>
        <w:t>Place the sensor cartridge and the utility plate on the tray and click</w:t>
      </w:r>
      <w:r w:rsidR="003375DE">
        <w:rPr>
          <w:rFonts w:eastAsia="Times New Roman"/>
          <w:color w:val="0E101A"/>
          <w:highlight w:val="yellow"/>
        </w:rPr>
        <w:t xml:space="preserve"> on </w:t>
      </w:r>
      <w:r w:rsidR="00042894" w:rsidRPr="00AA24D3">
        <w:rPr>
          <w:rFonts w:eastAsia="Times New Roman"/>
          <w:b/>
          <w:bCs/>
          <w:color w:val="0E101A"/>
          <w:highlight w:val="yellow"/>
        </w:rPr>
        <w:t>I'm Ready</w:t>
      </w:r>
      <w:r w:rsidR="003375DE" w:rsidRPr="007E602D">
        <w:rPr>
          <w:rFonts w:eastAsia="Times New Roman"/>
          <w:color w:val="0E101A"/>
          <w:highlight w:val="yellow"/>
        </w:rPr>
        <w:t xml:space="preserve"> </w:t>
      </w:r>
      <w:r w:rsidR="00042894" w:rsidRPr="00AA24D3">
        <w:rPr>
          <w:rFonts w:eastAsia="Times New Roman"/>
          <w:color w:val="0E101A"/>
          <w:highlight w:val="yellow"/>
        </w:rPr>
        <w:t>to initiate the calibration.</w:t>
      </w:r>
    </w:p>
    <w:p w14:paraId="2BF8C466" w14:textId="77777777" w:rsidR="00317F4D" w:rsidRPr="00AA24D3" w:rsidRDefault="00317F4D" w:rsidP="00972F6D">
      <w:pPr>
        <w:widowControl/>
        <w:rPr>
          <w:rFonts w:eastAsia="Times New Roman"/>
          <w:color w:val="0E101A"/>
          <w:highlight w:val="yellow"/>
        </w:rPr>
      </w:pPr>
    </w:p>
    <w:p w14:paraId="0891ABA4" w14:textId="16E6CC45" w:rsidR="00042894" w:rsidRPr="003375DE" w:rsidRDefault="00317F4D" w:rsidP="00972F6D">
      <w:pPr>
        <w:widowControl/>
        <w:rPr>
          <w:rFonts w:eastAsia="Times New Roman"/>
          <w:color w:val="0E101A"/>
          <w:highlight w:val="yellow"/>
        </w:rPr>
      </w:pPr>
      <w:r w:rsidRPr="00120856">
        <w:rPr>
          <w:rFonts w:eastAsia="Times New Roman"/>
          <w:color w:val="0E101A"/>
          <w:highlight w:val="yellow"/>
        </w:rPr>
        <w:t>6.11.</w:t>
      </w:r>
      <w:r w:rsidR="003375DE">
        <w:rPr>
          <w:rFonts w:eastAsia="Times New Roman"/>
          <w:color w:val="0E101A"/>
          <w:highlight w:val="yellow"/>
        </w:rPr>
        <w:tab/>
      </w:r>
      <w:r w:rsidR="00042894" w:rsidRPr="00111B61">
        <w:rPr>
          <w:rFonts w:eastAsia="Times New Roman"/>
          <w:color w:val="0E101A"/>
          <w:highlight w:val="yellow"/>
        </w:rPr>
        <w:t>Before starting the calibration</w:t>
      </w:r>
      <w:r w:rsidR="00042894" w:rsidRPr="00AA24D3">
        <w:rPr>
          <w:rFonts w:eastAsia="Times New Roman"/>
          <w:b/>
          <w:bCs/>
          <w:color w:val="0E101A"/>
          <w:highlight w:val="yellow"/>
        </w:rPr>
        <w:t>,</w:t>
      </w:r>
      <w:r>
        <w:rPr>
          <w:rFonts w:eastAsia="Times New Roman"/>
          <w:color w:val="0E101A"/>
          <w:highlight w:val="yellow"/>
        </w:rPr>
        <w:t xml:space="preserve"> </w:t>
      </w:r>
      <w:r w:rsidR="00746913">
        <w:rPr>
          <w:rFonts w:eastAsia="Times New Roman"/>
          <w:color w:val="0E101A"/>
          <w:highlight w:val="yellow"/>
        </w:rPr>
        <w:t>en</w:t>
      </w:r>
      <w:r w:rsidR="00042894" w:rsidRPr="00AA24D3">
        <w:rPr>
          <w:rFonts w:eastAsia="Times New Roman"/>
          <w:color w:val="0E101A"/>
          <w:highlight w:val="yellow"/>
        </w:rPr>
        <w:t>sure the cartridge lid is removed</w:t>
      </w:r>
      <w:r w:rsidR="00746913">
        <w:rPr>
          <w:rFonts w:eastAsia="Times New Roman"/>
          <w:color w:val="0E101A"/>
          <w:highlight w:val="yellow"/>
        </w:rPr>
        <w:t>,</w:t>
      </w:r>
      <w:r>
        <w:rPr>
          <w:rFonts w:eastAsia="Times New Roman"/>
          <w:color w:val="0E101A"/>
          <w:highlight w:val="yellow"/>
        </w:rPr>
        <w:t xml:space="preserve"> and t</w:t>
      </w:r>
      <w:r w:rsidR="00042894" w:rsidRPr="00AA24D3">
        <w:rPr>
          <w:rFonts w:eastAsia="Times New Roman"/>
          <w:color w:val="0E101A"/>
          <w:highlight w:val="yellow"/>
        </w:rPr>
        <w:t>he sensor cartridge is placed in the correct orientation on the utility plate.</w:t>
      </w:r>
      <w:r>
        <w:rPr>
          <w:rFonts w:eastAsia="Times New Roman"/>
          <w:color w:val="0E101A"/>
          <w:highlight w:val="yellow"/>
        </w:rPr>
        <w:t xml:space="preserve"> </w:t>
      </w:r>
      <w:r w:rsidR="00042894" w:rsidRPr="00AA24D3">
        <w:rPr>
          <w:rFonts w:eastAsia="Times New Roman"/>
          <w:color w:val="0E101A"/>
          <w:highlight w:val="yellow"/>
        </w:rPr>
        <w:t>This</w:t>
      </w:r>
      <w:r w:rsidR="00D3502B" w:rsidRPr="00AA24D3">
        <w:rPr>
          <w:rFonts w:eastAsia="Times New Roman"/>
          <w:color w:val="0E101A"/>
          <w:highlight w:val="yellow"/>
        </w:rPr>
        <w:t xml:space="preserve"> step</w:t>
      </w:r>
      <w:r w:rsidR="00042894" w:rsidRPr="00AA24D3">
        <w:rPr>
          <w:rFonts w:eastAsia="Times New Roman"/>
          <w:color w:val="0E101A"/>
          <w:highlight w:val="yellow"/>
        </w:rPr>
        <w:t xml:space="preserve"> will take 10–20 min, and once complete</w:t>
      </w:r>
      <w:r w:rsidR="00746913">
        <w:rPr>
          <w:rFonts w:eastAsia="Times New Roman"/>
          <w:color w:val="0E101A"/>
          <w:highlight w:val="yellow"/>
        </w:rPr>
        <w:t>,</w:t>
      </w:r>
      <w:r w:rsidR="00042894" w:rsidRPr="00AA24D3">
        <w:rPr>
          <w:rFonts w:eastAsia="Times New Roman"/>
          <w:color w:val="0E101A"/>
          <w:highlight w:val="yellow"/>
        </w:rPr>
        <w:t xml:space="preserve"> the software will display </w:t>
      </w:r>
      <w:r w:rsidR="00746913">
        <w:rPr>
          <w:rFonts w:eastAsia="Times New Roman"/>
          <w:color w:val="0E101A"/>
          <w:highlight w:val="yellow"/>
        </w:rPr>
        <w:t xml:space="preserve">the </w:t>
      </w:r>
      <w:r w:rsidR="00042894" w:rsidRPr="00AA24D3">
        <w:rPr>
          <w:rFonts w:eastAsia="Times New Roman"/>
          <w:b/>
          <w:bCs/>
          <w:color w:val="0E101A"/>
          <w:highlight w:val="yellow"/>
        </w:rPr>
        <w:t xml:space="preserve">Load Cell </w:t>
      </w:r>
      <w:r w:rsidR="00092144">
        <w:rPr>
          <w:rFonts w:eastAsia="Times New Roman"/>
          <w:b/>
          <w:bCs/>
          <w:color w:val="0E101A"/>
          <w:highlight w:val="yellow"/>
        </w:rPr>
        <w:t>P</w:t>
      </w:r>
      <w:r w:rsidR="00042894" w:rsidRPr="00AA24D3">
        <w:rPr>
          <w:rFonts w:eastAsia="Times New Roman"/>
          <w:b/>
          <w:bCs/>
          <w:color w:val="0E101A"/>
          <w:highlight w:val="yellow"/>
        </w:rPr>
        <w:t>late</w:t>
      </w:r>
      <w:r w:rsidR="00746913" w:rsidRPr="00AA24D3">
        <w:rPr>
          <w:rFonts w:eastAsia="Times New Roman"/>
          <w:color w:val="0E101A"/>
          <w:highlight w:val="yellow"/>
        </w:rPr>
        <w:t xml:space="preserve"> dialog box</w:t>
      </w:r>
      <w:r w:rsidR="00042894" w:rsidRPr="007E602D">
        <w:rPr>
          <w:rFonts w:eastAsia="Times New Roman"/>
          <w:color w:val="0E101A"/>
          <w:highlight w:val="yellow"/>
        </w:rPr>
        <w:t>.</w:t>
      </w:r>
    </w:p>
    <w:p w14:paraId="0E6F9B79" w14:textId="77777777" w:rsidR="00252B25" w:rsidRPr="00AA24D3" w:rsidRDefault="00252B25" w:rsidP="00AA24D3">
      <w:pPr>
        <w:widowControl/>
        <w:jc w:val="left"/>
        <w:rPr>
          <w:rFonts w:eastAsia="Times New Roman"/>
          <w:b/>
          <w:bCs/>
          <w:color w:val="0E101A"/>
          <w:highlight w:val="yellow"/>
        </w:rPr>
      </w:pPr>
    </w:p>
    <w:p w14:paraId="577279E9" w14:textId="30E20BD5" w:rsidR="00042894" w:rsidRPr="00120856" w:rsidRDefault="00042894" w:rsidP="00D22DE9">
      <w:pPr>
        <w:pStyle w:val="ListParagraph"/>
        <w:widowControl/>
        <w:numPr>
          <w:ilvl w:val="0"/>
          <w:numId w:val="2"/>
        </w:numPr>
        <w:ind w:left="0" w:firstLine="0"/>
        <w:rPr>
          <w:rFonts w:eastAsia="Times New Roman"/>
          <w:b/>
          <w:bCs/>
          <w:color w:val="0E101A"/>
          <w:highlight w:val="yellow"/>
        </w:rPr>
      </w:pPr>
      <w:r w:rsidRPr="00111B61">
        <w:rPr>
          <w:rFonts w:eastAsia="Times New Roman"/>
          <w:b/>
          <w:bCs/>
          <w:color w:val="0E101A"/>
          <w:highlight w:val="yellow"/>
        </w:rPr>
        <w:t>Obtain brightfield images</w:t>
      </w:r>
    </w:p>
    <w:p w14:paraId="34E21FB2" w14:textId="77777777" w:rsidR="00317F4D" w:rsidRPr="00111B61" w:rsidRDefault="00317F4D" w:rsidP="00972F6D">
      <w:pPr>
        <w:pStyle w:val="ListParagraph"/>
        <w:widowControl/>
        <w:ind w:left="0"/>
        <w:rPr>
          <w:rFonts w:eastAsia="Times New Roman"/>
          <w:color w:val="0E101A"/>
          <w:highlight w:val="yellow"/>
        </w:rPr>
      </w:pPr>
    </w:p>
    <w:p w14:paraId="0554A0E5" w14:textId="4B281944" w:rsidR="00042894" w:rsidRPr="00120856" w:rsidRDefault="00317F4D" w:rsidP="00972F6D">
      <w:pPr>
        <w:widowControl/>
        <w:rPr>
          <w:rFonts w:eastAsia="Times New Roman"/>
          <w:color w:val="0E101A"/>
        </w:rPr>
      </w:pPr>
      <w:r w:rsidRPr="00120856">
        <w:rPr>
          <w:rFonts w:eastAsia="Times New Roman"/>
          <w:color w:val="0E101A"/>
        </w:rPr>
        <w:t>NOTE:</w:t>
      </w:r>
      <w:r w:rsidR="003375DE">
        <w:rPr>
          <w:rFonts w:eastAsia="Times New Roman"/>
          <w:color w:val="0E101A"/>
        </w:rPr>
        <w:t xml:space="preserve"> </w:t>
      </w:r>
      <w:r w:rsidR="00042894" w:rsidRPr="00111B61">
        <w:rPr>
          <w:rFonts w:eastAsia="Times New Roman"/>
          <w:color w:val="0E101A"/>
        </w:rPr>
        <w:t>This step is</w:t>
      </w:r>
      <w:r w:rsidR="003375DE">
        <w:rPr>
          <w:rFonts w:eastAsia="Times New Roman"/>
          <w:color w:val="0E101A"/>
        </w:rPr>
        <w:t xml:space="preserve"> </w:t>
      </w:r>
      <w:r w:rsidR="00042894" w:rsidRPr="00111B61">
        <w:rPr>
          <w:rFonts w:eastAsia="Times New Roman"/>
          <w:color w:val="0E101A"/>
        </w:rPr>
        <w:t xml:space="preserve">optional. If no imaging equipment is available, skip to </w:t>
      </w:r>
      <w:r w:rsidR="003375DE">
        <w:rPr>
          <w:rFonts w:eastAsia="Times New Roman"/>
          <w:color w:val="0E101A"/>
        </w:rPr>
        <w:t>s</w:t>
      </w:r>
      <w:r w:rsidR="003375DE" w:rsidRPr="00111B61">
        <w:rPr>
          <w:rFonts w:eastAsia="Times New Roman"/>
          <w:color w:val="0E101A"/>
        </w:rPr>
        <w:t xml:space="preserve">tep </w:t>
      </w:r>
      <w:r w:rsidR="00042894" w:rsidRPr="00111B61">
        <w:rPr>
          <w:rFonts w:eastAsia="Times New Roman"/>
          <w:color w:val="0E101A"/>
        </w:rPr>
        <w:t>8.</w:t>
      </w:r>
    </w:p>
    <w:p w14:paraId="2FAABC6B" w14:textId="77777777" w:rsidR="00304E2D" w:rsidRPr="00317F4D" w:rsidRDefault="00304E2D" w:rsidP="00972F6D">
      <w:pPr>
        <w:widowControl/>
        <w:rPr>
          <w:rFonts w:eastAsia="Times New Roman"/>
          <w:color w:val="0E101A"/>
          <w:highlight w:val="yellow"/>
        </w:rPr>
      </w:pPr>
    </w:p>
    <w:p w14:paraId="1AAD2F9C" w14:textId="13F1DAE7" w:rsidR="00042894" w:rsidRPr="00120856" w:rsidRDefault="00042894" w:rsidP="00972F6D">
      <w:pPr>
        <w:widowControl/>
        <w:rPr>
          <w:rFonts w:eastAsia="Times New Roman"/>
          <w:color w:val="0E101A"/>
        </w:rPr>
      </w:pPr>
      <w:r w:rsidRPr="00111B61">
        <w:rPr>
          <w:rFonts w:eastAsia="Times New Roman"/>
          <w:color w:val="0E101A"/>
        </w:rPr>
        <w:t xml:space="preserve">[Place </w:t>
      </w:r>
      <w:r w:rsidR="00EF2270" w:rsidRPr="00120856">
        <w:rPr>
          <w:rFonts w:eastAsia="Times New Roman"/>
          <w:b/>
          <w:bCs/>
          <w:color w:val="0E101A"/>
        </w:rPr>
        <w:t>Figure</w:t>
      </w:r>
      <w:r w:rsidRPr="00111B61">
        <w:rPr>
          <w:rFonts w:eastAsia="Times New Roman"/>
          <w:b/>
          <w:bCs/>
          <w:color w:val="0E101A"/>
        </w:rPr>
        <w:t xml:space="preserve"> 4</w:t>
      </w:r>
      <w:r w:rsidRPr="00111B61">
        <w:rPr>
          <w:rFonts w:eastAsia="Times New Roman"/>
          <w:color w:val="0E101A"/>
        </w:rPr>
        <w:t xml:space="preserve"> here]</w:t>
      </w:r>
    </w:p>
    <w:p w14:paraId="4ABFB027" w14:textId="77777777" w:rsidR="00304E2D" w:rsidRPr="00AA24D3" w:rsidRDefault="00304E2D" w:rsidP="00972F6D">
      <w:pPr>
        <w:widowControl/>
        <w:rPr>
          <w:rFonts w:eastAsia="Times New Roman"/>
          <w:color w:val="0E101A"/>
          <w:highlight w:val="yellow"/>
        </w:rPr>
      </w:pPr>
    </w:p>
    <w:p w14:paraId="41E92EB4" w14:textId="05C7883B" w:rsidR="00304E2D" w:rsidRPr="00796335" w:rsidRDefault="00947CC0" w:rsidP="00947CC0">
      <w:pPr>
        <w:pStyle w:val="ListParagraph"/>
        <w:widowControl/>
        <w:ind w:left="0"/>
        <w:rPr>
          <w:rFonts w:eastAsia="Times New Roman"/>
          <w:color w:val="0E101A"/>
          <w:highlight w:val="yellow"/>
        </w:rPr>
      </w:pPr>
      <w:r>
        <w:rPr>
          <w:rFonts w:eastAsia="Times New Roman"/>
          <w:color w:val="0E101A"/>
          <w:highlight w:val="yellow"/>
        </w:rPr>
        <w:t>7.1.</w:t>
      </w:r>
      <w:r>
        <w:rPr>
          <w:rFonts w:eastAsia="Times New Roman"/>
          <w:color w:val="0E101A"/>
          <w:highlight w:val="yellow"/>
        </w:rPr>
        <w:tab/>
      </w:r>
      <w:r w:rsidR="00042894" w:rsidRPr="00796335">
        <w:rPr>
          <w:rFonts w:eastAsia="Times New Roman"/>
          <w:color w:val="0E101A"/>
          <w:highlight w:val="yellow"/>
        </w:rPr>
        <w:t xml:space="preserve">Open </w:t>
      </w:r>
      <w:r w:rsidR="00CB69EA" w:rsidRPr="00796335">
        <w:rPr>
          <w:rFonts w:eastAsia="Times New Roman"/>
          <w:color w:val="0E101A"/>
          <w:highlight w:val="yellow"/>
        </w:rPr>
        <w:t>the c</w:t>
      </w:r>
      <w:r w:rsidR="00042894" w:rsidRPr="00796335">
        <w:rPr>
          <w:rFonts w:eastAsia="Times New Roman"/>
          <w:color w:val="0E101A"/>
          <w:highlight w:val="yellow"/>
        </w:rPr>
        <w:t xml:space="preserve">ell imaging software </w:t>
      </w:r>
      <w:r w:rsidR="00304E2D" w:rsidRPr="00796335">
        <w:rPr>
          <w:rFonts w:eastAsia="Times New Roman"/>
          <w:color w:val="0E101A"/>
          <w:highlight w:val="yellow"/>
        </w:rPr>
        <w:t xml:space="preserve">on </w:t>
      </w:r>
      <w:r w:rsidR="00042894" w:rsidRPr="00796335">
        <w:rPr>
          <w:rFonts w:eastAsia="Times New Roman"/>
          <w:color w:val="0E101A"/>
          <w:highlight w:val="yellow"/>
        </w:rPr>
        <w:t>the computer</w:t>
      </w:r>
      <w:r w:rsidR="00C7440B" w:rsidRPr="00796335">
        <w:rPr>
          <w:rFonts w:eastAsia="Times New Roman"/>
          <w:color w:val="0E101A"/>
          <w:highlight w:val="yellow"/>
        </w:rPr>
        <w:t>.</w:t>
      </w:r>
    </w:p>
    <w:p w14:paraId="4371D47A" w14:textId="77777777" w:rsidR="00304E2D" w:rsidRPr="00120856" w:rsidRDefault="00304E2D" w:rsidP="00A7656A">
      <w:pPr>
        <w:pStyle w:val="ListParagraph"/>
        <w:widowControl/>
        <w:ind w:left="0"/>
        <w:rPr>
          <w:rFonts w:eastAsia="Times New Roman"/>
          <w:color w:val="0E101A"/>
          <w:highlight w:val="yellow"/>
        </w:rPr>
      </w:pPr>
    </w:p>
    <w:p w14:paraId="3295FA2C" w14:textId="66B6636D" w:rsidR="00042894" w:rsidRPr="00796335" w:rsidRDefault="00947CC0" w:rsidP="00947CC0">
      <w:pPr>
        <w:pStyle w:val="ListParagraph"/>
        <w:widowControl/>
        <w:ind w:left="0"/>
        <w:rPr>
          <w:rFonts w:eastAsia="Times New Roman"/>
          <w:color w:val="0E101A"/>
          <w:highlight w:val="yellow"/>
        </w:rPr>
      </w:pPr>
      <w:r>
        <w:rPr>
          <w:rFonts w:eastAsia="Times New Roman"/>
          <w:color w:val="0E101A"/>
          <w:highlight w:val="yellow"/>
        </w:rPr>
        <w:t>7.2.</w:t>
      </w:r>
      <w:r>
        <w:rPr>
          <w:rFonts w:eastAsia="Times New Roman"/>
          <w:color w:val="0E101A"/>
          <w:highlight w:val="yellow"/>
        </w:rPr>
        <w:tab/>
      </w:r>
      <w:r w:rsidR="00042894" w:rsidRPr="00796335">
        <w:rPr>
          <w:rFonts w:eastAsia="Times New Roman"/>
          <w:color w:val="0E101A"/>
          <w:highlight w:val="yellow"/>
        </w:rPr>
        <w:t xml:space="preserve">Make sure that </w:t>
      </w:r>
      <w:r w:rsidR="00092144" w:rsidRPr="00796335">
        <w:rPr>
          <w:rFonts w:eastAsia="Times New Roman"/>
          <w:color w:val="0E101A"/>
          <w:highlight w:val="yellow"/>
        </w:rPr>
        <w:t xml:space="preserve">the </w:t>
      </w:r>
      <w:r w:rsidR="00CB69EA" w:rsidRPr="00796335">
        <w:rPr>
          <w:rFonts w:eastAsia="Times New Roman"/>
          <w:color w:val="0E101A"/>
          <w:highlight w:val="yellow"/>
        </w:rPr>
        <w:t>m</w:t>
      </w:r>
      <w:r w:rsidR="0032242C" w:rsidRPr="00796335">
        <w:rPr>
          <w:rFonts w:eastAsia="Times New Roman"/>
          <w:color w:val="0E101A"/>
          <w:highlight w:val="yellow"/>
        </w:rPr>
        <w:t xml:space="preserve">icroplate </w:t>
      </w:r>
      <w:r w:rsidR="00CB69EA" w:rsidRPr="00796335">
        <w:rPr>
          <w:rFonts w:eastAsia="Times New Roman"/>
          <w:color w:val="0E101A"/>
          <w:highlight w:val="yellow"/>
        </w:rPr>
        <w:t>i</w:t>
      </w:r>
      <w:r w:rsidR="0032242C" w:rsidRPr="00796335">
        <w:rPr>
          <w:rFonts w:eastAsia="Times New Roman"/>
          <w:color w:val="0E101A"/>
          <w:highlight w:val="yellow"/>
        </w:rPr>
        <w:t>mager</w:t>
      </w:r>
      <w:r w:rsidR="00042894" w:rsidRPr="00796335">
        <w:rPr>
          <w:rFonts w:eastAsia="Times New Roman"/>
          <w:color w:val="0E101A"/>
          <w:highlight w:val="yellow"/>
        </w:rPr>
        <w:t xml:space="preserve"> is turn</w:t>
      </w:r>
      <w:r w:rsidR="00D3502B" w:rsidRPr="00796335">
        <w:rPr>
          <w:rFonts w:eastAsia="Times New Roman"/>
          <w:color w:val="0E101A"/>
          <w:highlight w:val="yellow"/>
        </w:rPr>
        <w:t>ed</w:t>
      </w:r>
      <w:r w:rsidR="00042894" w:rsidRPr="00796335">
        <w:rPr>
          <w:rFonts w:eastAsia="Times New Roman"/>
          <w:color w:val="0E101A"/>
          <w:highlight w:val="yellow"/>
        </w:rPr>
        <w:t xml:space="preserve"> on and the ports are connected to the computer</w:t>
      </w:r>
      <w:r w:rsidR="00304E2D" w:rsidRPr="00796335">
        <w:rPr>
          <w:rFonts w:eastAsia="Times New Roman"/>
          <w:color w:val="0E101A"/>
          <w:highlight w:val="yellow"/>
        </w:rPr>
        <w:t>.</w:t>
      </w:r>
    </w:p>
    <w:p w14:paraId="0522BD52" w14:textId="77777777" w:rsidR="00304E2D" w:rsidRPr="00111B61" w:rsidRDefault="00304E2D" w:rsidP="00A7656A">
      <w:pPr>
        <w:widowControl/>
        <w:rPr>
          <w:rFonts w:eastAsia="Times New Roman"/>
          <w:color w:val="0E101A"/>
          <w:highlight w:val="yellow"/>
        </w:rPr>
      </w:pPr>
    </w:p>
    <w:p w14:paraId="0D4B02B0" w14:textId="2F3726B1" w:rsidR="000D04B5" w:rsidRDefault="00C7440B" w:rsidP="00972F6D">
      <w:pPr>
        <w:widowControl/>
        <w:rPr>
          <w:rFonts w:eastAsia="Times New Roman"/>
          <w:color w:val="0E101A"/>
          <w:highlight w:val="yellow"/>
        </w:rPr>
      </w:pPr>
      <w:r w:rsidRPr="00AA24D3">
        <w:rPr>
          <w:rFonts w:eastAsia="Times New Roman"/>
          <w:color w:val="0E101A"/>
          <w:highlight w:val="yellow"/>
        </w:rPr>
        <w:t>7.3.</w:t>
      </w:r>
      <w:r w:rsidR="003375DE">
        <w:rPr>
          <w:rFonts w:eastAsia="Times New Roman"/>
          <w:color w:val="0E101A"/>
          <w:highlight w:val="yellow"/>
        </w:rPr>
        <w:tab/>
      </w:r>
      <w:r w:rsidR="00042894" w:rsidRPr="00AA24D3">
        <w:rPr>
          <w:rFonts w:eastAsia="Times New Roman"/>
          <w:color w:val="0E101A"/>
          <w:highlight w:val="yellow"/>
        </w:rPr>
        <w:t xml:space="preserve">Check the </w:t>
      </w:r>
      <w:r w:rsidR="00304E2D">
        <w:rPr>
          <w:rFonts w:eastAsia="Times New Roman"/>
          <w:color w:val="0E101A"/>
          <w:highlight w:val="yellow"/>
        </w:rPr>
        <w:t>s</w:t>
      </w:r>
      <w:r w:rsidR="00042894" w:rsidRPr="00AA24D3">
        <w:rPr>
          <w:rFonts w:eastAsia="Times New Roman"/>
          <w:color w:val="0E101A"/>
          <w:highlight w:val="yellow"/>
        </w:rPr>
        <w:t xml:space="preserve">tatus bar in the bottom left of the screen to </w:t>
      </w:r>
      <w:r w:rsidR="00746913">
        <w:rPr>
          <w:rFonts w:eastAsia="Times New Roman"/>
          <w:color w:val="0E101A"/>
          <w:highlight w:val="yellow"/>
        </w:rPr>
        <w:t>ensure that the temperature is set to 37 °C and that</w:t>
      </w:r>
      <w:r w:rsidR="00304E2D">
        <w:rPr>
          <w:rFonts w:eastAsia="Times New Roman"/>
          <w:color w:val="0E101A"/>
          <w:highlight w:val="yellow"/>
        </w:rPr>
        <w:t xml:space="preserve"> </w:t>
      </w:r>
      <w:r w:rsidR="00F1302E">
        <w:rPr>
          <w:rFonts w:eastAsia="Times New Roman"/>
          <w:color w:val="0E101A"/>
          <w:highlight w:val="yellow"/>
        </w:rPr>
        <w:t>t</w:t>
      </w:r>
      <w:r w:rsidR="00042894" w:rsidRPr="00AA24D3">
        <w:rPr>
          <w:rFonts w:eastAsia="Times New Roman"/>
          <w:color w:val="0E101A"/>
          <w:highlight w:val="yellow"/>
        </w:rPr>
        <w:t xml:space="preserve">he connection status should be highlighted in </w:t>
      </w:r>
      <w:r w:rsidR="00F1302E">
        <w:rPr>
          <w:rFonts w:eastAsia="Times New Roman"/>
          <w:color w:val="0E101A"/>
          <w:highlight w:val="yellow"/>
        </w:rPr>
        <w:t>g</w:t>
      </w:r>
      <w:r w:rsidR="00042894" w:rsidRPr="00AA24D3">
        <w:rPr>
          <w:rFonts w:eastAsia="Times New Roman"/>
          <w:color w:val="0E101A"/>
          <w:highlight w:val="yellow"/>
        </w:rPr>
        <w:t xml:space="preserve">reen </w:t>
      </w:r>
      <w:r w:rsidR="00F1302E">
        <w:rPr>
          <w:rFonts w:eastAsia="Times New Roman"/>
          <w:color w:val="0E101A"/>
          <w:highlight w:val="yellow"/>
        </w:rPr>
        <w:t>as</w:t>
      </w:r>
      <w:r w:rsidR="00042894" w:rsidRPr="00AA24D3">
        <w:rPr>
          <w:rFonts w:eastAsia="Times New Roman"/>
          <w:color w:val="0E101A"/>
          <w:highlight w:val="yellow"/>
        </w:rPr>
        <w:t xml:space="preserve"> </w:t>
      </w:r>
      <w:r w:rsidR="003F557F">
        <w:rPr>
          <w:rFonts w:eastAsia="Times New Roman"/>
          <w:color w:val="0E101A"/>
          <w:highlight w:val="yellow"/>
        </w:rPr>
        <w:t>r</w:t>
      </w:r>
      <w:r w:rsidR="00042894" w:rsidRPr="00972F6D">
        <w:rPr>
          <w:rFonts w:eastAsia="Times New Roman"/>
          <w:color w:val="0E101A"/>
          <w:highlight w:val="yellow"/>
        </w:rPr>
        <w:t>eady</w:t>
      </w:r>
      <w:r w:rsidR="00042894" w:rsidRPr="00AA24D3">
        <w:rPr>
          <w:rFonts w:eastAsia="Times New Roman"/>
          <w:color w:val="0E101A"/>
          <w:highlight w:val="yellow"/>
        </w:rPr>
        <w:t>.</w:t>
      </w:r>
    </w:p>
    <w:p w14:paraId="59A11763" w14:textId="77777777" w:rsidR="000D04B5" w:rsidRPr="00AA24D3" w:rsidRDefault="000D04B5" w:rsidP="00972F6D">
      <w:pPr>
        <w:widowControl/>
        <w:rPr>
          <w:rFonts w:eastAsia="Times New Roman"/>
          <w:color w:val="0E101A"/>
          <w:highlight w:val="yellow"/>
        </w:rPr>
      </w:pPr>
    </w:p>
    <w:p w14:paraId="0F960C87" w14:textId="71D433E8" w:rsidR="000D04B5" w:rsidRPr="00120856" w:rsidRDefault="000D04B5" w:rsidP="00972F6D">
      <w:pPr>
        <w:widowControl/>
        <w:rPr>
          <w:rFonts w:eastAsia="Times New Roman"/>
          <w:color w:val="0E101A"/>
          <w:highlight w:val="yellow"/>
        </w:rPr>
      </w:pPr>
      <w:r>
        <w:rPr>
          <w:rFonts w:eastAsia="Times New Roman"/>
          <w:color w:val="0E101A"/>
          <w:highlight w:val="yellow"/>
        </w:rPr>
        <w:t>7.4.</w:t>
      </w:r>
      <w:r>
        <w:rPr>
          <w:rFonts w:eastAsia="Times New Roman"/>
          <w:color w:val="0E101A"/>
          <w:highlight w:val="yellow"/>
        </w:rPr>
        <w:tab/>
      </w:r>
      <w:r w:rsidR="00042894" w:rsidRPr="00111B61">
        <w:rPr>
          <w:rFonts w:eastAsia="Times New Roman"/>
          <w:color w:val="0E101A"/>
          <w:highlight w:val="yellow"/>
        </w:rPr>
        <w:t xml:space="preserve">Scan the </w:t>
      </w:r>
      <w:r w:rsidR="00411712" w:rsidRPr="00120856">
        <w:rPr>
          <w:rFonts w:eastAsia="Times New Roman"/>
          <w:color w:val="0E101A"/>
          <w:highlight w:val="yellow"/>
        </w:rPr>
        <w:t>p</w:t>
      </w:r>
      <w:r w:rsidR="00042894" w:rsidRPr="00111B61">
        <w:rPr>
          <w:rFonts w:eastAsia="Times New Roman"/>
          <w:color w:val="0E101A"/>
          <w:highlight w:val="yellow"/>
        </w:rPr>
        <w:t>late</w:t>
      </w:r>
      <w:r w:rsidR="00411712" w:rsidRPr="00120856">
        <w:rPr>
          <w:rFonts w:eastAsia="Times New Roman"/>
          <w:color w:val="0E101A"/>
          <w:highlight w:val="yellow"/>
        </w:rPr>
        <w:t xml:space="preserve"> b</w:t>
      </w:r>
      <w:r w:rsidR="00042894" w:rsidRPr="00111B61">
        <w:rPr>
          <w:rFonts w:eastAsia="Times New Roman"/>
          <w:color w:val="0E101A"/>
          <w:highlight w:val="yellow"/>
        </w:rPr>
        <w:t>arcode to initiate the imaging process</w:t>
      </w:r>
      <w:r w:rsidR="00411712" w:rsidRPr="00120856">
        <w:rPr>
          <w:rFonts w:eastAsia="Times New Roman"/>
          <w:color w:val="0E101A"/>
          <w:highlight w:val="yellow"/>
        </w:rPr>
        <w:t>.</w:t>
      </w:r>
    </w:p>
    <w:p w14:paraId="4D1514AE" w14:textId="77777777" w:rsidR="000D04B5" w:rsidRPr="00AA24D3" w:rsidRDefault="000D04B5" w:rsidP="00972F6D">
      <w:pPr>
        <w:widowControl/>
        <w:rPr>
          <w:rFonts w:eastAsia="Times New Roman"/>
          <w:color w:val="0E101A"/>
          <w:highlight w:val="yellow"/>
        </w:rPr>
      </w:pPr>
    </w:p>
    <w:p w14:paraId="0903EB7C" w14:textId="21B8CC62" w:rsidR="00042894" w:rsidRDefault="000D04B5" w:rsidP="00972F6D">
      <w:pPr>
        <w:widowControl/>
        <w:rPr>
          <w:rFonts w:eastAsia="Times New Roman"/>
          <w:color w:val="0E101A"/>
          <w:highlight w:val="yellow"/>
        </w:rPr>
      </w:pPr>
      <w:r>
        <w:rPr>
          <w:rFonts w:eastAsia="Times New Roman"/>
          <w:color w:val="0E101A"/>
          <w:highlight w:val="yellow"/>
        </w:rPr>
        <w:t>7.5.</w:t>
      </w:r>
      <w:r>
        <w:rPr>
          <w:rFonts w:eastAsia="Times New Roman"/>
          <w:color w:val="0E101A"/>
          <w:highlight w:val="yellow"/>
        </w:rPr>
        <w:tab/>
      </w:r>
      <w:r w:rsidR="00042894" w:rsidRPr="00AA24D3">
        <w:rPr>
          <w:rFonts w:eastAsia="Times New Roman"/>
          <w:color w:val="0E101A"/>
          <w:highlight w:val="yellow"/>
        </w:rPr>
        <w:t xml:space="preserve">Provide a name to the </w:t>
      </w:r>
      <w:r>
        <w:rPr>
          <w:rFonts w:eastAsia="Times New Roman"/>
          <w:color w:val="0E101A"/>
          <w:highlight w:val="yellow"/>
        </w:rPr>
        <w:t>c</w:t>
      </w:r>
      <w:r w:rsidR="00042894" w:rsidRPr="00AA24D3">
        <w:rPr>
          <w:rFonts w:eastAsia="Times New Roman"/>
          <w:color w:val="0E101A"/>
          <w:highlight w:val="yellow"/>
        </w:rPr>
        <w:t xml:space="preserve">ell plate and hit </w:t>
      </w:r>
      <w:r>
        <w:rPr>
          <w:rFonts w:eastAsia="Times New Roman"/>
          <w:b/>
          <w:bCs/>
          <w:color w:val="0E101A"/>
          <w:highlight w:val="yellow"/>
        </w:rPr>
        <w:t>S</w:t>
      </w:r>
      <w:r w:rsidR="00042894" w:rsidRPr="00111B61">
        <w:rPr>
          <w:rFonts w:eastAsia="Times New Roman"/>
          <w:b/>
          <w:bCs/>
          <w:color w:val="0E101A"/>
          <w:highlight w:val="yellow"/>
        </w:rPr>
        <w:t>ave</w:t>
      </w:r>
      <w:r w:rsidR="00042894" w:rsidRPr="00AA24D3">
        <w:rPr>
          <w:rFonts w:eastAsia="Times New Roman"/>
          <w:color w:val="0E101A"/>
          <w:highlight w:val="yellow"/>
        </w:rPr>
        <w:t xml:space="preserve"> (This is the name where both bright field and fluorescent images will be saved)</w:t>
      </w:r>
      <w:r w:rsidR="0098751C">
        <w:rPr>
          <w:rFonts w:eastAsia="Times New Roman"/>
          <w:color w:val="0E101A"/>
          <w:highlight w:val="yellow"/>
        </w:rPr>
        <w:t>.</w:t>
      </w:r>
      <w:r w:rsidR="001B5659">
        <w:rPr>
          <w:rFonts w:eastAsia="Times New Roman"/>
          <w:color w:val="0E101A"/>
          <w:highlight w:val="yellow"/>
        </w:rPr>
        <w:t xml:space="preserve"> </w:t>
      </w:r>
      <w:r w:rsidR="00042894" w:rsidRPr="00AA24D3">
        <w:rPr>
          <w:rFonts w:eastAsia="Times New Roman"/>
          <w:color w:val="0E101A"/>
          <w:highlight w:val="yellow"/>
        </w:rPr>
        <w:t xml:space="preserve">Click on </w:t>
      </w:r>
      <w:r w:rsidR="00042894" w:rsidRPr="00111B61">
        <w:rPr>
          <w:rFonts w:eastAsia="Times New Roman"/>
          <w:b/>
          <w:bCs/>
          <w:color w:val="0E101A"/>
          <w:highlight w:val="yellow"/>
        </w:rPr>
        <w:t>Perform Brightfield Scan</w:t>
      </w:r>
      <w:r w:rsidR="00252B25" w:rsidRPr="00AA24D3">
        <w:rPr>
          <w:rFonts w:eastAsia="Times New Roman"/>
          <w:color w:val="0E101A"/>
          <w:highlight w:val="yellow"/>
        </w:rPr>
        <w:t>.</w:t>
      </w:r>
    </w:p>
    <w:p w14:paraId="06ADA518" w14:textId="77777777" w:rsidR="003809E9" w:rsidRPr="00AA24D3" w:rsidRDefault="003809E9" w:rsidP="00972F6D">
      <w:pPr>
        <w:widowControl/>
        <w:rPr>
          <w:rFonts w:eastAsia="Times New Roman"/>
          <w:color w:val="0E101A"/>
          <w:highlight w:val="yellow"/>
        </w:rPr>
      </w:pPr>
    </w:p>
    <w:p w14:paraId="766DA1E6" w14:textId="2E50115F" w:rsidR="00042894" w:rsidRDefault="00C7440B" w:rsidP="00972F6D">
      <w:pPr>
        <w:widowControl/>
        <w:rPr>
          <w:rFonts w:eastAsia="Times New Roman"/>
          <w:color w:val="0E101A"/>
          <w:highlight w:val="yellow"/>
        </w:rPr>
      </w:pPr>
      <w:r w:rsidRPr="00AA24D3">
        <w:rPr>
          <w:rFonts w:eastAsia="Times New Roman"/>
          <w:color w:val="0E101A"/>
          <w:highlight w:val="yellow"/>
        </w:rPr>
        <w:t>7.</w:t>
      </w:r>
      <w:r w:rsidR="001B5659">
        <w:rPr>
          <w:rFonts w:eastAsia="Times New Roman"/>
          <w:color w:val="0E101A"/>
          <w:highlight w:val="yellow"/>
        </w:rPr>
        <w:t>6</w:t>
      </w:r>
      <w:r w:rsidR="003809E9">
        <w:rPr>
          <w:rFonts w:eastAsia="Times New Roman"/>
          <w:color w:val="0E101A"/>
          <w:highlight w:val="yellow"/>
        </w:rPr>
        <w:t>.</w:t>
      </w:r>
      <w:r w:rsidR="003809E9">
        <w:rPr>
          <w:rFonts w:eastAsia="Times New Roman"/>
          <w:color w:val="0E101A"/>
          <w:highlight w:val="yellow"/>
        </w:rPr>
        <w:tab/>
      </w:r>
      <w:r w:rsidR="00042894" w:rsidRPr="00AA24D3">
        <w:rPr>
          <w:rFonts w:eastAsia="Times New Roman"/>
          <w:color w:val="0E101A"/>
          <w:highlight w:val="yellow"/>
        </w:rPr>
        <w:t>The next screen,</w:t>
      </w:r>
      <w:r w:rsidR="003809E9">
        <w:rPr>
          <w:rFonts w:eastAsia="Times New Roman"/>
          <w:color w:val="0E101A"/>
          <w:highlight w:val="yellow"/>
        </w:rPr>
        <w:t xml:space="preserve"> </w:t>
      </w:r>
      <w:r w:rsidR="000634D0">
        <w:rPr>
          <w:highlight w:val="yellow"/>
        </w:rPr>
        <w:t>p</w:t>
      </w:r>
      <w:r w:rsidR="00042894" w:rsidRPr="00972F6D">
        <w:rPr>
          <w:highlight w:val="yellow"/>
        </w:rPr>
        <w:t>late</w:t>
      </w:r>
      <w:r w:rsidR="003375DE">
        <w:rPr>
          <w:highlight w:val="yellow"/>
        </w:rPr>
        <w:t>,</w:t>
      </w:r>
      <w:r w:rsidR="00042894" w:rsidRPr="00972F6D">
        <w:rPr>
          <w:highlight w:val="yellow"/>
        </w:rPr>
        <w:t xml:space="preserve"> </w:t>
      </w:r>
      <w:r w:rsidR="003375DE">
        <w:rPr>
          <w:highlight w:val="yellow"/>
        </w:rPr>
        <w:t>and</w:t>
      </w:r>
      <w:r w:rsidR="003375DE" w:rsidRPr="00972F6D">
        <w:rPr>
          <w:highlight w:val="yellow"/>
        </w:rPr>
        <w:t xml:space="preserve"> </w:t>
      </w:r>
      <w:r w:rsidR="000634D0">
        <w:rPr>
          <w:highlight w:val="yellow"/>
        </w:rPr>
        <w:t>s</w:t>
      </w:r>
      <w:r w:rsidR="00042894" w:rsidRPr="00972F6D">
        <w:rPr>
          <w:highlight w:val="yellow"/>
        </w:rPr>
        <w:t xml:space="preserve">can </w:t>
      </w:r>
      <w:r w:rsidR="000634D0">
        <w:rPr>
          <w:highlight w:val="yellow"/>
        </w:rPr>
        <w:t>m</w:t>
      </w:r>
      <w:r w:rsidR="00042894" w:rsidRPr="00972F6D">
        <w:rPr>
          <w:highlight w:val="yellow"/>
        </w:rPr>
        <w:t>enu</w:t>
      </w:r>
      <w:r w:rsidR="00042894" w:rsidRPr="00AA24D3">
        <w:rPr>
          <w:rFonts w:eastAsia="Times New Roman"/>
          <w:color w:val="0E101A"/>
          <w:highlight w:val="yellow"/>
        </w:rPr>
        <w:t xml:space="preserve">, </w:t>
      </w:r>
      <w:r w:rsidR="003375DE" w:rsidRPr="00AA24D3">
        <w:rPr>
          <w:rFonts w:eastAsia="Times New Roman"/>
          <w:color w:val="0E101A"/>
          <w:highlight w:val="yellow"/>
        </w:rPr>
        <w:t>sho</w:t>
      </w:r>
      <w:r w:rsidR="003375DE">
        <w:rPr>
          <w:rFonts w:eastAsia="Times New Roman"/>
          <w:color w:val="0E101A"/>
          <w:highlight w:val="yellow"/>
        </w:rPr>
        <w:t>w</w:t>
      </w:r>
      <w:r w:rsidR="003375DE" w:rsidRPr="00AA24D3">
        <w:rPr>
          <w:rFonts w:eastAsia="Times New Roman"/>
          <w:color w:val="0E101A"/>
          <w:highlight w:val="yellow"/>
        </w:rPr>
        <w:t xml:space="preserve"> </w:t>
      </w:r>
      <w:r w:rsidR="00042894" w:rsidRPr="00AA24D3">
        <w:rPr>
          <w:rFonts w:eastAsia="Times New Roman"/>
          <w:color w:val="0E101A"/>
          <w:highlight w:val="yellow"/>
        </w:rPr>
        <w:t xml:space="preserve">the options for imaging. </w:t>
      </w:r>
      <w:r w:rsidR="00D3502B" w:rsidRPr="00AA24D3">
        <w:rPr>
          <w:rFonts w:eastAsia="Times New Roman"/>
          <w:color w:val="0E101A"/>
          <w:highlight w:val="yellow"/>
        </w:rPr>
        <w:t>Before</w:t>
      </w:r>
      <w:r w:rsidR="00042894" w:rsidRPr="00AA24D3">
        <w:rPr>
          <w:rFonts w:eastAsia="Times New Roman"/>
          <w:color w:val="0E101A"/>
          <w:highlight w:val="yellow"/>
        </w:rPr>
        <w:t xml:space="preserve"> the </w:t>
      </w:r>
      <w:r w:rsidR="003809E9">
        <w:rPr>
          <w:rFonts w:eastAsia="Times New Roman"/>
          <w:color w:val="0E101A"/>
          <w:highlight w:val="yellow"/>
        </w:rPr>
        <w:t>a</w:t>
      </w:r>
      <w:r w:rsidR="00042894" w:rsidRPr="00AA24D3">
        <w:rPr>
          <w:rFonts w:eastAsia="Times New Roman"/>
          <w:color w:val="0E101A"/>
          <w:highlight w:val="yellow"/>
        </w:rPr>
        <w:t xml:space="preserve">ssay, select </w:t>
      </w:r>
      <w:r w:rsidR="00042894" w:rsidRPr="00111B61">
        <w:rPr>
          <w:rFonts w:eastAsia="Times New Roman"/>
          <w:b/>
          <w:bCs/>
          <w:color w:val="0E101A"/>
          <w:highlight w:val="yellow"/>
        </w:rPr>
        <w:t>Start Brightfield Scan</w:t>
      </w:r>
      <w:r w:rsidR="00042894" w:rsidRPr="00AA24D3">
        <w:rPr>
          <w:rFonts w:eastAsia="Times New Roman"/>
          <w:color w:val="0E101A"/>
          <w:highlight w:val="yellow"/>
        </w:rPr>
        <w:t>.</w:t>
      </w:r>
    </w:p>
    <w:p w14:paraId="7FB77CD6" w14:textId="77777777" w:rsidR="008D08F4" w:rsidRPr="00AA24D3" w:rsidRDefault="008D08F4" w:rsidP="00972F6D">
      <w:pPr>
        <w:widowControl/>
        <w:rPr>
          <w:rFonts w:eastAsia="Times New Roman"/>
          <w:color w:val="0E101A"/>
          <w:highlight w:val="yellow"/>
        </w:rPr>
      </w:pPr>
    </w:p>
    <w:p w14:paraId="12F3FD5D" w14:textId="45024D85" w:rsidR="00042894" w:rsidRDefault="00C7440B" w:rsidP="00972F6D">
      <w:pPr>
        <w:widowControl/>
        <w:rPr>
          <w:rFonts w:eastAsia="Times New Roman"/>
          <w:color w:val="0E101A"/>
          <w:highlight w:val="yellow"/>
        </w:rPr>
      </w:pPr>
      <w:r w:rsidRPr="00AA24D3">
        <w:rPr>
          <w:rFonts w:eastAsia="Times New Roman"/>
          <w:color w:val="0E101A"/>
          <w:highlight w:val="yellow"/>
        </w:rPr>
        <w:t>7.</w:t>
      </w:r>
      <w:r w:rsidR="001B5659">
        <w:rPr>
          <w:rFonts w:eastAsia="Times New Roman"/>
          <w:color w:val="0E101A"/>
          <w:highlight w:val="yellow"/>
        </w:rPr>
        <w:t>7</w:t>
      </w:r>
      <w:r w:rsidR="008D08F4">
        <w:rPr>
          <w:rFonts w:eastAsia="Times New Roman"/>
          <w:color w:val="0E101A"/>
          <w:highlight w:val="yellow"/>
        </w:rPr>
        <w:t>.</w:t>
      </w:r>
      <w:r w:rsidR="008D08F4">
        <w:rPr>
          <w:rFonts w:eastAsia="Times New Roman"/>
          <w:color w:val="0E101A"/>
          <w:highlight w:val="yellow"/>
        </w:rPr>
        <w:tab/>
      </w:r>
      <w:r w:rsidR="00042894" w:rsidRPr="00AA24D3">
        <w:rPr>
          <w:rFonts w:eastAsia="Times New Roman"/>
          <w:color w:val="0E101A"/>
          <w:highlight w:val="yellow"/>
        </w:rPr>
        <w:t>Place the cell culture microplate along with the</w:t>
      </w:r>
      <w:r w:rsidR="003375DE">
        <w:rPr>
          <w:rFonts w:eastAsia="Times New Roman"/>
          <w:color w:val="0E101A"/>
          <w:highlight w:val="yellow"/>
        </w:rPr>
        <w:t xml:space="preserve"> </w:t>
      </w:r>
      <w:r w:rsidR="00042894" w:rsidRPr="00AA24D3">
        <w:rPr>
          <w:rFonts w:eastAsia="Times New Roman"/>
          <w:color w:val="0E101A"/>
          <w:highlight w:val="yellow"/>
        </w:rPr>
        <w:t>plate cover/lid on</w:t>
      </w:r>
      <w:r w:rsidR="003375DE">
        <w:rPr>
          <w:rFonts w:eastAsia="Times New Roman"/>
          <w:color w:val="0E101A"/>
          <w:highlight w:val="yellow"/>
        </w:rPr>
        <w:t xml:space="preserve"> </w:t>
      </w:r>
      <w:r w:rsidR="00042894" w:rsidRPr="00AA24D3">
        <w:rPr>
          <w:rFonts w:eastAsia="Times New Roman"/>
          <w:color w:val="0E101A"/>
          <w:highlight w:val="yellow"/>
        </w:rPr>
        <w:t xml:space="preserve">the tray holder </w:t>
      </w:r>
      <w:r w:rsidR="008D08F4">
        <w:rPr>
          <w:rFonts w:eastAsia="Times New Roman"/>
          <w:color w:val="0E101A"/>
          <w:highlight w:val="yellow"/>
        </w:rPr>
        <w:t>and a</w:t>
      </w:r>
      <w:r w:rsidR="00042894" w:rsidRPr="00AA24D3">
        <w:rPr>
          <w:rFonts w:eastAsia="Times New Roman"/>
          <w:color w:val="0E101A"/>
          <w:highlight w:val="yellow"/>
        </w:rPr>
        <w:t>lign well A1 with the A1 Mark</w:t>
      </w:r>
      <w:r w:rsidR="008D08F4">
        <w:rPr>
          <w:rFonts w:eastAsia="Times New Roman"/>
          <w:color w:val="0E101A"/>
          <w:highlight w:val="yellow"/>
        </w:rPr>
        <w:t>.</w:t>
      </w:r>
      <w:r w:rsidR="00D85436">
        <w:rPr>
          <w:rFonts w:eastAsia="Times New Roman"/>
          <w:color w:val="0E101A"/>
          <w:highlight w:val="yellow"/>
        </w:rPr>
        <w:t xml:space="preserve"> </w:t>
      </w:r>
      <w:r w:rsidRPr="00AA24D3">
        <w:rPr>
          <w:rFonts w:eastAsia="Times New Roman"/>
          <w:color w:val="0E101A"/>
          <w:highlight w:val="yellow"/>
        </w:rPr>
        <w:t>C</w:t>
      </w:r>
      <w:r w:rsidR="00042894" w:rsidRPr="00AA24D3">
        <w:rPr>
          <w:rFonts w:eastAsia="Times New Roman"/>
          <w:color w:val="0E101A"/>
          <w:highlight w:val="yellow"/>
        </w:rPr>
        <w:t xml:space="preserve">lick on </w:t>
      </w:r>
      <w:r w:rsidR="00F03D6B">
        <w:rPr>
          <w:rFonts w:eastAsia="Times New Roman"/>
          <w:b/>
          <w:bCs/>
          <w:color w:val="0E101A"/>
          <w:highlight w:val="yellow"/>
        </w:rPr>
        <w:t>C</w:t>
      </w:r>
      <w:r w:rsidR="00042894" w:rsidRPr="00111B61">
        <w:rPr>
          <w:rFonts w:eastAsia="Times New Roman"/>
          <w:b/>
          <w:bCs/>
          <w:color w:val="0E101A"/>
          <w:highlight w:val="yellow"/>
        </w:rPr>
        <w:t xml:space="preserve">lose </w:t>
      </w:r>
      <w:r w:rsidR="00F03D6B">
        <w:rPr>
          <w:rFonts w:eastAsia="Times New Roman"/>
          <w:b/>
          <w:bCs/>
          <w:color w:val="0E101A"/>
          <w:highlight w:val="yellow"/>
        </w:rPr>
        <w:t>T</w:t>
      </w:r>
      <w:r w:rsidR="00042894" w:rsidRPr="00111B61">
        <w:rPr>
          <w:rFonts w:eastAsia="Times New Roman"/>
          <w:b/>
          <w:bCs/>
          <w:color w:val="0E101A"/>
          <w:highlight w:val="yellow"/>
        </w:rPr>
        <w:t>ray</w:t>
      </w:r>
      <w:r w:rsidR="00F03D6B" w:rsidRPr="007E602D">
        <w:rPr>
          <w:rFonts w:eastAsia="Times New Roman"/>
          <w:color w:val="0E101A"/>
          <w:highlight w:val="yellow"/>
        </w:rPr>
        <w:t>.</w:t>
      </w:r>
    </w:p>
    <w:p w14:paraId="4A472D20" w14:textId="77777777" w:rsidR="00F03D6B" w:rsidRPr="00AA24D3" w:rsidRDefault="00F03D6B" w:rsidP="00972F6D">
      <w:pPr>
        <w:widowControl/>
        <w:rPr>
          <w:rFonts w:eastAsia="Times New Roman"/>
          <w:color w:val="0E101A"/>
          <w:highlight w:val="yellow"/>
        </w:rPr>
      </w:pPr>
    </w:p>
    <w:p w14:paraId="38512A48" w14:textId="297A0720" w:rsidR="00042894" w:rsidRDefault="00C7440B" w:rsidP="00972F6D">
      <w:pPr>
        <w:widowControl/>
        <w:rPr>
          <w:rFonts w:eastAsia="Times New Roman"/>
          <w:color w:val="0E101A"/>
          <w:highlight w:val="yellow"/>
        </w:rPr>
      </w:pPr>
      <w:r w:rsidRPr="00AA24D3">
        <w:rPr>
          <w:rFonts w:eastAsia="Times New Roman"/>
          <w:color w:val="0E101A"/>
          <w:highlight w:val="yellow"/>
        </w:rPr>
        <w:t>7.</w:t>
      </w:r>
      <w:r w:rsidR="001B5659">
        <w:rPr>
          <w:rFonts w:eastAsia="Times New Roman"/>
          <w:color w:val="0E101A"/>
          <w:highlight w:val="yellow"/>
        </w:rPr>
        <w:t>8</w:t>
      </w:r>
      <w:r w:rsidR="00206D9D">
        <w:rPr>
          <w:rFonts w:eastAsia="Times New Roman"/>
          <w:color w:val="0E101A"/>
          <w:highlight w:val="yellow"/>
        </w:rPr>
        <w:t>.</w:t>
      </w:r>
      <w:r w:rsidR="004F76AF">
        <w:rPr>
          <w:rFonts w:eastAsia="Times New Roman"/>
          <w:color w:val="0E101A"/>
          <w:highlight w:val="yellow"/>
        </w:rPr>
        <w:tab/>
      </w:r>
      <w:r w:rsidR="00042894" w:rsidRPr="00AA24D3">
        <w:rPr>
          <w:rFonts w:eastAsia="Times New Roman"/>
          <w:color w:val="0E101A"/>
          <w:highlight w:val="yellow"/>
        </w:rPr>
        <w:t>The next screen</w:t>
      </w:r>
      <w:r w:rsidR="00206D9D">
        <w:rPr>
          <w:rFonts w:eastAsia="Times New Roman"/>
          <w:color w:val="0E101A"/>
          <w:highlight w:val="yellow"/>
        </w:rPr>
        <w:t xml:space="preserve">, </w:t>
      </w:r>
      <w:r w:rsidR="000634D0">
        <w:rPr>
          <w:rFonts w:eastAsia="Times New Roman"/>
          <w:color w:val="0E101A"/>
          <w:highlight w:val="yellow"/>
        </w:rPr>
        <w:t>b</w:t>
      </w:r>
      <w:r w:rsidR="00042894" w:rsidRPr="00972F6D">
        <w:rPr>
          <w:rFonts w:eastAsia="Times New Roman"/>
          <w:color w:val="0E101A"/>
          <w:highlight w:val="yellow"/>
        </w:rPr>
        <w:t xml:space="preserve">rightfield </w:t>
      </w:r>
      <w:r w:rsidR="000634D0">
        <w:rPr>
          <w:rFonts w:eastAsia="Times New Roman"/>
          <w:color w:val="0E101A"/>
          <w:highlight w:val="yellow"/>
        </w:rPr>
        <w:t>i</w:t>
      </w:r>
      <w:r w:rsidR="00042894" w:rsidRPr="00972F6D">
        <w:rPr>
          <w:rFonts w:eastAsia="Times New Roman"/>
          <w:color w:val="0E101A"/>
          <w:highlight w:val="yellow"/>
        </w:rPr>
        <w:t xml:space="preserve">mage </w:t>
      </w:r>
      <w:r w:rsidR="000634D0">
        <w:rPr>
          <w:rFonts w:eastAsia="Times New Roman"/>
          <w:color w:val="0E101A"/>
          <w:highlight w:val="yellow"/>
        </w:rPr>
        <w:t>a</w:t>
      </w:r>
      <w:r w:rsidR="00042894" w:rsidRPr="00972F6D">
        <w:rPr>
          <w:rFonts w:eastAsia="Times New Roman"/>
          <w:color w:val="0E101A"/>
          <w:highlight w:val="yellow"/>
        </w:rPr>
        <w:t>cquisition</w:t>
      </w:r>
      <w:r w:rsidR="00206D9D">
        <w:rPr>
          <w:rFonts w:eastAsia="Times New Roman"/>
          <w:color w:val="0E101A"/>
          <w:highlight w:val="yellow"/>
        </w:rPr>
        <w:t>,</w:t>
      </w:r>
      <w:r w:rsidR="00042894" w:rsidRPr="00AA24D3">
        <w:rPr>
          <w:rFonts w:eastAsia="Times New Roman"/>
          <w:color w:val="0E101A"/>
          <w:highlight w:val="yellow"/>
        </w:rPr>
        <w:t xml:space="preserve"> with </w:t>
      </w:r>
      <w:r w:rsidR="00376BEB">
        <w:rPr>
          <w:rFonts w:eastAsia="Times New Roman"/>
          <w:color w:val="0E101A"/>
          <w:highlight w:val="yellow"/>
        </w:rPr>
        <w:t xml:space="preserve">a </w:t>
      </w:r>
      <w:r w:rsidR="00042894" w:rsidRPr="00AA24D3">
        <w:rPr>
          <w:rFonts w:eastAsia="Times New Roman"/>
          <w:color w:val="0E101A"/>
          <w:highlight w:val="yellow"/>
        </w:rPr>
        <w:t>plate map appears</w:t>
      </w:r>
      <w:r w:rsidR="00376BEB">
        <w:rPr>
          <w:rFonts w:eastAsia="Times New Roman"/>
          <w:color w:val="0E101A"/>
          <w:highlight w:val="yellow"/>
        </w:rPr>
        <w:t>.</w:t>
      </w:r>
      <w:r w:rsidR="00042894" w:rsidRPr="00AA24D3">
        <w:rPr>
          <w:rFonts w:eastAsia="Times New Roman"/>
          <w:color w:val="0E101A"/>
          <w:highlight w:val="yellow"/>
        </w:rPr>
        <w:t xml:space="preserve"> </w:t>
      </w:r>
      <w:r w:rsidR="00376BEB">
        <w:rPr>
          <w:rFonts w:eastAsia="Times New Roman"/>
          <w:color w:val="0E101A"/>
          <w:highlight w:val="yellow"/>
        </w:rPr>
        <w:t>C</w:t>
      </w:r>
      <w:r w:rsidR="00042894" w:rsidRPr="00AA24D3">
        <w:rPr>
          <w:rFonts w:eastAsia="Times New Roman"/>
          <w:color w:val="0E101A"/>
          <w:highlight w:val="yellow"/>
        </w:rPr>
        <w:t xml:space="preserve">lick on </w:t>
      </w:r>
      <w:r w:rsidR="00042894" w:rsidRPr="00111B61">
        <w:rPr>
          <w:rFonts w:eastAsia="Times New Roman"/>
          <w:b/>
          <w:bCs/>
          <w:color w:val="0E101A"/>
          <w:highlight w:val="yellow"/>
        </w:rPr>
        <w:t xml:space="preserve">Scan </w:t>
      </w:r>
      <w:r w:rsidR="00376BEB">
        <w:rPr>
          <w:rFonts w:eastAsia="Times New Roman"/>
          <w:b/>
          <w:bCs/>
          <w:color w:val="0E101A"/>
          <w:highlight w:val="yellow"/>
        </w:rPr>
        <w:t>A</w:t>
      </w:r>
      <w:r w:rsidR="00042894" w:rsidRPr="00111B61">
        <w:rPr>
          <w:rFonts w:eastAsia="Times New Roman"/>
          <w:b/>
          <w:bCs/>
          <w:color w:val="0E101A"/>
          <w:highlight w:val="yellow"/>
        </w:rPr>
        <w:t>ll Wells</w:t>
      </w:r>
      <w:r w:rsidR="004F76AF" w:rsidRPr="007E602D">
        <w:rPr>
          <w:rFonts w:eastAsia="Times New Roman"/>
          <w:color w:val="0E101A"/>
          <w:highlight w:val="yellow"/>
        </w:rPr>
        <w:t>,</w:t>
      </w:r>
      <w:r w:rsidR="00704A1A">
        <w:rPr>
          <w:rFonts w:eastAsia="Times New Roman"/>
          <w:color w:val="0E101A"/>
          <w:highlight w:val="yellow"/>
        </w:rPr>
        <w:t xml:space="preserve"> which </w:t>
      </w:r>
      <w:r w:rsidR="008A2EA1" w:rsidRPr="00AA24D3">
        <w:rPr>
          <w:rFonts w:eastAsia="Times New Roman"/>
          <w:color w:val="0E101A"/>
          <w:highlight w:val="yellow"/>
        </w:rPr>
        <w:t>i</w:t>
      </w:r>
      <w:r w:rsidR="00042894" w:rsidRPr="00AA24D3">
        <w:rPr>
          <w:rFonts w:eastAsia="Times New Roman"/>
          <w:color w:val="0E101A"/>
          <w:highlight w:val="yellow"/>
        </w:rPr>
        <w:t xml:space="preserve">nitiates the system initialization process followed by 30 to 35 min of </w:t>
      </w:r>
      <w:r w:rsidR="001C5E6E">
        <w:rPr>
          <w:rFonts w:eastAsia="Times New Roman"/>
          <w:color w:val="0E101A"/>
          <w:highlight w:val="yellow"/>
        </w:rPr>
        <w:t xml:space="preserve">a </w:t>
      </w:r>
      <w:r w:rsidR="00042894" w:rsidRPr="00AA24D3">
        <w:rPr>
          <w:rFonts w:eastAsia="Times New Roman"/>
          <w:color w:val="0E101A"/>
          <w:highlight w:val="yellow"/>
        </w:rPr>
        <w:t>scan.</w:t>
      </w:r>
    </w:p>
    <w:p w14:paraId="075729B6" w14:textId="77777777" w:rsidR="00704A1A" w:rsidRPr="00AA24D3" w:rsidRDefault="00704A1A" w:rsidP="00972F6D">
      <w:pPr>
        <w:widowControl/>
        <w:rPr>
          <w:rFonts w:eastAsia="Times New Roman"/>
          <w:color w:val="0E101A"/>
          <w:highlight w:val="yellow"/>
        </w:rPr>
      </w:pPr>
    </w:p>
    <w:p w14:paraId="1CCFD01E" w14:textId="4E6A3590" w:rsidR="00042894" w:rsidRPr="00AA24D3" w:rsidRDefault="00704A1A" w:rsidP="00972F6D">
      <w:pPr>
        <w:widowControl/>
        <w:rPr>
          <w:rFonts w:eastAsia="Times New Roman"/>
          <w:color w:val="0E101A"/>
          <w:highlight w:val="yellow"/>
        </w:rPr>
      </w:pPr>
      <w:r>
        <w:rPr>
          <w:rFonts w:eastAsia="Times New Roman"/>
          <w:color w:val="0E101A"/>
          <w:highlight w:val="yellow"/>
        </w:rPr>
        <w:t>7.</w:t>
      </w:r>
      <w:r w:rsidR="001B5659">
        <w:rPr>
          <w:rFonts w:eastAsia="Times New Roman"/>
          <w:color w:val="0E101A"/>
          <w:highlight w:val="yellow"/>
        </w:rPr>
        <w:t>9</w:t>
      </w:r>
      <w:r>
        <w:rPr>
          <w:rFonts w:eastAsia="Times New Roman"/>
          <w:color w:val="0E101A"/>
          <w:highlight w:val="yellow"/>
        </w:rPr>
        <w:t>.</w:t>
      </w:r>
      <w:r w:rsidR="004F76AF">
        <w:rPr>
          <w:rFonts w:eastAsia="Times New Roman"/>
          <w:color w:val="0E101A"/>
          <w:highlight w:val="yellow"/>
        </w:rPr>
        <w:tab/>
      </w:r>
      <w:r w:rsidR="00042894" w:rsidRPr="00AA24D3">
        <w:rPr>
          <w:rFonts w:eastAsia="Times New Roman"/>
          <w:color w:val="0E101A"/>
          <w:highlight w:val="yellow"/>
        </w:rPr>
        <w:t xml:space="preserve">After the </w:t>
      </w:r>
      <w:r w:rsidR="000670B2">
        <w:rPr>
          <w:rFonts w:eastAsia="Times New Roman"/>
          <w:color w:val="0E101A"/>
          <w:highlight w:val="yellow"/>
        </w:rPr>
        <w:t>b</w:t>
      </w:r>
      <w:r w:rsidR="00042894" w:rsidRPr="00AA24D3">
        <w:rPr>
          <w:rFonts w:eastAsia="Times New Roman"/>
          <w:color w:val="0E101A"/>
          <w:highlight w:val="yellow"/>
        </w:rPr>
        <w:t xml:space="preserve">rightfield </w:t>
      </w:r>
      <w:r w:rsidR="000670B2">
        <w:rPr>
          <w:rFonts w:eastAsia="Times New Roman"/>
          <w:color w:val="0E101A"/>
          <w:highlight w:val="yellow"/>
        </w:rPr>
        <w:t>s</w:t>
      </w:r>
      <w:r w:rsidR="00042894" w:rsidRPr="00AA24D3">
        <w:rPr>
          <w:rFonts w:eastAsia="Times New Roman"/>
          <w:color w:val="0E101A"/>
          <w:highlight w:val="yellow"/>
        </w:rPr>
        <w:t xml:space="preserve">can, </w:t>
      </w:r>
      <w:r>
        <w:rPr>
          <w:rFonts w:eastAsia="Times New Roman"/>
          <w:color w:val="0E101A"/>
          <w:highlight w:val="yellow"/>
        </w:rPr>
        <w:t xml:space="preserve">remove </w:t>
      </w:r>
      <w:r w:rsidR="00042894" w:rsidRPr="00AA24D3">
        <w:rPr>
          <w:rFonts w:eastAsia="Times New Roman"/>
          <w:color w:val="0E101A"/>
          <w:highlight w:val="yellow"/>
        </w:rPr>
        <w:t xml:space="preserve">the </w:t>
      </w:r>
      <w:r>
        <w:rPr>
          <w:rFonts w:eastAsia="Times New Roman"/>
          <w:color w:val="0E101A"/>
          <w:highlight w:val="yellow"/>
        </w:rPr>
        <w:t>c</w:t>
      </w:r>
      <w:r w:rsidR="00042894" w:rsidRPr="00AA24D3">
        <w:rPr>
          <w:rFonts w:eastAsia="Times New Roman"/>
          <w:color w:val="0E101A"/>
          <w:highlight w:val="yellow"/>
        </w:rPr>
        <w:t xml:space="preserve">ell culture microplate and place </w:t>
      </w:r>
      <w:r w:rsidR="00E13E8C">
        <w:rPr>
          <w:rFonts w:eastAsia="Times New Roman"/>
          <w:color w:val="0E101A"/>
          <w:highlight w:val="yellow"/>
        </w:rPr>
        <w:t xml:space="preserve">it </w:t>
      </w:r>
      <w:r w:rsidR="00042894" w:rsidRPr="00AA24D3">
        <w:rPr>
          <w:rFonts w:eastAsia="Times New Roman"/>
          <w:color w:val="0E101A"/>
          <w:highlight w:val="yellow"/>
        </w:rPr>
        <w:t xml:space="preserve">in the </w:t>
      </w:r>
      <w:r>
        <w:rPr>
          <w:rFonts w:eastAsia="Times New Roman"/>
          <w:color w:val="0E101A"/>
          <w:highlight w:val="yellow"/>
        </w:rPr>
        <w:t>a</w:t>
      </w:r>
      <w:r w:rsidR="00042894" w:rsidRPr="00AA24D3">
        <w:rPr>
          <w:rFonts w:eastAsia="Times New Roman"/>
          <w:color w:val="0E101A"/>
          <w:highlight w:val="yellow"/>
        </w:rPr>
        <w:t xml:space="preserve">nalyzer to perform the </w:t>
      </w:r>
      <w:r>
        <w:rPr>
          <w:rFonts w:eastAsia="Times New Roman"/>
          <w:color w:val="0E101A"/>
          <w:highlight w:val="yellow"/>
        </w:rPr>
        <w:t>a</w:t>
      </w:r>
      <w:r w:rsidR="00042894" w:rsidRPr="00AA24D3">
        <w:rPr>
          <w:rFonts w:eastAsia="Times New Roman"/>
          <w:color w:val="0E101A"/>
          <w:highlight w:val="yellow"/>
        </w:rPr>
        <w:t>ssay</w:t>
      </w:r>
      <w:r w:rsidR="004F76AF">
        <w:rPr>
          <w:rFonts w:eastAsia="Times New Roman"/>
          <w:color w:val="0E101A"/>
          <w:highlight w:val="yellow"/>
        </w:rPr>
        <w:t>.</w:t>
      </w:r>
    </w:p>
    <w:p w14:paraId="1275CF0B" w14:textId="77777777" w:rsidR="008A2EA1" w:rsidRPr="00AA24D3" w:rsidRDefault="008A2EA1" w:rsidP="00AA24D3">
      <w:pPr>
        <w:widowControl/>
        <w:jc w:val="left"/>
        <w:rPr>
          <w:rFonts w:eastAsia="Times New Roman"/>
          <w:color w:val="0E101A"/>
          <w:highlight w:val="yellow"/>
        </w:rPr>
      </w:pPr>
    </w:p>
    <w:p w14:paraId="140D7673" w14:textId="5C8ACCA0" w:rsidR="00042894" w:rsidRPr="00120856" w:rsidRDefault="00042894" w:rsidP="00D22DE9">
      <w:pPr>
        <w:pStyle w:val="ListParagraph"/>
        <w:widowControl/>
        <w:numPr>
          <w:ilvl w:val="0"/>
          <w:numId w:val="2"/>
        </w:numPr>
        <w:ind w:left="0" w:firstLine="0"/>
        <w:rPr>
          <w:rFonts w:eastAsia="Times New Roman"/>
          <w:b/>
          <w:bCs/>
          <w:color w:val="0E101A"/>
          <w:highlight w:val="yellow"/>
        </w:rPr>
      </w:pPr>
      <w:r w:rsidRPr="00111B61">
        <w:rPr>
          <w:rFonts w:eastAsia="Times New Roman"/>
          <w:b/>
          <w:bCs/>
          <w:color w:val="0E101A"/>
          <w:highlight w:val="yellow"/>
        </w:rPr>
        <w:t>Running the assay</w:t>
      </w:r>
    </w:p>
    <w:p w14:paraId="0CC2D94D" w14:textId="77777777" w:rsidR="00704A1A" w:rsidRPr="00111B61" w:rsidRDefault="00704A1A" w:rsidP="00972F6D">
      <w:pPr>
        <w:pStyle w:val="ListParagraph"/>
        <w:widowControl/>
        <w:ind w:left="0"/>
        <w:rPr>
          <w:rFonts w:eastAsia="Times New Roman"/>
          <w:color w:val="0E101A"/>
          <w:highlight w:val="yellow"/>
        </w:rPr>
      </w:pPr>
    </w:p>
    <w:p w14:paraId="6385E501" w14:textId="1EF24BF2" w:rsidR="00042894" w:rsidRPr="00120856" w:rsidRDefault="005730EA" w:rsidP="005730EA">
      <w:pPr>
        <w:pStyle w:val="ListParagraph"/>
        <w:widowControl/>
        <w:ind w:left="0"/>
        <w:rPr>
          <w:rFonts w:eastAsia="Times New Roman"/>
          <w:color w:val="0E101A"/>
          <w:highlight w:val="yellow"/>
        </w:rPr>
      </w:pPr>
      <w:r>
        <w:rPr>
          <w:rFonts w:eastAsia="Times New Roman"/>
          <w:color w:val="0E101A"/>
          <w:highlight w:val="yellow"/>
        </w:rPr>
        <w:t>8.1.</w:t>
      </w:r>
      <w:r>
        <w:rPr>
          <w:rFonts w:eastAsia="Times New Roman"/>
          <w:color w:val="0E101A"/>
          <w:highlight w:val="yellow"/>
        </w:rPr>
        <w:tab/>
      </w:r>
      <w:r w:rsidR="00042894" w:rsidRPr="00111B61">
        <w:rPr>
          <w:rFonts w:eastAsia="Times New Roman"/>
          <w:color w:val="0E101A"/>
          <w:highlight w:val="yellow"/>
        </w:rPr>
        <w:t xml:space="preserve">Once the calibration is completed, </w:t>
      </w:r>
      <w:r w:rsidR="00E13E8C" w:rsidRPr="00120856">
        <w:rPr>
          <w:rFonts w:eastAsia="Times New Roman"/>
          <w:color w:val="0E101A"/>
          <w:highlight w:val="yellow"/>
        </w:rPr>
        <w:t>th</w:t>
      </w:r>
      <w:r w:rsidR="00042894" w:rsidRPr="00111B61">
        <w:rPr>
          <w:rFonts w:eastAsia="Times New Roman"/>
          <w:color w:val="0E101A"/>
          <w:highlight w:val="yellow"/>
        </w:rPr>
        <w:t xml:space="preserve">e </w:t>
      </w:r>
      <w:r w:rsidR="00E13E8C" w:rsidRPr="00120856">
        <w:rPr>
          <w:rFonts w:eastAsia="Times New Roman"/>
          <w:color w:val="0E101A"/>
          <w:highlight w:val="yellow"/>
        </w:rPr>
        <w:t xml:space="preserve">software </w:t>
      </w:r>
      <w:r w:rsidR="00042894" w:rsidRPr="00111B61">
        <w:rPr>
          <w:rFonts w:eastAsia="Times New Roman"/>
          <w:color w:val="0E101A"/>
          <w:highlight w:val="yellow"/>
        </w:rPr>
        <w:t xml:space="preserve">displays the </w:t>
      </w:r>
      <w:r w:rsidR="00042894" w:rsidRPr="00111B61">
        <w:rPr>
          <w:rFonts w:eastAsia="Times New Roman"/>
          <w:b/>
          <w:bCs/>
          <w:color w:val="0E101A"/>
          <w:highlight w:val="yellow"/>
        </w:rPr>
        <w:t xml:space="preserve">Load Cell </w:t>
      </w:r>
      <w:r w:rsidR="00E13E8C" w:rsidRPr="00120856">
        <w:rPr>
          <w:rFonts w:eastAsia="Times New Roman"/>
          <w:b/>
          <w:bCs/>
          <w:color w:val="0E101A"/>
          <w:highlight w:val="yellow"/>
        </w:rPr>
        <w:t>P</w:t>
      </w:r>
      <w:r w:rsidR="00042894" w:rsidRPr="00111B61">
        <w:rPr>
          <w:rFonts w:eastAsia="Times New Roman"/>
          <w:b/>
          <w:bCs/>
          <w:color w:val="0E101A"/>
          <w:highlight w:val="yellow"/>
        </w:rPr>
        <w:t>late</w:t>
      </w:r>
      <w:r w:rsidR="00042894" w:rsidRPr="00111B61">
        <w:rPr>
          <w:rFonts w:eastAsia="Times New Roman"/>
          <w:color w:val="0E101A"/>
          <w:highlight w:val="yellow"/>
        </w:rPr>
        <w:t xml:space="preserve"> dialog box.</w:t>
      </w:r>
    </w:p>
    <w:p w14:paraId="02D785B5" w14:textId="77777777" w:rsidR="00E13E8C" w:rsidRPr="00111B61" w:rsidRDefault="00E13E8C" w:rsidP="00A7656A">
      <w:pPr>
        <w:pStyle w:val="ListParagraph"/>
        <w:widowControl/>
        <w:ind w:left="0"/>
        <w:rPr>
          <w:rFonts w:eastAsia="Times New Roman"/>
          <w:color w:val="0E101A"/>
          <w:highlight w:val="yellow"/>
        </w:rPr>
      </w:pPr>
    </w:p>
    <w:p w14:paraId="22AF3F4A" w14:textId="76766945" w:rsidR="00042894" w:rsidRPr="004A3B77" w:rsidRDefault="005730EA" w:rsidP="005730EA">
      <w:pPr>
        <w:pStyle w:val="ListParagraph"/>
        <w:widowControl/>
        <w:ind w:left="0"/>
        <w:rPr>
          <w:rFonts w:eastAsia="Times New Roman"/>
          <w:color w:val="0E101A"/>
          <w:highlight w:val="yellow"/>
        </w:rPr>
      </w:pPr>
      <w:r>
        <w:rPr>
          <w:rFonts w:eastAsia="Times New Roman"/>
          <w:color w:val="0E101A"/>
          <w:highlight w:val="yellow"/>
        </w:rPr>
        <w:t>8.2.</w:t>
      </w:r>
      <w:r>
        <w:rPr>
          <w:rFonts w:eastAsia="Times New Roman"/>
          <w:color w:val="0E101A"/>
          <w:highlight w:val="yellow"/>
        </w:rPr>
        <w:tab/>
      </w:r>
      <w:r w:rsidR="00042894" w:rsidRPr="00972F6D">
        <w:rPr>
          <w:rFonts w:eastAsia="Times New Roman"/>
          <w:color w:val="0E101A"/>
          <w:highlight w:val="yellow"/>
        </w:rPr>
        <w:t>Click</w:t>
      </w:r>
      <w:r w:rsidR="004F76AF">
        <w:rPr>
          <w:rFonts w:eastAsia="Times New Roman"/>
          <w:color w:val="0E101A"/>
          <w:highlight w:val="yellow"/>
        </w:rPr>
        <w:t xml:space="preserve"> on</w:t>
      </w:r>
      <w:r w:rsidR="00042894" w:rsidRPr="00972F6D">
        <w:rPr>
          <w:rFonts w:eastAsia="Times New Roman"/>
          <w:color w:val="0E101A"/>
          <w:highlight w:val="yellow"/>
        </w:rPr>
        <w:t xml:space="preserve"> </w:t>
      </w:r>
      <w:r w:rsidR="00E13E8C" w:rsidRPr="00972F6D">
        <w:rPr>
          <w:rFonts w:eastAsia="Times New Roman"/>
          <w:b/>
          <w:bCs/>
          <w:color w:val="0E101A"/>
          <w:highlight w:val="yellow"/>
        </w:rPr>
        <w:t>O</w:t>
      </w:r>
      <w:r w:rsidR="00042894" w:rsidRPr="00972F6D">
        <w:rPr>
          <w:rFonts w:eastAsia="Times New Roman"/>
          <w:b/>
          <w:bCs/>
          <w:color w:val="0E101A"/>
          <w:highlight w:val="yellow"/>
        </w:rPr>
        <w:t xml:space="preserve">pen </w:t>
      </w:r>
      <w:r w:rsidR="00E13E8C" w:rsidRPr="00972F6D">
        <w:rPr>
          <w:rFonts w:eastAsia="Times New Roman"/>
          <w:b/>
          <w:bCs/>
          <w:color w:val="0E101A"/>
          <w:highlight w:val="yellow"/>
        </w:rPr>
        <w:t>T</w:t>
      </w:r>
      <w:r w:rsidR="00042894" w:rsidRPr="00972F6D">
        <w:rPr>
          <w:rFonts w:eastAsia="Times New Roman"/>
          <w:b/>
          <w:bCs/>
          <w:color w:val="0E101A"/>
          <w:highlight w:val="yellow"/>
        </w:rPr>
        <w:t>ray</w:t>
      </w:r>
      <w:r w:rsidR="00042894" w:rsidRPr="00972F6D">
        <w:rPr>
          <w:rFonts w:eastAsia="Times New Roman"/>
          <w:color w:val="0E101A"/>
          <w:highlight w:val="yellow"/>
        </w:rPr>
        <w:t xml:space="preserve"> to replace the utility tray with a cell culture microplate</w:t>
      </w:r>
      <w:r w:rsidR="00C7440B" w:rsidRPr="00972F6D">
        <w:rPr>
          <w:rFonts w:eastAsia="Times New Roman"/>
          <w:color w:val="0E101A"/>
          <w:highlight w:val="yellow"/>
        </w:rPr>
        <w:t>.</w:t>
      </w:r>
      <w:r w:rsidR="00042894" w:rsidRPr="00972F6D">
        <w:rPr>
          <w:rFonts w:eastAsia="Times New Roman"/>
          <w:color w:val="0E101A"/>
          <w:highlight w:val="yellow"/>
        </w:rPr>
        <w:t xml:space="preserve"> </w:t>
      </w:r>
      <w:r w:rsidR="00C0630F" w:rsidRPr="00972F6D">
        <w:rPr>
          <w:rFonts w:eastAsia="Times New Roman"/>
          <w:color w:val="0E101A"/>
          <w:highlight w:val="yellow"/>
        </w:rPr>
        <w:t>En</w:t>
      </w:r>
      <w:r w:rsidR="00042894" w:rsidRPr="00972F6D">
        <w:rPr>
          <w:rFonts w:eastAsia="Times New Roman"/>
          <w:color w:val="0E101A"/>
          <w:highlight w:val="yellow"/>
        </w:rPr>
        <w:t xml:space="preserve">sure </w:t>
      </w:r>
      <w:r w:rsidR="00C0630F" w:rsidRPr="00972F6D">
        <w:rPr>
          <w:rFonts w:eastAsia="Times New Roman"/>
          <w:color w:val="0E101A"/>
          <w:highlight w:val="yellow"/>
        </w:rPr>
        <w:t xml:space="preserve">that </w:t>
      </w:r>
      <w:r w:rsidR="00042894" w:rsidRPr="00972F6D">
        <w:rPr>
          <w:rFonts w:eastAsia="Times New Roman"/>
          <w:color w:val="0E101A"/>
          <w:highlight w:val="yellow"/>
        </w:rPr>
        <w:t>the lid is removed</w:t>
      </w:r>
      <w:r w:rsidR="00252B25" w:rsidRPr="007E602D">
        <w:rPr>
          <w:rFonts w:eastAsia="Times New Roman"/>
          <w:color w:val="0E101A"/>
          <w:highlight w:val="yellow"/>
        </w:rPr>
        <w:t xml:space="preserve"> </w:t>
      </w:r>
      <w:r w:rsidR="00042894" w:rsidRPr="00972F6D">
        <w:rPr>
          <w:rFonts w:eastAsia="Times New Roman"/>
          <w:color w:val="0E101A"/>
          <w:highlight w:val="yellow"/>
        </w:rPr>
        <w:t>and the A1 of the plate fits in the correct orientation.</w:t>
      </w:r>
    </w:p>
    <w:p w14:paraId="655A67BA" w14:textId="77777777" w:rsidR="000670B2" w:rsidRPr="00972F6D" w:rsidRDefault="000670B2" w:rsidP="004A3B77">
      <w:pPr>
        <w:widowControl/>
        <w:rPr>
          <w:rFonts w:eastAsia="Times New Roman"/>
          <w:color w:val="0E101A"/>
          <w:highlight w:val="yellow"/>
        </w:rPr>
      </w:pPr>
    </w:p>
    <w:p w14:paraId="76F56B08" w14:textId="67EB29F0" w:rsidR="00D47203" w:rsidRPr="00AA24D3" w:rsidRDefault="00C7440B" w:rsidP="00972F6D">
      <w:pPr>
        <w:widowControl/>
        <w:rPr>
          <w:rFonts w:eastAsia="Times New Roman"/>
          <w:color w:val="0E101A"/>
          <w:highlight w:val="yellow"/>
        </w:rPr>
      </w:pPr>
      <w:r w:rsidRPr="00AA24D3">
        <w:rPr>
          <w:rFonts w:eastAsia="Times New Roman"/>
          <w:color w:val="0E101A"/>
          <w:highlight w:val="yellow"/>
        </w:rPr>
        <w:t>8.3.</w:t>
      </w:r>
      <w:r w:rsidR="004F76AF">
        <w:rPr>
          <w:rFonts w:eastAsia="Times New Roman"/>
          <w:color w:val="0E101A"/>
          <w:highlight w:val="yellow"/>
        </w:rPr>
        <w:tab/>
      </w:r>
      <w:r w:rsidR="00042894" w:rsidRPr="00AA24D3">
        <w:rPr>
          <w:rFonts w:eastAsia="Times New Roman"/>
          <w:color w:val="0E101A"/>
          <w:highlight w:val="yellow"/>
        </w:rPr>
        <w:t>Then</w:t>
      </w:r>
      <w:r w:rsidR="004F76AF">
        <w:rPr>
          <w:rFonts w:eastAsia="Times New Roman"/>
          <w:color w:val="0E101A"/>
          <w:highlight w:val="yellow"/>
        </w:rPr>
        <w:t>,</w:t>
      </w:r>
      <w:r w:rsidR="00042894" w:rsidRPr="00AA24D3">
        <w:rPr>
          <w:rFonts w:eastAsia="Times New Roman"/>
          <w:color w:val="0E101A"/>
          <w:highlight w:val="yellow"/>
        </w:rPr>
        <w:t xml:space="preserve"> click</w:t>
      </w:r>
      <w:r w:rsidR="004F76AF">
        <w:rPr>
          <w:rFonts w:eastAsia="Times New Roman"/>
          <w:color w:val="0E101A"/>
          <w:highlight w:val="yellow"/>
        </w:rPr>
        <w:t xml:space="preserve"> on </w:t>
      </w:r>
      <w:r w:rsidR="00042894" w:rsidRPr="00AA24D3">
        <w:rPr>
          <w:rFonts w:eastAsia="Times New Roman"/>
          <w:b/>
          <w:bCs/>
          <w:color w:val="0E101A"/>
          <w:highlight w:val="yellow"/>
        </w:rPr>
        <w:t xml:space="preserve">Load Cell </w:t>
      </w:r>
      <w:r w:rsidR="00ED1FF9">
        <w:rPr>
          <w:rFonts w:eastAsia="Times New Roman"/>
          <w:b/>
          <w:bCs/>
          <w:color w:val="0E101A"/>
          <w:highlight w:val="yellow"/>
        </w:rPr>
        <w:t>P</w:t>
      </w:r>
      <w:r w:rsidR="00ED1FF9" w:rsidRPr="00AA24D3">
        <w:rPr>
          <w:rFonts w:eastAsia="Times New Roman"/>
          <w:b/>
          <w:bCs/>
          <w:color w:val="0E101A"/>
          <w:highlight w:val="yellow"/>
        </w:rPr>
        <w:t>late</w:t>
      </w:r>
      <w:r w:rsidR="00ED1FF9" w:rsidRPr="007E602D">
        <w:rPr>
          <w:rFonts w:eastAsia="Times New Roman"/>
          <w:color w:val="0E101A"/>
          <w:highlight w:val="yellow"/>
        </w:rPr>
        <w:t xml:space="preserve"> </w:t>
      </w:r>
      <w:r w:rsidR="00042894" w:rsidRPr="00AA24D3">
        <w:rPr>
          <w:rFonts w:eastAsia="Times New Roman"/>
          <w:color w:val="0E101A"/>
          <w:highlight w:val="yellow"/>
        </w:rPr>
        <w:t>to initiate the assay.</w:t>
      </w:r>
      <w:r w:rsidR="004F76AF">
        <w:rPr>
          <w:rFonts w:eastAsia="Times New Roman"/>
          <w:color w:val="0E101A"/>
          <w:highlight w:val="yellow"/>
        </w:rPr>
        <w:t xml:space="preserve"> </w:t>
      </w:r>
      <w:r w:rsidR="00042894" w:rsidRPr="00AA24D3">
        <w:rPr>
          <w:rFonts w:eastAsia="Times New Roman"/>
          <w:color w:val="0E101A"/>
          <w:highlight w:val="yellow"/>
        </w:rPr>
        <w:t>The sensor cartridge will remain inside the analyzer for the assay injections.</w:t>
      </w:r>
    </w:p>
    <w:p w14:paraId="363BD849" w14:textId="77777777" w:rsidR="00D47203" w:rsidRDefault="00D47203" w:rsidP="00972F6D">
      <w:pPr>
        <w:widowControl/>
        <w:rPr>
          <w:rFonts w:eastAsia="Times New Roman"/>
          <w:color w:val="0E101A"/>
          <w:highlight w:val="yellow"/>
        </w:rPr>
      </w:pPr>
    </w:p>
    <w:p w14:paraId="4BF0B7BC" w14:textId="43B4BBCC" w:rsidR="00042894" w:rsidRPr="00AA24D3" w:rsidRDefault="00D47203" w:rsidP="00972F6D">
      <w:pPr>
        <w:widowControl/>
        <w:rPr>
          <w:rFonts w:eastAsia="Times New Roman"/>
          <w:color w:val="0E101A"/>
          <w:highlight w:val="yellow"/>
        </w:rPr>
      </w:pPr>
      <w:r>
        <w:rPr>
          <w:rFonts w:eastAsia="Times New Roman"/>
          <w:color w:val="0E101A"/>
          <w:highlight w:val="yellow"/>
        </w:rPr>
        <w:t>8.4.</w:t>
      </w:r>
      <w:r>
        <w:rPr>
          <w:rFonts w:eastAsia="Times New Roman"/>
          <w:color w:val="0E101A"/>
          <w:highlight w:val="yellow"/>
        </w:rPr>
        <w:tab/>
        <w:t>W</w:t>
      </w:r>
      <w:r w:rsidR="00252B25" w:rsidRPr="00AA24D3">
        <w:rPr>
          <w:rFonts w:eastAsia="Times New Roman"/>
          <w:color w:val="0E101A"/>
          <w:highlight w:val="yellow"/>
        </w:rPr>
        <w:t xml:space="preserve">ait </w:t>
      </w:r>
      <w:r w:rsidR="00042894" w:rsidRPr="00AA24D3">
        <w:rPr>
          <w:rFonts w:eastAsia="Times New Roman"/>
          <w:color w:val="0E101A"/>
          <w:highlight w:val="yellow"/>
        </w:rPr>
        <w:t xml:space="preserve">until the assay starts and </w:t>
      </w:r>
      <w:r w:rsidR="00D3502B" w:rsidRPr="00AA24D3">
        <w:rPr>
          <w:rFonts w:eastAsia="Times New Roman"/>
          <w:color w:val="0E101A"/>
          <w:highlight w:val="yellow"/>
        </w:rPr>
        <w:t>displays</w:t>
      </w:r>
      <w:r w:rsidR="00042894" w:rsidRPr="00AA24D3">
        <w:rPr>
          <w:rFonts w:eastAsia="Times New Roman"/>
          <w:color w:val="0E101A"/>
          <w:highlight w:val="yellow"/>
        </w:rPr>
        <w:t xml:space="preserve"> the estimated time of completion.</w:t>
      </w:r>
    </w:p>
    <w:p w14:paraId="42DDFFE1" w14:textId="77777777" w:rsidR="00252B25" w:rsidRPr="00AA24D3" w:rsidRDefault="00252B25" w:rsidP="00972F6D">
      <w:pPr>
        <w:widowControl/>
        <w:rPr>
          <w:rFonts w:eastAsia="Times New Roman"/>
          <w:color w:val="0E101A"/>
          <w:highlight w:val="yellow"/>
        </w:rPr>
      </w:pPr>
    </w:p>
    <w:p w14:paraId="5E12B92C" w14:textId="07955243" w:rsidR="00A54ACD" w:rsidRDefault="00C7440B" w:rsidP="00972F6D">
      <w:pPr>
        <w:widowControl/>
        <w:rPr>
          <w:rFonts w:eastAsia="Times New Roman"/>
          <w:color w:val="0E101A"/>
          <w:highlight w:val="yellow"/>
        </w:rPr>
      </w:pPr>
      <w:r w:rsidRPr="00AA24D3">
        <w:rPr>
          <w:rFonts w:eastAsia="Times New Roman"/>
          <w:color w:val="0E101A"/>
          <w:highlight w:val="yellow"/>
        </w:rPr>
        <w:t>8.</w:t>
      </w:r>
      <w:r w:rsidR="00D47203">
        <w:rPr>
          <w:rFonts w:eastAsia="Times New Roman"/>
          <w:color w:val="0E101A"/>
          <w:highlight w:val="yellow"/>
        </w:rPr>
        <w:t>5.</w:t>
      </w:r>
      <w:r w:rsidR="00D47203">
        <w:rPr>
          <w:rFonts w:eastAsia="Times New Roman"/>
          <w:color w:val="0E101A"/>
          <w:highlight w:val="yellow"/>
        </w:rPr>
        <w:tab/>
      </w:r>
      <w:r w:rsidR="00042894" w:rsidRPr="00AA24D3">
        <w:rPr>
          <w:rFonts w:eastAsia="Times New Roman"/>
          <w:color w:val="0E101A"/>
          <w:highlight w:val="yellow"/>
        </w:rPr>
        <w:t xml:space="preserve">Upon completion of </w:t>
      </w:r>
      <w:r w:rsidR="00DC6DD9" w:rsidRPr="00AA24D3">
        <w:rPr>
          <w:rFonts w:eastAsia="Times New Roman"/>
          <w:color w:val="0E101A"/>
          <w:highlight w:val="yellow"/>
        </w:rPr>
        <w:t>a</w:t>
      </w:r>
      <w:r w:rsidR="00042894" w:rsidRPr="00AA24D3">
        <w:rPr>
          <w:rFonts w:eastAsia="Times New Roman"/>
          <w:color w:val="0E101A"/>
          <w:highlight w:val="yellow"/>
        </w:rPr>
        <w:t>ssay,</w:t>
      </w:r>
      <w:r w:rsidR="004F76AF">
        <w:rPr>
          <w:rFonts w:eastAsia="Times New Roman"/>
          <w:color w:val="0E101A"/>
          <w:highlight w:val="yellow"/>
        </w:rPr>
        <w:t xml:space="preserve"> </w:t>
      </w:r>
      <w:r w:rsidR="00D47203">
        <w:rPr>
          <w:rFonts w:eastAsia="Times New Roman"/>
          <w:color w:val="0E101A"/>
          <w:highlight w:val="yellow"/>
        </w:rPr>
        <w:t>the software</w:t>
      </w:r>
      <w:r w:rsidR="00042894" w:rsidRPr="00AA24D3">
        <w:rPr>
          <w:rFonts w:eastAsia="Times New Roman"/>
          <w:color w:val="0E101A"/>
          <w:highlight w:val="yellow"/>
        </w:rPr>
        <w:t xml:space="preserve"> displays </w:t>
      </w:r>
      <w:r w:rsidR="00042894" w:rsidRPr="00111B61">
        <w:rPr>
          <w:rFonts w:eastAsia="Times New Roman"/>
          <w:b/>
          <w:bCs/>
          <w:color w:val="0E101A"/>
          <w:highlight w:val="yellow"/>
        </w:rPr>
        <w:t>Unload Sensor Cartridge</w:t>
      </w:r>
      <w:r w:rsidR="00042894" w:rsidRPr="00AA24D3">
        <w:rPr>
          <w:rFonts w:eastAsia="Times New Roman"/>
          <w:color w:val="0E101A"/>
          <w:highlight w:val="yellow"/>
        </w:rPr>
        <w:t xml:space="preserve"> dialog box</w:t>
      </w:r>
      <w:r w:rsidR="005F40B8">
        <w:rPr>
          <w:rFonts w:eastAsia="Times New Roman"/>
          <w:color w:val="0E101A"/>
          <w:highlight w:val="yellow"/>
        </w:rPr>
        <w:t xml:space="preserve">. </w:t>
      </w:r>
      <w:r w:rsidR="00042894" w:rsidRPr="00AA24D3">
        <w:rPr>
          <w:rFonts w:eastAsia="Times New Roman"/>
          <w:color w:val="0E101A"/>
          <w:highlight w:val="yellow"/>
        </w:rPr>
        <w:t>Click</w:t>
      </w:r>
      <w:r w:rsidR="004F76AF">
        <w:rPr>
          <w:rFonts w:eastAsia="Times New Roman"/>
          <w:color w:val="0E101A"/>
          <w:highlight w:val="yellow"/>
        </w:rPr>
        <w:t xml:space="preserve"> on </w:t>
      </w:r>
      <w:r w:rsidR="00042894" w:rsidRPr="00AA24D3">
        <w:rPr>
          <w:rFonts w:eastAsia="Times New Roman"/>
          <w:b/>
          <w:bCs/>
          <w:color w:val="0E101A"/>
          <w:highlight w:val="yellow"/>
        </w:rPr>
        <w:t>Eject</w:t>
      </w:r>
      <w:r w:rsidR="005F40B8">
        <w:rPr>
          <w:rFonts w:eastAsia="Times New Roman"/>
          <w:color w:val="0E101A"/>
          <w:highlight w:val="yellow"/>
        </w:rPr>
        <w:t xml:space="preserve"> and</w:t>
      </w:r>
      <w:r w:rsidR="00A25B60">
        <w:rPr>
          <w:rFonts w:eastAsia="Times New Roman"/>
          <w:color w:val="0E101A"/>
          <w:highlight w:val="yellow"/>
        </w:rPr>
        <w:t xml:space="preserve"> r</w:t>
      </w:r>
      <w:r w:rsidR="00042894" w:rsidRPr="00AA24D3">
        <w:rPr>
          <w:rFonts w:eastAsia="Times New Roman"/>
          <w:color w:val="0E101A"/>
          <w:highlight w:val="yellow"/>
        </w:rPr>
        <w:t xml:space="preserve">emove the </w:t>
      </w:r>
      <w:r w:rsidR="00A25B60">
        <w:rPr>
          <w:rFonts w:eastAsia="Times New Roman"/>
          <w:color w:val="0E101A"/>
          <w:highlight w:val="yellow"/>
        </w:rPr>
        <w:t>c</w:t>
      </w:r>
      <w:r w:rsidR="00042894" w:rsidRPr="00AA24D3">
        <w:rPr>
          <w:rFonts w:eastAsia="Times New Roman"/>
          <w:color w:val="0E101A"/>
          <w:highlight w:val="yellow"/>
        </w:rPr>
        <w:t xml:space="preserve">ell culture microplate from the </w:t>
      </w:r>
      <w:r w:rsidR="00A25B60">
        <w:rPr>
          <w:rFonts w:eastAsia="Times New Roman"/>
          <w:color w:val="0E101A"/>
          <w:highlight w:val="yellow"/>
        </w:rPr>
        <w:t>a</w:t>
      </w:r>
      <w:r w:rsidR="00042894" w:rsidRPr="00AA24D3">
        <w:rPr>
          <w:rFonts w:eastAsia="Times New Roman"/>
          <w:color w:val="0E101A"/>
          <w:highlight w:val="yellow"/>
        </w:rPr>
        <w:t>nalyzer.</w:t>
      </w:r>
    </w:p>
    <w:p w14:paraId="642B8256" w14:textId="77777777" w:rsidR="004F76AF" w:rsidRPr="00AA24D3" w:rsidRDefault="004F76AF" w:rsidP="00972F6D">
      <w:pPr>
        <w:widowControl/>
        <w:rPr>
          <w:rFonts w:eastAsia="Times New Roman"/>
          <w:color w:val="0E101A"/>
          <w:highlight w:val="yellow"/>
        </w:rPr>
      </w:pPr>
    </w:p>
    <w:p w14:paraId="37990BC6" w14:textId="06817CF4" w:rsidR="00042894" w:rsidRDefault="00C7440B" w:rsidP="00972F6D">
      <w:pPr>
        <w:widowControl/>
        <w:rPr>
          <w:rFonts w:eastAsia="Times New Roman"/>
          <w:color w:val="0E101A"/>
          <w:highlight w:val="yellow"/>
        </w:rPr>
      </w:pPr>
      <w:r w:rsidRPr="00AA24D3">
        <w:rPr>
          <w:rFonts w:eastAsia="Times New Roman"/>
          <w:color w:val="0E101A"/>
          <w:highlight w:val="yellow"/>
        </w:rPr>
        <w:t>8.</w:t>
      </w:r>
      <w:r w:rsidR="00A54ACD">
        <w:rPr>
          <w:rFonts w:eastAsia="Times New Roman"/>
          <w:color w:val="0E101A"/>
          <w:highlight w:val="yellow"/>
        </w:rPr>
        <w:t>6.</w:t>
      </w:r>
      <w:r w:rsidR="00A54ACD">
        <w:rPr>
          <w:rFonts w:eastAsia="Times New Roman"/>
          <w:color w:val="0E101A"/>
          <w:highlight w:val="yellow"/>
        </w:rPr>
        <w:tab/>
      </w:r>
      <w:r w:rsidR="00042894" w:rsidRPr="00AA24D3">
        <w:rPr>
          <w:rFonts w:eastAsia="Times New Roman"/>
          <w:color w:val="0E101A"/>
          <w:highlight w:val="yellow"/>
        </w:rPr>
        <w:t>Carefully remove the sensor cartridge and</w:t>
      </w:r>
      <w:r w:rsidR="004F76AF">
        <w:rPr>
          <w:rFonts w:eastAsia="Times New Roman"/>
          <w:color w:val="0E101A"/>
          <w:highlight w:val="yellow"/>
        </w:rPr>
        <w:t xml:space="preserve"> </w:t>
      </w:r>
      <w:r w:rsidR="00042894" w:rsidRPr="00111B61">
        <w:rPr>
          <w:rFonts w:eastAsia="Times New Roman"/>
          <w:color w:val="0E101A"/>
          <w:highlight w:val="yellow"/>
        </w:rPr>
        <w:t>replace the cell plate lid</w:t>
      </w:r>
      <w:r w:rsidR="00042894" w:rsidRPr="00A54ACD">
        <w:rPr>
          <w:rFonts w:eastAsia="Times New Roman"/>
          <w:color w:val="0E101A"/>
          <w:highlight w:val="yellow"/>
        </w:rPr>
        <w:t>.</w:t>
      </w:r>
      <w:r w:rsidR="00042894" w:rsidRPr="00AA24D3">
        <w:rPr>
          <w:rFonts w:eastAsia="Times New Roman"/>
          <w:color w:val="0E101A"/>
          <w:highlight w:val="yellow"/>
        </w:rPr>
        <w:t xml:space="preserve"> The cells are ready for fluorescent imaging and cell counting.</w:t>
      </w:r>
    </w:p>
    <w:p w14:paraId="2E1F4F15" w14:textId="77777777" w:rsidR="00A54ACD" w:rsidRPr="00AA24D3" w:rsidRDefault="00A54ACD" w:rsidP="00972F6D">
      <w:pPr>
        <w:widowControl/>
        <w:rPr>
          <w:rFonts w:eastAsia="Times New Roman"/>
          <w:color w:val="0E101A"/>
          <w:highlight w:val="yellow"/>
        </w:rPr>
      </w:pPr>
    </w:p>
    <w:p w14:paraId="05656EBE" w14:textId="30A3615A" w:rsidR="00042894" w:rsidRDefault="00C7440B" w:rsidP="00972F6D">
      <w:pPr>
        <w:widowControl/>
        <w:rPr>
          <w:rFonts w:eastAsia="Times New Roman"/>
          <w:color w:val="0E101A"/>
          <w:highlight w:val="yellow"/>
        </w:rPr>
      </w:pPr>
      <w:r w:rsidRPr="00AA24D3">
        <w:rPr>
          <w:rFonts w:eastAsia="Times New Roman"/>
          <w:color w:val="0E101A"/>
          <w:highlight w:val="yellow"/>
        </w:rPr>
        <w:lastRenderedPageBreak/>
        <w:t>8.</w:t>
      </w:r>
      <w:r w:rsidR="00A54ACD">
        <w:rPr>
          <w:rFonts w:eastAsia="Times New Roman"/>
          <w:color w:val="0E101A"/>
          <w:highlight w:val="yellow"/>
        </w:rPr>
        <w:t>7.</w:t>
      </w:r>
      <w:r w:rsidR="00A54ACD">
        <w:rPr>
          <w:rFonts w:eastAsia="Times New Roman"/>
          <w:color w:val="0E101A"/>
          <w:highlight w:val="yellow"/>
        </w:rPr>
        <w:tab/>
      </w:r>
      <w:r w:rsidR="00042894" w:rsidRPr="00AA24D3">
        <w:rPr>
          <w:rFonts w:eastAsia="Times New Roman"/>
          <w:color w:val="0E101A"/>
          <w:highlight w:val="yellow"/>
        </w:rPr>
        <w:t xml:space="preserve">After removing the cell plate and sensor cartridge, the </w:t>
      </w:r>
      <w:r w:rsidR="00042894" w:rsidRPr="00111B61">
        <w:rPr>
          <w:rFonts w:eastAsia="Times New Roman"/>
          <w:b/>
          <w:bCs/>
          <w:color w:val="0E101A"/>
          <w:highlight w:val="yellow"/>
        </w:rPr>
        <w:t>Assay Complete</w:t>
      </w:r>
      <w:r w:rsidR="00042894" w:rsidRPr="00AA24D3">
        <w:rPr>
          <w:rFonts w:eastAsia="Times New Roman"/>
          <w:color w:val="0E101A"/>
          <w:highlight w:val="yellow"/>
        </w:rPr>
        <w:t xml:space="preserve"> dialog box appears.</w:t>
      </w:r>
    </w:p>
    <w:p w14:paraId="487AEA02" w14:textId="77777777" w:rsidR="00A54ACD" w:rsidRPr="00AA24D3" w:rsidRDefault="00A54ACD" w:rsidP="00972F6D">
      <w:pPr>
        <w:widowControl/>
        <w:rPr>
          <w:rFonts w:eastAsia="Times New Roman"/>
          <w:color w:val="0E101A"/>
          <w:highlight w:val="yellow"/>
        </w:rPr>
      </w:pPr>
    </w:p>
    <w:p w14:paraId="1F563143" w14:textId="06DA82D4" w:rsidR="00042894" w:rsidRPr="00AA24D3" w:rsidRDefault="00C7440B" w:rsidP="00972F6D">
      <w:pPr>
        <w:widowControl/>
        <w:rPr>
          <w:rFonts w:eastAsia="Times New Roman"/>
          <w:color w:val="0E101A"/>
          <w:highlight w:val="yellow"/>
        </w:rPr>
      </w:pPr>
      <w:r w:rsidRPr="00AA24D3">
        <w:rPr>
          <w:rFonts w:eastAsia="Times New Roman"/>
          <w:color w:val="0E101A"/>
          <w:highlight w:val="yellow"/>
        </w:rPr>
        <w:t>8.</w:t>
      </w:r>
      <w:r w:rsidR="00A54ACD">
        <w:rPr>
          <w:rFonts w:eastAsia="Times New Roman"/>
          <w:color w:val="0E101A"/>
          <w:highlight w:val="yellow"/>
        </w:rPr>
        <w:t>8.</w:t>
      </w:r>
      <w:r w:rsidR="00A54ACD">
        <w:rPr>
          <w:rFonts w:eastAsia="Times New Roman"/>
          <w:color w:val="0E101A"/>
          <w:highlight w:val="yellow"/>
        </w:rPr>
        <w:tab/>
      </w:r>
      <w:r w:rsidR="00042894" w:rsidRPr="00AA24D3">
        <w:rPr>
          <w:rFonts w:eastAsia="Times New Roman"/>
          <w:color w:val="0E101A"/>
          <w:highlight w:val="yellow"/>
        </w:rPr>
        <w:t>Click</w:t>
      </w:r>
      <w:r w:rsidR="004F76AF">
        <w:rPr>
          <w:rFonts w:eastAsia="Times New Roman"/>
          <w:color w:val="0E101A"/>
          <w:highlight w:val="yellow"/>
        </w:rPr>
        <w:t xml:space="preserve"> on </w:t>
      </w:r>
      <w:r w:rsidR="00042894" w:rsidRPr="00AA24D3">
        <w:rPr>
          <w:rFonts w:eastAsia="Times New Roman"/>
          <w:b/>
          <w:bCs/>
          <w:color w:val="0E101A"/>
          <w:highlight w:val="yellow"/>
        </w:rPr>
        <w:t xml:space="preserve">View </w:t>
      </w:r>
      <w:r w:rsidR="00A54ACD">
        <w:rPr>
          <w:rFonts w:eastAsia="Times New Roman"/>
          <w:b/>
          <w:bCs/>
          <w:color w:val="0E101A"/>
          <w:highlight w:val="yellow"/>
        </w:rPr>
        <w:t>R</w:t>
      </w:r>
      <w:r w:rsidR="00042894" w:rsidRPr="00AA24D3">
        <w:rPr>
          <w:rFonts w:eastAsia="Times New Roman"/>
          <w:b/>
          <w:bCs/>
          <w:color w:val="0E101A"/>
          <w:highlight w:val="yellow"/>
        </w:rPr>
        <w:t>esults</w:t>
      </w:r>
      <w:r w:rsidR="004F76AF">
        <w:rPr>
          <w:rFonts w:eastAsia="Times New Roman"/>
          <w:color w:val="0E101A"/>
          <w:highlight w:val="yellow"/>
        </w:rPr>
        <w:t xml:space="preserve"> </w:t>
      </w:r>
      <w:r w:rsidR="00042894" w:rsidRPr="00AA24D3">
        <w:rPr>
          <w:rFonts w:eastAsia="Times New Roman"/>
          <w:color w:val="0E101A"/>
          <w:highlight w:val="yellow"/>
        </w:rPr>
        <w:t>to</w:t>
      </w:r>
      <w:r w:rsidR="00D3502B" w:rsidRPr="00AA24D3">
        <w:rPr>
          <w:rFonts w:eastAsia="Times New Roman"/>
          <w:color w:val="0E101A"/>
          <w:highlight w:val="yellow"/>
        </w:rPr>
        <w:t xml:space="preserve"> open the assay result file and normalize th</w:t>
      </w:r>
      <w:r w:rsidR="00A54ACD">
        <w:rPr>
          <w:rFonts w:eastAsia="Times New Roman"/>
          <w:color w:val="0E101A"/>
          <w:highlight w:val="yellow"/>
        </w:rPr>
        <w:t>e</w:t>
      </w:r>
      <w:r w:rsidR="00D3502B" w:rsidRPr="00AA24D3">
        <w:rPr>
          <w:rFonts w:eastAsia="Times New Roman"/>
          <w:color w:val="0E101A"/>
          <w:highlight w:val="yellow"/>
        </w:rPr>
        <w:t xml:space="preserve"> data immediatel</w:t>
      </w:r>
      <w:r w:rsidR="00450A1B">
        <w:rPr>
          <w:rFonts w:eastAsia="Times New Roman"/>
          <w:color w:val="0E101A"/>
          <w:highlight w:val="yellow"/>
        </w:rPr>
        <w:t>y or</w:t>
      </w:r>
      <w:r w:rsidR="00042894" w:rsidRPr="00AA24D3">
        <w:rPr>
          <w:rFonts w:eastAsia="Times New Roman"/>
          <w:color w:val="0E101A"/>
          <w:highlight w:val="yellow"/>
        </w:rPr>
        <w:t xml:space="preserve"> click on </w:t>
      </w:r>
      <w:r w:rsidR="00450A1B" w:rsidRPr="00120856">
        <w:rPr>
          <w:b/>
          <w:bCs/>
          <w:highlight w:val="yellow"/>
        </w:rPr>
        <w:t>H</w:t>
      </w:r>
      <w:r w:rsidR="00042894" w:rsidRPr="00111B61">
        <w:rPr>
          <w:b/>
          <w:bCs/>
          <w:highlight w:val="yellow"/>
        </w:rPr>
        <w:t>ome</w:t>
      </w:r>
      <w:r w:rsidR="00042894" w:rsidRPr="007E602D">
        <w:rPr>
          <w:highlight w:val="yellow"/>
        </w:rPr>
        <w:t>.</w:t>
      </w:r>
    </w:p>
    <w:p w14:paraId="7033A765" w14:textId="77777777" w:rsidR="00252B25" w:rsidRPr="00AA24D3" w:rsidRDefault="00252B25" w:rsidP="00972F6D">
      <w:pPr>
        <w:widowControl/>
        <w:rPr>
          <w:rFonts w:eastAsia="Times New Roman"/>
          <w:color w:val="0E101A"/>
          <w:highlight w:val="yellow"/>
        </w:rPr>
      </w:pPr>
    </w:p>
    <w:p w14:paraId="219D9FD6" w14:textId="7AB41F4D" w:rsidR="00042894" w:rsidRPr="00120856" w:rsidRDefault="00042894" w:rsidP="00D22DE9">
      <w:pPr>
        <w:pStyle w:val="ListParagraph"/>
        <w:widowControl/>
        <w:numPr>
          <w:ilvl w:val="0"/>
          <w:numId w:val="2"/>
        </w:numPr>
        <w:rPr>
          <w:rFonts w:eastAsia="Times New Roman"/>
          <w:b/>
          <w:bCs/>
          <w:color w:val="0E101A"/>
          <w:highlight w:val="yellow"/>
        </w:rPr>
      </w:pPr>
      <w:r w:rsidRPr="00111B61">
        <w:rPr>
          <w:rFonts w:eastAsia="Times New Roman"/>
          <w:b/>
          <w:bCs/>
          <w:color w:val="0E101A"/>
          <w:highlight w:val="yellow"/>
        </w:rPr>
        <w:t xml:space="preserve">Obtain </w:t>
      </w:r>
      <w:r w:rsidR="00A85B60" w:rsidRPr="00120856">
        <w:rPr>
          <w:rFonts w:eastAsia="Times New Roman"/>
          <w:b/>
          <w:bCs/>
          <w:color w:val="0E101A"/>
          <w:highlight w:val="yellow"/>
        </w:rPr>
        <w:t>f</w:t>
      </w:r>
      <w:r w:rsidRPr="00111B61">
        <w:rPr>
          <w:rFonts w:eastAsia="Times New Roman"/>
          <w:b/>
          <w:bCs/>
          <w:color w:val="0E101A"/>
          <w:highlight w:val="yellow"/>
        </w:rPr>
        <w:t xml:space="preserve">luorescence </w:t>
      </w:r>
      <w:r w:rsidR="00A85B60" w:rsidRPr="00120856">
        <w:rPr>
          <w:rFonts w:eastAsia="Times New Roman"/>
          <w:b/>
          <w:bCs/>
          <w:color w:val="0E101A"/>
          <w:highlight w:val="yellow"/>
        </w:rPr>
        <w:t>i</w:t>
      </w:r>
      <w:r w:rsidRPr="00111B61">
        <w:rPr>
          <w:rFonts w:eastAsia="Times New Roman"/>
          <w:b/>
          <w:bCs/>
          <w:color w:val="0E101A"/>
          <w:highlight w:val="yellow"/>
        </w:rPr>
        <w:t xml:space="preserve">mages </w:t>
      </w:r>
      <w:r w:rsidR="00450A1B" w:rsidRPr="00120856">
        <w:rPr>
          <w:rFonts w:eastAsia="Times New Roman"/>
          <w:b/>
          <w:bCs/>
          <w:color w:val="0E101A"/>
          <w:highlight w:val="yellow"/>
        </w:rPr>
        <w:t xml:space="preserve">and </w:t>
      </w:r>
      <w:r w:rsidR="00A85B60" w:rsidRPr="00120856">
        <w:rPr>
          <w:rFonts w:eastAsia="Times New Roman"/>
          <w:b/>
          <w:bCs/>
          <w:color w:val="0E101A"/>
          <w:highlight w:val="yellow"/>
        </w:rPr>
        <w:t>n</w:t>
      </w:r>
      <w:r w:rsidRPr="00111B61">
        <w:rPr>
          <w:rFonts w:eastAsia="Times New Roman"/>
          <w:b/>
          <w:bCs/>
          <w:color w:val="0E101A"/>
          <w:highlight w:val="yellow"/>
        </w:rPr>
        <w:t>ormalize</w:t>
      </w:r>
    </w:p>
    <w:p w14:paraId="61DC408E" w14:textId="77777777" w:rsidR="00A85B60" w:rsidRPr="007E602D" w:rsidRDefault="00A85B60" w:rsidP="007E602D">
      <w:pPr>
        <w:widowControl/>
        <w:rPr>
          <w:rFonts w:eastAsia="Times New Roman"/>
          <w:color w:val="0E101A"/>
          <w:highlight w:val="yellow"/>
        </w:rPr>
      </w:pPr>
    </w:p>
    <w:p w14:paraId="074DB4E5" w14:textId="5CFD8470" w:rsidR="00042894" w:rsidRPr="00111B61" w:rsidRDefault="00A85B60" w:rsidP="00972F6D">
      <w:pPr>
        <w:widowControl/>
        <w:rPr>
          <w:rFonts w:eastAsia="Times New Roman"/>
          <w:color w:val="0E101A"/>
        </w:rPr>
      </w:pPr>
      <w:r w:rsidRPr="00120856">
        <w:rPr>
          <w:rFonts w:eastAsia="Times New Roman"/>
          <w:color w:val="0E101A"/>
        </w:rPr>
        <w:t>NOTE:</w:t>
      </w:r>
      <w:r w:rsidRPr="007E602D">
        <w:rPr>
          <w:rFonts w:eastAsia="Times New Roman"/>
          <w:color w:val="0E101A"/>
        </w:rPr>
        <w:t xml:space="preserve"> </w:t>
      </w:r>
      <w:r w:rsidR="00042894" w:rsidRPr="00111B61">
        <w:rPr>
          <w:rFonts w:eastAsia="Times New Roman"/>
          <w:color w:val="0E101A"/>
        </w:rPr>
        <w:t>This step is</w:t>
      </w:r>
      <w:r w:rsidR="004F76AF">
        <w:rPr>
          <w:rFonts w:eastAsia="Times New Roman"/>
          <w:color w:val="0E101A"/>
        </w:rPr>
        <w:t xml:space="preserve"> </w:t>
      </w:r>
      <w:r w:rsidR="00A15536" w:rsidRPr="00120856">
        <w:rPr>
          <w:rFonts w:eastAsia="Times New Roman"/>
          <w:color w:val="0E101A"/>
        </w:rPr>
        <w:t>an</w:t>
      </w:r>
      <w:r w:rsidR="00D36CDC">
        <w:rPr>
          <w:rFonts w:eastAsia="Times New Roman"/>
          <w:color w:val="0E101A"/>
        </w:rPr>
        <w:t xml:space="preserve"> </w:t>
      </w:r>
      <w:r w:rsidR="00042894" w:rsidRPr="00111B61">
        <w:rPr>
          <w:rFonts w:eastAsia="Times New Roman"/>
          <w:color w:val="0E101A"/>
        </w:rPr>
        <w:t>optional</w:t>
      </w:r>
      <w:r w:rsidR="004F76AF">
        <w:rPr>
          <w:rFonts w:eastAsia="Times New Roman"/>
          <w:color w:val="0E101A"/>
        </w:rPr>
        <w:t xml:space="preserve"> </w:t>
      </w:r>
      <w:r w:rsidR="00042894" w:rsidRPr="00111B61">
        <w:rPr>
          <w:rFonts w:eastAsia="Times New Roman"/>
          <w:color w:val="0E101A"/>
        </w:rPr>
        <w:t>but preferred method for the normalization of BMSCs and osteoblasts. If no imaging equipment is available, another normalization method need</w:t>
      </w:r>
      <w:r w:rsidR="00A37C3E" w:rsidRPr="00111B61">
        <w:rPr>
          <w:rFonts w:eastAsia="Times New Roman"/>
          <w:color w:val="0E101A"/>
        </w:rPr>
        <w:t>s</w:t>
      </w:r>
      <w:r w:rsidR="00042894" w:rsidRPr="00111B61">
        <w:rPr>
          <w:rFonts w:eastAsia="Times New Roman"/>
          <w:color w:val="0E101A"/>
        </w:rPr>
        <w:t xml:space="preserve"> to be </w:t>
      </w:r>
      <w:r w:rsidR="0020410C" w:rsidRPr="00111B61">
        <w:rPr>
          <w:rFonts w:eastAsia="Times New Roman"/>
          <w:color w:val="0E101A"/>
        </w:rPr>
        <w:t>performed</w:t>
      </w:r>
      <w:r w:rsidR="00A37C3E" w:rsidRPr="00111B61">
        <w:rPr>
          <w:rFonts w:eastAsia="Times New Roman"/>
          <w:color w:val="0E101A"/>
        </w:rPr>
        <w:t>, such as protein or DNA isolation and quantification</w:t>
      </w:r>
      <w:r w:rsidR="00042894" w:rsidRPr="00111B61">
        <w:rPr>
          <w:rFonts w:eastAsia="Times New Roman"/>
          <w:color w:val="0E101A"/>
        </w:rPr>
        <w:t>.</w:t>
      </w:r>
    </w:p>
    <w:p w14:paraId="21E76F9B" w14:textId="77777777" w:rsidR="00A15536" w:rsidRPr="00120856" w:rsidRDefault="00A15536" w:rsidP="00972F6D">
      <w:pPr>
        <w:widowControl/>
        <w:rPr>
          <w:rFonts w:eastAsia="Times New Roman"/>
          <w:b/>
          <w:bCs/>
          <w:color w:val="0E101A"/>
        </w:rPr>
      </w:pPr>
    </w:p>
    <w:p w14:paraId="46E9F1A9" w14:textId="07E36A77" w:rsidR="000F1266" w:rsidRPr="00A15536" w:rsidRDefault="000F1266" w:rsidP="00972F6D">
      <w:pPr>
        <w:widowControl/>
        <w:rPr>
          <w:rFonts w:eastAsia="Times New Roman"/>
          <w:color w:val="0E101A"/>
        </w:rPr>
      </w:pPr>
      <w:r w:rsidRPr="00111B61">
        <w:rPr>
          <w:rFonts w:eastAsia="Times New Roman"/>
          <w:color w:val="0E101A"/>
        </w:rPr>
        <w:t xml:space="preserve">[Place </w:t>
      </w:r>
      <w:r w:rsidR="00A15536" w:rsidRPr="00120856">
        <w:rPr>
          <w:rFonts w:eastAsia="Times New Roman"/>
          <w:b/>
          <w:bCs/>
          <w:color w:val="0E101A"/>
        </w:rPr>
        <w:t xml:space="preserve">Figure </w:t>
      </w:r>
      <w:r w:rsidRPr="00111B61">
        <w:rPr>
          <w:rFonts w:eastAsia="Times New Roman"/>
          <w:b/>
          <w:bCs/>
          <w:color w:val="0E101A"/>
        </w:rPr>
        <w:t>5</w:t>
      </w:r>
      <w:r w:rsidRPr="00111B61">
        <w:rPr>
          <w:rFonts w:eastAsia="Times New Roman"/>
          <w:color w:val="0E101A"/>
        </w:rPr>
        <w:t xml:space="preserve"> here]</w:t>
      </w:r>
    </w:p>
    <w:p w14:paraId="3B65F58A" w14:textId="77777777" w:rsidR="000F1266" w:rsidRPr="00AA24D3" w:rsidRDefault="000F1266" w:rsidP="00972F6D">
      <w:pPr>
        <w:widowControl/>
        <w:rPr>
          <w:rFonts w:eastAsia="Times New Roman"/>
          <w:color w:val="0E101A"/>
          <w:highlight w:val="yellow"/>
        </w:rPr>
      </w:pPr>
    </w:p>
    <w:p w14:paraId="4B216213" w14:textId="07D9BD49" w:rsidR="00042894" w:rsidRDefault="00C7440B" w:rsidP="00972F6D">
      <w:pPr>
        <w:widowControl/>
        <w:rPr>
          <w:rFonts w:eastAsia="Times New Roman"/>
          <w:color w:val="0E101A"/>
          <w:highlight w:val="yellow"/>
        </w:rPr>
      </w:pPr>
      <w:r w:rsidRPr="00AA24D3">
        <w:rPr>
          <w:rFonts w:eastAsia="Times New Roman"/>
          <w:color w:val="0E101A"/>
          <w:highlight w:val="yellow"/>
        </w:rPr>
        <w:t>9.1.</w:t>
      </w:r>
      <w:r w:rsidR="004F76AF">
        <w:rPr>
          <w:rFonts w:eastAsia="Times New Roman"/>
          <w:color w:val="0E101A"/>
          <w:highlight w:val="yellow"/>
        </w:rPr>
        <w:tab/>
      </w:r>
      <w:r w:rsidR="00F043C7" w:rsidRPr="00111B61">
        <w:rPr>
          <w:rFonts w:eastAsia="Times New Roman"/>
          <w:color w:val="0E101A"/>
          <w:highlight w:val="yellow"/>
        </w:rPr>
        <w:t xml:space="preserve">After </w:t>
      </w:r>
      <w:r w:rsidR="00F043C7">
        <w:rPr>
          <w:rFonts w:eastAsia="Times New Roman"/>
          <w:color w:val="0E101A"/>
          <w:highlight w:val="yellow"/>
        </w:rPr>
        <w:t>the a</w:t>
      </w:r>
      <w:r w:rsidR="00F043C7" w:rsidRPr="00111B61">
        <w:rPr>
          <w:rFonts w:eastAsia="Times New Roman"/>
          <w:color w:val="0E101A"/>
          <w:highlight w:val="yellow"/>
        </w:rPr>
        <w:t xml:space="preserve">ssay </w:t>
      </w:r>
      <w:r w:rsidR="00F043C7">
        <w:rPr>
          <w:rFonts w:eastAsia="Times New Roman"/>
          <w:color w:val="0E101A"/>
          <w:highlight w:val="yellow"/>
        </w:rPr>
        <w:t>c</w:t>
      </w:r>
      <w:r w:rsidR="00F043C7" w:rsidRPr="00111B61">
        <w:rPr>
          <w:rFonts w:eastAsia="Times New Roman"/>
          <w:color w:val="0E101A"/>
          <w:highlight w:val="yellow"/>
        </w:rPr>
        <w:t>ompletion</w:t>
      </w:r>
      <w:r w:rsidR="00F043C7" w:rsidRPr="00972F6D">
        <w:rPr>
          <w:rFonts w:eastAsia="Times New Roman"/>
          <w:color w:val="0E101A"/>
          <w:highlight w:val="yellow"/>
        </w:rPr>
        <w:t>,</w:t>
      </w:r>
      <w:r w:rsidR="00F043C7">
        <w:rPr>
          <w:rFonts w:eastAsia="Times New Roman"/>
          <w:color w:val="0E101A"/>
          <w:highlight w:val="yellow"/>
        </w:rPr>
        <w:t xml:space="preserve"> s</w:t>
      </w:r>
      <w:r w:rsidR="00042894" w:rsidRPr="00AA24D3">
        <w:rPr>
          <w:rFonts w:eastAsia="Times New Roman"/>
          <w:color w:val="0E101A"/>
          <w:highlight w:val="yellow"/>
        </w:rPr>
        <w:t>can the plate barcode with the handheld barcode reader. If the plate has already been imaged, it will not require a new name.</w:t>
      </w:r>
    </w:p>
    <w:p w14:paraId="1EEBCB77" w14:textId="77777777" w:rsidR="001D0B7F" w:rsidRPr="00AA24D3" w:rsidRDefault="001D0B7F" w:rsidP="00972F6D">
      <w:pPr>
        <w:widowControl/>
        <w:rPr>
          <w:rFonts w:eastAsia="Times New Roman"/>
          <w:color w:val="0E101A"/>
          <w:highlight w:val="yellow"/>
        </w:rPr>
      </w:pPr>
    </w:p>
    <w:p w14:paraId="1E32B375" w14:textId="473F4AD2" w:rsidR="00A37C3E" w:rsidRDefault="00C7440B" w:rsidP="00972F6D">
      <w:pPr>
        <w:widowControl/>
        <w:rPr>
          <w:rFonts w:eastAsia="Times New Roman"/>
          <w:b/>
          <w:bCs/>
          <w:color w:val="0E101A"/>
          <w:highlight w:val="yellow"/>
        </w:rPr>
      </w:pPr>
      <w:r w:rsidRPr="00AA24D3">
        <w:rPr>
          <w:rFonts w:eastAsia="Times New Roman"/>
          <w:color w:val="0E101A"/>
          <w:highlight w:val="yellow"/>
        </w:rPr>
        <w:t>9.2.</w:t>
      </w:r>
      <w:r w:rsidR="004F76AF">
        <w:rPr>
          <w:rFonts w:eastAsia="Times New Roman"/>
          <w:color w:val="0E101A"/>
          <w:highlight w:val="yellow"/>
        </w:rPr>
        <w:tab/>
      </w:r>
      <w:r w:rsidR="00042894" w:rsidRPr="00AA24D3">
        <w:rPr>
          <w:rFonts w:eastAsia="Times New Roman"/>
          <w:color w:val="0E101A"/>
          <w:highlight w:val="yellow"/>
        </w:rPr>
        <w:t xml:space="preserve">Select </w:t>
      </w:r>
      <w:r w:rsidR="00042894" w:rsidRPr="00111B61">
        <w:rPr>
          <w:rFonts w:eastAsia="Times New Roman"/>
          <w:b/>
          <w:bCs/>
          <w:color w:val="0E101A"/>
          <w:highlight w:val="yellow"/>
        </w:rPr>
        <w:t>Fluorescence &amp; Cell Count</w:t>
      </w:r>
      <w:r w:rsidR="00042894" w:rsidRPr="00AA24D3">
        <w:rPr>
          <w:rFonts w:eastAsia="Times New Roman"/>
          <w:color w:val="0E101A"/>
          <w:highlight w:val="yellow"/>
        </w:rPr>
        <w:t>,</w:t>
      </w:r>
      <w:r w:rsidR="004F76AF">
        <w:rPr>
          <w:rFonts w:eastAsia="Times New Roman"/>
          <w:color w:val="0E101A"/>
          <w:highlight w:val="yellow"/>
        </w:rPr>
        <w:t xml:space="preserve"> </w:t>
      </w:r>
      <w:r w:rsidR="001D0B7F">
        <w:rPr>
          <w:rFonts w:eastAsia="Times New Roman"/>
          <w:color w:val="0E101A"/>
          <w:highlight w:val="yellow"/>
        </w:rPr>
        <w:t>p</w:t>
      </w:r>
      <w:r w:rsidR="00042894" w:rsidRPr="00AA24D3">
        <w:rPr>
          <w:rFonts w:eastAsia="Times New Roman"/>
          <w:color w:val="0E101A"/>
          <w:highlight w:val="yellow"/>
        </w:rPr>
        <w:t>lace the cell plate on the tray holder</w:t>
      </w:r>
      <w:r w:rsidR="00746913">
        <w:rPr>
          <w:rFonts w:eastAsia="Times New Roman"/>
          <w:color w:val="0E101A"/>
          <w:highlight w:val="yellow"/>
        </w:rPr>
        <w:t>,</w:t>
      </w:r>
      <w:r w:rsidR="001D0B7F">
        <w:rPr>
          <w:rFonts w:eastAsia="Times New Roman"/>
          <w:color w:val="0E101A"/>
          <w:highlight w:val="yellow"/>
        </w:rPr>
        <w:t xml:space="preserve"> and </w:t>
      </w:r>
      <w:r w:rsidR="00A11981">
        <w:rPr>
          <w:rFonts w:eastAsia="Times New Roman"/>
          <w:color w:val="0E101A"/>
          <w:highlight w:val="yellow"/>
        </w:rPr>
        <w:t>c</w:t>
      </w:r>
      <w:r w:rsidR="00042894" w:rsidRPr="00AA24D3">
        <w:rPr>
          <w:rFonts w:eastAsia="Times New Roman"/>
          <w:color w:val="0E101A"/>
          <w:highlight w:val="yellow"/>
        </w:rPr>
        <w:t>lick</w:t>
      </w:r>
      <w:r w:rsidR="004F76AF">
        <w:rPr>
          <w:rFonts w:eastAsia="Times New Roman"/>
          <w:color w:val="0E101A"/>
          <w:highlight w:val="yellow"/>
        </w:rPr>
        <w:t xml:space="preserve"> on</w:t>
      </w:r>
      <w:r w:rsidR="00042894" w:rsidRPr="00AA24D3">
        <w:rPr>
          <w:rFonts w:eastAsia="Times New Roman"/>
          <w:color w:val="0E101A"/>
          <w:highlight w:val="yellow"/>
        </w:rPr>
        <w:t xml:space="preserve"> </w:t>
      </w:r>
      <w:r w:rsidR="00042894" w:rsidRPr="00111B61">
        <w:rPr>
          <w:rFonts w:eastAsia="Times New Roman"/>
          <w:b/>
          <w:bCs/>
          <w:color w:val="0E101A"/>
          <w:highlight w:val="yellow"/>
        </w:rPr>
        <w:t>Close</w:t>
      </w:r>
      <w:r w:rsidR="00042894" w:rsidRPr="00AA24D3">
        <w:rPr>
          <w:rFonts w:eastAsia="Times New Roman"/>
          <w:color w:val="0E101A"/>
          <w:highlight w:val="yellow"/>
        </w:rPr>
        <w:t xml:space="preserve"> </w:t>
      </w:r>
      <w:r w:rsidR="00042894" w:rsidRPr="00111B61">
        <w:rPr>
          <w:rFonts w:eastAsia="Times New Roman"/>
          <w:b/>
          <w:bCs/>
          <w:color w:val="0E101A"/>
          <w:highlight w:val="yellow"/>
        </w:rPr>
        <w:t>Tray</w:t>
      </w:r>
      <w:r w:rsidR="00042894" w:rsidRPr="007E602D">
        <w:rPr>
          <w:rFonts w:eastAsia="Times New Roman"/>
          <w:color w:val="0E101A"/>
          <w:highlight w:val="yellow"/>
        </w:rPr>
        <w:t>.</w:t>
      </w:r>
    </w:p>
    <w:p w14:paraId="64B28F78" w14:textId="77777777" w:rsidR="0069091C" w:rsidRPr="00AA24D3" w:rsidRDefault="0069091C" w:rsidP="00972F6D">
      <w:pPr>
        <w:widowControl/>
        <w:rPr>
          <w:rFonts w:eastAsia="Times New Roman"/>
          <w:color w:val="0E101A"/>
          <w:highlight w:val="yellow"/>
        </w:rPr>
      </w:pPr>
    </w:p>
    <w:p w14:paraId="203A6F8C" w14:textId="6226480F" w:rsidR="00042894" w:rsidRDefault="00C7440B" w:rsidP="00972F6D">
      <w:pPr>
        <w:widowControl/>
        <w:rPr>
          <w:rFonts w:eastAsia="Times New Roman"/>
          <w:color w:val="0E101A"/>
          <w:highlight w:val="yellow"/>
        </w:rPr>
      </w:pPr>
      <w:r w:rsidRPr="00AA24D3">
        <w:rPr>
          <w:rFonts w:eastAsia="Times New Roman"/>
          <w:color w:val="0E101A"/>
          <w:highlight w:val="yellow"/>
        </w:rPr>
        <w:t>9.</w:t>
      </w:r>
      <w:r w:rsidR="0069091C">
        <w:rPr>
          <w:rFonts w:eastAsia="Times New Roman"/>
          <w:color w:val="0E101A"/>
          <w:highlight w:val="yellow"/>
        </w:rPr>
        <w:t>3</w:t>
      </w:r>
      <w:r w:rsidRPr="00AA24D3">
        <w:rPr>
          <w:rFonts w:eastAsia="Times New Roman"/>
          <w:color w:val="0E101A"/>
          <w:highlight w:val="yellow"/>
        </w:rPr>
        <w:t>.</w:t>
      </w:r>
      <w:r w:rsidR="004F76AF">
        <w:rPr>
          <w:rFonts w:eastAsia="Times New Roman"/>
          <w:color w:val="0E101A"/>
          <w:highlight w:val="yellow"/>
        </w:rPr>
        <w:tab/>
      </w:r>
      <w:r w:rsidR="00042894" w:rsidRPr="00AA24D3">
        <w:rPr>
          <w:rFonts w:eastAsia="Times New Roman"/>
          <w:color w:val="0E101A"/>
          <w:highlight w:val="yellow"/>
        </w:rPr>
        <w:t>In the image acquisition window, select</w:t>
      </w:r>
      <w:r w:rsidR="004F76AF">
        <w:rPr>
          <w:rFonts w:eastAsia="Times New Roman"/>
          <w:color w:val="0E101A"/>
          <w:highlight w:val="yellow"/>
        </w:rPr>
        <w:t xml:space="preserve"> </w:t>
      </w:r>
      <w:r w:rsidR="00042894" w:rsidRPr="00AA24D3">
        <w:rPr>
          <w:rFonts w:eastAsia="Times New Roman"/>
          <w:b/>
          <w:bCs/>
          <w:color w:val="0E101A"/>
          <w:highlight w:val="yellow"/>
        </w:rPr>
        <w:t>Scan All Wells</w:t>
      </w:r>
      <w:r w:rsidR="004F76AF">
        <w:rPr>
          <w:rFonts w:eastAsia="Times New Roman"/>
          <w:color w:val="0E101A"/>
          <w:highlight w:val="yellow"/>
        </w:rPr>
        <w:t xml:space="preserve"> </w:t>
      </w:r>
      <w:r w:rsidR="00042894" w:rsidRPr="00AA24D3">
        <w:rPr>
          <w:rFonts w:eastAsia="Times New Roman"/>
          <w:color w:val="0E101A"/>
          <w:highlight w:val="yellow"/>
        </w:rPr>
        <w:t>to begin imaging. Fluorescence imaging takes about 15</w:t>
      </w:r>
      <w:r w:rsidR="004F76AF">
        <w:rPr>
          <w:rFonts w:eastAsia="Times New Roman"/>
          <w:color w:val="0E101A"/>
          <w:highlight w:val="yellow"/>
        </w:rPr>
        <w:t>–</w:t>
      </w:r>
      <w:r w:rsidR="00042894" w:rsidRPr="00AA24D3">
        <w:rPr>
          <w:rFonts w:eastAsia="Times New Roman"/>
          <w:color w:val="0E101A"/>
          <w:highlight w:val="yellow"/>
        </w:rPr>
        <w:t>20 min to scan the entire plate.</w:t>
      </w:r>
      <w:r w:rsidR="0069091C">
        <w:rPr>
          <w:rFonts w:eastAsia="Times New Roman"/>
          <w:color w:val="0E101A"/>
          <w:highlight w:val="yellow"/>
        </w:rPr>
        <w:t xml:space="preserve"> Observe the </w:t>
      </w:r>
      <w:r w:rsidR="0069091C" w:rsidRPr="00AA24D3">
        <w:rPr>
          <w:rFonts w:eastAsia="Times New Roman"/>
          <w:color w:val="0E101A"/>
          <w:highlight w:val="yellow"/>
        </w:rPr>
        <w:t xml:space="preserve">green </w:t>
      </w:r>
      <w:r w:rsidR="0069091C">
        <w:rPr>
          <w:rFonts w:eastAsia="Times New Roman"/>
          <w:color w:val="0E101A"/>
          <w:highlight w:val="yellow"/>
        </w:rPr>
        <w:t>t</w:t>
      </w:r>
      <w:r w:rsidR="0069091C" w:rsidRPr="00AA24D3">
        <w:rPr>
          <w:rFonts w:eastAsia="Times New Roman"/>
          <w:color w:val="0E101A"/>
          <w:highlight w:val="yellow"/>
        </w:rPr>
        <w:t xml:space="preserve">ick </w:t>
      </w:r>
      <w:r w:rsidR="0069091C">
        <w:rPr>
          <w:rFonts w:eastAsia="Times New Roman"/>
          <w:color w:val="0E101A"/>
          <w:highlight w:val="yellow"/>
        </w:rPr>
        <w:t>m</w:t>
      </w:r>
      <w:r w:rsidR="0069091C" w:rsidRPr="00AA24D3">
        <w:rPr>
          <w:rFonts w:eastAsia="Times New Roman"/>
          <w:color w:val="0E101A"/>
          <w:highlight w:val="yellow"/>
        </w:rPr>
        <w:t>ark denoting</w:t>
      </w:r>
      <w:r w:rsidR="0069091C">
        <w:rPr>
          <w:rFonts w:eastAsia="Times New Roman"/>
          <w:color w:val="0E101A"/>
          <w:highlight w:val="yellow"/>
        </w:rPr>
        <w:t xml:space="preserve"> </w:t>
      </w:r>
      <w:r w:rsidR="00042894" w:rsidRPr="00AA24D3">
        <w:rPr>
          <w:rFonts w:eastAsia="Times New Roman"/>
          <w:color w:val="0E101A"/>
          <w:highlight w:val="yellow"/>
        </w:rPr>
        <w:t>that the scan has been completed.</w:t>
      </w:r>
    </w:p>
    <w:p w14:paraId="23EC6A62" w14:textId="77777777" w:rsidR="0069091C" w:rsidRPr="00AA24D3" w:rsidRDefault="0069091C" w:rsidP="00972F6D">
      <w:pPr>
        <w:widowControl/>
        <w:rPr>
          <w:rFonts w:eastAsia="Times New Roman"/>
          <w:color w:val="0E101A"/>
          <w:highlight w:val="yellow"/>
        </w:rPr>
      </w:pPr>
    </w:p>
    <w:p w14:paraId="7CD62359" w14:textId="71A74542" w:rsidR="00042894" w:rsidRDefault="00C7440B" w:rsidP="00972F6D">
      <w:pPr>
        <w:widowControl/>
        <w:rPr>
          <w:rFonts w:eastAsia="Times New Roman"/>
          <w:color w:val="0E101A"/>
          <w:highlight w:val="yellow"/>
        </w:rPr>
      </w:pPr>
      <w:r w:rsidRPr="00AA24D3">
        <w:rPr>
          <w:rFonts w:eastAsia="Times New Roman"/>
          <w:color w:val="0E101A"/>
          <w:highlight w:val="yellow"/>
        </w:rPr>
        <w:t>9.</w:t>
      </w:r>
      <w:r w:rsidR="0069091C">
        <w:rPr>
          <w:rFonts w:eastAsia="Times New Roman"/>
          <w:color w:val="0E101A"/>
          <w:highlight w:val="yellow"/>
        </w:rPr>
        <w:t>4.</w:t>
      </w:r>
      <w:r w:rsidR="0069091C">
        <w:rPr>
          <w:rFonts w:eastAsia="Times New Roman"/>
          <w:color w:val="0E101A"/>
          <w:highlight w:val="yellow"/>
        </w:rPr>
        <w:tab/>
      </w:r>
      <w:r w:rsidR="00042894" w:rsidRPr="00AA24D3">
        <w:rPr>
          <w:rFonts w:eastAsia="Times New Roman"/>
          <w:color w:val="0E101A"/>
          <w:highlight w:val="yellow"/>
        </w:rPr>
        <w:t xml:space="preserve">Review the fluorescent images and cell counts in the </w:t>
      </w:r>
      <w:r w:rsidR="00BB2947">
        <w:rPr>
          <w:rFonts w:eastAsia="Times New Roman"/>
          <w:color w:val="0E101A"/>
          <w:highlight w:val="yellow"/>
        </w:rPr>
        <w:t>i</w:t>
      </w:r>
      <w:r w:rsidR="00042894" w:rsidRPr="00AA24D3">
        <w:rPr>
          <w:rFonts w:eastAsia="Times New Roman"/>
          <w:color w:val="0E101A"/>
          <w:highlight w:val="yellow"/>
        </w:rPr>
        <w:t xml:space="preserve">maging and </w:t>
      </w:r>
      <w:r w:rsidR="00BB2947">
        <w:rPr>
          <w:rFonts w:eastAsia="Times New Roman"/>
          <w:color w:val="0E101A"/>
          <w:highlight w:val="yellow"/>
        </w:rPr>
        <w:t>c</w:t>
      </w:r>
      <w:r w:rsidR="00042894" w:rsidRPr="00AA24D3">
        <w:rPr>
          <w:rFonts w:eastAsia="Times New Roman"/>
          <w:color w:val="0E101A"/>
          <w:highlight w:val="yellow"/>
        </w:rPr>
        <w:t xml:space="preserve">ell </w:t>
      </w:r>
      <w:r w:rsidR="00BB2947">
        <w:rPr>
          <w:rFonts w:eastAsia="Times New Roman"/>
          <w:color w:val="0E101A"/>
          <w:highlight w:val="yellow"/>
        </w:rPr>
        <w:t>i</w:t>
      </w:r>
      <w:r w:rsidR="00042894" w:rsidRPr="00AA24D3">
        <w:rPr>
          <w:rFonts w:eastAsia="Times New Roman"/>
          <w:color w:val="0E101A"/>
          <w:highlight w:val="yellow"/>
        </w:rPr>
        <w:t>maging application by randomly clicking on a couple of the wells.</w:t>
      </w:r>
    </w:p>
    <w:p w14:paraId="622A452D" w14:textId="77777777" w:rsidR="0069091C" w:rsidRPr="00AA24D3" w:rsidRDefault="0069091C" w:rsidP="00972F6D">
      <w:pPr>
        <w:widowControl/>
        <w:rPr>
          <w:rFonts w:eastAsia="Times New Roman"/>
          <w:color w:val="0E101A"/>
          <w:highlight w:val="yellow"/>
        </w:rPr>
      </w:pPr>
    </w:p>
    <w:p w14:paraId="3E171733" w14:textId="04EB7AC6" w:rsidR="00042894" w:rsidRPr="00120856" w:rsidRDefault="00BB2947" w:rsidP="00972F6D">
      <w:pPr>
        <w:widowControl/>
        <w:rPr>
          <w:rFonts w:eastAsia="Times New Roman"/>
          <w:color w:val="0E101A"/>
        </w:rPr>
      </w:pPr>
      <w:r w:rsidRPr="00120856">
        <w:rPr>
          <w:rFonts w:eastAsia="Times New Roman"/>
          <w:color w:val="0E101A"/>
        </w:rPr>
        <w:t xml:space="preserve">NOTE: </w:t>
      </w:r>
      <w:r w:rsidR="00042894" w:rsidRPr="00111B61">
        <w:rPr>
          <w:rFonts w:eastAsia="Times New Roman"/>
          <w:color w:val="0E101A"/>
        </w:rPr>
        <w:t xml:space="preserve">There is an option to </w:t>
      </w:r>
      <w:r w:rsidR="008115AC">
        <w:rPr>
          <w:rFonts w:eastAsia="Times New Roman"/>
          <w:color w:val="0E101A"/>
        </w:rPr>
        <w:t>v</w:t>
      </w:r>
      <w:r w:rsidR="00042894" w:rsidRPr="00111B61">
        <w:rPr>
          <w:rFonts w:eastAsia="Times New Roman"/>
          <w:color w:val="0E101A"/>
        </w:rPr>
        <w:t xml:space="preserve">iew </w:t>
      </w:r>
      <w:r w:rsidR="008115AC">
        <w:rPr>
          <w:rFonts w:eastAsia="Times New Roman"/>
          <w:color w:val="0E101A"/>
        </w:rPr>
        <w:t>c</w:t>
      </w:r>
      <w:r w:rsidR="00042894" w:rsidRPr="00111B61">
        <w:rPr>
          <w:rFonts w:eastAsia="Times New Roman"/>
          <w:color w:val="0E101A"/>
        </w:rPr>
        <w:t xml:space="preserve">ounted </w:t>
      </w:r>
      <w:r w:rsidR="008115AC">
        <w:rPr>
          <w:rFonts w:eastAsia="Times New Roman"/>
          <w:color w:val="0E101A"/>
        </w:rPr>
        <w:t>c</w:t>
      </w:r>
      <w:r w:rsidR="00042894" w:rsidRPr="00111B61">
        <w:rPr>
          <w:rFonts w:eastAsia="Times New Roman"/>
          <w:color w:val="0E101A"/>
        </w:rPr>
        <w:t>ells on the bottom right of the screen. This option shows a masked image, highlighting the objects that were counted.</w:t>
      </w:r>
    </w:p>
    <w:p w14:paraId="0262B31C" w14:textId="77777777" w:rsidR="00BB2947" w:rsidRPr="00AA24D3" w:rsidRDefault="00BB2947" w:rsidP="00972F6D">
      <w:pPr>
        <w:widowControl/>
        <w:rPr>
          <w:rFonts w:eastAsia="Times New Roman"/>
          <w:color w:val="0E101A"/>
          <w:highlight w:val="yellow"/>
        </w:rPr>
      </w:pPr>
    </w:p>
    <w:p w14:paraId="16E1E1C3" w14:textId="3918DEB3" w:rsidR="00042894" w:rsidRPr="00AA24D3" w:rsidRDefault="00BB2947" w:rsidP="00972F6D">
      <w:pPr>
        <w:widowControl/>
        <w:rPr>
          <w:rFonts w:eastAsia="Times New Roman"/>
          <w:color w:val="0E101A"/>
          <w:highlight w:val="yellow"/>
        </w:rPr>
      </w:pPr>
      <w:r>
        <w:rPr>
          <w:rFonts w:eastAsia="Times New Roman"/>
          <w:color w:val="0E101A"/>
          <w:highlight w:val="yellow"/>
        </w:rPr>
        <w:t>9.5.</w:t>
      </w:r>
      <w:r>
        <w:rPr>
          <w:rFonts w:eastAsia="Times New Roman"/>
          <w:color w:val="0E101A"/>
          <w:highlight w:val="yellow"/>
        </w:rPr>
        <w:tab/>
      </w:r>
      <w:r w:rsidR="00042894" w:rsidRPr="00AA24D3">
        <w:rPr>
          <w:rFonts w:eastAsia="Times New Roman"/>
          <w:color w:val="0E101A"/>
          <w:highlight w:val="yellow"/>
        </w:rPr>
        <w:t xml:space="preserve">Once the fluorescence imaging is complete, </w:t>
      </w:r>
      <w:r>
        <w:rPr>
          <w:rFonts w:eastAsia="Times New Roman"/>
          <w:color w:val="0E101A"/>
          <w:highlight w:val="yellow"/>
        </w:rPr>
        <w:t xml:space="preserve">export </w:t>
      </w:r>
      <w:r w:rsidR="00042894" w:rsidRPr="00AA24D3">
        <w:rPr>
          <w:rFonts w:eastAsia="Times New Roman"/>
          <w:color w:val="0E101A"/>
          <w:highlight w:val="yellow"/>
        </w:rPr>
        <w:t>the images for additional references.</w:t>
      </w:r>
    </w:p>
    <w:p w14:paraId="3CE1B430" w14:textId="77777777" w:rsidR="00252B25" w:rsidRPr="00AA24D3" w:rsidRDefault="00252B25" w:rsidP="00972F6D">
      <w:pPr>
        <w:widowControl/>
        <w:rPr>
          <w:rFonts w:eastAsia="Times New Roman"/>
          <w:color w:val="0E101A"/>
          <w:highlight w:val="yellow"/>
        </w:rPr>
      </w:pPr>
    </w:p>
    <w:p w14:paraId="401B07AC" w14:textId="0A245E42" w:rsidR="00D9010A" w:rsidRPr="00AA24D3" w:rsidRDefault="00C7440B" w:rsidP="00972F6D">
      <w:pPr>
        <w:widowControl/>
        <w:rPr>
          <w:rFonts w:eastAsia="Times New Roman"/>
          <w:color w:val="0E101A"/>
          <w:highlight w:val="yellow"/>
        </w:rPr>
      </w:pPr>
      <w:r w:rsidRPr="00AA24D3">
        <w:rPr>
          <w:rFonts w:eastAsia="Times New Roman"/>
          <w:color w:val="0E101A"/>
          <w:highlight w:val="yellow"/>
        </w:rPr>
        <w:t>9</w:t>
      </w:r>
      <w:r w:rsidR="003D427D">
        <w:rPr>
          <w:rFonts w:eastAsia="Times New Roman"/>
          <w:color w:val="0E101A"/>
          <w:highlight w:val="yellow"/>
        </w:rPr>
        <w:t>.6.</w:t>
      </w:r>
      <w:r w:rsidR="003D427D">
        <w:rPr>
          <w:rFonts w:eastAsia="Times New Roman"/>
          <w:color w:val="0E101A"/>
          <w:highlight w:val="yellow"/>
        </w:rPr>
        <w:tab/>
      </w:r>
      <w:r w:rsidR="00042894" w:rsidRPr="00AA24D3">
        <w:rPr>
          <w:rFonts w:eastAsia="Times New Roman"/>
          <w:color w:val="0E101A"/>
          <w:highlight w:val="yellow"/>
        </w:rPr>
        <w:t>Once the imaging and cell count is complete</w:t>
      </w:r>
      <w:r w:rsidR="003D427D">
        <w:rPr>
          <w:rFonts w:eastAsia="Times New Roman"/>
          <w:color w:val="0E101A"/>
          <w:highlight w:val="yellow"/>
        </w:rPr>
        <w:t>, o</w:t>
      </w:r>
      <w:r w:rsidR="00042894" w:rsidRPr="00AA24D3">
        <w:rPr>
          <w:rFonts w:eastAsia="Times New Roman"/>
          <w:color w:val="0E101A"/>
          <w:highlight w:val="yellow"/>
        </w:rPr>
        <w:t xml:space="preserve">pen the </w:t>
      </w:r>
      <w:r w:rsidR="004F76AF" w:rsidRPr="007E602D">
        <w:rPr>
          <w:rFonts w:eastAsia="Times New Roman"/>
          <w:b/>
          <w:bCs/>
          <w:color w:val="0E101A"/>
          <w:highlight w:val="yellow"/>
        </w:rPr>
        <w:t>Results</w:t>
      </w:r>
      <w:r w:rsidR="004F76AF" w:rsidRPr="00AA24D3">
        <w:rPr>
          <w:rFonts w:eastAsia="Times New Roman"/>
          <w:color w:val="0E101A"/>
          <w:highlight w:val="yellow"/>
        </w:rPr>
        <w:t xml:space="preserve"> </w:t>
      </w:r>
      <w:r w:rsidR="00042894" w:rsidRPr="00AA24D3">
        <w:rPr>
          <w:rFonts w:eastAsia="Times New Roman"/>
          <w:color w:val="0E101A"/>
          <w:highlight w:val="yellow"/>
        </w:rPr>
        <w:t xml:space="preserve">file and click on </w:t>
      </w:r>
      <w:r w:rsidR="00D9010A">
        <w:rPr>
          <w:rFonts w:eastAsia="Times New Roman"/>
          <w:b/>
          <w:bCs/>
          <w:color w:val="0E101A"/>
          <w:highlight w:val="yellow"/>
        </w:rPr>
        <w:t>N</w:t>
      </w:r>
      <w:r w:rsidR="00042894" w:rsidRPr="00111B61">
        <w:rPr>
          <w:rFonts w:eastAsia="Times New Roman"/>
          <w:b/>
          <w:bCs/>
          <w:color w:val="0E101A"/>
          <w:highlight w:val="yellow"/>
        </w:rPr>
        <w:t>ormalize</w:t>
      </w:r>
      <w:r w:rsidR="00042894" w:rsidRPr="00AA24D3">
        <w:rPr>
          <w:rFonts w:eastAsia="Times New Roman"/>
          <w:color w:val="0E101A"/>
          <w:highlight w:val="yellow"/>
        </w:rPr>
        <w:t>.</w:t>
      </w:r>
      <w:r w:rsidR="004F76AF">
        <w:rPr>
          <w:rFonts w:eastAsia="Times New Roman"/>
          <w:color w:val="0E101A"/>
          <w:highlight w:val="yellow"/>
        </w:rPr>
        <w:t xml:space="preserve"> </w:t>
      </w:r>
      <w:r w:rsidR="0040561E" w:rsidRPr="00AA24D3">
        <w:rPr>
          <w:rFonts w:eastAsia="Times New Roman"/>
          <w:color w:val="0E101A"/>
          <w:highlight w:val="yellow"/>
        </w:rPr>
        <w:t>The normalization screen will give the plate layout and an option to import the cell count.</w:t>
      </w:r>
    </w:p>
    <w:p w14:paraId="1D21D398" w14:textId="77777777" w:rsidR="0040561E" w:rsidRDefault="0040561E" w:rsidP="00972F6D">
      <w:pPr>
        <w:widowControl/>
        <w:rPr>
          <w:rFonts w:eastAsia="Times New Roman"/>
          <w:color w:val="0E101A"/>
          <w:highlight w:val="yellow"/>
        </w:rPr>
      </w:pPr>
    </w:p>
    <w:p w14:paraId="643E4B42" w14:textId="0F932808" w:rsidR="00252B25" w:rsidRDefault="0040561E" w:rsidP="00796335">
      <w:pPr>
        <w:widowControl/>
        <w:rPr>
          <w:rFonts w:eastAsia="Times New Roman"/>
          <w:color w:val="0E101A"/>
        </w:rPr>
      </w:pPr>
      <w:r>
        <w:rPr>
          <w:rFonts w:eastAsia="Times New Roman"/>
          <w:color w:val="0E101A"/>
          <w:highlight w:val="yellow"/>
        </w:rPr>
        <w:t>9.7.</w:t>
      </w:r>
      <w:r>
        <w:rPr>
          <w:rFonts w:eastAsia="Times New Roman"/>
          <w:color w:val="0E101A"/>
          <w:highlight w:val="yellow"/>
        </w:rPr>
        <w:tab/>
      </w:r>
      <w:r w:rsidR="00042894" w:rsidRPr="00AA24D3">
        <w:rPr>
          <w:rFonts w:eastAsia="Times New Roman"/>
          <w:color w:val="0E101A"/>
          <w:highlight w:val="yellow"/>
        </w:rPr>
        <w:t>Click</w:t>
      </w:r>
      <w:r w:rsidR="00770C33">
        <w:rPr>
          <w:rFonts w:eastAsia="Times New Roman"/>
          <w:color w:val="0E101A"/>
          <w:highlight w:val="yellow"/>
        </w:rPr>
        <w:t xml:space="preserve"> on</w:t>
      </w:r>
      <w:r w:rsidR="00042894" w:rsidRPr="00AA24D3">
        <w:rPr>
          <w:rFonts w:eastAsia="Times New Roman"/>
          <w:color w:val="0E101A"/>
          <w:highlight w:val="yellow"/>
        </w:rPr>
        <w:t xml:space="preserve"> </w:t>
      </w:r>
      <w:r w:rsidR="005362E6">
        <w:rPr>
          <w:rFonts w:eastAsia="Times New Roman"/>
          <w:b/>
          <w:bCs/>
          <w:color w:val="0E101A"/>
          <w:highlight w:val="yellow"/>
        </w:rPr>
        <w:t>I</w:t>
      </w:r>
      <w:r w:rsidR="00042894" w:rsidRPr="00111B61">
        <w:rPr>
          <w:rFonts w:eastAsia="Times New Roman"/>
          <w:b/>
          <w:bCs/>
          <w:color w:val="0E101A"/>
          <w:highlight w:val="yellow"/>
        </w:rPr>
        <w:t xml:space="preserve">mport </w:t>
      </w:r>
      <w:r w:rsidR="00042894" w:rsidRPr="00AA24D3">
        <w:rPr>
          <w:rFonts w:eastAsia="Times New Roman"/>
          <w:color w:val="0E101A"/>
          <w:highlight w:val="yellow"/>
        </w:rPr>
        <w:t xml:space="preserve">and select </w:t>
      </w:r>
      <w:r w:rsidR="005362E6">
        <w:rPr>
          <w:rFonts w:eastAsia="Times New Roman"/>
          <w:b/>
          <w:bCs/>
          <w:color w:val="0E101A"/>
          <w:highlight w:val="yellow"/>
        </w:rPr>
        <w:t>A</w:t>
      </w:r>
      <w:r w:rsidR="00042894" w:rsidRPr="00111B61">
        <w:rPr>
          <w:rFonts w:eastAsia="Times New Roman"/>
          <w:b/>
          <w:bCs/>
          <w:color w:val="0E101A"/>
          <w:highlight w:val="yellow"/>
        </w:rPr>
        <w:t>pply</w:t>
      </w:r>
      <w:r w:rsidR="00042894" w:rsidRPr="00AA24D3">
        <w:rPr>
          <w:rFonts w:eastAsia="Times New Roman"/>
          <w:color w:val="0E101A"/>
          <w:highlight w:val="yellow"/>
        </w:rPr>
        <w:t xml:space="preserve"> for the desktop software to </w:t>
      </w:r>
      <w:r w:rsidR="00746913">
        <w:rPr>
          <w:rFonts w:eastAsia="Times New Roman"/>
          <w:color w:val="0E101A"/>
          <w:highlight w:val="yellow"/>
        </w:rPr>
        <w:t>normalize the assay with cell count automatically</w:t>
      </w:r>
      <w:r w:rsidR="00042894" w:rsidRPr="00AA24D3">
        <w:rPr>
          <w:rFonts w:eastAsia="Times New Roman"/>
          <w:color w:val="0E101A"/>
          <w:highlight w:val="yellow"/>
        </w:rPr>
        <w:t>.</w:t>
      </w:r>
    </w:p>
    <w:p w14:paraId="38850C74" w14:textId="77777777" w:rsidR="004C40F1" w:rsidRPr="00AA24D3" w:rsidRDefault="004C40F1" w:rsidP="00796335">
      <w:pPr>
        <w:widowControl/>
        <w:rPr>
          <w:rFonts w:eastAsia="Times New Roman"/>
          <w:color w:val="0E101A"/>
        </w:rPr>
      </w:pPr>
    </w:p>
    <w:p w14:paraId="4B90694D" w14:textId="5EBDB239" w:rsidR="00942622" w:rsidRDefault="00942622" w:rsidP="00AA24D3">
      <w:pPr>
        <w:widowControl/>
        <w:jc w:val="left"/>
        <w:rPr>
          <w:rFonts w:eastAsia="Times New Roman"/>
          <w:b/>
          <w:bCs/>
          <w:color w:val="0E101A"/>
        </w:rPr>
      </w:pPr>
      <w:r w:rsidRPr="00AA24D3">
        <w:rPr>
          <w:rFonts w:eastAsia="Times New Roman"/>
          <w:b/>
          <w:bCs/>
          <w:color w:val="0E101A"/>
        </w:rPr>
        <w:t>REPRESENTATIVE RESULTS:</w:t>
      </w:r>
    </w:p>
    <w:p w14:paraId="533DDF96" w14:textId="77777777" w:rsidR="005362E6" w:rsidRPr="00AA24D3" w:rsidRDefault="005362E6" w:rsidP="00AA24D3">
      <w:pPr>
        <w:widowControl/>
        <w:jc w:val="left"/>
        <w:rPr>
          <w:rFonts w:eastAsia="Times New Roman"/>
          <w:color w:val="0E101A"/>
        </w:rPr>
      </w:pPr>
    </w:p>
    <w:p w14:paraId="7E249DCA" w14:textId="000B0E08" w:rsidR="00942622" w:rsidRPr="00120856" w:rsidRDefault="00942622" w:rsidP="00AA24D3">
      <w:pPr>
        <w:widowControl/>
        <w:jc w:val="left"/>
        <w:rPr>
          <w:rFonts w:eastAsia="Times New Roman"/>
          <w:color w:val="0E101A"/>
        </w:rPr>
      </w:pPr>
      <w:r w:rsidRPr="00111B61">
        <w:rPr>
          <w:rFonts w:eastAsia="Times New Roman"/>
          <w:color w:val="0E101A"/>
        </w:rPr>
        <w:t xml:space="preserve">[Place </w:t>
      </w:r>
      <w:r w:rsidR="005362E6" w:rsidRPr="00120856">
        <w:rPr>
          <w:rFonts w:eastAsia="Times New Roman"/>
          <w:b/>
          <w:bCs/>
          <w:color w:val="0E101A"/>
        </w:rPr>
        <w:t xml:space="preserve">Figure </w:t>
      </w:r>
      <w:r w:rsidR="000F1266" w:rsidRPr="00111B61">
        <w:rPr>
          <w:rFonts w:eastAsia="Times New Roman"/>
          <w:b/>
          <w:bCs/>
          <w:color w:val="0E101A"/>
        </w:rPr>
        <w:t>6</w:t>
      </w:r>
      <w:r w:rsidRPr="00111B61">
        <w:rPr>
          <w:rFonts w:eastAsia="Times New Roman"/>
          <w:color w:val="0E101A"/>
        </w:rPr>
        <w:t xml:space="preserve"> here]</w:t>
      </w:r>
    </w:p>
    <w:p w14:paraId="026116B3" w14:textId="77777777" w:rsidR="005362E6" w:rsidRPr="00AA24D3" w:rsidRDefault="005362E6" w:rsidP="00AA24D3">
      <w:pPr>
        <w:widowControl/>
        <w:jc w:val="left"/>
        <w:rPr>
          <w:rFonts w:eastAsia="Times New Roman"/>
          <w:color w:val="0E101A"/>
        </w:rPr>
      </w:pPr>
    </w:p>
    <w:p w14:paraId="5DC64106" w14:textId="2E6B2553" w:rsidR="00942622" w:rsidRDefault="00942622" w:rsidP="00972F6D">
      <w:pPr>
        <w:widowControl/>
        <w:rPr>
          <w:rFonts w:eastAsia="Times New Roman"/>
          <w:color w:val="0E101A"/>
        </w:rPr>
      </w:pPr>
      <w:r w:rsidRPr="00AA24D3">
        <w:rPr>
          <w:rFonts w:eastAsia="Times New Roman"/>
          <w:color w:val="0E101A"/>
        </w:rPr>
        <w:t xml:space="preserve">The protocol describes </w:t>
      </w:r>
      <w:r w:rsidR="00161488">
        <w:rPr>
          <w:rFonts w:eastAsia="Times New Roman"/>
          <w:color w:val="0E101A"/>
        </w:rPr>
        <w:t>a</w:t>
      </w:r>
      <w:r w:rsidR="00161488" w:rsidRPr="00AA24D3">
        <w:rPr>
          <w:rFonts w:eastAsia="Times New Roman"/>
          <w:color w:val="0E101A"/>
        </w:rPr>
        <w:t xml:space="preserve"> </w:t>
      </w:r>
      <w:r w:rsidRPr="00AA24D3">
        <w:rPr>
          <w:rFonts w:eastAsia="Times New Roman"/>
          <w:color w:val="0E101A"/>
        </w:rPr>
        <w:t xml:space="preserve">generalized description of how </w:t>
      </w:r>
      <w:r w:rsidR="005362E6">
        <w:rPr>
          <w:rFonts w:eastAsia="Times New Roman"/>
          <w:color w:val="0E101A"/>
        </w:rPr>
        <w:t>the</w:t>
      </w:r>
      <w:r w:rsidRPr="00AA24D3">
        <w:rPr>
          <w:rFonts w:eastAsia="Times New Roman"/>
          <w:color w:val="0E101A"/>
        </w:rPr>
        <w:t xml:space="preserve"> extracellular flux assays aids in understanding the cellular bioenergetics of osteoblasts derived from murine BMSCs. We have </w:t>
      </w:r>
      <w:r w:rsidRPr="00AA24D3">
        <w:rPr>
          <w:rFonts w:eastAsia="Times New Roman"/>
          <w:color w:val="0E101A"/>
        </w:rPr>
        <w:lastRenderedPageBreak/>
        <w:t>detailed the</w:t>
      </w:r>
      <w:r w:rsidR="00A37C3E" w:rsidRPr="00AA24D3">
        <w:rPr>
          <w:rFonts w:eastAsia="Times New Roman"/>
          <w:color w:val="0E101A"/>
        </w:rPr>
        <w:t>se</w:t>
      </w:r>
      <w:r w:rsidRPr="00AA24D3">
        <w:rPr>
          <w:rFonts w:eastAsia="Times New Roman"/>
          <w:color w:val="0E101A"/>
        </w:rPr>
        <w:t xml:space="preserve"> routinely performed assays and important notes to be considered before, during, and after the assay. The two major ATP production pathways, glycolysis</w:t>
      </w:r>
      <w:r w:rsidR="00746913">
        <w:rPr>
          <w:rFonts w:eastAsia="Times New Roman"/>
          <w:color w:val="0E101A"/>
        </w:rPr>
        <w:t>,</w:t>
      </w:r>
      <w:r w:rsidRPr="00AA24D3">
        <w:rPr>
          <w:rFonts w:eastAsia="Times New Roman"/>
          <w:color w:val="0E101A"/>
        </w:rPr>
        <w:t xml:space="preserve"> and mitochondrial oxidative phosphorylation</w:t>
      </w:r>
      <w:r w:rsidR="00746913">
        <w:rPr>
          <w:rFonts w:eastAsia="Times New Roman"/>
          <w:color w:val="0E101A"/>
        </w:rPr>
        <w:t>,</w:t>
      </w:r>
      <w:r w:rsidRPr="00AA24D3">
        <w:rPr>
          <w:rFonts w:eastAsia="Times New Roman"/>
          <w:color w:val="0E101A"/>
        </w:rPr>
        <w:t xml:space="preserve"> are widely discussed to better understand the capability of cells to interchange between the pathways, thereby meeting the energy demands of the cells. Once the assay is complete, the assay results are normalized based on the cell count </w:t>
      </w:r>
      <w:r w:rsidR="00D3502B" w:rsidRPr="00AA24D3">
        <w:rPr>
          <w:rFonts w:eastAsia="Times New Roman"/>
          <w:color w:val="0E101A"/>
        </w:rPr>
        <w:t xml:space="preserve">and </w:t>
      </w:r>
      <w:r w:rsidRPr="00AA24D3">
        <w:rPr>
          <w:rFonts w:eastAsia="Times New Roman"/>
          <w:color w:val="0E101A"/>
        </w:rPr>
        <w:t xml:space="preserve">exported to the respective </w:t>
      </w:r>
      <w:r w:rsidR="0026460E">
        <w:rPr>
          <w:rFonts w:eastAsia="Times New Roman"/>
          <w:color w:val="0E101A"/>
        </w:rPr>
        <w:t>a</w:t>
      </w:r>
      <w:r w:rsidRPr="00AA24D3">
        <w:rPr>
          <w:rFonts w:eastAsia="Times New Roman"/>
          <w:color w:val="0E101A"/>
        </w:rPr>
        <w:t xml:space="preserve">ssay </w:t>
      </w:r>
      <w:r w:rsidR="0026460E">
        <w:rPr>
          <w:rFonts w:eastAsia="Times New Roman"/>
          <w:color w:val="0E101A"/>
        </w:rPr>
        <w:t>r</w:t>
      </w:r>
      <w:r w:rsidRPr="00AA24D3">
        <w:rPr>
          <w:rFonts w:eastAsia="Times New Roman"/>
          <w:color w:val="0E101A"/>
        </w:rPr>
        <w:t xml:space="preserve">eport generator file. The </w:t>
      </w:r>
      <w:r w:rsidR="006F6536">
        <w:rPr>
          <w:rFonts w:eastAsia="Times New Roman"/>
          <w:color w:val="0E101A"/>
        </w:rPr>
        <w:t>r</w:t>
      </w:r>
      <w:r w:rsidRPr="00AA24D3">
        <w:rPr>
          <w:rFonts w:eastAsia="Times New Roman"/>
          <w:color w:val="0E101A"/>
        </w:rPr>
        <w:t xml:space="preserve">eport generator automatically calculates the assay parameters and provides a summary report of the assay. </w:t>
      </w:r>
      <w:r w:rsidRPr="00111B61">
        <w:rPr>
          <w:rFonts w:eastAsia="Times New Roman"/>
          <w:b/>
          <w:bCs/>
          <w:color w:val="0E101A"/>
        </w:rPr>
        <w:t xml:space="preserve">Figure </w:t>
      </w:r>
      <w:r w:rsidR="00253FD0" w:rsidRPr="00111B61">
        <w:rPr>
          <w:rFonts w:eastAsia="Times New Roman"/>
          <w:b/>
          <w:bCs/>
          <w:color w:val="0E101A"/>
        </w:rPr>
        <w:t>6</w:t>
      </w:r>
      <w:r w:rsidRPr="00AA24D3">
        <w:rPr>
          <w:rFonts w:eastAsia="Times New Roman"/>
          <w:color w:val="0E101A"/>
        </w:rPr>
        <w:t xml:space="preserve"> illustrates the representative results of routinely performed assays to better understand how mature </w:t>
      </w:r>
      <w:r w:rsidR="00754782" w:rsidRPr="00AA24D3">
        <w:rPr>
          <w:rFonts w:eastAsia="Times New Roman"/>
          <w:color w:val="0E101A"/>
        </w:rPr>
        <w:t>osteoblasts</w:t>
      </w:r>
      <w:r w:rsidR="00D41732">
        <w:rPr>
          <w:rFonts w:eastAsia="Times New Roman"/>
          <w:color w:val="0E101A"/>
        </w:rPr>
        <w:t xml:space="preserve"> </w:t>
      </w:r>
      <w:r w:rsidRPr="00AA24D3">
        <w:rPr>
          <w:rFonts w:eastAsia="Times New Roman"/>
          <w:color w:val="0E101A"/>
        </w:rPr>
        <w:t>control versus treatment groups react when different inhibitors are injected.</w:t>
      </w:r>
    </w:p>
    <w:p w14:paraId="7304C211" w14:textId="77777777" w:rsidR="000114D9" w:rsidRDefault="000114D9" w:rsidP="00972F6D">
      <w:pPr>
        <w:widowControl/>
        <w:rPr>
          <w:rFonts w:eastAsia="Times New Roman"/>
          <w:color w:val="0E101A"/>
        </w:rPr>
      </w:pPr>
    </w:p>
    <w:p w14:paraId="6DAC139C" w14:textId="56148D3A" w:rsidR="00942622" w:rsidRDefault="00942622" w:rsidP="00972F6D">
      <w:pPr>
        <w:widowControl/>
        <w:rPr>
          <w:rFonts w:eastAsia="Times New Roman"/>
          <w:color w:val="0E101A"/>
        </w:rPr>
      </w:pPr>
      <w:r w:rsidRPr="00AA24D3">
        <w:rPr>
          <w:rFonts w:eastAsia="Times New Roman"/>
          <w:color w:val="0E101A"/>
        </w:rPr>
        <w:t xml:space="preserve">Generic, representative images of possible expected results are shown in </w:t>
      </w:r>
      <w:r w:rsidRPr="00111B61">
        <w:rPr>
          <w:rFonts w:eastAsia="Times New Roman"/>
          <w:b/>
          <w:bCs/>
          <w:color w:val="0E101A"/>
        </w:rPr>
        <w:t xml:space="preserve">Figure </w:t>
      </w:r>
      <w:r w:rsidR="000F1266" w:rsidRPr="00111B61">
        <w:rPr>
          <w:rFonts w:eastAsia="Times New Roman"/>
          <w:b/>
          <w:bCs/>
          <w:color w:val="0E101A"/>
        </w:rPr>
        <w:t>6</w:t>
      </w:r>
      <w:r w:rsidRPr="00AA24D3">
        <w:rPr>
          <w:rFonts w:eastAsia="Times New Roman"/>
          <w:color w:val="0E101A"/>
        </w:rPr>
        <w:t xml:space="preserve">. For example, in </w:t>
      </w:r>
      <w:r w:rsidR="000114D9" w:rsidRPr="00120856">
        <w:rPr>
          <w:rFonts w:eastAsia="Times New Roman"/>
          <w:b/>
          <w:bCs/>
          <w:color w:val="0E101A"/>
        </w:rPr>
        <w:t>F</w:t>
      </w:r>
      <w:r w:rsidRPr="00111B61">
        <w:rPr>
          <w:rFonts w:eastAsia="Times New Roman"/>
          <w:b/>
          <w:bCs/>
          <w:color w:val="0E101A"/>
        </w:rPr>
        <w:t xml:space="preserve">igure </w:t>
      </w:r>
      <w:r w:rsidR="000F1266" w:rsidRPr="00111B61">
        <w:rPr>
          <w:rFonts w:eastAsia="Times New Roman"/>
          <w:b/>
          <w:bCs/>
          <w:color w:val="0E101A"/>
        </w:rPr>
        <w:t>6</w:t>
      </w:r>
      <w:r w:rsidRPr="00111B61">
        <w:rPr>
          <w:rFonts w:eastAsia="Times New Roman"/>
          <w:b/>
          <w:bCs/>
          <w:color w:val="0E101A"/>
        </w:rPr>
        <w:t>A</w:t>
      </w:r>
      <w:r w:rsidRPr="00AA24D3">
        <w:rPr>
          <w:rFonts w:eastAsia="Times New Roman"/>
          <w:color w:val="0E101A"/>
        </w:rPr>
        <w:t xml:space="preserve">, the cell energy phenotype monitors the OCR vs. ECAR by calculating the </w:t>
      </w:r>
      <w:r w:rsidR="00252B25" w:rsidRPr="00AA24D3">
        <w:rPr>
          <w:rFonts w:eastAsia="Times New Roman"/>
          <w:color w:val="0E101A"/>
        </w:rPr>
        <w:t>cells' baseline phenotype, stressed phenotype, and metabolic potential</w:t>
      </w:r>
      <w:r w:rsidRPr="00AA24D3">
        <w:rPr>
          <w:rFonts w:eastAsia="Times New Roman"/>
          <w:color w:val="0E101A"/>
        </w:rPr>
        <w:t xml:space="preserve">. The injection of the </w:t>
      </w:r>
      <w:r w:rsidR="00F33A5D">
        <w:rPr>
          <w:rFonts w:eastAsia="Times New Roman"/>
          <w:color w:val="0E101A"/>
        </w:rPr>
        <w:t>o</w:t>
      </w:r>
      <w:r w:rsidRPr="00AA24D3">
        <w:rPr>
          <w:rFonts w:eastAsia="Times New Roman"/>
          <w:color w:val="0E101A"/>
        </w:rPr>
        <w:t xml:space="preserve">ligomycin </w:t>
      </w:r>
      <w:r w:rsidR="004F3EA3">
        <w:rPr>
          <w:rFonts w:eastAsia="Times New Roman"/>
          <w:color w:val="0E101A"/>
        </w:rPr>
        <w:t xml:space="preserve">A </w:t>
      </w:r>
      <w:r w:rsidRPr="00AA24D3">
        <w:rPr>
          <w:rFonts w:eastAsia="Times New Roman"/>
          <w:color w:val="0E101A"/>
        </w:rPr>
        <w:t xml:space="preserve">and FCCP stressor mix increases the </w:t>
      </w:r>
      <w:r w:rsidR="00252B25" w:rsidRPr="00AA24D3">
        <w:rPr>
          <w:rFonts w:eastAsia="Times New Roman"/>
          <w:color w:val="0E101A"/>
        </w:rPr>
        <w:t>control group's baseline activity (open symbols)</w:t>
      </w:r>
      <w:r w:rsidRPr="00AA24D3">
        <w:rPr>
          <w:rFonts w:eastAsia="Times New Roman"/>
          <w:color w:val="0E101A"/>
        </w:rPr>
        <w:t xml:space="preserve"> by increasing the utilization of both pathways. </w:t>
      </w:r>
      <w:r w:rsidR="00252B25" w:rsidRPr="00AA24D3">
        <w:rPr>
          <w:rFonts w:eastAsia="Times New Roman"/>
          <w:color w:val="0E101A"/>
        </w:rPr>
        <w:t>In response to the stressors, a significantly high energy level is noticed in the control and treatment 1 group</w:t>
      </w:r>
      <w:r w:rsidRPr="00AA24D3">
        <w:rPr>
          <w:rFonts w:eastAsia="Times New Roman"/>
          <w:color w:val="0E101A"/>
        </w:rPr>
        <w:t xml:space="preserve"> (closed symbols). On the other hand, treatment 2 had a comparatively lower baseline activity, and the cells became more aerobic</w:t>
      </w:r>
      <w:r w:rsidR="00EF25CB" w:rsidRPr="00AA24D3">
        <w:rPr>
          <w:rFonts w:eastAsia="Times New Roman"/>
          <w:color w:val="0E101A"/>
        </w:rPr>
        <w:t>. T</w:t>
      </w:r>
      <w:r w:rsidRPr="00AA24D3">
        <w:rPr>
          <w:rFonts w:eastAsia="Times New Roman"/>
          <w:color w:val="0E101A"/>
        </w:rPr>
        <w:t xml:space="preserve">his </w:t>
      </w:r>
      <w:r w:rsidR="00EF25CB" w:rsidRPr="00AA24D3">
        <w:rPr>
          <w:rFonts w:eastAsia="Times New Roman"/>
          <w:color w:val="0E101A"/>
        </w:rPr>
        <w:t xml:space="preserve">assay </w:t>
      </w:r>
      <w:r w:rsidRPr="00AA24D3">
        <w:rPr>
          <w:rFonts w:eastAsia="Times New Roman"/>
          <w:color w:val="0E101A"/>
        </w:rPr>
        <w:t>aids in understanding the bioenergetics of the cells in response to different stressors.</w:t>
      </w:r>
    </w:p>
    <w:p w14:paraId="70ED2C09" w14:textId="77777777" w:rsidR="00F33A5D" w:rsidRPr="00AA24D3" w:rsidRDefault="00F33A5D" w:rsidP="00972F6D">
      <w:pPr>
        <w:widowControl/>
        <w:rPr>
          <w:rFonts w:eastAsia="Times New Roman"/>
          <w:color w:val="0E101A"/>
        </w:rPr>
      </w:pPr>
    </w:p>
    <w:p w14:paraId="0E2822A2" w14:textId="5F83BB37" w:rsidR="00ED48A6" w:rsidRDefault="00D3502B" w:rsidP="00972F6D">
      <w:pPr>
        <w:pStyle w:val="NormalWeb"/>
        <w:spacing w:before="0" w:beforeAutospacing="0" w:after="0" w:afterAutospacing="0"/>
        <w:jc w:val="both"/>
        <w:rPr>
          <w:rFonts w:ascii="Calibri" w:hAnsi="Calibri" w:cs="Calibri"/>
          <w:color w:val="0E101A"/>
        </w:rPr>
      </w:pPr>
      <w:r w:rsidRPr="00AA24D3">
        <w:rPr>
          <w:rFonts w:ascii="Calibri" w:hAnsi="Calibri" w:cs="Calibri"/>
          <w:color w:val="0E101A"/>
        </w:rPr>
        <w:t>Real-</w:t>
      </w:r>
      <w:r w:rsidR="00E86FFB" w:rsidRPr="00AA24D3">
        <w:rPr>
          <w:rFonts w:ascii="Calibri" w:hAnsi="Calibri" w:cs="Calibri"/>
          <w:color w:val="0E101A"/>
        </w:rPr>
        <w:t xml:space="preserve">time ATP </w:t>
      </w:r>
      <w:r w:rsidR="00ED48A6">
        <w:rPr>
          <w:rFonts w:ascii="Calibri" w:hAnsi="Calibri" w:cs="Calibri"/>
          <w:color w:val="0E101A"/>
        </w:rPr>
        <w:t>r</w:t>
      </w:r>
      <w:r w:rsidR="00E86FFB" w:rsidRPr="00AA24D3">
        <w:rPr>
          <w:rFonts w:ascii="Calibri" w:hAnsi="Calibri" w:cs="Calibri"/>
          <w:color w:val="0E101A"/>
        </w:rPr>
        <w:t xml:space="preserve">ate assay calculates the total cellular ATP </w:t>
      </w:r>
      <w:r w:rsidR="00ED48A6">
        <w:rPr>
          <w:rFonts w:ascii="Calibri" w:hAnsi="Calibri" w:cs="Calibri"/>
          <w:color w:val="0E101A"/>
        </w:rPr>
        <w:t>p</w:t>
      </w:r>
      <w:r w:rsidR="00E86FFB" w:rsidRPr="00AA24D3">
        <w:rPr>
          <w:rFonts w:ascii="Calibri" w:hAnsi="Calibri" w:cs="Calibri"/>
          <w:color w:val="0E101A"/>
        </w:rPr>
        <w:t xml:space="preserve">roduction rate based on the sum of glycolytic and mitochondrial ATP </w:t>
      </w:r>
      <w:r w:rsidRPr="00AA24D3">
        <w:rPr>
          <w:rFonts w:ascii="Calibri" w:hAnsi="Calibri" w:cs="Calibri"/>
          <w:color w:val="0E101A"/>
        </w:rPr>
        <w:t xml:space="preserve">production </w:t>
      </w:r>
      <w:r w:rsidR="00E86FFB" w:rsidRPr="00AA24D3">
        <w:rPr>
          <w:rFonts w:ascii="Calibri" w:hAnsi="Calibri" w:cs="Calibri"/>
          <w:color w:val="0E101A"/>
        </w:rPr>
        <w:t>rates.</w:t>
      </w:r>
    </w:p>
    <w:p w14:paraId="2D9ABB7A" w14:textId="77777777" w:rsidR="001E397E" w:rsidRDefault="001E397E" w:rsidP="00AA24D3">
      <w:pPr>
        <w:pStyle w:val="NormalWeb"/>
        <w:spacing w:before="0" w:beforeAutospacing="0" w:after="0" w:afterAutospacing="0"/>
        <w:rPr>
          <w:rFonts w:ascii="Calibri" w:hAnsi="Calibri" w:cs="Calibri"/>
          <w:color w:val="0E101A"/>
        </w:rPr>
      </w:pPr>
    </w:p>
    <w:p w14:paraId="22A57174" w14:textId="5BB2138E" w:rsidR="00E86FFB" w:rsidRDefault="00E86FFB" w:rsidP="00972F6D">
      <w:pPr>
        <w:pStyle w:val="NormalWeb"/>
        <w:spacing w:before="0" w:beforeAutospacing="0" w:after="0" w:afterAutospacing="0"/>
        <w:jc w:val="both"/>
        <w:rPr>
          <w:rFonts w:ascii="Calibri" w:hAnsi="Calibri" w:cs="Calibri"/>
          <w:color w:val="0E101A"/>
        </w:rPr>
      </w:pPr>
      <w:r w:rsidRPr="00AA24D3">
        <w:rPr>
          <w:rFonts w:ascii="Calibri" w:hAnsi="Calibri" w:cs="Calibri"/>
          <w:color w:val="0E101A"/>
        </w:rPr>
        <w:t>ATP Production Rate (</w:t>
      </w:r>
      <w:proofErr w:type="spellStart"/>
      <w:r w:rsidRPr="00AA24D3">
        <w:rPr>
          <w:rFonts w:ascii="Calibri" w:hAnsi="Calibri" w:cs="Calibri"/>
          <w:color w:val="0E101A"/>
        </w:rPr>
        <w:t>pmol</w:t>
      </w:r>
      <w:proofErr w:type="spellEnd"/>
      <w:r w:rsidRPr="00AA24D3">
        <w:rPr>
          <w:rFonts w:ascii="Calibri" w:hAnsi="Calibri" w:cs="Calibri"/>
          <w:color w:val="0E101A"/>
        </w:rPr>
        <w:t xml:space="preserve"> ATP/min) = </w:t>
      </w:r>
      <w:proofErr w:type="spellStart"/>
      <w:r w:rsidRPr="00AA24D3">
        <w:rPr>
          <w:rFonts w:ascii="Calibri" w:hAnsi="Calibri" w:cs="Calibri"/>
          <w:color w:val="0E101A"/>
        </w:rPr>
        <w:t>glycoATP</w:t>
      </w:r>
      <w:proofErr w:type="spellEnd"/>
      <w:r w:rsidRPr="00AA24D3">
        <w:rPr>
          <w:rFonts w:ascii="Calibri" w:hAnsi="Calibri" w:cs="Calibri"/>
          <w:color w:val="0E101A"/>
        </w:rPr>
        <w:t xml:space="preserve"> Production Rate (</w:t>
      </w:r>
      <w:proofErr w:type="spellStart"/>
      <w:r w:rsidRPr="00AA24D3">
        <w:rPr>
          <w:rFonts w:ascii="Calibri" w:hAnsi="Calibri" w:cs="Calibri"/>
          <w:color w:val="0E101A"/>
        </w:rPr>
        <w:t>pmol</w:t>
      </w:r>
      <w:proofErr w:type="spellEnd"/>
      <w:r w:rsidRPr="00AA24D3">
        <w:rPr>
          <w:rFonts w:ascii="Calibri" w:hAnsi="Calibri" w:cs="Calibri"/>
          <w:color w:val="0E101A"/>
        </w:rPr>
        <w:t xml:space="preserve"> ATP/min) + </w:t>
      </w:r>
      <w:proofErr w:type="spellStart"/>
      <w:r w:rsidRPr="00AA24D3">
        <w:rPr>
          <w:rFonts w:ascii="Calibri" w:hAnsi="Calibri" w:cs="Calibri"/>
          <w:color w:val="0E101A"/>
        </w:rPr>
        <w:t>mitoATP</w:t>
      </w:r>
      <w:proofErr w:type="spellEnd"/>
      <w:r w:rsidRPr="00AA24D3">
        <w:rPr>
          <w:rFonts w:ascii="Calibri" w:hAnsi="Calibri" w:cs="Calibri"/>
          <w:color w:val="0E101A"/>
        </w:rPr>
        <w:t xml:space="preserve"> Production Rate (</w:t>
      </w:r>
      <w:proofErr w:type="spellStart"/>
      <w:r w:rsidRPr="00AA24D3">
        <w:rPr>
          <w:rFonts w:ascii="Calibri" w:hAnsi="Calibri" w:cs="Calibri"/>
          <w:color w:val="0E101A"/>
        </w:rPr>
        <w:t>pmol</w:t>
      </w:r>
      <w:proofErr w:type="spellEnd"/>
      <w:r w:rsidRPr="00AA24D3">
        <w:rPr>
          <w:rFonts w:ascii="Calibri" w:hAnsi="Calibri" w:cs="Calibri"/>
          <w:color w:val="0E101A"/>
        </w:rPr>
        <w:t xml:space="preserve"> ATP/min).</w:t>
      </w:r>
    </w:p>
    <w:p w14:paraId="26CE7595" w14:textId="77777777" w:rsidR="001E397E" w:rsidRPr="00AA24D3" w:rsidRDefault="001E397E" w:rsidP="00972F6D">
      <w:pPr>
        <w:pStyle w:val="NormalWeb"/>
        <w:spacing w:before="0" w:beforeAutospacing="0" w:after="0" w:afterAutospacing="0"/>
        <w:jc w:val="both"/>
        <w:rPr>
          <w:rFonts w:ascii="Calibri" w:hAnsi="Calibri" w:cs="Calibri"/>
          <w:color w:val="0E101A"/>
        </w:rPr>
      </w:pPr>
    </w:p>
    <w:p w14:paraId="0CDC71CE" w14:textId="59A521F9" w:rsidR="00942622" w:rsidRPr="00AA24D3" w:rsidRDefault="00942622" w:rsidP="00972F6D">
      <w:pPr>
        <w:pStyle w:val="NormalWeb"/>
        <w:spacing w:before="0" w:beforeAutospacing="0" w:after="0" w:afterAutospacing="0"/>
        <w:jc w:val="both"/>
        <w:rPr>
          <w:rFonts w:ascii="Calibri" w:hAnsi="Calibri" w:cs="Calibri"/>
          <w:color w:val="0E101A"/>
        </w:rPr>
      </w:pPr>
      <w:r w:rsidRPr="00111B61">
        <w:rPr>
          <w:rFonts w:ascii="Calibri" w:hAnsi="Calibri" w:cs="Calibri"/>
          <w:b/>
          <w:bCs/>
          <w:color w:val="0E101A"/>
        </w:rPr>
        <w:t xml:space="preserve">Figure </w:t>
      </w:r>
      <w:r w:rsidR="000F1266" w:rsidRPr="00111B61">
        <w:rPr>
          <w:rFonts w:ascii="Calibri" w:hAnsi="Calibri" w:cs="Calibri"/>
          <w:b/>
          <w:bCs/>
          <w:color w:val="0E101A"/>
        </w:rPr>
        <w:t>6</w:t>
      </w:r>
      <w:r w:rsidRPr="00111B61">
        <w:rPr>
          <w:rFonts w:ascii="Calibri" w:hAnsi="Calibri" w:cs="Calibri"/>
          <w:b/>
          <w:bCs/>
          <w:color w:val="0E101A"/>
        </w:rPr>
        <w:t>B</w:t>
      </w:r>
      <w:r w:rsidRPr="00AA24D3">
        <w:rPr>
          <w:rFonts w:ascii="Calibri" w:hAnsi="Calibri" w:cs="Calibri"/>
          <w:color w:val="0E101A"/>
        </w:rPr>
        <w:t xml:space="preserve"> indicates that both the control and treatment groups produce more ATP through glycolysis compared to that of oxidative phosphorylation. While the treatment group exhibits significantly higher total </w:t>
      </w:r>
      <w:r w:rsidR="00D11AB6" w:rsidRPr="00AA24D3">
        <w:rPr>
          <w:rFonts w:ascii="Calibri" w:hAnsi="Calibri" w:cs="Calibri"/>
        </w:rPr>
        <w:t>ATP production</w:t>
      </w:r>
      <w:r w:rsidRPr="00AA24D3">
        <w:rPr>
          <w:rFonts w:ascii="Calibri" w:hAnsi="Calibri" w:cs="Calibri"/>
          <w:color w:val="0E101A"/>
        </w:rPr>
        <w:t>, the cells have consistently shifted from glycolytic to oxidative metabolism. This comparison of the control and treatment group indicates that this specific treatment exhibits a different bioenergetic profile compared to the control group.</w:t>
      </w:r>
    </w:p>
    <w:p w14:paraId="7FC6B70C" w14:textId="77777777" w:rsidR="0040784E" w:rsidRDefault="0040784E" w:rsidP="00972F6D">
      <w:pPr>
        <w:widowControl/>
        <w:rPr>
          <w:rFonts w:eastAsia="Times New Roman"/>
          <w:b/>
          <w:bCs/>
          <w:color w:val="0E101A"/>
        </w:rPr>
      </w:pPr>
    </w:p>
    <w:p w14:paraId="00069B92" w14:textId="2F15432C" w:rsidR="00942622" w:rsidRDefault="00942622" w:rsidP="00972F6D">
      <w:pPr>
        <w:widowControl/>
        <w:rPr>
          <w:rFonts w:eastAsia="Times New Roman"/>
          <w:color w:val="0E101A"/>
        </w:rPr>
      </w:pPr>
      <w:r w:rsidRPr="00111B61">
        <w:rPr>
          <w:rFonts w:eastAsia="Times New Roman"/>
          <w:b/>
          <w:bCs/>
          <w:color w:val="0E101A"/>
        </w:rPr>
        <w:t xml:space="preserve">Figure </w:t>
      </w:r>
      <w:r w:rsidR="000F1266" w:rsidRPr="00111B61">
        <w:rPr>
          <w:rFonts w:eastAsia="Times New Roman"/>
          <w:b/>
          <w:bCs/>
          <w:color w:val="0E101A"/>
        </w:rPr>
        <w:t>6</w:t>
      </w:r>
      <w:r w:rsidRPr="00111B61">
        <w:rPr>
          <w:rFonts w:eastAsia="Times New Roman"/>
          <w:b/>
          <w:bCs/>
          <w:color w:val="0E101A"/>
        </w:rPr>
        <w:t>C</w:t>
      </w:r>
      <w:r w:rsidR="00822FD6">
        <w:rPr>
          <w:rFonts w:eastAsia="Times New Roman"/>
          <w:color w:val="0E101A"/>
        </w:rPr>
        <w:t xml:space="preserve"> is </w:t>
      </w:r>
      <w:r w:rsidRPr="00AA24D3">
        <w:rPr>
          <w:rFonts w:eastAsia="Times New Roman"/>
          <w:color w:val="0E101A"/>
        </w:rPr>
        <w:t>an example of the mitochondrial respiration rate over</w:t>
      </w:r>
      <w:r w:rsidR="00D3502B" w:rsidRPr="00AA24D3">
        <w:rPr>
          <w:rFonts w:eastAsia="Times New Roman"/>
          <w:color w:val="0E101A"/>
        </w:rPr>
        <w:t xml:space="preserve"> </w:t>
      </w:r>
      <w:r w:rsidRPr="00AA24D3">
        <w:rPr>
          <w:rFonts w:eastAsia="Times New Roman"/>
          <w:color w:val="0E101A"/>
        </w:rPr>
        <w:t>time</w:t>
      </w:r>
      <w:r w:rsidR="00252B25" w:rsidRPr="00AA24D3">
        <w:rPr>
          <w:rFonts w:eastAsia="Times New Roman"/>
          <w:color w:val="0E101A"/>
        </w:rPr>
        <w:t>,</w:t>
      </w:r>
      <w:r w:rsidR="00A56D62" w:rsidRPr="00AA24D3">
        <w:rPr>
          <w:rFonts w:eastAsia="Times New Roman"/>
          <w:color w:val="0E101A"/>
        </w:rPr>
        <w:t xml:space="preserve"> </w:t>
      </w:r>
      <w:r w:rsidR="00822FD6">
        <w:rPr>
          <w:rFonts w:eastAsia="Times New Roman"/>
          <w:color w:val="0E101A"/>
        </w:rPr>
        <w:t xml:space="preserve">which </w:t>
      </w:r>
      <w:r w:rsidR="00A56D62" w:rsidRPr="00AA24D3">
        <w:rPr>
          <w:rFonts w:eastAsia="Times New Roman"/>
          <w:color w:val="0E101A"/>
        </w:rPr>
        <w:t>is detailed</w:t>
      </w:r>
      <w:r w:rsidRPr="00AA24D3">
        <w:rPr>
          <w:rFonts w:eastAsia="Times New Roman"/>
          <w:color w:val="0E101A"/>
        </w:rPr>
        <w:t xml:space="preserve">. The </w:t>
      </w:r>
      <w:r w:rsidR="003301E7">
        <w:rPr>
          <w:rFonts w:eastAsia="Times New Roman"/>
          <w:color w:val="0E101A"/>
        </w:rPr>
        <w:t>b</w:t>
      </w:r>
      <w:r w:rsidRPr="00AA24D3">
        <w:rPr>
          <w:rFonts w:eastAsia="Times New Roman"/>
          <w:color w:val="0E101A"/>
        </w:rPr>
        <w:t xml:space="preserve">asal respiration rate in the treatment group is comparatively less than </w:t>
      </w:r>
      <w:r w:rsidR="003301E7">
        <w:rPr>
          <w:rFonts w:eastAsia="Times New Roman"/>
          <w:color w:val="0E101A"/>
        </w:rPr>
        <w:t xml:space="preserve">in </w:t>
      </w:r>
      <w:r w:rsidRPr="00AA24D3">
        <w:rPr>
          <w:rFonts w:eastAsia="Times New Roman"/>
          <w:color w:val="0E101A"/>
        </w:rPr>
        <w:t xml:space="preserve">the control group. The respiration and ATP production rates in both groups are decreased along with the proton leak followed by </w:t>
      </w:r>
      <w:r w:rsidR="00252B25" w:rsidRPr="00AA24D3">
        <w:rPr>
          <w:rFonts w:eastAsia="Times New Roman"/>
          <w:color w:val="0E101A"/>
        </w:rPr>
        <w:t xml:space="preserve">an </w:t>
      </w:r>
      <w:r w:rsidR="003301E7">
        <w:rPr>
          <w:rFonts w:eastAsia="Times New Roman"/>
          <w:color w:val="0E101A"/>
        </w:rPr>
        <w:t>o</w:t>
      </w:r>
      <w:r w:rsidR="00252B25" w:rsidRPr="00AA24D3">
        <w:rPr>
          <w:rFonts w:eastAsia="Times New Roman"/>
          <w:color w:val="0E101A"/>
        </w:rPr>
        <w:t xml:space="preserve">ligomycin </w:t>
      </w:r>
      <w:r w:rsidR="00031070">
        <w:rPr>
          <w:rFonts w:eastAsia="Times New Roman"/>
          <w:color w:val="0E101A"/>
        </w:rPr>
        <w:t xml:space="preserve">A </w:t>
      </w:r>
      <w:r w:rsidR="00252B25" w:rsidRPr="00AA24D3">
        <w:rPr>
          <w:rFonts w:eastAsia="Times New Roman"/>
          <w:color w:val="0E101A"/>
        </w:rPr>
        <w:t>injectio</w:t>
      </w:r>
      <w:r w:rsidR="00754782" w:rsidRPr="00AA24D3">
        <w:rPr>
          <w:rFonts w:eastAsia="Times New Roman"/>
          <w:color w:val="0E101A"/>
        </w:rPr>
        <w:t>n</w:t>
      </w:r>
      <w:r w:rsidRPr="00AA24D3">
        <w:rPr>
          <w:rFonts w:eastAsia="Times New Roman"/>
          <w:color w:val="0E101A"/>
        </w:rPr>
        <w:t xml:space="preserve">. The respiration rates of the cells rise back again to their maximal respiration after the injection of FCCP. The final injection of </w:t>
      </w:r>
      <w:r w:rsidR="003301E7">
        <w:rPr>
          <w:rFonts w:eastAsia="Times New Roman"/>
          <w:color w:val="0E101A"/>
        </w:rPr>
        <w:t>r</w:t>
      </w:r>
      <w:r w:rsidRPr="00AA24D3">
        <w:rPr>
          <w:rFonts w:eastAsia="Times New Roman"/>
          <w:color w:val="0E101A"/>
        </w:rPr>
        <w:t>otenone/</w:t>
      </w:r>
      <w:r w:rsidR="003301E7">
        <w:rPr>
          <w:rFonts w:eastAsia="Times New Roman"/>
          <w:color w:val="0E101A"/>
        </w:rPr>
        <w:t>a</w:t>
      </w:r>
      <w:r w:rsidRPr="00AA24D3">
        <w:rPr>
          <w:rFonts w:eastAsia="Times New Roman"/>
          <w:color w:val="0E101A"/>
        </w:rPr>
        <w:t xml:space="preserve">ntimycin A decreases the OCR again, resulting in spare respiration, which is measured by the differences in maximal and basal respiration. After the third injection, the mitochondrial respiration is shut down by the combination of </w:t>
      </w:r>
      <w:r w:rsidR="003301E7">
        <w:rPr>
          <w:rFonts w:eastAsia="Times New Roman"/>
          <w:color w:val="0E101A"/>
        </w:rPr>
        <w:t>r</w:t>
      </w:r>
      <w:r w:rsidRPr="00AA24D3">
        <w:rPr>
          <w:rFonts w:eastAsia="Times New Roman"/>
          <w:color w:val="0E101A"/>
        </w:rPr>
        <w:t>otenone/</w:t>
      </w:r>
      <w:r w:rsidR="003301E7">
        <w:rPr>
          <w:rFonts w:eastAsia="Times New Roman"/>
          <w:color w:val="0E101A"/>
        </w:rPr>
        <w:t>a</w:t>
      </w:r>
      <w:r w:rsidRPr="00AA24D3">
        <w:rPr>
          <w:rFonts w:eastAsia="Times New Roman"/>
          <w:color w:val="0E101A"/>
        </w:rPr>
        <w:t xml:space="preserve">ntimycin A, which targets and inhibits the </w:t>
      </w:r>
      <w:r w:rsidR="001A67E3">
        <w:rPr>
          <w:rFonts w:eastAsia="Times New Roman"/>
          <w:color w:val="0E101A"/>
        </w:rPr>
        <w:t>e</w:t>
      </w:r>
      <w:r w:rsidR="00C54CA6" w:rsidRPr="00AA24D3">
        <w:rPr>
          <w:rFonts w:eastAsia="Times New Roman"/>
          <w:color w:val="0E101A"/>
        </w:rPr>
        <w:t xml:space="preserve">lectron </w:t>
      </w:r>
      <w:r w:rsidR="001A67E3">
        <w:rPr>
          <w:rFonts w:eastAsia="Times New Roman"/>
          <w:color w:val="0E101A"/>
        </w:rPr>
        <w:t>t</w:t>
      </w:r>
      <w:r w:rsidR="00C54CA6" w:rsidRPr="00AA24D3">
        <w:rPr>
          <w:rFonts w:eastAsia="Times New Roman"/>
          <w:color w:val="0E101A"/>
        </w:rPr>
        <w:t xml:space="preserve">ransport </w:t>
      </w:r>
      <w:r w:rsidR="001A67E3">
        <w:rPr>
          <w:rFonts w:eastAsia="Times New Roman"/>
          <w:color w:val="0E101A"/>
        </w:rPr>
        <w:t>c</w:t>
      </w:r>
      <w:r w:rsidR="00C54CA6" w:rsidRPr="00AA24D3">
        <w:rPr>
          <w:rFonts w:eastAsia="Times New Roman"/>
          <w:color w:val="0E101A"/>
        </w:rPr>
        <w:t>hain</w:t>
      </w:r>
      <w:r w:rsidRPr="00AA24D3">
        <w:rPr>
          <w:rFonts w:eastAsia="Times New Roman"/>
          <w:color w:val="0E101A"/>
        </w:rPr>
        <w:t xml:space="preserve"> </w:t>
      </w:r>
      <w:r w:rsidR="003301E7">
        <w:rPr>
          <w:rFonts w:eastAsia="Times New Roman"/>
          <w:color w:val="0E101A"/>
        </w:rPr>
        <w:t>(</w:t>
      </w:r>
      <w:r w:rsidR="00C54CA6" w:rsidRPr="00AA24D3">
        <w:rPr>
          <w:rFonts w:eastAsia="Times New Roman"/>
          <w:color w:val="0E101A"/>
        </w:rPr>
        <w:t>ETC</w:t>
      </w:r>
      <w:r w:rsidR="003301E7">
        <w:rPr>
          <w:rFonts w:eastAsia="Times New Roman"/>
          <w:color w:val="0E101A"/>
        </w:rPr>
        <w:t>)</w:t>
      </w:r>
      <w:r w:rsidR="00C54CA6" w:rsidRPr="00AA24D3">
        <w:rPr>
          <w:rFonts w:eastAsia="Times New Roman"/>
          <w:color w:val="0E101A"/>
        </w:rPr>
        <w:t xml:space="preserve"> </w:t>
      </w:r>
      <w:r w:rsidR="001A67E3">
        <w:rPr>
          <w:rFonts w:eastAsia="Times New Roman"/>
          <w:color w:val="0E101A"/>
        </w:rPr>
        <w:t>c</w:t>
      </w:r>
      <w:r w:rsidRPr="00AA24D3">
        <w:rPr>
          <w:rFonts w:eastAsia="Times New Roman"/>
          <w:color w:val="0E101A"/>
        </w:rPr>
        <w:t>omplex I and III, thereby enabling us to calculate the non-mitochondrial respiration. Compared to the control group, both the basal and maximal respiration in the treatment groups is relatively lower; this suggests that the treatment could affect the mitochondrial respiration of osteoblasts.</w:t>
      </w:r>
    </w:p>
    <w:p w14:paraId="69817C15" w14:textId="77777777" w:rsidR="00556A75" w:rsidRPr="00AA24D3" w:rsidRDefault="00556A75" w:rsidP="00972F6D">
      <w:pPr>
        <w:widowControl/>
        <w:rPr>
          <w:rFonts w:eastAsia="Times New Roman"/>
          <w:color w:val="0E101A"/>
        </w:rPr>
      </w:pPr>
    </w:p>
    <w:p w14:paraId="188AD834" w14:textId="5DBEB02C" w:rsidR="00942622" w:rsidRPr="00AA24D3" w:rsidRDefault="00942622" w:rsidP="00972F6D">
      <w:pPr>
        <w:widowControl/>
        <w:rPr>
          <w:rFonts w:eastAsia="Times New Roman"/>
          <w:color w:val="0E101A"/>
        </w:rPr>
      </w:pPr>
      <w:r w:rsidRPr="00AA24D3">
        <w:rPr>
          <w:rFonts w:eastAsia="Times New Roman"/>
          <w:color w:val="0E101A"/>
        </w:rPr>
        <w:lastRenderedPageBreak/>
        <w:t xml:space="preserve">The </w:t>
      </w:r>
      <w:proofErr w:type="spellStart"/>
      <w:r w:rsidR="00A078D6">
        <w:rPr>
          <w:rFonts w:eastAsia="Times New Roman"/>
          <w:color w:val="0E101A"/>
        </w:rPr>
        <w:t>m</w:t>
      </w:r>
      <w:r w:rsidRPr="00AA24D3">
        <w:rPr>
          <w:rFonts w:eastAsia="Times New Roman"/>
          <w:color w:val="0E101A"/>
        </w:rPr>
        <w:t>ito</w:t>
      </w:r>
      <w:proofErr w:type="spellEnd"/>
      <w:r w:rsidRPr="00AA24D3">
        <w:rPr>
          <w:rFonts w:eastAsia="Times New Roman"/>
          <w:color w:val="0E101A"/>
        </w:rPr>
        <w:t xml:space="preserve"> </w:t>
      </w:r>
      <w:r w:rsidR="00556A75">
        <w:rPr>
          <w:rFonts w:eastAsia="Times New Roman"/>
          <w:color w:val="0E101A"/>
        </w:rPr>
        <w:t>f</w:t>
      </w:r>
      <w:r w:rsidRPr="00AA24D3">
        <w:rPr>
          <w:rFonts w:eastAsia="Times New Roman"/>
          <w:color w:val="0E101A"/>
        </w:rPr>
        <w:t xml:space="preserve">uel </w:t>
      </w:r>
      <w:r w:rsidR="00556A75">
        <w:rPr>
          <w:rFonts w:eastAsia="Times New Roman"/>
          <w:color w:val="0E101A"/>
        </w:rPr>
        <w:t>f</w:t>
      </w:r>
      <w:r w:rsidRPr="00AA24D3">
        <w:rPr>
          <w:rFonts w:eastAsia="Times New Roman"/>
          <w:color w:val="0E101A"/>
        </w:rPr>
        <w:t>lex test measures the potential of mitochondria to oxidize the three different mitochondrial fuels, glucose</w:t>
      </w:r>
      <w:r w:rsidR="00556A75">
        <w:rPr>
          <w:rFonts w:eastAsia="Times New Roman"/>
          <w:color w:val="0E101A"/>
        </w:rPr>
        <w:t>, g</w:t>
      </w:r>
      <w:r w:rsidRPr="00AA24D3">
        <w:rPr>
          <w:rFonts w:eastAsia="Times New Roman"/>
          <w:color w:val="0E101A"/>
        </w:rPr>
        <w:t>lutamine</w:t>
      </w:r>
      <w:r w:rsidR="00691C1E">
        <w:rPr>
          <w:rFonts w:eastAsia="Times New Roman"/>
          <w:color w:val="0E101A"/>
        </w:rPr>
        <w:t>,</w:t>
      </w:r>
      <w:r w:rsidRPr="00AA24D3">
        <w:rPr>
          <w:rFonts w:eastAsia="Times New Roman"/>
          <w:color w:val="0E101A"/>
        </w:rPr>
        <w:t xml:space="preserve"> and </w:t>
      </w:r>
      <w:r w:rsidR="00556A75">
        <w:rPr>
          <w:rFonts w:eastAsia="Times New Roman"/>
          <w:color w:val="0E101A"/>
        </w:rPr>
        <w:t>f</w:t>
      </w:r>
      <w:r w:rsidRPr="00AA24D3">
        <w:rPr>
          <w:rFonts w:eastAsia="Times New Roman"/>
          <w:color w:val="0E101A"/>
        </w:rPr>
        <w:t xml:space="preserve">atty acids. The </w:t>
      </w:r>
      <w:r w:rsidR="00252B25" w:rsidRPr="00AA24D3">
        <w:rPr>
          <w:rFonts w:eastAsia="Times New Roman"/>
          <w:color w:val="0E101A"/>
        </w:rPr>
        <w:t>cell</w:t>
      </w:r>
      <w:r w:rsidR="00551D16" w:rsidRPr="00AA24D3">
        <w:rPr>
          <w:rFonts w:eastAsia="Times New Roman"/>
          <w:color w:val="0E101A"/>
        </w:rPr>
        <w:t>’</w:t>
      </w:r>
      <w:r w:rsidR="00252B25" w:rsidRPr="00AA24D3">
        <w:rPr>
          <w:rFonts w:eastAsia="Times New Roman"/>
          <w:color w:val="0E101A"/>
        </w:rPr>
        <w:t>s dependency, flexibility, and capacity</w:t>
      </w:r>
      <w:r w:rsidRPr="00AA24D3">
        <w:rPr>
          <w:rFonts w:eastAsia="Times New Roman"/>
          <w:color w:val="0E101A"/>
        </w:rPr>
        <w:t xml:space="preserve"> on different pathways that fuel the mitochondrial respiration are calculated based on the oxidation of the respective mitochondrial fuel. </w:t>
      </w:r>
      <w:r w:rsidRPr="00111B61">
        <w:rPr>
          <w:rFonts w:eastAsia="Times New Roman"/>
          <w:b/>
          <w:bCs/>
          <w:color w:val="0E101A"/>
        </w:rPr>
        <w:t xml:space="preserve">Figure </w:t>
      </w:r>
      <w:r w:rsidR="000F1266" w:rsidRPr="00111B61">
        <w:rPr>
          <w:rFonts w:eastAsia="Times New Roman"/>
          <w:b/>
          <w:bCs/>
          <w:color w:val="0E101A"/>
        </w:rPr>
        <w:t>6</w:t>
      </w:r>
      <w:r w:rsidRPr="00111B61">
        <w:rPr>
          <w:rFonts w:eastAsia="Times New Roman"/>
          <w:b/>
          <w:bCs/>
          <w:color w:val="0E101A"/>
        </w:rPr>
        <w:t>D</w:t>
      </w:r>
      <w:r w:rsidRPr="00AA24D3">
        <w:rPr>
          <w:rFonts w:eastAsia="Times New Roman"/>
          <w:color w:val="0E101A"/>
        </w:rPr>
        <w:t xml:space="preserve"> shows that the control group is highly dependent on the glucose pathway. At the same time, the treatment enhanced the capacity of glucose oxidation</w:t>
      </w:r>
      <w:r w:rsidR="00D3502B" w:rsidRPr="00AA24D3">
        <w:rPr>
          <w:rFonts w:eastAsia="Times New Roman"/>
          <w:color w:val="0E101A"/>
        </w:rPr>
        <w:t xml:space="preserve"> of</w:t>
      </w:r>
      <w:r w:rsidRPr="00AA24D3">
        <w:rPr>
          <w:rFonts w:eastAsia="Times New Roman"/>
          <w:color w:val="0E101A"/>
        </w:rPr>
        <w:t xml:space="preserve"> the cells to </w:t>
      </w:r>
      <w:r w:rsidR="00252B25" w:rsidRPr="00AA24D3">
        <w:rPr>
          <w:rFonts w:eastAsia="Times New Roman"/>
          <w:color w:val="0E101A"/>
        </w:rPr>
        <w:t>meet the fuel needs of the inhibited pathway activel</w:t>
      </w:r>
      <w:r w:rsidRPr="00AA24D3">
        <w:rPr>
          <w:rFonts w:eastAsia="Times New Roman"/>
          <w:color w:val="0E101A"/>
        </w:rPr>
        <w:t>y. On the other hand, the oxidation of glutamine was efficient in the control group, resulting in comparatively higher dependency of cells to that of the treatment group, thereby increasing the overall capacity of the control group. The fatty acid pathway shows that the treatment has increased the overall capacity of the cells due to the higher dependency on mitochondrial fuel while compensating the fuel needs</w:t>
      </w:r>
      <w:r w:rsidR="00770C33">
        <w:rPr>
          <w:rFonts w:eastAsia="Times New Roman"/>
          <w:color w:val="0E101A"/>
        </w:rPr>
        <w:t>.</w:t>
      </w:r>
    </w:p>
    <w:p w14:paraId="5A33FABC" w14:textId="77777777" w:rsidR="008A2EA1" w:rsidRPr="00AA24D3" w:rsidRDefault="008A2EA1" w:rsidP="00972F6D">
      <w:pPr>
        <w:widowControl/>
        <w:rPr>
          <w:rFonts w:eastAsia="Times New Roman"/>
          <w:color w:val="0E101A"/>
        </w:rPr>
      </w:pPr>
    </w:p>
    <w:p w14:paraId="6CCD3BAD" w14:textId="777962DF" w:rsidR="00942622" w:rsidRPr="00AA24D3" w:rsidRDefault="00942622" w:rsidP="00972F6D">
      <w:pPr>
        <w:widowControl/>
        <w:rPr>
          <w:rFonts w:eastAsia="Times New Roman"/>
        </w:rPr>
      </w:pPr>
      <w:r w:rsidRPr="00AA24D3">
        <w:rPr>
          <w:rFonts w:eastAsia="Times New Roman"/>
          <w:b/>
          <w:bCs/>
        </w:rPr>
        <w:t>FIGURE AND TABLE LEGENDS:</w:t>
      </w:r>
    </w:p>
    <w:p w14:paraId="36834B80" w14:textId="4974D820" w:rsidR="00942622" w:rsidRDefault="00942622" w:rsidP="00972F6D">
      <w:pPr>
        <w:widowControl/>
        <w:rPr>
          <w:rFonts w:eastAsia="Times New Roman"/>
          <w:color w:val="0E101A"/>
        </w:rPr>
      </w:pPr>
      <w:r w:rsidRPr="00AA24D3">
        <w:rPr>
          <w:rFonts w:eastAsia="Times New Roman"/>
          <w:b/>
          <w:bCs/>
          <w:color w:val="0E101A"/>
        </w:rPr>
        <w:t>Figure 1: Schematic representation of the methodology for culturing and preparing osteoblasts for analysis.</w:t>
      </w:r>
      <w:r w:rsidR="002027C3">
        <w:rPr>
          <w:rFonts w:eastAsia="Times New Roman"/>
          <w:color w:val="0E101A"/>
        </w:rPr>
        <w:t xml:space="preserve"> </w:t>
      </w:r>
      <w:r w:rsidRPr="00AA24D3">
        <w:rPr>
          <w:rFonts w:eastAsia="Times New Roman"/>
          <w:color w:val="0E101A"/>
        </w:rPr>
        <w:t>Murine BMSCs are isolated from long bones, cultured, and seeded in 96</w:t>
      </w:r>
      <w:r w:rsidR="00871C9A">
        <w:rPr>
          <w:rFonts w:eastAsia="Times New Roman"/>
          <w:color w:val="0E101A"/>
        </w:rPr>
        <w:t>-</w:t>
      </w:r>
      <w:r w:rsidRPr="00AA24D3">
        <w:rPr>
          <w:rFonts w:eastAsia="Times New Roman"/>
          <w:color w:val="0E101A"/>
        </w:rPr>
        <w:t>well plates at 25</w:t>
      </w:r>
      <w:r w:rsidR="00871C9A">
        <w:rPr>
          <w:rFonts w:eastAsia="Times New Roman"/>
          <w:color w:val="0E101A"/>
        </w:rPr>
        <w:t>,</w:t>
      </w:r>
      <w:r w:rsidRPr="00AA24D3">
        <w:rPr>
          <w:rFonts w:eastAsia="Times New Roman"/>
          <w:color w:val="0E101A"/>
        </w:rPr>
        <w:t>000 cells/well density. When the cells are 80</w:t>
      </w:r>
      <w:r w:rsidR="00871C9A">
        <w:rPr>
          <w:rFonts w:eastAsia="Times New Roman"/>
          <w:color w:val="0E101A"/>
        </w:rPr>
        <w:t>%–</w:t>
      </w:r>
      <w:r w:rsidRPr="00AA24D3">
        <w:rPr>
          <w:rFonts w:eastAsia="Times New Roman"/>
          <w:color w:val="0E101A"/>
        </w:rPr>
        <w:t xml:space="preserve">100% confluent, the cells are differentiated with osteoblast-specific media. </w:t>
      </w:r>
      <w:r w:rsidR="002027C3">
        <w:rPr>
          <w:rFonts w:eastAsia="Times New Roman"/>
          <w:color w:val="0E101A"/>
        </w:rPr>
        <w:t>The</w:t>
      </w:r>
      <w:r w:rsidR="002027C3" w:rsidRPr="00AA24D3">
        <w:rPr>
          <w:rFonts w:eastAsia="Times New Roman"/>
          <w:color w:val="0E101A"/>
        </w:rPr>
        <w:t xml:space="preserve"> </w:t>
      </w:r>
      <w:r w:rsidRPr="00AA24D3">
        <w:rPr>
          <w:rFonts w:eastAsia="Times New Roman"/>
          <w:color w:val="0E101A"/>
        </w:rPr>
        <w:t xml:space="preserve">assays are performed at different stages of differentiation. The cartridge plates are hydrated </w:t>
      </w:r>
      <w:r w:rsidR="002027C3">
        <w:rPr>
          <w:rFonts w:eastAsia="Times New Roman"/>
          <w:color w:val="0E101A"/>
        </w:rPr>
        <w:t xml:space="preserve">1 </w:t>
      </w:r>
      <w:r w:rsidRPr="00AA24D3">
        <w:rPr>
          <w:rFonts w:eastAsia="Times New Roman"/>
          <w:color w:val="0E101A"/>
        </w:rPr>
        <w:t>day prior to the assay. On the day of assay, different inhibitors are injected in the ports of the sensor cartridges based on the assay requirements, and a calibration buffer is added to the 96</w:t>
      </w:r>
      <w:r w:rsidR="00871C9A">
        <w:rPr>
          <w:rFonts w:eastAsia="Times New Roman"/>
          <w:color w:val="0E101A"/>
        </w:rPr>
        <w:t>-</w:t>
      </w:r>
      <w:r w:rsidRPr="00AA24D3">
        <w:rPr>
          <w:rFonts w:eastAsia="Times New Roman"/>
          <w:color w:val="0E101A"/>
        </w:rPr>
        <w:t xml:space="preserve">well calibration plate. After calibration, the </w:t>
      </w:r>
      <w:r w:rsidR="001443BC">
        <w:t>r</w:t>
      </w:r>
      <w:r w:rsidR="0032242C" w:rsidRPr="00AA24D3">
        <w:t>eal-</w:t>
      </w:r>
      <w:r w:rsidR="001443BC">
        <w:t>t</w:t>
      </w:r>
      <w:r w:rsidR="0032242C" w:rsidRPr="00AA24D3">
        <w:t xml:space="preserve">ime </w:t>
      </w:r>
      <w:r w:rsidR="001443BC">
        <w:t>c</w:t>
      </w:r>
      <w:r w:rsidR="0032242C" w:rsidRPr="00AA24D3">
        <w:t xml:space="preserve">ell </w:t>
      </w:r>
      <w:r w:rsidR="001443BC">
        <w:t>m</w:t>
      </w:r>
      <w:r w:rsidR="0032242C" w:rsidRPr="00AA24D3">
        <w:t>etabolic</w:t>
      </w:r>
      <w:r w:rsidR="0032242C">
        <w:t xml:space="preserve"> </w:t>
      </w:r>
      <w:r w:rsidR="001443BC">
        <w:t>f</w:t>
      </w:r>
      <w:r w:rsidR="0032242C">
        <w:t>lux</w:t>
      </w:r>
      <w:r w:rsidRPr="00AA24D3">
        <w:rPr>
          <w:rFonts w:eastAsia="Times New Roman"/>
          <w:color w:val="0E101A"/>
        </w:rPr>
        <w:t xml:space="preserve"> assay is performed, followed by imaging the cell culture microplate using </w:t>
      </w:r>
      <w:r w:rsidR="00746913">
        <w:rPr>
          <w:rFonts w:eastAsia="Times New Roman"/>
          <w:color w:val="0E101A"/>
        </w:rPr>
        <w:t>the m</w:t>
      </w:r>
      <w:r w:rsidR="0032242C">
        <w:rPr>
          <w:rFonts w:eastAsia="Times New Roman"/>
          <w:color w:val="0E101A"/>
        </w:rPr>
        <w:t xml:space="preserve">icroplate </w:t>
      </w:r>
      <w:r w:rsidR="001443BC">
        <w:rPr>
          <w:rFonts w:eastAsia="Times New Roman"/>
          <w:color w:val="0E101A"/>
        </w:rPr>
        <w:t>i</w:t>
      </w:r>
      <w:r w:rsidR="0032242C">
        <w:rPr>
          <w:rFonts w:eastAsia="Times New Roman"/>
          <w:color w:val="0E101A"/>
        </w:rPr>
        <w:t xml:space="preserve">mager </w:t>
      </w:r>
      <w:r w:rsidRPr="00AA24D3">
        <w:rPr>
          <w:rFonts w:eastAsia="Times New Roman"/>
          <w:color w:val="0E101A"/>
        </w:rPr>
        <w:t>t</w:t>
      </w:r>
      <w:r w:rsidR="001443BC">
        <w:rPr>
          <w:rFonts w:eastAsia="Times New Roman"/>
          <w:color w:val="0E101A"/>
        </w:rPr>
        <w:t xml:space="preserve">o </w:t>
      </w:r>
      <w:r w:rsidRPr="00AA24D3">
        <w:rPr>
          <w:rFonts w:eastAsia="Times New Roman"/>
          <w:color w:val="0E101A"/>
        </w:rPr>
        <w:t>normaliz</w:t>
      </w:r>
      <w:r w:rsidR="001443BC">
        <w:rPr>
          <w:rFonts w:eastAsia="Times New Roman"/>
          <w:color w:val="0E101A"/>
        </w:rPr>
        <w:t xml:space="preserve">e </w:t>
      </w:r>
      <w:r w:rsidR="001443BC">
        <w:t>r</w:t>
      </w:r>
      <w:r w:rsidR="00F634CD">
        <w:t>eal-</w:t>
      </w:r>
      <w:r w:rsidR="001443BC">
        <w:t>t</w:t>
      </w:r>
      <w:r w:rsidR="00F634CD">
        <w:t xml:space="preserve">ime </w:t>
      </w:r>
      <w:r w:rsidR="001443BC">
        <w:t>c</w:t>
      </w:r>
      <w:r w:rsidR="00F634CD">
        <w:t xml:space="preserve">ell </w:t>
      </w:r>
      <w:r w:rsidR="001443BC">
        <w:t>m</w:t>
      </w:r>
      <w:r w:rsidR="00F634CD">
        <w:t xml:space="preserve">etabolic </w:t>
      </w:r>
      <w:r w:rsidR="001443BC">
        <w:t>f</w:t>
      </w:r>
      <w:r w:rsidR="00F634CD">
        <w:t xml:space="preserve">lux analyzer </w:t>
      </w:r>
      <w:r w:rsidRPr="00AA24D3">
        <w:rPr>
          <w:rFonts w:eastAsia="Times New Roman"/>
          <w:color w:val="0E101A"/>
        </w:rPr>
        <w:t>data with cell count.</w:t>
      </w:r>
    </w:p>
    <w:p w14:paraId="43AB1DC0" w14:textId="77777777" w:rsidR="006F15E6" w:rsidRPr="00AA24D3" w:rsidRDefault="006F15E6" w:rsidP="00972F6D">
      <w:pPr>
        <w:widowControl/>
        <w:rPr>
          <w:rFonts w:eastAsia="Times New Roman"/>
          <w:color w:val="0E101A"/>
        </w:rPr>
      </w:pPr>
    </w:p>
    <w:p w14:paraId="6909201B" w14:textId="27EA8804" w:rsidR="00942622" w:rsidRDefault="00942622" w:rsidP="00972F6D">
      <w:pPr>
        <w:widowControl/>
        <w:rPr>
          <w:rFonts w:eastAsia="Times New Roman"/>
          <w:color w:val="0E101A"/>
        </w:rPr>
      </w:pPr>
      <w:r w:rsidRPr="00AA24D3">
        <w:rPr>
          <w:rFonts w:eastAsia="Times New Roman"/>
          <w:b/>
          <w:bCs/>
          <w:color w:val="0E101A"/>
        </w:rPr>
        <w:t xml:space="preserve">Figure 2: The </w:t>
      </w:r>
      <w:r w:rsidR="006F15E6">
        <w:rPr>
          <w:rFonts w:eastAsia="Times New Roman"/>
          <w:b/>
          <w:bCs/>
          <w:color w:val="0E101A"/>
        </w:rPr>
        <w:t>c</w:t>
      </w:r>
      <w:r w:rsidRPr="00AA24D3">
        <w:rPr>
          <w:rFonts w:eastAsia="Times New Roman"/>
          <w:b/>
          <w:bCs/>
          <w:color w:val="0E101A"/>
        </w:rPr>
        <w:t xml:space="preserve">ell culture microplate, specifically designed for </w:t>
      </w:r>
      <w:r w:rsidR="006F15E6">
        <w:rPr>
          <w:rFonts w:eastAsia="Times New Roman"/>
          <w:b/>
          <w:bCs/>
          <w:color w:val="0E101A"/>
        </w:rPr>
        <w:t>the</w:t>
      </w:r>
      <w:r w:rsidR="006F15E6" w:rsidRPr="00AA24D3">
        <w:rPr>
          <w:rFonts w:eastAsia="Times New Roman"/>
          <w:b/>
          <w:bCs/>
          <w:color w:val="0E101A"/>
        </w:rPr>
        <w:t xml:space="preserve"> </w:t>
      </w:r>
      <w:r w:rsidRPr="00AA24D3">
        <w:rPr>
          <w:rFonts w:eastAsia="Times New Roman"/>
          <w:b/>
          <w:bCs/>
          <w:color w:val="0E101A"/>
        </w:rPr>
        <w:t>analyzer</w:t>
      </w:r>
      <w:r w:rsidR="006F15E6">
        <w:rPr>
          <w:rFonts w:eastAsia="Times New Roman"/>
          <w:b/>
          <w:bCs/>
          <w:color w:val="0E101A"/>
        </w:rPr>
        <w:t xml:space="preserve">. </w:t>
      </w:r>
      <w:r w:rsidR="006F15E6" w:rsidRPr="007E602D">
        <w:rPr>
          <w:rFonts w:eastAsia="Times New Roman"/>
          <w:color w:val="0E101A"/>
        </w:rPr>
        <w:t>(</w:t>
      </w:r>
      <w:r w:rsidRPr="00AA24D3">
        <w:rPr>
          <w:rFonts w:eastAsia="Times New Roman"/>
          <w:b/>
          <w:bCs/>
          <w:color w:val="0E101A"/>
        </w:rPr>
        <w:t>A</w:t>
      </w:r>
      <w:r w:rsidR="006F15E6" w:rsidRPr="007E602D">
        <w:rPr>
          <w:rFonts w:eastAsia="Times New Roman"/>
          <w:color w:val="0E101A"/>
        </w:rPr>
        <w:t>)</w:t>
      </w:r>
      <w:r w:rsidR="00871C9A">
        <w:rPr>
          <w:rFonts w:eastAsia="Times New Roman"/>
          <w:color w:val="0E101A"/>
        </w:rPr>
        <w:t xml:space="preserve"> </w:t>
      </w:r>
      <w:r w:rsidRPr="00AA24D3">
        <w:rPr>
          <w:rFonts w:eastAsia="Times New Roman"/>
          <w:color w:val="0E101A"/>
        </w:rPr>
        <w:t>The four background correction wells, A1, A12, H1, H12, are highlighted. These wells only contain assay media without any cells</w:t>
      </w:r>
      <w:r w:rsidR="006F34E9">
        <w:rPr>
          <w:rFonts w:eastAsia="Times New Roman"/>
          <w:color w:val="0E101A"/>
        </w:rPr>
        <w:t>.</w:t>
      </w:r>
      <w:r w:rsidR="007E29E0">
        <w:rPr>
          <w:rFonts w:eastAsia="Times New Roman"/>
          <w:color w:val="0E101A"/>
        </w:rPr>
        <w:t xml:space="preserve"> </w:t>
      </w:r>
      <w:r w:rsidR="006F34E9">
        <w:rPr>
          <w:rFonts w:eastAsia="Times New Roman"/>
          <w:color w:val="0E101A"/>
        </w:rPr>
        <w:t>(</w:t>
      </w:r>
      <w:r w:rsidRPr="00AA24D3">
        <w:rPr>
          <w:rFonts w:eastAsia="Times New Roman"/>
          <w:b/>
          <w:bCs/>
          <w:color w:val="0E101A"/>
        </w:rPr>
        <w:t>B</w:t>
      </w:r>
      <w:r w:rsidR="006F34E9" w:rsidRPr="00120856">
        <w:rPr>
          <w:rFonts w:eastAsia="Times New Roman"/>
          <w:color w:val="0E101A"/>
        </w:rPr>
        <w:t>)</w:t>
      </w:r>
      <w:r w:rsidR="00871C9A">
        <w:rPr>
          <w:rFonts w:eastAsia="Times New Roman"/>
          <w:color w:val="0E101A"/>
        </w:rPr>
        <w:t xml:space="preserve"> </w:t>
      </w:r>
      <w:r w:rsidR="00746913">
        <w:rPr>
          <w:rFonts w:eastAsia="Times New Roman"/>
          <w:color w:val="0E101A"/>
        </w:rPr>
        <w:t>The b</w:t>
      </w:r>
      <w:r w:rsidRPr="00AA24D3">
        <w:rPr>
          <w:rFonts w:eastAsia="Times New Roman"/>
          <w:color w:val="0E101A"/>
        </w:rPr>
        <w:t xml:space="preserve">arcode on the side of the plate to scan the plate using </w:t>
      </w:r>
      <w:r w:rsidR="006F34E9">
        <w:rPr>
          <w:rFonts w:eastAsia="Times New Roman"/>
          <w:color w:val="0E101A"/>
        </w:rPr>
        <w:t>the</w:t>
      </w:r>
      <w:r w:rsidRPr="00AA24D3">
        <w:rPr>
          <w:rFonts w:eastAsia="Times New Roman"/>
          <w:color w:val="0E101A"/>
        </w:rPr>
        <w:t xml:space="preserve"> imaging reader and </w:t>
      </w:r>
      <w:r w:rsidR="006F34E9">
        <w:rPr>
          <w:rFonts w:eastAsia="Times New Roman"/>
          <w:color w:val="0E101A"/>
        </w:rPr>
        <w:t>a</w:t>
      </w:r>
      <w:r w:rsidRPr="00AA24D3">
        <w:rPr>
          <w:rFonts w:eastAsia="Times New Roman"/>
          <w:color w:val="0E101A"/>
        </w:rPr>
        <w:t>nalyzer</w:t>
      </w:r>
      <w:r w:rsidR="006F34E9">
        <w:rPr>
          <w:rFonts w:eastAsia="Times New Roman"/>
          <w:color w:val="0E101A"/>
        </w:rPr>
        <w:t>.</w:t>
      </w:r>
    </w:p>
    <w:p w14:paraId="423F6EFF" w14:textId="77777777" w:rsidR="006F34E9" w:rsidRPr="00AA24D3" w:rsidRDefault="006F34E9" w:rsidP="00972F6D">
      <w:pPr>
        <w:widowControl/>
        <w:rPr>
          <w:rFonts w:eastAsia="Times New Roman"/>
          <w:color w:val="0E101A"/>
        </w:rPr>
      </w:pPr>
    </w:p>
    <w:p w14:paraId="1E219922" w14:textId="6B70C5A3" w:rsidR="00942622" w:rsidRDefault="00942622" w:rsidP="00972F6D">
      <w:pPr>
        <w:widowControl/>
        <w:rPr>
          <w:rFonts w:eastAsia="Times New Roman"/>
          <w:color w:val="0E101A"/>
        </w:rPr>
      </w:pPr>
      <w:r w:rsidRPr="00AA24D3">
        <w:rPr>
          <w:rFonts w:eastAsia="Times New Roman"/>
          <w:b/>
          <w:bCs/>
          <w:color w:val="0E101A"/>
        </w:rPr>
        <w:t>Figure 3: The controller software</w:t>
      </w:r>
      <w:r w:rsidR="006F34E9">
        <w:rPr>
          <w:rFonts w:eastAsia="Times New Roman"/>
          <w:b/>
          <w:bCs/>
          <w:color w:val="0E101A"/>
        </w:rPr>
        <w:t xml:space="preserve">. </w:t>
      </w:r>
      <w:r w:rsidR="006F34E9" w:rsidRPr="00120856">
        <w:rPr>
          <w:rFonts w:eastAsia="Times New Roman"/>
          <w:color w:val="0E101A"/>
        </w:rPr>
        <w:t>To</w:t>
      </w:r>
      <w:r w:rsidRPr="00111B61">
        <w:rPr>
          <w:rFonts w:eastAsia="Times New Roman"/>
          <w:color w:val="0E101A"/>
        </w:rPr>
        <w:t xml:space="preserve"> verify the equipment is connected and is set to 37 °C.</w:t>
      </w:r>
      <w:r w:rsidRPr="007E602D">
        <w:rPr>
          <w:rFonts w:eastAsia="Times New Roman"/>
          <w:color w:val="0E101A"/>
        </w:rPr>
        <w:t xml:space="preserve"> </w:t>
      </w:r>
      <w:r w:rsidRPr="00111B61">
        <w:rPr>
          <w:rFonts w:eastAsia="Times New Roman"/>
          <w:color w:val="0E101A"/>
        </w:rPr>
        <w:t xml:space="preserve">The template files for different assays that can be performed with </w:t>
      </w:r>
      <w:r w:rsidR="00612D14">
        <w:rPr>
          <w:rFonts w:eastAsia="Times New Roman"/>
          <w:color w:val="0E101A"/>
        </w:rPr>
        <w:t>the</w:t>
      </w:r>
      <w:r w:rsidRPr="00111B61">
        <w:rPr>
          <w:rFonts w:eastAsia="Times New Roman"/>
          <w:color w:val="0E101A"/>
        </w:rPr>
        <w:t xml:space="preserve"> </w:t>
      </w:r>
      <w:r w:rsidR="00612D14">
        <w:rPr>
          <w:rFonts w:eastAsia="Times New Roman"/>
          <w:color w:val="0E101A"/>
        </w:rPr>
        <w:t>e</w:t>
      </w:r>
      <w:r w:rsidRPr="00111B61">
        <w:rPr>
          <w:rFonts w:eastAsia="Times New Roman"/>
          <w:color w:val="0E101A"/>
        </w:rPr>
        <w:t>xtracellular flux analyzer can be selected to customize the assay</w:t>
      </w:r>
      <w:r w:rsidR="00871C9A" w:rsidRPr="00111B61">
        <w:rPr>
          <w:rFonts w:eastAsia="Times New Roman"/>
          <w:color w:val="0E101A"/>
        </w:rPr>
        <w:t xml:space="preserve"> further</w:t>
      </w:r>
      <w:r w:rsidRPr="00111B61">
        <w:rPr>
          <w:rFonts w:eastAsia="Times New Roman"/>
          <w:color w:val="0E101A"/>
        </w:rPr>
        <w:t xml:space="preserve"> based on the experimental goals</w:t>
      </w:r>
      <w:r w:rsidR="00612D14">
        <w:rPr>
          <w:rFonts w:eastAsia="Times New Roman"/>
          <w:color w:val="0E101A"/>
        </w:rPr>
        <w:t>.</w:t>
      </w:r>
    </w:p>
    <w:p w14:paraId="6D7CD5BD" w14:textId="77777777" w:rsidR="00612D14" w:rsidRPr="006F34E9" w:rsidRDefault="00612D14" w:rsidP="00972F6D">
      <w:pPr>
        <w:widowControl/>
        <w:rPr>
          <w:rFonts w:eastAsia="Times New Roman"/>
          <w:color w:val="0E101A"/>
        </w:rPr>
      </w:pPr>
    </w:p>
    <w:p w14:paraId="09FC615B" w14:textId="605AE34B" w:rsidR="00942622" w:rsidRDefault="00942622" w:rsidP="00972F6D">
      <w:pPr>
        <w:widowControl/>
        <w:rPr>
          <w:rFonts w:eastAsia="Times New Roman"/>
          <w:color w:val="0E101A"/>
        </w:rPr>
      </w:pPr>
      <w:r w:rsidRPr="00AA24D3">
        <w:rPr>
          <w:rFonts w:eastAsia="Times New Roman"/>
          <w:b/>
          <w:bCs/>
          <w:color w:val="0E101A"/>
        </w:rPr>
        <w:t xml:space="preserve">Figure 4: The </w:t>
      </w:r>
      <w:r w:rsidR="00C14792">
        <w:rPr>
          <w:rFonts w:eastAsia="Times New Roman"/>
          <w:b/>
          <w:bCs/>
          <w:color w:val="0E101A"/>
        </w:rPr>
        <w:t>c</w:t>
      </w:r>
      <w:r w:rsidRPr="00AA24D3">
        <w:rPr>
          <w:rFonts w:eastAsia="Times New Roman"/>
          <w:b/>
          <w:bCs/>
          <w:color w:val="0E101A"/>
        </w:rPr>
        <w:t xml:space="preserve">ell imaging software communicates to the </w:t>
      </w:r>
      <w:r w:rsidR="00612D14">
        <w:rPr>
          <w:rFonts w:eastAsia="Times New Roman"/>
          <w:b/>
          <w:bCs/>
          <w:color w:val="0E101A"/>
        </w:rPr>
        <w:t>i</w:t>
      </w:r>
      <w:r w:rsidRPr="00AA24D3">
        <w:rPr>
          <w:rFonts w:eastAsia="Times New Roman"/>
          <w:b/>
          <w:bCs/>
          <w:color w:val="0E101A"/>
        </w:rPr>
        <w:t>maging reader through the computer</w:t>
      </w:r>
      <w:r w:rsidRPr="007E602D">
        <w:rPr>
          <w:rFonts w:eastAsia="Times New Roman"/>
          <w:color w:val="0E101A"/>
        </w:rPr>
        <w:t>.</w:t>
      </w:r>
      <w:r w:rsidR="00871C9A">
        <w:rPr>
          <w:rFonts w:eastAsia="Times New Roman"/>
          <w:color w:val="0E101A"/>
        </w:rPr>
        <w:t xml:space="preserve"> </w:t>
      </w:r>
      <w:r w:rsidR="00D3502B" w:rsidRPr="00AA24D3">
        <w:rPr>
          <w:rFonts w:eastAsia="Times New Roman"/>
          <w:color w:val="0E101A"/>
        </w:rPr>
        <w:t xml:space="preserve">The </w:t>
      </w:r>
      <w:r w:rsidRPr="00AA24D3">
        <w:rPr>
          <w:rFonts w:eastAsia="Times New Roman"/>
          <w:color w:val="0E101A"/>
        </w:rPr>
        <w:t>cells</w:t>
      </w:r>
      <w:r w:rsidR="00D3502B" w:rsidRPr="00AA24D3">
        <w:rPr>
          <w:rFonts w:eastAsia="Times New Roman"/>
          <w:color w:val="0E101A"/>
        </w:rPr>
        <w:t xml:space="preserve"> in the microplate</w:t>
      </w:r>
      <w:r w:rsidRPr="00AA24D3">
        <w:rPr>
          <w:rFonts w:eastAsia="Times New Roman"/>
          <w:color w:val="0E101A"/>
        </w:rPr>
        <w:t xml:space="preserve"> can be imaged before and after the assay</w:t>
      </w:r>
      <w:r w:rsidR="00746913">
        <w:rPr>
          <w:rFonts w:eastAsia="Times New Roman"/>
          <w:color w:val="0E101A"/>
        </w:rPr>
        <w:t>, and t</w:t>
      </w:r>
      <w:r w:rsidRPr="00AA24D3">
        <w:rPr>
          <w:rFonts w:eastAsia="Times New Roman"/>
          <w:color w:val="0E101A"/>
        </w:rPr>
        <w:t xml:space="preserve">he cell count/well is obtained after the assay to normalize </w:t>
      </w:r>
      <w:r w:rsidR="00C14792">
        <w:rPr>
          <w:rFonts w:eastAsia="Times New Roman"/>
          <w:color w:val="0E101A"/>
        </w:rPr>
        <w:t>the</w:t>
      </w:r>
      <w:r w:rsidR="00C14792" w:rsidRPr="00AA24D3">
        <w:rPr>
          <w:rFonts w:eastAsia="Times New Roman"/>
          <w:color w:val="0E101A"/>
        </w:rPr>
        <w:t xml:space="preserve"> </w:t>
      </w:r>
      <w:r w:rsidRPr="00AA24D3">
        <w:rPr>
          <w:rFonts w:eastAsia="Times New Roman"/>
          <w:color w:val="0E101A"/>
        </w:rPr>
        <w:t>data.</w:t>
      </w:r>
    </w:p>
    <w:p w14:paraId="234DA973" w14:textId="77777777" w:rsidR="00C14792" w:rsidRPr="00AA24D3" w:rsidRDefault="00C14792" w:rsidP="00972F6D">
      <w:pPr>
        <w:widowControl/>
        <w:rPr>
          <w:rFonts w:eastAsia="Times New Roman"/>
          <w:color w:val="0E101A"/>
        </w:rPr>
      </w:pPr>
    </w:p>
    <w:p w14:paraId="2CC408DF" w14:textId="5ABEF2C8" w:rsidR="00B50D1E" w:rsidRPr="00AA24D3" w:rsidRDefault="000F1266" w:rsidP="00972F6D">
      <w:pPr>
        <w:widowControl/>
        <w:rPr>
          <w:rFonts w:eastAsia="Times New Roman"/>
          <w:color w:val="0E101A"/>
        </w:rPr>
      </w:pPr>
      <w:r w:rsidRPr="00AA24D3">
        <w:rPr>
          <w:rFonts w:eastAsia="Times New Roman"/>
          <w:b/>
          <w:bCs/>
          <w:color w:val="0E101A"/>
        </w:rPr>
        <w:t xml:space="preserve">Figure 5: Representative images from </w:t>
      </w:r>
      <w:r w:rsidR="00C14792">
        <w:rPr>
          <w:rFonts w:eastAsia="Times New Roman"/>
          <w:b/>
          <w:bCs/>
          <w:color w:val="0E101A"/>
        </w:rPr>
        <w:t>the imaging software</w:t>
      </w:r>
      <w:r w:rsidRPr="00AA24D3">
        <w:rPr>
          <w:rFonts w:eastAsia="Times New Roman"/>
          <w:b/>
          <w:bCs/>
          <w:color w:val="0E101A"/>
        </w:rPr>
        <w:t xml:space="preserve"> used for normalization of data from </w:t>
      </w:r>
      <w:r w:rsidR="00C14792">
        <w:rPr>
          <w:rFonts w:eastAsia="Times New Roman"/>
          <w:b/>
          <w:bCs/>
          <w:color w:val="0E101A"/>
        </w:rPr>
        <w:t>the</w:t>
      </w:r>
      <w:r w:rsidRPr="00AA24D3">
        <w:rPr>
          <w:rFonts w:eastAsia="Times New Roman"/>
          <w:b/>
          <w:bCs/>
          <w:color w:val="0E101A"/>
        </w:rPr>
        <w:t xml:space="preserve"> assay</w:t>
      </w:r>
      <w:r w:rsidR="00C14792">
        <w:rPr>
          <w:rFonts w:eastAsia="Times New Roman"/>
          <w:b/>
          <w:bCs/>
          <w:color w:val="0E101A"/>
        </w:rPr>
        <w:t xml:space="preserve">. </w:t>
      </w:r>
      <w:r w:rsidR="00C14792" w:rsidRPr="007E602D">
        <w:rPr>
          <w:rFonts w:eastAsia="Times New Roman"/>
          <w:color w:val="0E101A"/>
        </w:rPr>
        <w:t>(</w:t>
      </w:r>
      <w:r w:rsidRPr="00AA24D3">
        <w:rPr>
          <w:rFonts w:eastAsia="Times New Roman"/>
          <w:b/>
          <w:bCs/>
          <w:color w:val="0E101A"/>
        </w:rPr>
        <w:t>A</w:t>
      </w:r>
      <w:r w:rsidR="00C14792" w:rsidRPr="007E602D">
        <w:rPr>
          <w:rFonts w:eastAsia="Times New Roman"/>
          <w:color w:val="0E101A"/>
        </w:rPr>
        <w:t>)</w:t>
      </w:r>
      <w:r w:rsidR="00871C9A">
        <w:rPr>
          <w:rFonts w:eastAsia="Times New Roman"/>
          <w:color w:val="0E101A"/>
        </w:rPr>
        <w:t xml:space="preserve"> </w:t>
      </w:r>
      <w:r w:rsidRPr="00AA24D3">
        <w:rPr>
          <w:rFonts w:eastAsia="Times New Roman"/>
          <w:color w:val="0E101A"/>
        </w:rPr>
        <w:t>Stitched bright field image showing the cell confluence throughout the entire well</w:t>
      </w:r>
      <w:r w:rsidR="001C7A5A" w:rsidRPr="007E602D">
        <w:rPr>
          <w:rFonts w:eastAsia="Times New Roman"/>
          <w:color w:val="0E101A"/>
        </w:rPr>
        <w:t xml:space="preserve">. </w:t>
      </w:r>
      <w:r w:rsidR="00B50D1E" w:rsidRPr="007E602D">
        <w:rPr>
          <w:rFonts w:eastAsia="Times New Roman"/>
          <w:color w:val="0E101A"/>
        </w:rPr>
        <w:t>(</w:t>
      </w:r>
      <w:r w:rsidRPr="00AA24D3">
        <w:rPr>
          <w:rFonts w:eastAsia="Times New Roman"/>
          <w:b/>
          <w:bCs/>
          <w:color w:val="0E101A"/>
        </w:rPr>
        <w:t>B</w:t>
      </w:r>
      <w:r w:rsidR="00B50D1E" w:rsidRPr="00120856">
        <w:rPr>
          <w:rFonts w:eastAsia="Times New Roman"/>
          <w:color w:val="0E101A"/>
        </w:rPr>
        <w:t>)</w:t>
      </w:r>
      <w:r w:rsidR="00871C9A">
        <w:rPr>
          <w:rFonts w:eastAsia="Times New Roman"/>
          <w:color w:val="0E101A"/>
        </w:rPr>
        <w:t xml:space="preserve"> </w:t>
      </w:r>
      <w:r w:rsidRPr="00AA24D3">
        <w:rPr>
          <w:rFonts w:eastAsia="Times New Roman"/>
          <w:color w:val="0E101A"/>
        </w:rPr>
        <w:t xml:space="preserve">Stitched fluorescence image showing </w:t>
      </w:r>
      <w:r w:rsidR="00821F02" w:rsidRPr="00AA24D3">
        <w:rPr>
          <w:rFonts w:eastAsia="Times New Roman"/>
          <w:color w:val="0E101A"/>
        </w:rPr>
        <w:t>Hoechst-stained</w:t>
      </w:r>
      <w:r w:rsidRPr="00AA24D3">
        <w:rPr>
          <w:rFonts w:eastAsia="Times New Roman"/>
          <w:color w:val="0E101A"/>
        </w:rPr>
        <w:t xml:space="preserve"> nuclei of osteoblasts used for counting cell numbers to normalize </w:t>
      </w:r>
      <w:r w:rsidR="00B50D1E">
        <w:rPr>
          <w:rFonts w:eastAsia="Times New Roman"/>
          <w:color w:val="0E101A"/>
        </w:rPr>
        <w:t>the</w:t>
      </w:r>
      <w:r w:rsidR="00B50D1E" w:rsidRPr="00AA24D3">
        <w:rPr>
          <w:rFonts w:eastAsia="Times New Roman"/>
          <w:color w:val="0E101A"/>
        </w:rPr>
        <w:t xml:space="preserve"> </w:t>
      </w:r>
      <w:r w:rsidRPr="00AA24D3">
        <w:rPr>
          <w:rFonts w:eastAsia="Times New Roman"/>
          <w:color w:val="0E101A"/>
        </w:rPr>
        <w:t>assay results.</w:t>
      </w:r>
      <w:r w:rsidR="008F32E3">
        <w:rPr>
          <w:rFonts w:eastAsia="Times New Roman"/>
          <w:color w:val="0E101A"/>
        </w:rPr>
        <w:t xml:space="preserve"> These are osteoblasts after 7 days of differentiation.</w:t>
      </w:r>
    </w:p>
    <w:p w14:paraId="32EAFD7D" w14:textId="32125BB0" w:rsidR="006E4797" w:rsidRPr="00AA24D3" w:rsidRDefault="00942622" w:rsidP="00972F6D">
      <w:pPr>
        <w:widowControl/>
        <w:rPr>
          <w:color w:val="808080"/>
        </w:rPr>
      </w:pPr>
      <w:r w:rsidRPr="00AA24D3">
        <w:rPr>
          <w:rFonts w:eastAsia="Times New Roman"/>
          <w:b/>
          <w:bCs/>
          <w:color w:val="0E101A"/>
        </w:rPr>
        <w:t xml:space="preserve">Figure </w:t>
      </w:r>
      <w:r w:rsidR="000F1266" w:rsidRPr="00AA24D3">
        <w:rPr>
          <w:rFonts w:eastAsia="Times New Roman"/>
          <w:b/>
          <w:bCs/>
          <w:color w:val="0E101A"/>
        </w:rPr>
        <w:t>6</w:t>
      </w:r>
      <w:r w:rsidR="00B50D1E">
        <w:rPr>
          <w:rFonts w:eastAsia="Times New Roman"/>
          <w:b/>
          <w:bCs/>
          <w:color w:val="0E101A"/>
        </w:rPr>
        <w:t xml:space="preserve">: </w:t>
      </w:r>
      <w:r w:rsidRPr="00AA24D3">
        <w:rPr>
          <w:rFonts w:eastAsia="Times New Roman"/>
          <w:b/>
          <w:bCs/>
          <w:color w:val="0E101A"/>
        </w:rPr>
        <w:t xml:space="preserve">Representative graphs for routinely performed assay to understand the cellular bioenergetic profile of control </w:t>
      </w:r>
      <w:r w:rsidR="00B50D1E">
        <w:rPr>
          <w:rFonts w:eastAsia="Times New Roman"/>
          <w:b/>
          <w:bCs/>
          <w:color w:val="0E101A"/>
        </w:rPr>
        <w:t>v</w:t>
      </w:r>
      <w:r w:rsidRPr="00AA24D3">
        <w:rPr>
          <w:rFonts w:eastAsia="Times New Roman"/>
          <w:b/>
          <w:bCs/>
          <w:color w:val="0E101A"/>
        </w:rPr>
        <w:t>s. treatment group</w:t>
      </w:r>
      <w:r w:rsidR="00C95E6D" w:rsidRPr="00AA24D3">
        <w:rPr>
          <w:rFonts w:eastAsia="Times New Roman"/>
          <w:b/>
          <w:bCs/>
          <w:color w:val="0E101A"/>
        </w:rPr>
        <w:t xml:space="preserve"> with their respective standard errors</w:t>
      </w:r>
      <w:r w:rsidR="00B50D1E">
        <w:rPr>
          <w:rFonts w:eastAsia="Times New Roman"/>
          <w:b/>
          <w:bCs/>
          <w:color w:val="0E101A"/>
        </w:rPr>
        <w:t>.</w:t>
      </w:r>
      <w:r w:rsidR="00C40A6A">
        <w:rPr>
          <w:rFonts w:eastAsia="Times New Roman"/>
          <w:b/>
          <w:bCs/>
          <w:color w:val="0E101A"/>
        </w:rPr>
        <w:t xml:space="preserve"> </w:t>
      </w:r>
      <w:r w:rsidR="00C40A6A" w:rsidRPr="007E602D">
        <w:rPr>
          <w:rFonts w:eastAsia="Times New Roman"/>
          <w:color w:val="0E101A"/>
        </w:rPr>
        <w:t>(</w:t>
      </w:r>
      <w:r w:rsidRPr="00AA24D3">
        <w:rPr>
          <w:rFonts w:eastAsia="Times New Roman"/>
          <w:b/>
          <w:bCs/>
          <w:color w:val="0E101A"/>
        </w:rPr>
        <w:t>A</w:t>
      </w:r>
      <w:r w:rsidR="00C40A6A" w:rsidRPr="007E602D">
        <w:rPr>
          <w:rFonts w:eastAsia="Times New Roman"/>
          <w:color w:val="0E101A"/>
        </w:rPr>
        <w:t>)</w:t>
      </w:r>
      <w:r w:rsidR="00871C9A">
        <w:rPr>
          <w:rFonts w:eastAsia="Times New Roman"/>
          <w:color w:val="0E101A"/>
        </w:rPr>
        <w:t xml:space="preserve"> </w:t>
      </w:r>
      <w:r w:rsidR="00C40A6A">
        <w:rPr>
          <w:rFonts w:eastAsia="Times New Roman"/>
          <w:color w:val="0E101A"/>
        </w:rPr>
        <w:t>The c</w:t>
      </w:r>
      <w:r w:rsidRPr="00111B61">
        <w:rPr>
          <w:rFonts w:eastAsia="Times New Roman"/>
          <w:color w:val="0E101A"/>
        </w:rPr>
        <w:t>ell energy phenotype test</w:t>
      </w:r>
      <w:r w:rsidR="00D667F2" w:rsidRPr="00111B61">
        <w:rPr>
          <w:rFonts w:eastAsia="Times New Roman"/>
          <w:color w:val="0E101A"/>
        </w:rPr>
        <w:t>.</w:t>
      </w:r>
      <w:r w:rsidR="00D667F2" w:rsidRPr="007E602D">
        <w:rPr>
          <w:rFonts w:eastAsia="Times New Roman"/>
          <w:color w:val="0E101A"/>
        </w:rPr>
        <w:t xml:space="preserve"> </w:t>
      </w:r>
      <w:r w:rsidR="002419A2" w:rsidRPr="00AA24D3">
        <w:rPr>
          <w:rFonts w:eastAsia="Times New Roman"/>
          <w:color w:val="0E101A"/>
        </w:rPr>
        <w:t xml:space="preserve">The plot represents the </w:t>
      </w:r>
      <w:r w:rsidR="00C40A6A">
        <w:rPr>
          <w:rFonts w:eastAsia="Times New Roman"/>
          <w:color w:val="0E101A"/>
        </w:rPr>
        <w:t>g</w:t>
      </w:r>
      <w:r w:rsidR="002419A2" w:rsidRPr="00AA24D3">
        <w:rPr>
          <w:rFonts w:eastAsia="Times New Roman"/>
          <w:color w:val="0E101A"/>
        </w:rPr>
        <w:t xml:space="preserve">lycolysis (ECAR) </w:t>
      </w:r>
      <w:r w:rsidR="00C40A6A">
        <w:rPr>
          <w:rFonts w:eastAsia="Times New Roman"/>
          <w:color w:val="0E101A"/>
        </w:rPr>
        <w:t>v</w:t>
      </w:r>
      <w:r w:rsidR="002419A2" w:rsidRPr="00AA24D3">
        <w:rPr>
          <w:rFonts w:eastAsia="Times New Roman"/>
          <w:color w:val="0E101A"/>
        </w:rPr>
        <w:t>s</w:t>
      </w:r>
      <w:r w:rsidR="00252B25" w:rsidRPr="00AA24D3">
        <w:rPr>
          <w:rFonts w:eastAsia="Times New Roman"/>
          <w:color w:val="0E101A"/>
        </w:rPr>
        <w:t>.</w:t>
      </w:r>
      <w:r w:rsidR="002419A2" w:rsidRPr="00AA24D3">
        <w:rPr>
          <w:rFonts w:eastAsia="Times New Roman"/>
          <w:color w:val="0E101A"/>
        </w:rPr>
        <w:t xml:space="preserve"> </w:t>
      </w:r>
      <w:r w:rsidR="00C40A6A">
        <w:rPr>
          <w:rFonts w:eastAsia="Times New Roman"/>
          <w:color w:val="0E101A"/>
        </w:rPr>
        <w:t>m</w:t>
      </w:r>
      <w:r w:rsidR="002419A2" w:rsidRPr="00AA24D3">
        <w:rPr>
          <w:rFonts w:eastAsia="Times New Roman"/>
          <w:color w:val="0E101A"/>
        </w:rPr>
        <w:t xml:space="preserve">itochondrial respiration (OCR) of the control </w:t>
      </w:r>
      <w:r w:rsidR="00C40A6A">
        <w:rPr>
          <w:rFonts w:eastAsia="Times New Roman"/>
          <w:color w:val="0E101A"/>
        </w:rPr>
        <w:t>v</w:t>
      </w:r>
      <w:r w:rsidR="002419A2" w:rsidRPr="00AA24D3">
        <w:rPr>
          <w:rFonts w:eastAsia="Times New Roman"/>
          <w:color w:val="0E101A"/>
        </w:rPr>
        <w:t>s</w:t>
      </w:r>
      <w:r w:rsidR="00252B25" w:rsidRPr="00AA24D3">
        <w:rPr>
          <w:rFonts w:eastAsia="Times New Roman"/>
          <w:color w:val="0E101A"/>
        </w:rPr>
        <w:t>.</w:t>
      </w:r>
      <w:r w:rsidR="002419A2" w:rsidRPr="00AA24D3">
        <w:rPr>
          <w:rFonts w:eastAsia="Times New Roman"/>
          <w:color w:val="0E101A"/>
        </w:rPr>
        <w:t xml:space="preserve"> </w:t>
      </w:r>
      <w:r w:rsidR="00C40A6A">
        <w:rPr>
          <w:rFonts w:eastAsia="Times New Roman"/>
          <w:color w:val="0E101A"/>
        </w:rPr>
        <w:t>t</w:t>
      </w:r>
      <w:r w:rsidR="002419A2" w:rsidRPr="00AA24D3">
        <w:rPr>
          <w:rFonts w:eastAsia="Times New Roman"/>
          <w:color w:val="0E101A"/>
        </w:rPr>
        <w:t>wo treatment groups (n</w:t>
      </w:r>
      <w:r w:rsidR="00871C9A">
        <w:rPr>
          <w:rFonts w:eastAsia="Times New Roman"/>
          <w:color w:val="0E101A"/>
        </w:rPr>
        <w:t xml:space="preserve"> </w:t>
      </w:r>
      <w:r w:rsidR="002419A2" w:rsidRPr="00AA24D3">
        <w:rPr>
          <w:rFonts w:eastAsia="Times New Roman"/>
          <w:color w:val="0E101A"/>
        </w:rPr>
        <w:t>=</w:t>
      </w:r>
      <w:r w:rsidR="00871C9A">
        <w:rPr>
          <w:rFonts w:eastAsia="Times New Roman"/>
          <w:color w:val="0E101A"/>
        </w:rPr>
        <w:t xml:space="preserve"> </w:t>
      </w:r>
      <w:r w:rsidR="002419A2" w:rsidRPr="00AA24D3">
        <w:rPr>
          <w:rFonts w:eastAsia="Times New Roman"/>
          <w:color w:val="0E101A"/>
        </w:rPr>
        <w:t>3)</w:t>
      </w:r>
      <w:r w:rsidR="00C40A6A">
        <w:rPr>
          <w:rFonts w:eastAsia="Times New Roman"/>
          <w:color w:val="0E101A"/>
        </w:rPr>
        <w:t>.</w:t>
      </w:r>
      <w:r w:rsidR="002419A2" w:rsidRPr="00AA24D3">
        <w:rPr>
          <w:rFonts w:eastAsia="Times New Roman"/>
          <w:color w:val="0E101A"/>
        </w:rPr>
        <w:t xml:space="preserve"> </w:t>
      </w:r>
      <w:r w:rsidR="00D667F2" w:rsidRPr="00AA24D3">
        <w:rPr>
          <w:rFonts w:eastAsia="Times New Roman"/>
          <w:color w:val="0E101A"/>
        </w:rPr>
        <w:t xml:space="preserve">The injection of </w:t>
      </w:r>
      <w:r w:rsidR="00C40A6A">
        <w:rPr>
          <w:rFonts w:eastAsia="Times New Roman"/>
          <w:color w:val="0E101A"/>
        </w:rPr>
        <w:t>o</w:t>
      </w:r>
      <w:r w:rsidR="00D667F2" w:rsidRPr="00AA24D3">
        <w:rPr>
          <w:rFonts w:eastAsia="Times New Roman"/>
          <w:color w:val="0E101A"/>
        </w:rPr>
        <w:t xml:space="preserve">ligomycin </w:t>
      </w:r>
      <w:r w:rsidR="00A44E6F">
        <w:rPr>
          <w:rFonts w:eastAsia="Times New Roman"/>
          <w:color w:val="0E101A"/>
        </w:rPr>
        <w:t xml:space="preserve">A </w:t>
      </w:r>
      <w:r w:rsidR="00D667F2" w:rsidRPr="00AA24D3">
        <w:rPr>
          <w:rFonts w:eastAsia="Times New Roman"/>
          <w:color w:val="0E101A"/>
        </w:rPr>
        <w:lastRenderedPageBreak/>
        <w:t xml:space="preserve">and FCCP </w:t>
      </w:r>
      <w:r w:rsidR="00C40A6A">
        <w:rPr>
          <w:rFonts w:eastAsia="Times New Roman"/>
          <w:color w:val="0E101A"/>
        </w:rPr>
        <w:t>s</w:t>
      </w:r>
      <w:r w:rsidR="00D667F2" w:rsidRPr="00AA24D3">
        <w:rPr>
          <w:rFonts w:eastAsia="Times New Roman"/>
          <w:color w:val="0E101A"/>
        </w:rPr>
        <w:t>tressors elevates the baseline activity, indicated by open symbols</w:t>
      </w:r>
      <w:r w:rsidR="00252B25" w:rsidRPr="00AA24D3">
        <w:rPr>
          <w:rFonts w:eastAsia="Times New Roman"/>
          <w:color w:val="0E101A"/>
        </w:rPr>
        <w:t>,</w:t>
      </w:r>
      <w:r w:rsidR="00D667F2" w:rsidRPr="00AA24D3">
        <w:rPr>
          <w:rFonts w:eastAsia="Times New Roman"/>
          <w:color w:val="0E101A"/>
        </w:rPr>
        <w:t xml:space="preserve"> and </w:t>
      </w:r>
      <w:r w:rsidR="00252B25" w:rsidRPr="00AA24D3">
        <w:rPr>
          <w:rFonts w:eastAsia="Times New Roman"/>
          <w:color w:val="0E101A"/>
        </w:rPr>
        <w:t>closed symbols indicate the response of cells to different stressor</w:t>
      </w:r>
      <w:r w:rsidR="00D667F2" w:rsidRPr="00AA24D3">
        <w:rPr>
          <w:rFonts w:eastAsia="Times New Roman"/>
          <w:color w:val="0E101A"/>
        </w:rPr>
        <w:t xml:space="preserve">s. </w:t>
      </w:r>
      <w:r w:rsidR="00D94BE8" w:rsidRPr="007E602D">
        <w:rPr>
          <w:rFonts w:eastAsia="Times New Roman"/>
          <w:color w:val="0E101A"/>
        </w:rPr>
        <w:t>(</w:t>
      </w:r>
      <w:r w:rsidRPr="00AA24D3">
        <w:rPr>
          <w:rFonts w:eastAsia="Times New Roman"/>
          <w:b/>
          <w:bCs/>
          <w:color w:val="0E101A"/>
        </w:rPr>
        <w:t>B</w:t>
      </w:r>
      <w:r w:rsidR="00B875B2" w:rsidRPr="007E602D">
        <w:rPr>
          <w:rFonts w:eastAsia="Times New Roman"/>
          <w:color w:val="0E101A"/>
        </w:rPr>
        <w:t>)</w:t>
      </w:r>
      <w:r w:rsidR="00871C9A">
        <w:rPr>
          <w:rFonts w:eastAsia="Times New Roman"/>
          <w:color w:val="0E101A"/>
        </w:rPr>
        <w:t xml:space="preserve"> </w:t>
      </w:r>
      <w:r w:rsidR="00B875B2">
        <w:rPr>
          <w:rFonts w:eastAsia="Times New Roman"/>
          <w:color w:val="0E101A"/>
        </w:rPr>
        <w:t>The</w:t>
      </w:r>
      <w:r w:rsidRPr="00AA24D3">
        <w:rPr>
          <w:rFonts w:eastAsia="Times New Roman"/>
          <w:color w:val="0E101A"/>
        </w:rPr>
        <w:t xml:space="preserve"> </w:t>
      </w:r>
      <w:r w:rsidR="00B875B2">
        <w:rPr>
          <w:rFonts w:eastAsia="Times New Roman"/>
          <w:color w:val="0E101A"/>
        </w:rPr>
        <w:t>r</w:t>
      </w:r>
      <w:r w:rsidRPr="00AA24D3">
        <w:rPr>
          <w:rFonts w:eastAsia="Times New Roman"/>
          <w:color w:val="0E101A"/>
        </w:rPr>
        <w:t xml:space="preserve">eal-time ATP </w:t>
      </w:r>
      <w:r w:rsidR="00B875B2">
        <w:rPr>
          <w:rFonts w:eastAsia="Times New Roman"/>
          <w:color w:val="0E101A"/>
        </w:rPr>
        <w:t>r</w:t>
      </w:r>
      <w:r w:rsidRPr="00AA24D3">
        <w:rPr>
          <w:rFonts w:eastAsia="Times New Roman"/>
          <w:color w:val="0E101A"/>
        </w:rPr>
        <w:t xml:space="preserve">ate </w:t>
      </w:r>
      <w:r w:rsidR="00B875B2">
        <w:rPr>
          <w:rFonts w:eastAsia="Times New Roman"/>
          <w:color w:val="0E101A"/>
        </w:rPr>
        <w:t>a</w:t>
      </w:r>
      <w:r w:rsidRPr="00AA24D3">
        <w:rPr>
          <w:rFonts w:eastAsia="Times New Roman"/>
          <w:color w:val="0E101A"/>
        </w:rPr>
        <w:t>ssay</w:t>
      </w:r>
      <w:r w:rsidR="00D667F2" w:rsidRPr="00AA24D3">
        <w:rPr>
          <w:rFonts w:eastAsia="Times New Roman"/>
          <w:color w:val="0E101A"/>
        </w:rPr>
        <w:t xml:space="preserve">. The ATP </w:t>
      </w:r>
      <w:r w:rsidR="00B875B2">
        <w:rPr>
          <w:rFonts w:eastAsia="Times New Roman"/>
          <w:color w:val="0E101A"/>
        </w:rPr>
        <w:t>r</w:t>
      </w:r>
      <w:r w:rsidR="00D667F2" w:rsidRPr="00AA24D3">
        <w:rPr>
          <w:rFonts w:eastAsia="Times New Roman"/>
          <w:color w:val="0E101A"/>
        </w:rPr>
        <w:t xml:space="preserve">ate </w:t>
      </w:r>
      <w:r w:rsidR="00B875B2">
        <w:rPr>
          <w:rFonts w:eastAsia="Times New Roman"/>
          <w:color w:val="0E101A"/>
        </w:rPr>
        <w:t>a</w:t>
      </w:r>
      <w:r w:rsidR="00D667F2" w:rsidRPr="00AA24D3">
        <w:rPr>
          <w:rFonts w:eastAsia="Times New Roman"/>
          <w:color w:val="0E101A"/>
        </w:rPr>
        <w:t xml:space="preserve">ssay </w:t>
      </w:r>
      <w:r w:rsidR="00D667F2" w:rsidRPr="00AA24D3">
        <w:rPr>
          <w:color w:val="0E101A"/>
        </w:rPr>
        <w:t>indicates that both the control and treatment groups</w:t>
      </w:r>
      <w:r w:rsidR="002419A2" w:rsidRPr="00AA24D3">
        <w:rPr>
          <w:color w:val="0E101A"/>
        </w:rPr>
        <w:t xml:space="preserve"> (n</w:t>
      </w:r>
      <w:r w:rsidR="00871C9A">
        <w:rPr>
          <w:color w:val="0E101A"/>
        </w:rPr>
        <w:t xml:space="preserve"> </w:t>
      </w:r>
      <w:r w:rsidR="002419A2" w:rsidRPr="00AA24D3">
        <w:rPr>
          <w:color w:val="0E101A"/>
        </w:rPr>
        <w:t>=</w:t>
      </w:r>
      <w:r w:rsidR="00871C9A">
        <w:rPr>
          <w:color w:val="0E101A"/>
        </w:rPr>
        <w:t xml:space="preserve"> </w:t>
      </w:r>
      <w:r w:rsidR="002419A2" w:rsidRPr="00AA24D3">
        <w:rPr>
          <w:color w:val="0E101A"/>
        </w:rPr>
        <w:t>2)</w:t>
      </w:r>
      <w:r w:rsidR="00D667F2" w:rsidRPr="00AA24D3">
        <w:rPr>
          <w:color w:val="0E101A"/>
        </w:rPr>
        <w:t xml:space="preserve"> produce more ATP through glycolysis compared to that of oxidative phosphorylation</w:t>
      </w:r>
      <w:r w:rsidR="00B875B2" w:rsidRPr="007E602D">
        <w:rPr>
          <w:rFonts w:eastAsia="Times New Roman"/>
          <w:color w:val="0E101A"/>
        </w:rPr>
        <w:t xml:space="preserve">. </w:t>
      </w:r>
      <w:r w:rsidR="00264C52" w:rsidRPr="007E602D">
        <w:rPr>
          <w:rFonts w:eastAsia="Times New Roman"/>
          <w:color w:val="0E101A"/>
        </w:rPr>
        <w:t>(</w:t>
      </w:r>
      <w:r w:rsidRPr="00AA24D3">
        <w:rPr>
          <w:rFonts w:eastAsia="Times New Roman"/>
          <w:b/>
          <w:bCs/>
          <w:color w:val="0E101A"/>
        </w:rPr>
        <w:t>C</w:t>
      </w:r>
      <w:r w:rsidR="00264C52" w:rsidRPr="007E602D">
        <w:rPr>
          <w:rFonts w:eastAsia="Times New Roman"/>
          <w:color w:val="0E101A"/>
        </w:rPr>
        <w:t>)</w:t>
      </w:r>
      <w:r w:rsidR="00871C9A">
        <w:rPr>
          <w:rFonts w:eastAsia="Times New Roman"/>
          <w:color w:val="0E101A"/>
        </w:rPr>
        <w:t xml:space="preserve"> </w:t>
      </w:r>
      <w:r w:rsidR="00264C52">
        <w:rPr>
          <w:rFonts w:eastAsia="Times New Roman"/>
          <w:color w:val="0E101A"/>
        </w:rPr>
        <w:t>The</w:t>
      </w:r>
      <w:r w:rsidR="00264C52" w:rsidRPr="00AA24D3">
        <w:rPr>
          <w:rFonts w:eastAsia="Times New Roman"/>
          <w:color w:val="0E101A"/>
        </w:rPr>
        <w:t xml:space="preserve"> </w:t>
      </w:r>
      <w:proofErr w:type="spellStart"/>
      <w:r w:rsidR="00264C52">
        <w:rPr>
          <w:rFonts w:eastAsia="Times New Roman"/>
          <w:color w:val="0E101A"/>
        </w:rPr>
        <w:t>m</w:t>
      </w:r>
      <w:r w:rsidRPr="00AA24D3">
        <w:rPr>
          <w:rFonts w:eastAsia="Times New Roman"/>
          <w:color w:val="0E101A"/>
        </w:rPr>
        <w:t>ito</w:t>
      </w:r>
      <w:proofErr w:type="spellEnd"/>
      <w:r w:rsidRPr="00AA24D3">
        <w:rPr>
          <w:rFonts w:eastAsia="Times New Roman"/>
          <w:color w:val="0E101A"/>
        </w:rPr>
        <w:t xml:space="preserve"> </w:t>
      </w:r>
      <w:r w:rsidR="00264C52">
        <w:rPr>
          <w:rFonts w:eastAsia="Times New Roman"/>
          <w:color w:val="0E101A"/>
        </w:rPr>
        <w:t>s</w:t>
      </w:r>
      <w:r w:rsidRPr="00AA24D3">
        <w:rPr>
          <w:rFonts w:eastAsia="Times New Roman"/>
          <w:color w:val="0E101A"/>
        </w:rPr>
        <w:t>tress test</w:t>
      </w:r>
      <w:r w:rsidR="00D667F2" w:rsidRPr="00AA24D3">
        <w:rPr>
          <w:rFonts w:eastAsia="Times New Roman"/>
          <w:color w:val="0E101A"/>
        </w:rPr>
        <w:t xml:space="preserve">. </w:t>
      </w:r>
      <w:r w:rsidR="00F67758" w:rsidRPr="00AA24D3">
        <w:rPr>
          <w:rFonts w:eastAsia="Times New Roman"/>
          <w:color w:val="0E101A"/>
        </w:rPr>
        <w:t xml:space="preserve">The </w:t>
      </w:r>
      <w:proofErr w:type="spellStart"/>
      <w:r w:rsidR="00264C52">
        <w:rPr>
          <w:rFonts w:eastAsia="Times New Roman"/>
          <w:color w:val="0E101A"/>
        </w:rPr>
        <w:t>m</w:t>
      </w:r>
      <w:r w:rsidR="00F67758" w:rsidRPr="00AA24D3">
        <w:rPr>
          <w:rFonts w:eastAsia="Times New Roman"/>
          <w:color w:val="0E101A"/>
        </w:rPr>
        <w:t>ito</w:t>
      </w:r>
      <w:proofErr w:type="spellEnd"/>
      <w:r w:rsidR="00F67758" w:rsidRPr="00AA24D3">
        <w:rPr>
          <w:rFonts w:eastAsia="Times New Roman"/>
          <w:color w:val="0E101A"/>
        </w:rPr>
        <w:t xml:space="preserve"> </w:t>
      </w:r>
      <w:r w:rsidR="00264C52">
        <w:rPr>
          <w:rFonts w:eastAsia="Times New Roman"/>
          <w:color w:val="0E101A"/>
        </w:rPr>
        <w:t>s</w:t>
      </w:r>
      <w:r w:rsidR="00F67758" w:rsidRPr="00AA24D3">
        <w:rPr>
          <w:rFonts w:eastAsia="Times New Roman"/>
          <w:color w:val="0E101A"/>
        </w:rPr>
        <w:t xml:space="preserve">tress test provides the mitochondrial respiration rate of </w:t>
      </w:r>
      <w:r w:rsidR="00C95E6D" w:rsidRPr="00AA24D3">
        <w:rPr>
          <w:rFonts w:eastAsia="Times New Roman"/>
          <w:color w:val="0E101A"/>
        </w:rPr>
        <w:t>control vs</w:t>
      </w:r>
      <w:r w:rsidR="00252B25" w:rsidRPr="00AA24D3">
        <w:rPr>
          <w:rFonts w:eastAsia="Times New Roman"/>
          <w:color w:val="0E101A"/>
        </w:rPr>
        <w:t>.</w:t>
      </w:r>
      <w:r w:rsidR="00C95E6D" w:rsidRPr="00AA24D3">
        <w:rPr>
          <w:rFonts w:eastAsia="Times New Roman"/>
          <w:color w:val="0E101A"/>
        </w:rPr>
        <w:t xml:space="preserve"> treatment </w:t>
      </w:r>
      <w:r w:rsidR="00F67758" w:rsidRPr="00AA24D3">
        <w:rPr>
          <w:rFonts w:eastAsia="Times New Roman"/>
          <w:color w:val="0E101A"/>
        </w:rPr>
        <w:t>cells</w:t>
      </w:r>
      <w:r w:rsidR="00C95E6D" w:rsidRPr="00AA24D3">
        <w:rPr>
          <w:rFonts w:eastAsia="Times New Roman"/>
          <w:color w:val="0E101A"/>
        </w:rPr>
        <w:t xml:space="preserve"> (n</w:t>
      </w:r>
      <w:r w:rsidR="00292310">
        <w:rPr>
          <w:rFonts w:eastAsia="Times New Roman"/>
          <w:color w:val="0E101A"/>
        </w:rPr>
        <w:t xml:space="preserve"> </w:t>
      </w:r>
      <w:r w:rsidR="00C95E6D" w:rsidRPr="00AA24D3">
        <w:rPr>
          <w:rFonts w:eastAsia="Times New Roman"/>
          <w:color w:val="0E101A"/>
        </w:rPr>
        <w:t>=</w:t>
      </w:r>
      <w:r w:rsidR="00292310">
        <w:rPr>
          <w:rFonts w:eastAsia="Times New Roman"/>
          <w:color w:val="0E101A"/>
        </w:rPr>
        <w:t xml:space="preserve"> </w:t>
      </w:r>
      <w:r w:rsidR="00C95E6D" w:rsidRPr="00AA24D3">
        <w:rPr>
          <w:rFonts w:eastAsia="Times New Roman"/>
          <w:color w:val="0E101A"/>
        </w:rPr>
        <w:t>2)</w:t>
      </w:r>
      <w:r w:rsidR="00F67758" w:rsidRPr="00AA24D3">
        <w:rPr>
          <w:rFonts w:eastAsia="Times New Roman"/>
          <w:color w:val="0E101A"/>
        </w:rPr>
        <w:t xml:space="preserve"> over time and the effect of inhibitors on the cells after their respective injections.</w:t>
      </w:r>
      <w:r w:rsidR="00264C52" w:rsidRPr="007E602D">
        <w:rPr>
          <w:rFonts w:eastAsia="Times New Roman"/>
          <w:color w:val="0E101A"/>
        </w:rPr>
        <w:t xml:space="preserve"> (</w:t>
      </w:r>
      <w:r w:rsidRPr="00AA24D3">
        <w:rPr>
          <w:rFonts w:eastAsia="Times New Roman"/>
          <w:b/>
          <w:bCs/>
          <w:color w:val="0E101A"/>
        </w:rPr>
        <w:t>D</w:t>
      </w:r>
      <w:r w:rsidR="00264C52" w:rsidRPr="007E602D">
        <w:rPr>
          <w:rFonts w:eastAsia="Times New Roman"/>
          <w:color w:val="0E101A"/>
        </w:rPr>
        <w:t>)</w:t>
      </w:r>
      <w:r w:rsidR="00292310">
        <w:rPr>
          <w:rFonts w:eastAsia="Times New Roman"/>
          <w:color w:val="0E101A"/>
        </w:rPr>
        <w:t xml:space="preserve"> </w:t>
      </w:r>
      <w:r w:rsidR="00264C52">
        <w:rPr>
          <w:rFonts w:eastAsia="Times New Roman"/>
          <w:color w:val="0E101A"/>
        </w:rPr>
        <w:t xml:space="preserve">The </w:t>
      </w:r>
      <w:proofErr w:type="spellStart"/>
      <w:r w:rsidR="00264C52">
        <w:rPr>
          <w:rFonts w:eastAsia="Times New Roman"/>
          <w:color w:val="0E101A"/>
        </w:rPr>
        <w:t>m</w:t>
      </w:r>
      <w:r w:rsidRPr="00AA24D3">
        <w:rPr>
          <w:rFonts w:eastAsia="Times New Roman"/>
          <w:color w:val="0E101A"/>
        </w:rPr>
        <w:t>ito</w:t>
      </w:r>
      <w:proofErr w:type="spellEnd"/>
      <w:r w:rsidRPr="00AA24D3">
        <w:rPr>
          <w:rFonts w:eastAsia="Times New Roman"/>
          <w:color w:val="0E101A"/>
        </w:rPr>
        <w:t xml:space="preserve"> </w:t>
      </w:r>
      <w:r w:rsidR="00264C52">
        <w:rPr>
          <w:rFonts w:eastAsia="Times New Roman"/>
          <w:color w:val="0E101A"/>
        </w:rPr>
        <w:t>f</w:t>
      </w:r>
      <w:r w:rsidRPr="00AA24D3">
        <w:rPr>
          <w:rFonts w:eastAsia="Times New Roman"/>
          <w:color w:val="0E101A"/>
        </w:rPr>
        <w:t>uel flex test</w:t>
      </w:r>
      <w:r w:rsidR="00F67758" w:rsidRPr="00AA24D3">
        <w:rPr>
          <w:rFonts w:eastAsia="Times New Roman"/>
          <w:color w:val="0E101A"/>
        </w:rPr>
        <w:t xml:space="preserve">. The </w:t>
      </w:r>
      <w:proofErr w:type="spellStart"/>
      <w:r w:rsidR="00264C52">
        <w:rPr>
          <w:rFonts w:eastAsia="Times New Roman"/>
          <w:color w:val="0E101A"/>
        </w:rPr>
        <w:t>m</w:t>
      </w:r>
      <w:r w:rsidR="00F67758" w:rsidRPr="00AA24D3">
        <w:rPr>
          <w:rFonts w:eastAsia="Times New Roman"/>
          <w:color w:val="0E101A"/>
        </w:rPr>
        <w:t>ito</w:t>
      </w:r>
      <w:proofErr w:type="spellEnd"/>
      <w:r w:rsidR="00F67758" w:rsidRPr="00AA24D3">
        <w:rPr>
          <w:rFonts w:eastAsia="Times New Roman"/>
          <w:color w:val="0E101A"/>
        </w:rPr>
        <w:t xml:space="preserve"> </w:t>
      </w:r>
      <w:r w:rsidR="00264C52">
        <w:rPr>
          <w:rFonts w:eastAsia="Times New Roman"/>
          <w:color w:val="0E101A"/>
        </w:rPr>
        <w:t>f</w:t>
      </w:r>
      <w:r w:rsidR="00F67758" w:rsidRPr="00AA24D3">
        <w:rPr>
          <w:rFonts w:eastAsia="Times New Roman"/>
          <w:color w:val="0E101A"/>
        </w:rPr>
        <w:t xml:space="preserve">uel flex test measures the percentage oxidation of </w:t>
      </w:r>
      <w:r w:rsidR="00C95E6D" w:rsidRPr="00AA24D3">
        <w:rPr>
          <w:rFonts w:eastAsia="Times New Roman"/>
          <w:color w:val="0E101A"/>
        </w:rPr>
        <w:t>control and treatment groups (n</w:t>
      </w:r>
      <w:r w:rsidR="00292310">
        <w:rPr>
          <w:rFonts w:eastAsia="Times New Roman"/>
          <w:color w:val="0E101A"/>
        </w:rPr>
        <w:t xml:space="preserve"> </w:t>
      </w:r>
      <w:r w:rsidR="00C95E6D" w:rsidRPr="00AA24D3">
        <w:rPr>
          <w:rFonts w:eastAsia="Times New Roman"/>
          <w:color w:val="0E101A"/>
        </w:rPr>
        <w:t>=</w:t>
      </w:r>
      <w:r w:rsidR="00292310">
        <w:rPr>
          <w:rFonts w:eastAsia="Times New Roman"/>
          <w:color w:val="0E101A"/>
        </w:rPr>
        <w:t xml:space="preserve"> </w:t>
      </w:r>
      <w:r w:rsidR="00C95E6D" w:rsidRPr="00AA24D3">
        <w:rPr>
          <w:rFonts w:eastAsia="Times New Roman"/>
          <w:color w:val="0E101A"/>
        </w:rPr>
        <w:t xml:space="preserve">2) </w:t>
      </w:r>
      <w:r w:rsidR="00F67758" w:rsidRPr="00AA24D3">
        <w:rPr>
          <w:rFonts w:eastAsia="Times New Roman"/>
          <w:color w:val="0E101A"/>
        </w:rPr>
        <w:t>with respect to glucose, glutamine</w:t>
      </w:r>
      <w:r w:rsidR="00252B25" w:rsidRPr="00AA24D3">
        <w:rPr>
          <w:rFonts w:eastAsia="Times New Roman"/>
          <w:color w:val="0E101A"/>
        </w:rPr>
        <w:t>,</w:t>
      </w:r>
      <w:r w:rsidR="00F67758" w:rsidRPr="00AA24D3">
        <w:rPr>
          <w:rFonts w:eastAsia="Times New Roman"/>
          <w:color w:val="0E101A"/>
        </w:rPr>
        <w:t xml:space="preserve"> and fatty acid pathways and the dependency and flexibility of </w:t>
      </w:r>
      <w:r w:rsidR="00292310">
        <w:rPr>
          <w:rFonts w:eastAsia="Times New Roman"/>
          <w:color w:val="0E101A"/>
        </w:rPr>
        <w:t xml:space="preserve">the </w:t>
      </w:r>
      <w:r w:rsidR="00F67758" w:rsidRPr="00AA24D3">
        <w:rPr>
          <w:rFonts w:eastAsia="Times New Roman"/>
          <w:color w:val="0E101A"/>
        </w:rPr>
        <w:t>cells on these mitochondrial fuel</w:t>
      </w:r>
      <w:r w:rsidR="00252B25" w:rsidRPr="00AA24D3">
        <w:rPr>
          <w:rFonts w:eastAsia="Times New Roman"/>
          <w:color w:val="0E101A"/>
        </w:rPr>
        <w:t>s</w:t>
      </w:r>
      <w:r w:rsidR="00F67758" w:rsidRPr="00AA24D3">
        <w:rPr>
          <w:rFonts w:eastAsia="Times New Roman"/>
          <w:color w:val="0E101A"/>
        </w:rPr>
        <w:t>.</w:t>
      </w:r>
    </w:p>
    <w:p w14:paraId="2A6BEECA" w14:textId="77777777" w:rsidR="00252B25" w:rsidRPr="00AA24D3" w:rsidRDefault="00252B25" w:rsidP="00AA24D3">
      <w:pPr>
        <w:jc w:val="left"/>
        <w:rPr>
          <w:b/>
        </w:rPr>
      </w:pPr>
    </w:p>
    <w:p w14:paraId="4F42E5B2" w14:textId="00752DD5" w:rsidR="00D11878" w:rsidRPr="00AA24D3" w:rsidRDefault="00D11878" w:rsidP="00AA24D3">
      <w:pPr>
        <w:jc w:val="left"/>
        <w:rPr>
          <w:b/>
        </w:rPr>
      </w:pPr>
      <w:r w:rsidRPr="00AA24D3">
        <w:rPr>
          <w:b/>
        </w:rPr>
        <w:t>D</w:t>
      </w:r>
      <w:r w:rsidR="00942622" w:rsidRPr="00AA24D3">
        <w:rPr>
          <w:b/>
        </w:rPr>
        <w:t>ISCUSSION:</w:t>
      </w:r>
    </w:p>
    <w:p w14:paraId="1360E618" w14:textId="05544B2E" w:rsidR="002E11CA" w:rsidRDefault="00264C52" w:rsidP="00972F6D">
      <w:pPr>
        <w:rPr>
          <w:bCs/>
        </w:rPr>
      </w:pPr>
      <w:r>
        <w:rPr>
          <w:bCs/>
        </w:rPr>
        <w:t xml:space="preserve">The </w:t>
      </w:r>
      <w:r w:rsidR="00A560B9">
        <w:t>r</w:t>
      </w:r>
      <w:r w:rsidR="00F634CD">
        <w:t>eal-</w:t>
      </w:r>
      <w:r w:rsidR="00A560B9">
        <w:t>t</w:t>
      </w:r>
      <w:r w:rsidR="00F634CD">
        <w:t xml:space="preserve">ime </w:t>
      </w:r>
      <w:r w:rsidR="00A560B9">
        <w:t>c</w:t>
      </w:r>
      <w:r w:rsidR="00F634CD">
        <w:t xml:space="preserve">ell </w:t>
      </w:r>
      <w:r w:rsidR="00A560B9">
        <w:t>m</w:t>
      </w:r>
      <w:r w:rsidR="00F634CD">
        <w:t xml:space="preserve">etabolic </w:t>
      </w:r>
      <w:r w:rsidR="00A560B9">
        <w:t>f</w:t>
      </w:r>
      <w:r w:rsidR="00F634CD">
        <w:t xml:space="preserve">lux analyzer </w:t>
      </w:r>
      <w:r w:rsidR="002E11CA" w:rsidRPr="00AA24D3">
        <w:rPr>
          <w:bCs/>
        </w:rPr>
        <w:t xml:space="preserve">can be used to explore cellular energetics under different conditions. </w:t>
      </w:r>
      <w:r w:rsidR="00121C71" w:rsidRPr="00AA24D3">
        <w:rPr>
          <w:bCs/>
        </w:rPr>
        <w:t>T</w:t>
      </w:r>
      <w:r w:rsidR="002E11CA" w:rsidRPr="00AA24D3">
        <w:rPr>
          <w:bCs/>
        </w:rPr>
        <w:t xml:space="preserve">he protocol </w:t>
      </w:r>
      <w:r w:rsidR="00121C71" w:rsidRPr="00AA24D3">
        <w:rPr>
          <w:bCs/>
        </w:rPr>
        <w:t xml:space="preserve">illustrates </w:t>
      </w:r>
      <w:r w:rsidR="00AA326F">
        <w:rPr>
          <w:bCs/>
        </w:rPr>
        <w:t xml:space="preserve">the </w:t>
      </w:r>
      <w:r w:rsidR="002E11CA" w:rsidRPr="00AA24D3">
        <w:rPr>
          <w:bCs/>
        </w:rPr>
        <w:t xml:space="preserve">efficient </w:t>
      </w:r>
      <w:r w:rsidR="004C102D">
        <w:rPr>
          <w:bCs/>
        </w:rPr>
        <w:t>i</w:t>
      </w:r>
      <w:r w:rsidR="00754782" w:rsidRPr="00AA24D3">
        <w:rPr>
          <w:bCs/>
        </w:rPr>
        <w:t xml:space="preserve">solation </w:t>
      </w:r>
      <w:r w:rsidR="002E11CA" w:rsidRPr="00AA24D3">
        <w:rPr>
          <w:bCs/>
        </w:rPr>
        <w:t>of BMSCs</w:t>
      </w:r>
      <w:r w:rsidR="00F61759">
        <w:rPr>
          <w:bCs/>
        </w:rPr>
        <w:t xml:space="preserve">, culturing </w:t>
      </w:r>
      <w:r w:rsidR="00746913">
        <w:rPr>
          <w:bCs/>
        </w:rPr>
        <w:t xml:space="preserve">cells </w:t>
      </w:r>
      <w:r w:rsidR="00F61759">
        <w:rPr>
          <w:bCs/>
        </w:rPr>
        <w:t>in appropriate cell culture plate</w:t>
      </w:r>
      <w:r w:rsidR="00746913">
        <w:rPr>
          <w:bCs/>
        </w:rPr>
        <w:t>s,</w:t>
      </w:r>
      <w:r w:rsidR="002E11CA" w:rsidRPr="00AA24D3">
        <w:rPr>
          <w:bCs/>
        </w:rPr>
        <w:t xml:space="preserve"> and their differentiation to mature osteoblasts, which can be used for various assays using </w:t>
      </w:r>
      <w:r w:rsidR="004C102D">
        <w:rPr>
          <w:bCs/>
        </w:rPr>
        <w:t>the</w:t>
      </w:r>
      <w:r w:rsidR="002E11CA" w:rsidRPr="00AA24D3">
        <w:rPr>
          <w:bCs/>
        </w:rPr>
        <w:t xml:space="preserve"> extracellular flux analyzer. </w:t>
      </w:r>
      <w:r w:rsidR="00F61759">
        <w:rPr>
          <w:bCs/>
        </w:rPr>
        <w:t xml:space="preserve">Further, the critical steps of </w:t>
      </w:r>
      <w:r w:rsidR="005E590B">
        <w:rPr>
          <w:bCs/>
        </w:rPr>
        <w:t>r</w:t>
      </w:r>
      <w:r w:rsidR="00F61759">
        <w:rPr>
          <w:bCs/>
        </w:rPr>
        <w:t>eal-</w:t>
      </w:r>
      <w:r w:rsidR="005E590B">
        <w:rPr>
          <w:bCs/>
        </w:rPr>
        <w:t>t</w:t>
      </w:r>
      <w:r w:rsidR="00F61759">
        <w:rPr>
          <w:bCs/>
        </w:rPr>
        <w:t xml:space="preserve">ime </w:t>
      </w:r>
      <w:r w:rsidR="005E590B">
        <w:rPr>
          <w:bCs/>
        </w:rPr>
        <w:t>c</w:t>
      </w:r>
      <w:r w:rsidR="00F61759">
        <w:rPr>
          <w:bCs/>
        </w:rPr>
        <w:t xml:space="preserve">ell metabolic </w:t>
      </w:r>
      <w:r w:rsidR="005E590B">
        <w:rPr>
          <w:bCs/>
        </w:rPr>
        <w:t>f</w:t>
      </w:r>
      <w:r w:rsidR="00F61759">
        <w:rPr>
          <w:bCs/>
        </w:rPr>
        <w:t>lux assay</w:t>
      </w:r>
      <w:r w:rsidR="00746913">
        <w:rPr>
          <w:bCs/>
        </w:rPr>
        <w:t>,</w:t>
      </w:r>
      <w:r w:rsidR="00F61759">
        <w:rPr>
          <w:bCs/>
        </w:rPr>
        <w:t xml:space="preserve"> including hydration of sensor cartridges, loading of the injection ports, performing the assay, normalization of the data</w:t>
      </w:r>
      <w:r w:rsidR="00746913">
        <w:rPr>
          <w:bCs/>
        </w:rPr>
        <w:t>,</w:t>
      </w:r>
      <w:r w:rsidR="00F61759">
        <w:rPr>
          <w:bCs/>
        </w:rPr>
        <w:t xml:space="preserve"> and data analyses</w:t>
      </w:r>
      <w:r w:rsidR="00746913">
        <w:rPr>
          <w:bCs/>
        </w:rPr>
        <w:t>,</w:t>
      </w:r>
      <w:r w:rsidR="00F61759">
        <w:rPr>
          <w:bCs/>
        </w:rPr>
        <w:t xml:space="preserve"> are also explained in detail. </w:t>
      </w:r>
      <w:r w:rsidR="002E11CA" w:rsidRPr="00AA24D3">
        <w:rPr>
          <w:bCs/>
        </w:rPr>
        <w:t>Th</w:t>
      </w:r>
      <w:r w:rsidR="00F61759">
        <w:rPr>
          <w:bCs/>
        </w:rPr>
        <w:t>is</w:t>
      </w:r>
      <w:r w:rsidR="002E11CA" w:rsidRPr="00AA24D3">
        <w:rPr>
          <w:bCs/>
        </w:rPr>
        <w:t xml:space="preserve"> assay evaluate</w:t>
      </w:r>
      <w:r w:rsidR="00F61759">
        <w:rPr>
          <w:bCs/>
        </w:rPr>
        <w:t>s</w:t>
      </w:r>
      <w:r w:rsidR="002E11CA" w:rsidRPr="00AA24D3">
        <w:rPr>
          <w:bCs/>
        </w:rPr>
        <w:t xml:space="preserve"> the response of osteoblasts to different mitochondrial and glycolytic inhibitors to understand the bioenergetics of the cells. This protocol is optimized specifically for osteoblasts based on the cell type</w:t>
      </w:r>
      <w:r w:rsidR="00252B25" w:rsidRPr="00AA24D3">
        <w:rPr>
          <w:bCs/>
        </w:rPr>
        <w:t>, and t</w:t>
      </w:r>
      <w:r w:rsidR="002E11CA" w:rsidRPr="00AA24D3">
        <w:rPr>
          <w:bCs/>
        </w:rPr>
        <w:t xml:space="preserve">his method offers </w:t>
      </w:r>
      <w:r w:rsidR="00252B25" w:rsidRPr="00AA24D3">
        <w:rPr>
          <w:bCs/>
        </w:rPr>
        <w:t xml:space="preserve">a </w:t>
      </w:r>
      <w:r w:rsidR="002E11CA" w:rsidRPr="00AA24D3">
        <w:rPr>
          <w:bCs/>
        </w:rPr>
        <w:t>more robust and precise guide</w:t>
      </w:r>
      <w:r w:rsidR="00D3502B" w:rsidRPr="00AA24D3">
        <w:rPr>
          <w:bCs/>
        </w:rPr>
        <w:t xml:space="preserve"> compared to the </w:t>
      </w:r>
      <w:r w:rsidR="00754782" w:rsidRPr="00AA24D3">
        <w:rPr>
          <w:bCs/>
        </w:rPr>
        <w:t>manufacturer'</w:t>
      </w:r>
      <w:r w:rsidR="00A054EB" w:rsidRPr="00AA24D3">
        <w:rPr>
          <w:bCs/>
        </w:rPr>
        <w:t>s</w:t>
      </w:r>
      <w:r w:rsidR="002E11CA" w:rsidRPr="00AA24D3">
        <w:rPr>
          <w:bCs/>
        </w:rPr>
        <w:t xml:space="preserve"> standard protocol. Several parameters in this protocol, including the cell seeding density, the concentration of the compounds, addition of exogenous substrate to the media, buffering capacity, need to be optimized based on</w:t>
      </w:r>
      <w:r w:rsidR="00292310">
        <w:rPr>
          <w:bCs/>
        </w:rPr>
        <w:t xml:space="preserve"> the</w:t>
      </w:r>
      <w:r w:rsidR="002E11CA" w:rsidRPr="00AA24D3">
        <w:rPr>
          <w:bCs/>
        </w:rPr>
        <w:t xml:space="preserve"> specific cell type and its background.</w:t>
      </w:r>
    </w:p>
    <w:p w14:paraId="23E90B9B" w14:textId="77777777" w:rsidR="00C06054" w:rsidRPr="00AA24D3" w:rsidRDefault="00C06054" w:rsidP="00972F6D">
      <w:pPr>
        <w:rPr>
          <w:bCs/>
        </w:rPr>
      </w:pPr>
    </w:p>
    <w:p w14:paraId="2DF67BF9" w14:textId="3B197249" w:rsidR="007A04EC" w:rsidRDefault="007A04EC" w:rsidP="005B4D0E">
      <w:pPr>
        <w:rPr>
          <w:bCs/>
        </w:rPr>
      </w:pPr>
      <w:r w:rsidRPr="00AA24D3">
        <w:rPr>
          <w:bCs/>
        </w:rPr>
        <w:t xml:space="preserve">The extracellular flux analyzer provides quick and reliable measures of cellular metabolic functions in </w:t>
      </w:r>
      <w:r w:rsidRPr="00111B61">
        <w:rPr>
          <w:bCs/>
          <w:i/>
          <w:iCs/>
        </w:rPr>
        <w:t>ex vivo</w:t>
      </w:r>
      <w:r w:rsidRPr="00AA24D3">
        <w:rPr>
          <w:bCs/>
        </w:rPr>
        <w:t xml:space="preserve"> culture</w:t>
      </w:r>
      <w:r w:rsidR="00C06054">
        <w:rPr>
          <w:bCs/>
        </w:rPr>
        <w:t>d</w:t>
      </w:r>
      <w:r w:rsidRPr="00AA24D3">
        <w:rPr>
          <w:bCs/>
        </w:rPr>
        <w:t xml:space="preserve"> cells. </w:t>
      </w:r>
      <w:r w:rsidR="00043E33" w:rsidRPr="00AA24D3">
        <w:rPr>
          <w:bCs/>
        </w:rPr>
        <w:t xml:space="preserve">Compared to other biological assays, the total assay time is typically between 60 to 120 </w:t>
      </w:r>
      <w:r w:rsidR="00FF67EA" w:rsidRPr="00AA24D3">
        <w:rPr>
          <w:bCs/>
        </w:rPr>
        <w:t>min</w:t>
      </w:r>
      <w:r w:rsidR="00252B25" w:rsidRPr="00AA24D3">
        <w:rPr>
          <w:bCs/>
        </w:rPr>
        <w:t>. T</w:t>
      </w:r>
      <w:r w:rsidR="00043E33" w:rsidRPr="00AA24D3">
        <w:rPr>
          <w:bCs/>
        </w:rPr>
        <w:t xml:space="preserve">he equipment </w:t>
      </w:r>
      <w:r w:rsidR="00252B25" w:rsidRPr="00AA24D3">
        <w:rPr>
          <w:bCs/>
        </w:rPr>
        <w:t>maintains</w:t>
      </w:r>
      <w:r w:rsidR="00043E33" w:rsidRPr="00AA24D3">
        <w:rPr>
          <w:bCs/>
        </w:rPr>
        <w:t xml:space="preserve"> normal cellular and physiological conditions </w:t>
      </w:r>
      <w:r w:rsidR="00414A48" w:rsidRPr="00AA24D3">
        <w:rPr>
          <w:bCs/>
        </w:rPr>
        <w:t>by</w:t>
      </w:r>
      <w:r w:rsidR="00043E33" w:rsidRPr="00AA24D3">
        <w:rPr>
          <w:bCs/>
        </w:rPr>
        <w:t xml:space="preserve"> maintain</w:t>
      </w:r>
      <w:r w:rsidR="00414A48" w:rsidRPr="00AA24D3">
        <w:rPr>
          <w:bCs/>
        </w:rPr>
        <w:t>ing</w:t>
      </w:r>
      <w:r w:rsidR="00043E33" w:rsidRPr="00AA24D3">
        <w:rPr>
          <w:bCs/>
        </w:rPr>
        <w:t xml:space="preserve"> </w:t>
      </w:r>
      <w:r w:rsidR="00252B25" w:rsidRPr="00AA24D3">
        <w:rPr>
          <w:bCs/>
        </w:rPr>
        <w:t xml:space="preserve">the </w:t>
      </w:r>
      <w:r w:rsidR="00414A48" w:rsidRPr="00AA24D3">
        <w:rPr>
          <w:bCs/>
        </w:rPr>
        <w:t>preset</w:t>
      </w:r>
      <w:r w:rsidR="00043E33" w:rsidRPr="00AA24D3">
        <w:rPr>
          <w:bCs/>
        </w:rPr>
        <w:t xml:space="preserve"> temperature of 37</w:t>
      </w:r>
      <w:r w:rsidR="000958C9">
        <w:rPr>
          <w:bCs/>
        </w:rPr>
        <w:t xml:space="preserve"> </w:t>
      </w:r>
      <w:r w:rsidR="0014155F" w:rsidRPr="00AA24D3">
        <w:rPr>
          <w:rFonts w:eastAsia="Times New Roman"/>
          <w:color w:val="0E101A"/>
        </w:rPr>
        <w:t>°</w:t>
      </w:r>
      <w:r w:rsidR="00043E33" w:rsidRPr="00AA24D3">
        <w:rPr>
          <w:bCs/>
        </w:rPr>
        <w:t xml:space="preserve">C, facilitating efficient and reproducible assay results with reduced complexities. Typically, </w:t>
      </w:r>
      <w:r w:rsidR="00252B25" w:rsidRPr="00AA24D3">
        <w:rPr>
          <w:bCs/>
        </w:rPr>
        <w:t>baseline OCR and ECAR are recorded three to four times before</w:t>
      </w:r>
      <w:r w:rsidR="00414A48" w:rsidRPr="00AA24D3">
        <w:rPr>
          <w:bCs/>
        </w:rPr>
        <w:t xml:space="preserve"> </w:t>
      </w:r>
      <w:r w:rsidR="00252B25" w:rsidRPr="00AA24D3">
        <w:rPr>
          <w:bCs/>
        </w:rPr>
        <w:t>adding</w:t>
      </w:r>
      <w:r w:rsidR="00043E33" w:rsidRPr="00AA24D3">
        <w:rPr>
          <w:bCs/>
        </w:rPr>
        <w:t xml:space="preserve"> inhibitors. The inhibitors and treatments are also sequentially injected</w:t>
      </w:r>
      <w:r w:rsidR="00D3502B" w:rsidRPr="00AA24D3">
        <w:rPr>
          <w:bCs/>
        </w:rPr>
        <w:t>,</w:t>
      </w:r>
      <w:r w:rsidR="00043E33" w:rsidRPr="00AA24D3">
        <w:rPr>
          <w:bCs/>
        </w:rPr>
        <w:t xml:space="preserve"> facilitating the </w:t>
      </w:r>
      <w:r w:rsidR="00252B25" w:rsidRPr="00AA24D3">
        <w:rPr>
          <w:bCs/>
        </w:rPr>
        <w:t>cell's metabolic response measurement</w:t>
      </w:r>
      <w:r w:rsidR="00043E33" w:rsidRPr="00AA24D3">
        <w:rPr>
          <w:bCs/>
        </w:rPr>
        <w:t xml:space="preserve"> over</w:t>
      </w:r>
      <w:r w:rsidR="00D3502B" w:rsidRPr="00AA24D3">
        <w:rPr>
          <w:bCs/>
        </w:rPr>
        <w:t xml:space="preserve"> </w:t>
      </w:r>
      <w:r w:rsidR="00043E33" w:rsidRPr="00AA24D3">
        <w:rPr>
          <w:bCs/>
        </w:rPr>
        <w:t xml:space="preserve">time. The </w:t>
      </w:r>
      <w:r w:rsidR="00B3204C">
        <w:rPr>
          <w:bCs/>
        </w:rPr>
        <w:t>analyzer</w:t>
      </w:r>
      <w:r w:rsidR="00B3204C" w:rsidRPr="00AA24D3">
        <w:rPr>
          <w:bCs/>
        </w:rPr>
        <w:t xml:space="preserve"> </w:t>
      </w:r>
      <w:r w:rsidR="00043E33" w:rsidRPr="00AA24D3">
        <w:rPr>
          <w:bCs/>
        </w:rPr>
        <w:t xml:space="preserve">allows </w:t>
      </w:r>
      <w:r w:rsidR="00414A48" w:rsidRPr="00AA24D3">
        <w:rPr>
          <w:bCs/>
        </w:rPr>
        <w:t xml:space="preserve">researchers </w:t>
      </w:r>
      <w:r w:rsidR="00043E33" w:rsidRPr="00AA24D3">
        <w:rPr>
          <w:bCs/>
        </w:rPr>
        <w:t>to achieve standardized results under optimized conditions.</w:t>
      </w:r>
      <w:r w:rsidR="00600DB0">
        <w:rPr>
          <w:bCs/>
        </w:rPr>
        <w:t xml:space="preserve"> </w:t>
      </w:r>
      <w:r w:rsidR="00600DB0">
        <w:rPr>
          <w:rFonts w:eastAsia="Times New Roman"/>
          <w:color w:val="0E101A"/>
        </w:rPr>
        <w:t>The a</w:t>
      </w:r>
      <w:r w:rsidR="00600DB0" w:rsidRPr="00111B61">
        <w:rPr>
          <w:rFonts w:eastAsia="Times New Roman"/>
          <w:color w:val="0E101A"/>
        </w:rPr>
        <w:t xml:space="preserve">nalyzer </w:t>
      </w:r>
      <w:r w:rsidR="00600DB0">
        <w:rPr>
          <w:rFonts w:eastAsia="Times New Roman"/>
          <w:color w:val="0E101A"/>
        </w:rPr>
        <w:t xml:space="preserve">also </w:t>
      </w:r>
      <w:r w:rsidR="00600DB0" w:rsidRPr="00111B61">
        <w:rPr>
          <w:rFonts w:eastAsia="Times New Roman"/>
          <w:color w:val="0E101A"/>
        </w:rPr>
        <w:t>offers the ability to inject different compounds during the assay to observe real-time changes in the respiration of cells.</w:t>
      </w:r>
      <w:r w:rsidR="00485A5C">
        <w:rPr>
          <w:rFonts w:eastAsia="Times New Roman"/>
          <w:color w:val="0E101A"/>
        </w:rPr>
        <w:t xml:space="preserve"> </w:t>
      </w:r>
      <w:r w:rsidR="00485A5C" w:rsidRPr="00111B61">
        <w:rPr>
          <w:rFonts w:eastAsia="Times New Roman"/>
          <w:color w:val="0E101A"/>
        </w:rPr>
        <w:t>For example,</w:t>
      </w:r>
      <w:r w:rsidR="00485A5C">
        <w:rPr>
          <w:rFonts w:eastAsia="Times New Roman"/>
          <w:color w:val="0E101A"/>
        </w:rPr>
        <w:t xml:space="preserve"> </w:t>
      </w:r>
      <w:r w:rsidR="00485A5C" w:rsidRPr="00111B61">
        <w:rPr>
          <w:rFonts w:eastAsia="Times New Roman"/>
          <w:color w:val="0E101A"/>
        </w:rPr>
        <w:t xml:space="preserve">for ATP </w:t>
      </w:r>
      <w:r w:rsidR="00485A5C" w:rsidRPr="00120856">
        <w:rPr>
          <w:rFonts w:eastAsia="Times New Roman"/>
          <w:color w:val="0E101A"/>
        </w:rPr>
        <w:t>r</w:t>
      </w:r>
      <w:r w:rsidR="00485A5C" w:rsidRPr="00111B61">
        <w:rPr>
          <w:rFonts w:eastAsia="Times New Roman"/>
          <w:color w:val="0E101A"/>
        </w:rPr>
        <w:t xml:space="preserve">ate </w:t>
      </w:r>
      <w:r w:rsidR="00485A5C" w:rsidRPr="00120856">
        <w:rPr>
          <w:rFonts w:eastAsia="Times New Roman"/>
          <w:color w:val="0E101A"/>
        </w:rPr>
        <w:t>a</w:t>
      </w:r>
      <w:r w:rsidR="00485A5C" w:rsidRPr="00111B61">
        <w:rPr>
          <w:rFonts w:eastAsia="Times New Roman"/>
          <w:color w:val="0E101A"/>
        </w:rPr>
        <w:t>ssay</w:t>
      </w:r>
      <w:r w:rsidR="00485A5C">
        <w:rPr>
          <w:rFonts w:eastAsia="Times New Roman"/>
          <w:color w:val="0E101A"/>
        </w:rPr>
        <w:t>,</w:t>
      </w:r>
      <w:r w:rsidR="00485A5C" w:rsidRPr="00120856">
        <w:rPr>
          <w:rFonts w:eastAsia="Times New Roman"/>
          <w:color w:val="0E101A"/>
        </w:rPr>
        <w:t xml:space="preserve"> use a </w:t>
      </w:r>
      <w:r w:rsidR="00485A5C" w:rsidRPr="00111B61">
        <w:rPr>
          <w:rFonts w:eastAsia="Times New Roman"/>
          <w:color w:val="0E101A"/>
        </w:rPr>
        <w:t xml:space="preserve">2 </w:t>
      </w:r>
      <w:proofErr w:type="spellStart"/>
      <w:r w:rsidR="00485A5C" w:rsidRPr="00111B61">
        <w:rPr>
          <w:rFonts w:eastAsia="Times New Roman"/>
          <w:color w:val="0E101A"/>
        </w:rPr>
        <w:t>μM</w:t>
      </w:r>
      <w:proofErr w:type="spellEnd"/>
      <w:r w:rsidR="00485A5C" w:rsidRPr="00111B61">
        <w:rPr>
          <w:rFonts w:eastAsia="Times New Roman"/>
          <w:color w:val="0E101A"/>
        </w:rPr>
        <w:t xml:space="preserve"> </w:t>
      </w:r>
      <w:r w:rsidR="00485A5C" w:rsidRPr="00120856">
        <w:rPr>
          <w:rFonts w:eastAsia="Times New Roman"/>
          <w:color w:val="0E101A"/>
        </w:rPr>
        <w:t>o</w:t>
      </w:r>
      <w:r w:rsidR="00485A5C" w:rsidRPr="00111B61">
        <w:rPr>
          <w:rFonts w:eastAsia="Times New Roman"/>
          <w:color w:val="0E101A"/>
        </w:rPr>
        <w:t xml:space="preserve">ligomycin </w:t>
      </w:r>
      <w:r w:rsidR="00485A5C">
        <w:rPr>
          <w:rFonts w:eastAsia="Times New Roman"/>
          <w:color w:val="0E101A"/>
        </w:rPr>
        <w:t xml:space="preserve">A </w:t>
      </w:r>
      <w:r w:rsidR="00485A5C" w:rsidRPr="00111B61">
        <w:rPr>
          <w:rFonts w:eastAsia="Times New Roman"/>
          <w:color w:val="0E101A"/>
        </w:rPr>
        <w:t>and 1</w:t>
      </w:r>
      <w:r w:rsidR="00485A5C" w:rsidRPr="00120856">
        <w:rPr>
          <w:rFonts w:eastAsia="Times New Roman"/>
          <w:color w:val="0E101A"/>
        </w:rPr>
        <w:t xml:space="preserve"> </w:t>
      </w:r>
      <w:proofErr w:type="spellStart"/>
      <w:r w:rsidR="00485A5C" w:rsidRPr="00111B61">
        <w:rPr>
          <w:rFonts w:eastAsia="Times New Roman"/>
          <w:color w:val="0E101A"/>
        </w:rPr>
        <w:t>μM</w:t>
      </w:r>
      <w:proofErr w:type="spellEnd"/>
      <w:r w:rsidR="00485A5C" w:rsidRPr="00111B61">
        <w:rPr>
          <w:rFonts w:eastAsia="Times New Roman"/>
          <w:color w:val="0E101A"/>
        </w:rPr>
        <w:t xml:space="preserve"> </w:t>
      </w:r>
      <w:r w:rsidR="00485A5C" w:rsidRPr="00120856">
        <w:rPr>
          <w:rFonts w:eastAsia="Times New Roman"/>
          <w:color w:val="0E101A"/>
        </w:rPr>
        <w:t>r</w:t>
      </w:r>
      <w:r w:rsidR="00485A5C" w:rsidRPr="00111B61">
        <w:rPr>
          <w:rFonts w:eastAsia="Times New Roman"/>
          <w:color w:val="0E101A"/>
        </w:rPr>
        <w:t xml:space="preserve">otenone/1 </w:t>
      </w:r>
      <w:proofErr w:type="spellStart"/>
      <w:r w:rsidR="00485A5C" w:rsidRPr="00111B61">
        <w:rPr>
          <w:rFonts w:eastAsia="Times New Roman"/>
          <w:color w:val="0E101A"/>
        </w:rPr>
        <w:t>μM</w:t>
      </w:r>
      <w:proofErr w:type="spellEnd"/>
      <w:r w:rsidR="00485A5C" w:rsidRPr="00111B61">
        <w:rPr>
          <w:rFonts w:eastAsia="Times New Roman"/>
          <w:color w:val="0E101A"/>
        </w:rPr>
        <w:t xml:space="preserve"> </w:t>
      </w:r>
      <w:r w:rsidR="00485A5C" w:rsidRPr="00120856">
        <w:rPr>
          <w:rFonts w:eastAsia="Times New Roman"/>
          <w:color w:val="0E101A"/>
        </w:rPr>
        <w:t>a</w:t>
      </w:r>
      <w:r w:rsidR="00485A5C" w:rsidRPr="00111B61">
        <w:rPr>
          <w:rFonts w:eastAsia="Times New Roman"/>
          <w:color w:val="0E101A"/>
        </w:rPr>
        <w:t xml:space="preserve">ntimycin A mixture </w:t>
      </w:r>
      <w:r w:rsidR="00485A5C" w:rsidRPr="00120856">
        <w:rPr>
          <w:rFonts w:eastAsia="Times New Roman"/>
          <w:color w:val="0E101A"/>
        </w:rPr>
        <w:t xml:space="preserve">as </w:t>
      </w:r>
      <w:r w:rsidR="00485A5C" w:rsidRPr="00111B61">
        <w:rPr>
          <w:rFonts w:eastAsia="Times New Roman"/>
          <w:color w:val="0E101A"/>
        </w:rPr>
        <w:t>the default compound injected</w:t>
      </w:r>
      <w:r w:rsidR="00485A5C">
        <w:rPr>
          <w:rFonts w:eastAsia="Times New Roman"/>
          <w:color w:val="0E101A"/>
        </w:rPr>
        <w:t>—</w:t>
      </w:r>
      <w:r w:rsidR="00485A5C" w:rsidRPr="00111B61">
        <w:rPr>
          <w:rFonts w:eastAsia="Times New Roman"/>
          <w:color w:val="0E101A"/>
        </w:rPr>
        <w:t xml:space="preserve">Port A: 2 </w:t>
      </w:r>
      <w:proofErr w:type="spellStart"/>
      <w:r w:rsidR="00485A5C" w:rsidRPr="00111B61">
        <w:rPr>
          <w:rFonts w:eastAsia="Times New Roman"/>
          <w:color w:val="0E101A"/>
        </w:rPr>
        <w:t>μM</w:t>
      </w:r>
      <w:proofErr w:type="spellEnd"/>
      <w:r w:rsidR="00485A5C" w:rsidRPr="00111B61">
        <w:rPr>
          <w:rFonts w:eastAsia="Times New Roman"/>
          <w:color w:val="0E101A"/>
        </w:rPr>
        <w:t xml:space="preserve"> Oligomycin A</w:t>
      </w:r>
      <w:r w:rsidR="00485A5C" w:rsidRPr="00120856">
        <w:rPr>
          <w:rFonts w:eastAsia="Times New Roman"/>
          <w:color w:val="0E101A"/>
        </w:rPr>
        <w:t xml:space="preserve">; </w:t>
      </w:r>
      <w:r w:rsidR="00485A5C" w:rsidRPr="00111B61">
        <w:rPr>
          <w:rFonts w:eastAsia="Times New Roman"/>
          <w:color w:val="0E101A"/>
        </w:rPr>
        <w:t xml:space="preserve">Port B: 1 </w:t>
      </w:r>
      <w:proofErr w:type="spellStart"/>
      <w:r w:rsidR="00485A5C" w:rsidRPr="00111B61">
        <w:rPr>
          <w:rFonts w:eastAsia="Times New Roman"/>
          <w:color w:val="0E101A"/>
        </w:rPr>
        <w:t>μM</w:t>
      </w:r>
      <w:proofErr w:type="spellEnd"/>
      <w:r w:rsidR="00485A5C" w:rsidRPr="00111B61">
        <w:rPr>
          <w:rFonts w:eastAsia="Times New Roman"/>
          <w:color w:val="0E101A"/>
        </w:rPr>
        <w:t xml:space="preserve"> Rotenone/1 </w:t>
      </w:r>
      <w:proofErr w:type="spellStart"/>
      <w:r w:rsidR="00485A5C" w:rsidRPr="00111B61">
        <w:rPr>
          <w:rFonts w:eastAsia="Times New Roman"/>
          <w:color w:val="0E101A"/>
        </w:rPr>
        <w:t>μM</w:t>
      </w:r>
      <w:proofErr w:type="spellEnd"/>
      <w:r w:rsidR="00485A5C" w:rsidRPr="00111B61">
        <w:rPr>
          <w:rFonts w:eastAsia="Times New Roman"/>
          <w:color w:val="0E101A"/>
        </w:rPr>
        <w:t xml:space="preserve"> Antimycin A</w:t>
      </w:r>
      <w:r w:rsidR="00485A5C">
        <w:rPr>
          <w:rFonts w:eastAsia="Times New Roman"/>
          <w:color w:val="0E101A"/>
        </w:rPr>
        <w:t>.</w:t>
      </w:r>
    </w:p>
    <w:p w14:paraId="27791666" w14:textId="77777777" w:rsidR="005B4D0E" w:rsidRPr="00AA24D3" w:rsidRDefault="005B4D0E" w:rsidP="00972F6D">
      <w:pPr>
        <w:rPr>
          <w:bCs/>
        </w:rPr>
      </w:pPr>
    </w:p>
    <w:p w14:paraId="06DB9927" w14:textId="3702D89F" w:rsidR="0014155F" w:rsidRPr="00AA24D3" w:rsidRDefault="0014155F" w:rsidP="00972F6D">
      <w:pPr>
        <w:pBdr>
          <w:top w:val="nil"/>
          <w:left w:val="nil"/>
          <w:bottom w:val="nil"/>
          <w:right w:val="nil"/>
          <w:between w:val="nil"/>
        </w:pBdr>
      </w:pPr>
      <w:r w:rsidRPr="00AA24D3">
        <w:rPr>
          <w:bCs/>
          <w:color w:val="000000"/>
        </w:rPr>
        <w:t xml:space="preserve">The </w:t>
      </w:r>
      <w:r w:rsidR="00077EB0">
        <w:rPr>
          <w:bCs/>
          <w:color w:val="000000"/>
        </w:rPr>
        <w:t>assay</w:t>
      </w:r>
      <w:r w:rsidR="00077EB0" w:rsidRPr="00AA24D3">
        <w:rPr>
          <w:bCs/>
          <w:color w:val="000000"/>
        </w:rPr>
        <w:t xml:space="preserve"> </w:t>
      </w:r>
      <w:r w:rsidR="00414A48" w:rsidRPr="00AA24D3">
        <w:rPr>
          <w:bCs/>
          <w:color w:val="000000"/>
        </w:rPr>
        <w:t>m</w:t>
      </w:r>
      <w:r w:rsidRPr="00AA24D3">
        <w:rPr>
          <w:bCs/>
          <w:color w:val="000000"/>
        </w:rPr>
        <w:t>edia is different from the typical growth media by a few factors</w:t>
      </w:r>
      <w:r w:rsidR="00292310">
        <w:rPr>
          <w:bCs/>
          <w:color w:val="000000"/>
        </w:rPr>
        <w:t>,</w:t>
      </w:r>
      <w:r w:rsidRPr="00AA24D3">
        <w:rPr>
          <w:bCs/>
          <w:color w:val="000000"/>
        </w:rPr>
        <w:t xml:space="preserve"> including </w:t>
      </w:r>
      <w:r w:rsidR="00077EB0">
        <w:rPr>
          <w:bCs/>
          <w:color w:val="000000"/>
        </w:rPr>
        <w:t xml:space="preserve">the </w:t>
      </w:r>
      <w:r w:rsidR="00077EB0">
        <w:t>a</w:t>
      </w:r>
      <w:r w:rsidRPr="00AA24D3">
        <w:t>bsence of bicarbonate to better detect changes in pH</w:t>
      </w:r>
      <w:r w:rsidR="00077EB0">
        <w:t>, t</w:t>
      </w:r>
      <w:r w:rsidRPr="00AA24D3">
        <w:t>he absence of glucose, glutamine, and pyruvate supplements allows the experimenter to customize the exogenous substrates added</w:t>
      </w:r>
      <w:r w:rsidR="00746913">
        <w:t>,</w:t>
      </w:r>
      <w:r w:rsidR="0076339E">
        <w:t xml:space="preserve"> and t</w:t>
      </w:r>
      <w:r w:rsidRPr="00AA24D3">
        <w:t>he media does not contain phenol red to precisely calculate the pH values.</w:t>
      </w:r>
    </w:p>
    <w:p w14:paraId="0A76AA52" w14:textId="77777777" w:rsidR="0076339E" w:rsidRDefault="0076339E" w:rsidP="00AA24D3">
      <w:pPr>
        <w:pBdr>
          <w:top w:val="nil"/>
          <w:left w:val="nil"/>
          <w:bottom w:val="nil"/>
          <w:right w:val="nil"/>
          <w:between w:val="nil"/>
        </w:pBdr>
        <w:jc w:val="left"/>
      </w:pPr>
    </w:p>
    <w:p w14:paraId="795955C8" w14:textId="5BE6B5F8" w:rsidR="00F37A8D" w:rsidRDefault="0014155F" w:rsidP="00F37A8D">
      <w:pPr>
        <w:pBdr>
          <w:top w:val="nil"/>
          <w:left w:val="nil"/>
          <w:bottom w:val="nil"/>
          <w:right w:val="nil"/>
          <w:between w:val="nil"/>
        </w:pBdr>
        <w:rPr>
          <w:bCs/>
          <w:color w:val="000000"/>
        </w:rPr>
      </w:pPr>
      <w:r w:rsidRPr="00AA24D3">
        <w:t xml:space="preserve">Glucose, L-glutamine, and sodium pyruvate are the </w:t>
      </w:r>
      <w:r w:rsidR="0089321C" w:rsidRPr="00AA24D3">
        <w:t>most used</w:t>
      </w:r>
      <w:r w:rsidRPr="00AA24D3">
        <w:t xml:space="preserve"> exogenous substrates. </w:t>
      </w:r>
      <w:r w:rsidRPr="00AA24D3">
        <w:rPr>
          <w:bCs/>
          <w:color w:val="000000"/>
        </w:rPr>
        <w:t xml:space="preserve">The use of </w:t>
      </w:r>
      <w:r w:rsidRPr="00AA24D3">
        <w:rPr>
          <w:bCs/>
          <w:color w:val="000000"/>
        </w:rPr>
        <w:lastRenderedPageBreak/>
        <w:t xml:space="preserve">these substrates is specific to cell type and experimental questions. </w:t>
      </w:r>
      <w:r w:rsidR="0089321C" w:rsidRPr="00AA24D3">
        <w:rPr>
          <w:bCs/>
          <w:color w:val="000000"/>
        </w:rPr>
        <w:t>In this context, it is recognized that these assays, while valuable, are performed using an artificial system. For example, it is recommended to use 10 mM glucose</w:t>
      </w:r>
      <w:r w:rsidR="00252B25" w:rsidRPr="00AA24D3">
        <w:rPr>
          <w:bCs/>
          <w:color w:val="000000"/>
        </w:rPr>
        <w:t>;</w:t>
      </w:r>
      <w:r w:rsidR="0089321C" w:rsidRPr="00AA24D3">
        <w:rPr>
          <w:bCs/>
          <w:color w:val="000000"/>
        </w:rPr>
        <w:t xml:space="preserve"> however</w:t>
      </w:r>
      <w:r w:rsidR="00252B25" w:rsidRPr="00AA24D3">
        <w:rPr>
          <w:bCs/>
          <w:color w:val="000000"/>
        </w:rPr>
        <w:t>,</w:t>
      </w:r>
      <w:r w:rsidR="0089321C" w:rsidRPr="00AA24D3">
        <w:rPr>
          <w:bCs/>
          <w:color w:val="000000"/>
        </w:rPr>
        <w:t xml:space="preserve"> this is supraphysiological levels, and researchers should consider whether other glucose concentrations would be more appropriate. To this point, it is also essential to consider whether glucose uptake in BMSCs and osteoblasts </w:t>
      </w:r>
      <w:r w:rsidR="00252B25" w:rsidRPr="00AA24D3">
        <w:rPr>
          <w:bCs/>
          <w:color w:val="000000"/>
        </w:rPr>
        <w:t xml:space="preserve">depends </w:t>
      </w:r>
      <w:r w:rsidR="0089321C" w:rsidRPr="00AA24D3">
        <w:rPr>
          <w:bCs/>
          <w:color w:val="000000"/>
        </w:rPr>
        <w:t>on insulin, and in that case, insulin should also be added. Since this remains a topic of debate within the field</w:t>
      </w:r>
      <w:r w:rsidR="0089321C" w:rsidRPr="00AA24D3">
        <w:rPr>
          <w:rFonts w:eastAsia="Times New Roman"/>
          <w:bCs/>
          <w:color w:val="000000"/>
        </w:rPr>
        <w:fldChar w:fldCharType="begin" w:fldLock="1"/>
      </w:r>
      <w:r w:rsidR="00A613B2">
        <w:rPr>
          <w:bCs/>
          <w:color w:val="000000"/>
        </w:rPr>
        <w:instrText>ADDIN CSL_CITATION {"citationItems":[{"id":"ITEM-1","itemData":{"DOI":"10.1016/j.cell.2015.05.029","ISSN":"10974172","PMID":"26091038","abstract":"The synthesis of type I collagen, the main component of bone matrix, precedes the expression of Runx2, the earliest determinant of osteoblast differentiation. We hypothesized that the energetic needs of osteoblasts might explain this apparent paradox. We show here that glucose, the main nutrient of osteoblasts, is transported in these cells through Glut1, whose expression precedes that of Runx2. Glucose uptake favors osteoblast differentiation by suppressing the AMPK-dependent proteasomal degradation of Runx2 and promotes bone formation by inhibiting another function of AMPK. While RUNX2 cannot induce osteoblast differentiation when glucose uptake is compromised, raising blood glucose levels restores collagen synthesis in Runx2-null osteoblasts and initiates bone formation in Runx2-deficient embryos. Moreover, RUNX2 favors Glut1 expression, and this feedforward regulation between RUNX2 and Glut1 determines the onset of osteoblast differentiation during development and the extent of bone formation throughout life. These results reveal an unexpected intricacy between bone and glucose metabolism.","author":[{"dropping-particle":"","family":"Wei","given":"Jianwen","non-dropping-particle":"","parse-names":false,"suffix":""},{"dropping-particle":"","family":"Shimazu","given":"Junko","non-dropping-particle":"","parse-names":false,"suffix":""},{"dropping-particle":"","family":"Makinistoglu","given":"Munevver P.","non-dropping-particle":"","parse-names":false,"suffix":""},{"dropping-particle":"","family":"Maurizi","given":"Antonio","non-dropping-particle":"","parse-names":false,"suffix":""},{"dropping-particle":"","family":"Kajimura","given":"Daisuke","non-dropping-particle":"","parse-names":false,"suffix":""},{"dropping-particle":"","family":"Zong","given":"Haihong","non-dropping-particle":"","parse-names":false,"suffix":""},{"dropping-particle":"","family":"Takarada","given":"Takeshi","non-dropping-particle":"","parse-names":false,"suffix":""},{"dropping-particle":"","family":"Lezaki","given":"Takashi","non-dropping-particle":"","parse-names":false,"suffix":""},{"dropping-particle":"","family":"Pessin","given":"Jeffrey E.","non-dropping-particle":"","parse-names":false,"suffix":""},{"dropping-particle":"","family":"Hinoi","given":"Eiichi","non-dropping-particle":"","parse-names":false,"suffix":""},{"dropping-particle":"","family":"Karsenty","given":"Gerard","non-dropping-particle":"","parse-names":false,"suffix":""}],"container-title":"Cell","id":"ITEM-1","issue":"7","issued":{"date-parts":[["2015","6","20"]]},"page":"1576-1591","publisher":"Cell","title":"Glucose Uptake and Runx2 Synergize to Orchestrate Osteoblast Differentiation and Bone Formation","type":"article-journal","volume":"161"},"uris":["http://www.mendeley.com/documents/?uuid=9f8761ce-00a5-3005-8210-c5f108fb2a99"]},{"id":"ITEM-2","itemData":{"DOI":"10.1038/boneres.2016.4","ISSN":"20956231","PMID":"27088042","abstract":"Bone formation and remodeling occurs throughout life and requires the sustained activity of osteoblasts and osteoclasts, particularly during periods of rapid bone growth. Despite increasing evidence linking bone cell activity to global energy homeostasis, little is known about the relative energy requirements or substrate utilization of bone cells. In these studies, we measured the uptake and distribution of glucose in the skeleton in vivo using positron-emitting 18F-fluorodeoxyglucose ([ 18F]-FDG) and non-invasive, high-resolution positron emission tomography/computed tomography (PET/CT) imaging and ex vivo autoradiography. Assessment of [ 18F]-FDG uptake demonstrated that relative to other tissues bone accumulated a significant fraction of the total dose of the glucose analog. Skeletal accumulation was greatest in young mice undergoing the rapid bone formation that characterizes early development. PET/CT imaging revealed that [ 18F]-FDG uptake was greatest in the epiphyseal and metaphyseal regions of long bones, which accords with the increased osteoblast numbers and activity at this skeletal site. Insulin administration significantly increased skeletal accumulation of [ 18F]-FDG, while uptake was reduced in mice lacking the insulin receptor specifically in osteoblasts or fed a high-fat diet. Our results indicated that the skeleton is a site of significant glucose uptake and that its consumption by bone cells is subject to regulation by insulin and disturbances in whole-body metabolism.","author":[{"dropping-particle":"","family":"Zoch","given":"Meredith L.","non-dropping-particle":"","parse-names":false,"suffix":""},{"dropping-particle":"","family":"Abou","given":"Diane S.","non-dropping-particle":"","parse-names":false,"suffix":""},{"dropping-particle":"","family":"Clemens","given":"Thomas L.","non-dropping-particle":"","parse-names":false,"suffix":""},{"dropping-particle":"","family":"Thorek","given":"Daniel L.J.","non-dropping-particle":"","parse-names":false,"suffix":""},{"dropping-particle":"","family":"Riddle","given":"Ryan C.","non-dropping-particle":"","parse-names":false,"suffix":""}],"container-title":"Bone Research","id":"ITEM-2","issued":{"date-parts":[["2016","4","5"]]},"publisher":"Bone Res","title":"In vivo radiometric analysis of glucose uptake and distribution in mouse bone","type":"article-journal","volume":"4"},"uris":["http://www.mendeley.com/documents/?uuid=420c74f9-ce15-3a2d-9e87-8d2e0dc7051e"]}],"mendeley":{"formattedCitation":"&lt;sup&gt;31, 32&lt;/sup&gt;","plainTextFormattedCitation":"31, 32","previouslyFormattedCitation":"&lt;sup&gt;31, 32&lt;/sup&gt;"},"properties":{"noteIndex":0},"schema":"https://github.com/citation-style-language/schema/raw/master/csl-citation.json"}</w:instrText>
      </w:r>
      <w:r w:rsidR="0089321C" w:rsidRPr="00AA24D3">
        <w:rPr>
          <w:rFonts w:eastAsia="Times New Roman"/>
          <w:bCs/>
          <w:color w:val="000000"/>
        </w:rPr>
        <w:fldChar w:fldCharType="separate"/>
      </w:r>
      <w:r w:rsidR="00A613B2" w:rsidRPr="00A613B2">
        <w:rPr>
          <w:bCs/>
          <w:noProof/>
          <w:color w:val="000000"/>
          <w:vertAlign w:val="superscript"/>
        </w:rPr>
        <w:t>31,32</w:t>
      </w:r>
      <w:r w:rsidR="0089321C" w:rsidRPr="00AA24D3">
        <w:rPr>
          <w:rFonts w:eastAsia="Times New Roman"/>
          <w:bCs/>
          <w:color w:val="000000"/>
        </w:rPr>
        <w:fldChar w:fldCharType="end"/>
      </w:r>
      <w:r w:rsidR="0089321C" w:rsidRPr="00AA24D3">
        <w:rPr>
          <w:bCs/>
          <w:color w:val="000000"/>
        </w:rPr>
        <w:t>, the inclusion of insulin is preferred. Along a similar line,</w:t>
      </w:r>
      <w:r w:rsidRPr="00AA24D3">
        <w:rPr>
          <w:bCs/>
          <w:color w:val="000000"/>
        </w:rPr>
        <w:t xml:space="preserve"> if fatty acid utilization is relative to the experimental question, the assay media should be further supplemented with fatty acids. The </w:t>
      </w:r>
      <w:r w:rsidR="0089321C" w:rsidRPr="00AA24D3">
        <w:rPr>
          <w:bCs/>
          <w:color w:val="000000"/>
        </w:rPr>
        <w:t>importance of</w:t>
      </w:r>
      <w:r w:rsidRPr="00AA24D3">
        <w:rPr>
          <w:bCs/>
          <w:color w:val="000000"/>
        </w:rPr>
        <w:t xml:space="preserve"> these </w:t>
      </w:r>
      <w:r w:rsidR="0089321C" w:rsidRPr="00AA24D3">
        <w:rPr>
          <w:bCs/>
          <w:color w:val="000000"/>
        </w:rPr>
        <w:t xml:space="preserve">exogenous </w:t>
      </w:r>
      <w:r w:rsidRPr="00AA24D3">
        <w:rPr>
          <w:bCs/>
          <w:color w:val="000000"/>
        </w:rPr>
        <w:t xml:space="preserve">substrates plays a critical role in </w:t>
      </w:r>
      <w:r w:rsidR="007F7450">
        <w:rPr>
          <w:bCs/>
          <w:color w:val="000000"/>
        </w:rPr>
        <w:t>the</w:t>
      </w:r>
      <w:r w:rsidR="007F7450" w:rsidRPr="00AA24D3">
        <w:rPr>
          <w:bCs/>
          <w:color w:val="000000"/>
        </w:rPr>
        <w:t xml:space="preserve"> </w:t>
      </w:r>
      <w:r w:rsidRPr="00AA24D3">
        <w:rPr>
          <w:bCs/>
          <w:color w:val="000000"/>
        </w:rPr>
        <w:t>assays</w:t>
      </w:r>
      <w:r w:rsidR="0089321C" w:rsidRPr="00AA24D3">
        <w:rPr>
          <w:bCs/>
          <w:color w:val="000000"/>
        </w:rPr>
        <w:t xml:space="preserve"> and data interpretation</w:t>
      </w:r>
      <w:r w:rsidR="00252B25" w:rsidRPr="00AA24D3">
        <w:rPr>
          <w:bCs/>
          <w:color w:val="000000"/>
        </w:rPr>
        <w:t>;</w:t>
      </w:r>
      <w:r w:rsidRPr="00AA24D3">
        <w:rPr>
          <w:bCs/>
          <w:color w:val="000000"/>
        </w:rPr>
        <w:t xml:space="preserve"> </w:t>
      </w:r>
      <w:r w:rsidR="0089321C" w:rsidRPr="00AA24D3">
        <w:rPr>
          <w:bCs/>
          <w:color w:val="000000"/>
        </w:rPr>
        <w:t>therefore</w:t>
      </w:r>
      <w:r w:rsidR="00252B25" w:rsidRPr="00AA24D3">
        <w:rPr>
          <w:bCs/>
          <w:color w:val="000000"/>
        </w:rPr>
        <w:t>,</w:t>
      </w:r>
      <w:r w:rsidRPr="00AA24D3">
        <w:rPr>
          <w:bCs/>
          <w:color w:val="000000"/>
        </w:rPr>
        <w:t xml:space="preserve"> concentrations of the</w:t>
      </w:r>
      <w:r w:rsidR="0089321C" w:rsidRPr="00AA24D3">
        <w:rPr>
          <w:bCs/>
          <w:color w:val="000000"/>
        </w:rPr>
        <w:t>se</w:t>
      </w:r>
      <w:r w:rsidRPr="00AA24D3">
        <w:rPr>
          <w:bCs/>
          <w:color w:val="000000"/>
        </w:rPr>
        <w:t xml:space="preserve"> substrates should be optimized based on the cell type</w:t>
      </w:r>
      <w:r w:rsidR="0089321C" w:rsidRPr="00AA24D3">
        <w:rPr>
          <w:bCs/>
          <w:color w:val="000000"/>
        </w:rPr>
        <w:t xml:space="preserve"> and research question</w:t>
      </w:r>
      <w:r w:rsidRPr="00AA24D3">
        <w:rPr>
          <w:bCs/>
          <w:color w:val="000000"/>
        </w:rPr>
        <w:t>.</w:t>
      </w:r>
    </w:p>
    <w:p w14:paraId="4A6A4EAE" w14:textId="3CDFD63E" w:rsidR="0089321C" w:rsidRPr="00AA24D3" w:rsidRDefault="0089321C" w:rsidP="00972F6D">
      <w:pPr>
        <w:pBdr>
          <w:top w:val="nil"/>
          <w:left w:val="nil"/>
          <w:bottom w:val="nil"/>
          <w:right w:val="nil"/>
          <w:between w:val="nil"/>
        </w:pBdr>
        <w:rPr>
          <w:bCs/>
          <w:color w:val="000000"/>
        </w:rPr>
      </w:pPr>
    </w:p>
    <w:p w14:paraId="2790A8D7" w14:textId="722AEF9F" w:rsidR="002E11CA" w:rsidRPr="00AA24D3" w:rsidRDefault="0089321C" w:rsidP="00972F6D">
      <w:pPr>
        <w:pStyle w:val="NormalWeb"/>
        <w:spacing w:before="0" w:beforeAutospacing="0" w:after="0" w:afterAutospacing="0"/>
        <w:jc w:val="both"/>
        <w:rPr>
          <w:rFonts w:ascii="Calibri" w:hAnsi="Calibri" w:cs="Calibri"/>
          <w:color w:val="0E101A"/>
        </w:rPr>
      </w:pPr>
      <w:r w:rsidRPr="00AA24D3">
        <w:rPr>
          <w:rFonts w:ascii="Calibri" w:hAnsi="Calibri" w:cs="Calibri"/>
          <w:bCs/>
        </w:rPr>
        <w:t xml:space="preserve">One of the </w:t>
      </w:r>
      <w:r w:rsidR="00D3502B" w:rsidRPr="00AA24D3">
        <w:rPr>
          <w:rFonts w:ascii="Calibri" w:hAnsi="Calibri" w:cs="Calibri"/>
          <w:bCs/>
        </w:rPr>
        <w:t xml:space="preserve">primary </w:t>
      </w:r>
      <w:r w:rsidR="002E11CA" w:rsidRPr="00AA24D3">
        <w:rPr>
          <w:rFonts w:ascii="Calibri" w:hAnsi="Calibri" w:cs="Calibri"/>
          <w:bCs/>
        </w:rPr>
        <w:t>advantage</w:t>
      </w:r>
      <w:r w:rsidRPr="00AA24D3">
        <w:rPr>
          <w:rFonts w:ascii="Calibri" w:hAnsi="Calibri" w:cs="Calibri"/>
          <w:bCs/>
        </w:rPr>
        <w:t>s</w:t>
      </w:r>
      <w:r w:rsidR="002E11CA" w:rsidRPr="00AA24D3">
        <w:rPr>
          <w:rFonts w:ascii="Calibri" w:hAnsi="Calibri" w:cs="Calibri"/>
          <w:bCs/>
        </w:rPr>
        <w:t xml:space="preserve"> of the extracellular flux analyzer is</w:t>
      </w:r>
      <w:r w:rsidRPr="00AA24D3">
        <w:rPr>
          <w:rFonts w:ascii="Calibri" w:hAnsi="Calibri" w:cs="Calibri"/>
          <w:bCs/>
        </w:rPr>
        <w:t xml:space="preserve"> that</w:t>
      </w:r>
      <w:r w:rsidR="002E11CA" w:rsidRPr="00AA24D3">
        <w:rPr>
          <w:rFonts w:ascii="Calibri" w:hAnsi="Calibri" w:cs="Calibri"/>
          <w:bCs/>
        </w:rPr>
        <w:t xml:space="preserve"> it requires a minimal number of cells to run the assays</w:t>
      </w:r>
      <w:r w:rsidRPr="00AA24D3">
        <w:rPr>
          <w:rFonts w:ascii="Calibri" w:hAnsi="Calibri" w:cs="Calibri"/>
          <w:bCs/>
        </w:rPr>
        <w:t xml:space="preserve">, with a high </w:t>
      </w:r>
      <w:r w:rsidRPr="00AA24D3">
        <w:rPr>
          <w:rFonts w:ascii="Calibri" w:hAnsi="Calibri" w:cs="Calibri"/>
          <w:bCs/>
          <w:i/>
          <w:iCs/>
        </w:rPr>
        <w:t xml:space="preserve">n </w:t>
      </w:r>
      <w:r w:rsidRPr="00AA24D3">
        <w:rPr>
          <w:rFonts w:ascii="Calibri" w:hAnsi="Calibri" w:cs="Calibri"/>
          <w:bCs/>
        </w:rPr>
        <w:t>given the 96</w:t>
      </w:r>
      <w:r w:rsidR="00746913">
        <w:rPr>
          <w:rFonts w:ascii="Calibri" w:hAnsi="Calibri" w:cs="Calibri"/>
          <w:bCs/>
        </w:rPr>
        <w:t>-</w:t>
      </w:r>
      <w:r w:rsidRPr="00AA24D3">
        <w:rPr>
          <w:rFonts w:ascii="Calibri" w:hAnsi="Calibri" w:cs="Calibri"/>
          <w:bCs/>
        </w:rPr>
        <w:t>well format</w:t>
      </w:r>
      <w:r w:rsidR="002E11CA" w:rsidRPr="00AA24D3">
        <w:rPr>
          <w:rFonts w:ascii="Calibri" w:hAnsi="Calibri" w:cs="Calibri"/>
          <w:bCs/>
        </w:rPr>
        <w:t xml:space="preserve">. </w:t>
      </w:r>
      <w:r w:rsidR="00002A91" w:rsidRPr="00AA24D3">
        <w:rPr>
          <w:rFonts w:ascii="Calibri" w:hAnsi="Calibri" w:cs="Calibri"/>
          <w:bCs/>
        </w:rPr>
        <w:t xml:space="preserve">The sensor cartridges also enable </w:t>
      </w:r>
      <w:r w:rsidRPr="00AA24D3">
        <w:rPr>
          <w:rFonts w:ascii="Calibri" w:hAnsi="Calibri" w:cs="Calibri"/>
          <w:bCs/>
        </w:rPr>
        <w:t>the ability to</w:t>
      </w:r>
      <w:r w:rsidR="00002A91" w:rsidRPr="00AA24D3">
        <w:rPr>
          <w:rFonts w:ascii="Calibri" w:hAnsi="Calibri" w:cs="Calibri"/>
          <w:bCs/>
        </w:rPr>
        <w:t xml:space="preserve"> inject different inhibitors and compounds through the four injection ports. The flexibility to modify the assay, to perform acute injections with additional inhibitors and treatments of interest is an added advantage of this technique. </w:t>
      </w:r>
      <w:r w:rsidR="002E11CA" w:rsidRPr="00AA24D3">
        <w:rPr>
          <w:rFonts w:ascii="Calibri" w:hAnsi="Calibri" w:cs="Calibri"/>
          <w:bCs/>
        </w:rPr>
        <w:t xml:space="preserve">These features make the analyzer capable of doing high throughput, real-time assays on a minimal number of cells and hence preferable over the classical Clark oxygen electrode method. Although the electrode method is inexpensive and simple for measuring mitochondrial respiration, it gives far higher background noise and has a lower resolution than the </w:t>
      </w:r>
      <w:r w:rsidR="002E11CA" w:rsidRPr="00653CE6">
        <w:rPr>
          <w:rFonts w:ascii="Calibri" w:hAnsi="Calibri" w:cs="Calibri"/>
          <w:bCs/>
        </w:rPr>
        <w:t>analyzer</w:t>
      </w:r>
      <w:r w:rsidR="00E65807" w:rsidRPr="00653CE6">
        <w:rPr>
          <w:rFonts w:ascii="Calibri" w:hAnsi="Calibri" w:cs="Calibri"/>
          <w:bCs/>
        </w:rPr>
        <w:fldChar w:fldCharType="begin" w:fldLock="1"/>
      </w:r>
      <w:r w:rsidR="00A613B2">
        <w:rPr>
          <w:rFonts w:ascii="Calibri" w:hAnsi="Calibri" w:cs="Calibri"/>
          <w:bCs/>
        </w:rPr>
        <w:instrText>ADDIN CSL_CITATION {"citationItems":[{"id":"ITEM-1","itemData":{"DOI":"10.1093/gerona/glr263","ISSN":"10795006","PMID":"22459622","abstract":"There is accumulating evidence that mitochondrial respiratory malfunction is associated with aging-associated complex diseases. However, progress in our understanding of these diseases has been hampered by the sensitivity and throughput of systems employed to quantify dysfunction and inherent limitations of the biological systems studied. In this review, we describe and contrast two methodologies that have been developed for measuring mitochondrial function to address the need for improved sensitivity and increased throughput. We then consider the utility of each methodology in studying three biological systems: isolated mitochondria, cultured cells, and cell fibers and tissues. Finally, we discuss the application of each methodology in the study of mitochondrial dysfunction in Alzheimer's disease, type 2 diabetes mellitus, and aging-associated autophagy impairment and mitochondrial malfunction. We conclude that the methodologies are complementary, and researchers may need to examine multiple biological systems to unravel complex diseases of aging. © The Author 2012. Published by Oxford University Press on behalf of The Gerontological Society of America. All rights reserved.","author":[{"dropping-particle":"","family":"Horan","given":"Martin P.","non-dropping-particle":"","parse-names":false,"suffix":""},{"dropping-particle":"","family":"Pichaud","given":"Nicolas","non-dropping-particle":"","parse-names":false,"suffix":""},{"dropping-particle":"","family":"Ballard","given":"J. William O.","non-dropping-particle":"","parse-names":false,"suffix":""}],"container-title":"Journals of Gerontology - Series A Biological Sciences and Medical Sciences","id":"ITEM-1","issue":"10","issued":{"date-parts":[["2012","10"]]},"page":"1022-1035","publisher":"J Gerontol A Biol Sci Med Sci","title":"Review: Quantifying mitochondrial dysfunction in complex diseases of aging","type":"article-journal","volume":"67 A"},"uris":["http://www.mendeley.com/documents/?uuid=20f64684-2d7a-3b70-9691-479ff0cfb310"]},{"id":"ITEM-2","itemData":{"DOI":"10.1016/B978-0-12-801415-8.00016-3","ISSN":"15577988","PMID":"25416364","abstract":"Breakthrough technologies to measure cellular oxygen consumption and proton efflux are reigniting the study of cellular energetics by increasing the scope and pace with which discoveries are made. As we learn the variation in metabolism between cell types is large, it is helpful to continually provide additional perspectives and update our roadmap for data interpretation. In that spirit, this chapter provides the following for those conducting microplate-based oxygen consumption experiments: (i) a description of the standard parameters for measuring respiration in intact cells, (ii) a framework for data analysis and normalization, and (iii) examples of measuring respiration in permeabilized cells to follow up results observed with intact cells. Additionally, rate-based measurements of extracellular pH are increasingly used as a qualitative indicator of glycolytic flux. As a resource to help interpret these measurements, this chapter also provides a detailed accounting of proton production during glucose oxidation in the context of plate-based assays.","author":[{"dropping-particle":"","family":"Divakaruni","given":"Ajit S.","non-dropping-particle":"","parse-names":false,"suffix":""},{"dropping-particle":"","family":"Paradyse","given":"Alexander","non-dropping-particle":"","parse-names":false,"suffix":""},{"dropping-particle":"","family":"Ferrick","given":"David A.","non-dropping-particle":"","parse-names":false,"suffix":""},{"dropping-particle":"","family":"Murphy","given":"Anne N.","non-dropping-particle":"","parse-names":false,"suffix":""},{"dropping-particle":"","family":"Jastroch","given":"Martin","non-dropping-particle":"","parse-names":false,"suffix":""}],"container-title":"Methods in Enzymology","id":"ITEM-2","issue":"C","issued":{"date-parts":[["2014","1","1"]]},"page":"309-354","publisher":"Academic Press","title":"Analysis and interpretation of microplate-based oxygen consumption and pH data","type":"article-journal","volume":"547"},"uris":["http://www.mendeley.com/documents/?uuid=0167464f-a99a-386e-a679-ca4dafaf6cc7"]}],"mendeley":{"formattedCitation":"&lt;sup&gt;24, 33&lt;/sup&gt;","plainTextFormattedCitation":"24, 33","previouslyFormattedCitation":"&lt;sup&gt;24, 33&lt;/sup&gt;"},"properties":{"noteIndex":0},"schema":"https://github.com/citation-style-language/schema/raw/master/csl-citation.json"}</w:instrText>
      </w:r>
      <w:r w:rsidR="00E65807" w:rsidRPr="00653CE6">
        <w:rPr>
          <w:rFonts w:ascii="Calibri" w:hAnsi="Calibri" w:cs="Calibri"/>
          <w:bCs/>
        </w:rPr>
        <w:fldChar w:fldCharType="separate"/>
      </w:r>
      <w:r w:rsidR="00A613B2" w:rsidRPr="00A613B2">
        <w:rPr>
          <w:rFonts w:ascii="Calibri" w:hAnsi="Calibri" w:cs="Calibri"/>
          <w:bCs/>
          <w:noProof/>
          <w:vertAlign w:val="superscript"/>
        </w:rPr>
        <w:t>24,33</w:t>
      </w:r>
      <w:r w:rsidR="00E65807" w:rsidRPr="00653CE6">
        <w:rPr>
          <w:rFonts w:ascii="Calibri" w:hAnsi="Calibri" w:cs="Calibri"/>
          <w:bCs/>
        </w:rPr>
        <w:fldChar w:fldCharType="end"/>
      </w:r>
      <w:r w:rsidR="00653CE6" w:rsidRPr="00120856">
        <w:rPr>
          <w:rFonts w:ascii="Calibri" w:hAnsi="Calibri" w:cs="Calibri"/>
          <w:bCs/>
        </w:rPr>
        <w:t>.</w:t>
      </w:r>
    </w:p>
    <w:p w14:paraId="114ED717" w14:textId="77777777" w:rsidR="00653CE6" w:rsidRDefault="00653CE6" w:rsidP="00AA24D3">
      <w:pPr>
        <w:jc w:val="left"/>
        <w:rPr>
          <w:bCs/>
        </w:rPr>
      </w:pPr>
    </w:p>
    <w:p w14:paraId="70384F27" w14:textId="15B1279E" w:rsidR="00002A91" w:rsidRDefault="008A53C6" w:rsidP="00972F6D">
      <w:pPr>
        <w:rPr>
          <w:color w:val="222222"/>
          <w:shd w:val="clear" w:color="auto" w:fill="FFFFFF"/>
        </w:rPr>
      </w:pPr>
      <w:r w:rsidRPr="00AA24D3">
        <w:rPr>
          <w:bCs/>
        </w:rPr>
        <w:t>Additionally, in the workflow described, t</w:t>
      </w:r>
      <w:r w:rsidR="00002A91" w:rsidRPr="00AA24D3">
        <w:rPr>
          <w:bCs/>
        </w:rPr>
        <w:t xml:space="preserve">he cell bioenergetic profile obtained from the analyzer can efficiently be normalized using </w:t>
      </w:r>
      <w:r w:rsidR="000C33CB">
        <w:rPr>
          <w:bCs/>
        </w:rPr>
        <w:t xml:space="preserve">the </w:t>
      </w:r>
      <w:r w:rsidR="000C33CB">
        <w:rPr>
          <w:rFonts w:eastAsia="Times New Roman"/>
          <w:color w:val="0E101A"/>
        </w:rPr>
        <w:t>m</w:t>
      </w:r>
      <w:r w:rsidR="0032242C">
        <w:rPr>
          <w:rFonts w:eastAsia="Times New Roman"/>
          <w:color w:val="0E101A"/>
        </w:rPr>
        <w:t xml:space="preserve">icroplate </w:t>
      </w:r>
      <w:r w:rsidR="000C33CB">
        <w:rPr>
          <w:rFonts w:eastAsia="Times New Roman"/>
          <w:color w:val="0E101A"/>
        </w:rPr>
        <w:t>i</w:t>
      </w:r>
      <w:r w:rsidR="0032242C">
        <w:rPr>
          <w:rFonts w:eastAsia="Times New Roman"/>
          <w:color w:val="0E101A"/>
        </w:rPr>
        <w:t xml:space="preserve">mager </w:t>
      </w:r>
      <w:r w:rsidR="00002A91" w:rsidRPr="00AA24D3">
        <w:rPr>
          <w:bCs/>
        </w:rPr>
        <w:t>by counting the cells in the microplates after the assay</w:t>
      </w:r>
      <w:r w:rsidR="00E65807" w:rsidRPr="00AA24D3">
        <w:rPr>
          <w:bCs/>
        </w:rPr>
        <w:fldChar w:fldCharType="begin" w:fldLock="1"/>
      </w:r>
      <w:r w:rsidR="00A613B2">
        <w:rPr>
          <w:bCs/>
        </w:rPr>
        <w:instrText>ADDIN CSL_CITATION {"citationItems":[{"id":"ITEM-1","itemData":{"author":[{"dropping-particle":"","family":"Kam","given":"Y.","non-dropping-particle":"","parse-names":false,"suffix":""},{"dropping-particle":"","family":"Jastromb","given":"N.","non-dropping-particle":"","parse-names":false,"suffix":""},{"dropping-particle":"","family":"Clayton","given":"J.","non-dropping-particle":"","parse-names":false,"suffix":""},{"dropping-particle":"","family":"Held","given":"P.","non-dropping-particle":"","parse-names":false,"suffix":""},{"dropping-particle":"","family":"Dranka","given":"B.","non-dropping-particle":"","parse-names":false,"suffix":""}],"id":"ITEM-1","issued":{"date-parts":[["2017"]]},"title":"Normalization of Agilent Seahorse XF Data by In-situ Cell Counting Using a BioTek Cytation 5 Application Note","type":"article-journal"},"uris":["http://www.mendeley.com/documents/?uuid=833cc85e-baa2-3de6-8483-ef801bff82f7"]}],"mendeley":{"formattedCitation":"&lt;sup&gt;34&lt;/sup&gt;","plainTextFormattedCitation":"34","previouslyFormattedCitation":"&lt;sup&gt;34&lt;/sup&gt;"},"properties":{"noteIndex":0},"schema":"https://github.com/citation-style-language/schema/raw/master/csl-citation.json"}</w:instrText>
      </w:r>
      <w:r w:rsidR="00E65807" w:rsidRPr="00AA24D3">
        <w:rPr>
          <w:bCs/>
        </w:rPr>
        <w:fldChar w:fldCharType="separate"/>
      </w:r>
      <w:r w:rsidR="00A613B2" w:rsidRPr="00A613B2">
        <w:rPr>
          <w:bCs/>
          <w:noProof/>
          <w:vertAlign w:val="superscript"/>
        </w:rPr>
        <w:t>34</w:t>
      </w:r>
      <w:r w:rsidR="00E65807" w:rsidRPr="00AA24D3">
        <w:rPr>
          <w:bCs/>
        </w:rPr>
        <w:fldChar w:fldCharType="end"/>
      </w:r>
      <w:r w:rsidR="00002A91" w:rsidRPr="00AA24D3">
        <w:rPr>
          <w:bCs/>
        </w:rPr>
        <w:t>. The number of viable cells may vary from well to well after the assay</w:t>
      </w:r>
      <w:r w:rsidR="001C3A76">
        <w:rPr>
          <w:bCs/>
        </w:rPr>
        <w:t>;</w:t>
      </w:r>
      <w:r w:rsidR="00002A91" w:rsidRPr="00AA24D3">
        <w:rPr>
          <w:bCs/>
        </w:rPr>
        <w:t xml:space="preserve"> use of cell count is preferable over other methods</w:t>
      </w:r>
      <w:r w:rsidR="00D3502B" w:rsidRPr="00AA24D3">
        <w:rPr>
          <w:bCs/>
        </w:rPr>
        <w:t>,</w:t>
      </w:r>
      <w:r w:rsidR="00002A91" w:rsidRPr="00AA24D3">
        <w:rPr>
          <w:bCs/>
        </w:rPr>
        <w:t xml:space="preserve"> including the protein or DNA normalization</w:t>
      </w:r>
      <w:r w:rsidR="00BD3AF2" w:rsidRPr="00AA24D3">
        <w:rPr>
          <w:bCs/>
        </w:rPr>
        <w:t xml:space="preserve"> as</w:t>
      </w:r>
      <w:r w:rsidR="00002A91" w:rsidRPr="00AA24D3">
        <w:rPr>
          <w:bCs/>
        </w:rPr>
        <w:t xml:space="preserve"> the protein</w:t>
      </w:r>
      <w:r w:rsidR="00BD3AF2" w:rsidRPr="00AA24D3">
        <w:rPr>
          <w:bCs/>
        </w:rPr>
        <w:t xml:space="preserve"> or </w:t>
      </w:r>
      <w:r w:rsidR="00002A91" w:rsidRPr="00AA24D3">
        <w:rPr>
          <w:bCs/>
        </w:rPr>
        <w:t xml:space="preserve">DNA content of cells </w:t>
      </w:r>
      <w:r w:rsidR="00BD3AF2" w:rsidRPr="00AA24D3">
        <w:rPr>
          <w:bCs/>
        </w:rPr>
        <w:t xml:space="preserve">does not </w:t>
      </w:r>
      <w:r w:rsidR="00002A91" w:rsidRPr="00AA24D3">
        <w:rPr>
          <w:bCs/>
        </w:rPr>
        <w:t xml:space="preserve">remain constant under different conditions or treatments for which the cellular energetics are being compared. </w:t>
      </w:r>
      <w:r w:rsidR="00BD3AF2" w:rsidRPr="00AA24D3">
        <w:rPr>
          <w:bCs/>
        </w:rPr>
        <w:t xml:space="preserve">The protein or DNA content </w:t>
      </w:r>
      <w:r w:rsidR="00002A91" w:rsidRPr="00AA24D3">
        <w:rPr>
          <w:bCs/>
        </w:rPr>
        <w:t>may vary under the influence of different treatments</w:t>
      </w:r>
      <w:r w:rsidR="00BD3AF2" w:rsidRPr="00AA24D3">
        <w:rPr>
          <w:bCs/>
        </w:rPr>
        <w:t xml:space="preserve"> and is a major disadvantage of normalization using this method</w:t>
      </w:r>
      <w:r w:rsidR="00002A91" w:rsidRPr="00AA24D3">
        <w:rPr>
          <w:bCs/>
        </w:rPr>
        <w:t xml:space="preserve">. For example, the protein content of osteoblast changes during differentiation. As the cells mature during </w:t>
      </w:r>
      <w:proofErr w:type="spellStart"/>
      <w:r w:rsidR="00002A91" w:rsidRPr="00AA24D3">
        <w:rPr>
          <w:bCs/>
        </w:rPr>
        <w:t>osteoblastogenesis</w:t>
      </w:r>
      <w:proofErr w:type="spellEnd"/>
      <w:r w:rsidR="00002A91" w:rsidRPr="00AA24D3">
        <w:rPr>
          <w:bCs/>
        </w:rPr>
        <w:t>, they start secreting extracellular matrix protein increasing the total cellular protein content. This can be problematic when</w:t>
      </w:r>
      <w:r w:rsidR="00D3502B" w:rsidRPr="00AA24D3">
        <w:rPr>
          <w:bCs/>
        </w:rPr>
        <w:t xml:space="preserve"> comparing</w:t>
      </w:r>
      <w:r w:rsidR="00002A91" w:rsidRPr="00AA24D3">
        <w:rPr>
          <w:bCs/>
        </w:rPr>
        <w:t xml:space="preserve"> the assay results of cells under different growth phases</w:t>
      </w:r>
      <w:r w:rsidRPr="00AA24D3">
        <w:rPr>
          <w:bCs/>
        </w:rPr>
        <w:t xml:space="preserve"> or time points</w:t>
      </w:r>
      <w:r w:rsidR="00002A91" w:rsidRPr="00AA24D3">
        <w:rPr>
          <w:bCs/>
        </w:rPr>
        <w:t xml:space="preserve"> of </w:t>
      </w:r>
      <w:proofErr w:type="spellStart"/>
      <w:r w:rsidR="00002A91" w:rsidRPr="00AA24D3">
        <w:rPr>
          <w:bCs/>
        </w:rPr>
        <w:t>osteoblastogenesis</w:t>
      </w:r>
      <w:proofErr w:type="spellEnd"/>
      <w:r w:rsidR="00002A91" w:rsidRPr="00AA24D3">
        <w:rPr>
          <w:bCs/>
        </w:rPr>
        <w:t>.</w:t>
      </w:r>
    </w:p>
    <w:p w14:paraId="2251137E" w14:textId="77777777" w:rsidR="004D28DA" w:rsidRPr="00AA24D3" w:rsidRDefault="004D28DA" w:rsidP="00AA24D3">
      <w:pPr>
        <w:jc w:val="left"/>
        <w:rPr>
          <w:bCs/>
        </w:rPr>
      </w:pPr>
    </w:p>
    <w:p w14:paraId="2051F765" w14:textId="05C8CDA4" w:rsidR="002E11CA" w:rsidRPr="00AA24D3" w:rsidRDefault="009F6295" w:rsidP="00972F6D">
      <w:pPr>
        <w:widowControl/>
        <w:rPr>
          <w:rFonts w:eastAsia="Times New Roman"/>
          <w:color w:val="0E101A"/>
        </w:rPr>
      </w:pPr>
      <w:r w:rsidRPr="00AA24D3">
        <w:rPr>
          <w:rFonts w:eastAsia="Times New Roman"/>
          <w:color w:val="0E101A"/>
        </w:rPr>
        <w:t xml:space="preserve">Given the multitude of advantages, the </w:t>
      </w:r>
      <w:r w:rsidR="00252B25" w:rsidRPr="00AA24D3">
        <w:rPr>
          <w:rFonts w:eastAsia="Times New Roman"/>
          <w:color w:val="0E101A"/>
        </w:rPr>
        <w:t>analyzer to monitor cellular bioenergetics has been a tremendous addition to advancing</w:t>
      </w:r>
      <w:r w:rsidRPr="00AA24D3">
        <w:rPr>
          <w:rFonts w:eastAsia="Times New Roman"/>
          <w:color w:val="0E101A"/>
        </w:rPr>
        <w:t xml:space="preserve"> the field. However, limitations do exist. For example,</w:t>
      </w:r>
      <w:r w:rsidR="002E11CA" w:rsidRPr="00AA24D3">
        <w:rPr>
          <w:rFonts w:eastAsia="Times New Roman"/>
          <w:color w:val="0E101A"/>
        </w:rPr>
        <w:t xml:space="preserve"> one of the major limitations of these assays is that they can only be performed at the cellular</w:t>
      </w:r>
      <w:r w:rsidR="000E78E5" w:rsidRPr="00AA24D3">
        <w:rPr>
          <w:rFonts w:eastAsia="Times New Roman"/>
          <w:color w:val="0E101A"/>
        </w:rPr>
        <w:t xml:space="preserve"> or organoid</w:t>
      </w:r>
      <w:r w:rsidR="002E11CA" w:rsidRPr="00AA24D3">
        <w:rPr>
          <w:rFonts w:eastAsia="Times New Roman"/>
          <w:color w:val="0E101A"/>
        </w:rPr>
        <w:t xml:space="preserve"> level</w:t>
      </w:r>
      <w:r w:rsidR="00D3502B" w:rsidRPr="00AA24D3">
        <w:rPr>
          <w:rFonts w:eastAsia="Times New Roman"/>
          <w:color w:val="0E101A"/>
        </w:rPr>
        <w:t>,</w:t>
      </w:r>
      <w:r w:rsidR="002E11CA" w:rsidRPr="00AA24D3">
        <w:rPr>
          <w:rFonts w:eastAsia="Times New Roman"/>
          <w:color w:val="0E101A"/>
        </w:rPr>
        <w:t xml:space="preserve"> and </w:t>
      </w:r>
      <w:r w:rsidR="00BD3AF2" w:rsidRPr="00AA24D3">
        <w:rPr>
          <w:rFonts w:eastAsia="Times New Roman"/>
          <w:color w:val="0E101A"/>
        </w:rPr>
        <w:t>the data is</w:t>
      </w:r>
      <w:r w:rsidR="002E11CA" w:rsidRPr="00AA24D3">
        <w:rPr>
          <w:rFonts w:eastAsia="Times New Roman"/>
          <w:color w:val="0E101A"/>
        </w:rPr>
        <w:t xml:space="preserve"> not sufficient to provide us </w:t>
      </w:r>
      <w:r w:rsidR="00D3502B" w:rsidRPr="00AA24D3">
        <w:rPr>
          <w:rFonts w:eastAsia="Times New Roman"/>
          <w:color w:val="0E101A"/>
        </w:rPr>
        <w:t xml:space="preserve">with </w:t>
      </w:r>
      <w:r w:rsidR="002E11CA" w:rsidRPr="00AA24D3">
        <w:rPr>
          <w:rFonts w:eastAsia="Times New Roman"/>
          <w:color w:val="0E101A"/>
        </w:rPr>
        <w:t xml:space="preserve">a complete </w:t>
      </w:r>
      <w:r w:rsidR="00BD3AF2" w:rsidRPr="00AA24D3">
        <w:rPr>
          <w:rFonts w:eastAsia="Times New Roman"/>
          <w:color w:val="0E101A"/>
        </w:rPr>
        <w:t>idea</w:t>
      </w:r>
      <w:r w:rsidR="002E11CA" w:rsidRPr="00AA24D3">
        <w:rPr>
          <w:rFonts w:eastAsia="Times New Roman"/>
          <w:color w:val="0E101A"/>
        </w:rPr>
        <w:t xml:space="preserve"> of what </w:t>
      </w:r>
      <w:r w:rsidR="00BD3AF2" w:rsidRPr="00AA24D3">
        <w:rPr>
          <w:rFonts w:eastAsia="Times New Roman"/>
          <w:color w:val="0E101A"/>
        </w:rPr>
        <w:t>would happen</w:t>
      </w:r>
      <w:r w:rsidR="001C3A76">
        <w:rPr>
          <w:rFonts w:eastAsia="Times New Roman"/>
          <w:color w:val="0E101A"/>
        </w:rPr>
        <w:t xml:space="preserve"> </w:t>
      </w:r>
      <w:r w:rsidR="002E11CA" w:rsidRPr="00AA24D3">
        <w:rPr>
          <w:rFonts w:eastAsia="Times New Roman"/>
          <w:i/>
          <w:iCs/>
          <w:color w:val="0E101A"/>
        </w:rPr>
        <w:t>in vivo</w:t>
      </w:r>
      <w:r w:rsidR="001C3A76">
        <w:rPr>
          <w:rFonts w:eastAsia="Times New Roman"/>
          <w:color w:val="0E101A"/>
        </w:rPr>
        <w:t xml:space="preserve"> </w:t>
      </w:r>
      <w:r w:rsidR="002E11CA" w:rsidRPr="00AA24D3">
        <w:rPr>
          <w:rFonts w:eastAsia="Times New Roman"/>
          <w:color w:val="0E101A"/>
        </w:rPr>
        <w:t>under different physiological</w:t>
      </w:r>
      <w:r w:rsidR="00EE263D" w:rsidRPr="00AA24D3">
        <w:rPr>
          <w:rFonts w:eastAsia="Times New Roman"/>
          <w:color w:val="0E101A"/>
        </w:rPr>
        <w:t xml:space="preserve"> </w:t>
      </w:r>
      <w:r w:rsidR="002E11CA" w:rsidRPr="00AA24D3">
        <w:rPr>
          <w:rFonts w:eastAsia="Times New Roman"/>
          <w:color w:val="0E101A"/>
        </w:rPr>
        <w:t>conditions.</w:t>
      </w:r>
      <w:r w:rsidR="001C3A76">
        <w:rPr>
          <w:rFonts w:eastAsia="Times New Roman"/>
          <w:color w:val="0E101A"/>
        </w:rPr>
        <w:t xml:space="preserve"> </w:t>
      </w:r>
      <w:r w:rsidR="00EE263D" w:rsidRPr="00AA24D3">
        <w:rPr>
          <w:rFonts w:eastAsia="Times New Roman"/>
          <w:color w:val="0E101A"/>
        </w:rPr>
        <w:t>As mentioned previously,</w:t>
      </w:r>
      <w:r w:rsidR="002E11CA" w:rsidRPr="00AA24D3">
        <w:rPr>
          <w:rFonts w:eastAsia="Times New Roman"/>
          <w:color w:val="0E101A"/>
        </w:rPr>
        <w:t xml:space="preserve"> the cellular environment created during the assays </w:t>
      </w:r>
      <w:r w:rsidR="00252B25" w:rsidRPr="00AA24D3">
        <w:rPr>
          <w:rFonts w:eastAsia="Times New Roman"/>
          <w:color w:val="0E101A"/>
        </w:rPr>
        <w:t xml:space="preserve">is </w:t>
      </w:r>
      <w:r w:rsidR="002E11CA" w:rsidRPr="00AA24D3">
        <w:rPr>
          <w:rFonts w:eastAsia="Times New Roman"/>
          <w:color w:val="0E101A"/>
        </w:rPr>
        <w:t xml:space="preserve">also far from the original physiological niche. </w:t>
      </w:r>
      <w:r w:rsidR="00BD3AF2" w:rsidRPr="00AA24D3">
        <w:rPr>
          <w:rFonts w:eastAsia="Times New Roman"/>
          <w:color w:val="0E101A"/>
        </w:rPr>
        <w:t>The</w:t>
      </w:r>
      <w:r w:rsidR="002E11CA" w:rsidRPr="00AA24D3">
        <w:rPr>
          <w:rFonts w:eastAsia="Times New Roman"/>
          <w:color w:val="0E101A"/>
        </w:rPr>
        <w:t xml:space="preserve"> artificial micro-environment </w:t>
      </w:r>
      <w:r w:rsidR="00BD3AF2" w:rsidRPr="00AA24D3">
        <w:rPr>
          <w:rFonts w:eastAsia="Times New Roman"/>
          <w:color w:val="0E101A"/>
        </w:rPr>
        <w:t>created by supplementing</w:t>
      </w:r>
      <w:r w:rsidR="002E11CA" w:rsidRPr="00AA24D3">
        <w:rPr>
          <w:rFonts w:eastAsia="Times New Roman"/>
          <w:color w:val="0E101A"/>
        </w:rPr>
        <w:t xml:space="preserve"> different nutrients like glucose, pyruvate, glutamine, and oleic or palmitic acid</w:t>
      </w:r>
      <w:r w:rsidR="00EE263D" w:rsidRPr="00AA24D3">
        <w:rPr>
          <w:rFonts w:eastAsia="Times New Roman"/>
          <w:color w:val="0E101A"/>
        </w:rPr>
        <w:t xml:space="preserve"> are</w:t>
      </w:r>
      <w:r w:rsidR="002E11CA" w:rsidRPr="00AA24D3">
        <w:rPr>
          <w:rFonts w:eastAsia="Times New Roman"/>
          <w:color w:val="0E101A"/>
        </w:rPr>
        <w:t xml:space="preserve"> often higher than </w:t>
      </w:r>
      <w:r w:rsidR="00D3502B" w:rsidRPr="00AA24D3">
        <w:rPr>
          <w:rFonts w:eastAsia="Times New Roman"/>
          <w:color w:val="0E101A"/>
        </w:rPr>
        <w:t xml:space="preserve">the normal </w:t>
      </w:r>
      <w:r w:rsidR="002E11CA" w:rsidRPr="00AA24D3">
        <w:rPr>
          <w:rFonts w:eastAsia="Times New Roman"/>
          <w:color w:val="0E101A"/>
        </w:rPr>
        <w:t>physiological levels</w:t>
      </w:r>
      <w:r w:rsidR="00D3502B" w:rsidRPr="00AA24D3">
        <w:rPr>
          <w:rFonts w:eastAsia="Times New Roman"/>
          <w:color w:val="0E101A"/>
        </w:rPr>
        <w:t xml:space="preserve"> of the osteoblasts</w:t>
      </w:r>
      <w:r w:rsidR="002E11CA" w:rsidRPr="00AA24D3">
        <w:rPr>
          <w:rFonts w:eastAsia="Times New Roman"/>
          <w:color w:val="0E101A"/>
        </w:rPr>
        <w:t xml:space="preserve">. </w:t>
      </w:r>
      <w:r w:rsidR="00BD3AF2" w:rsidRPr="00AA24D3">
        <w:rPr>
          <w:rFonts w:eastAsia="Times New Roman"/>
          <w:color w:val="0E101A"/>
        </w:rPr>
        <w:t xml:space="preserve">The addition of </w:t>
      </w:r>
      <w:r w:rsidR="002E11CA" w:rsidRPr="00AA24D3">
        <w:rPr>
          <w:rFonts w:eastAsia="Times New Roman"/>
          <w:color w:val="0E101A"/>
        </w:rPr>
        <w:t>fatty acid as one of the nutrients</w:t>
      </w:r>
      <w:r w:rsidR="00BD3AF2" w:rsidRPr="00AA24D3">
        <w:rPr>
          <w:rFonts w:eastAsia="Times New Roman"/>
          <w:color w:val="0E101A"/>
        </w:rPr>
        <w:t xml:space="preserve"> for the assay is limited</w:t>
      </w:r>
      <w:r w:rsidR="002E11CA" w:rsidRPr="00AA24D3">
        <w:rPr>
          <w:rFonts w:eastAsia="Times New Roman"/>
          <w:color w:val="0E101A"/>
        </w:rPr>
        <w:t>,</w:t>
      </w:r>
      <w:r w:rsidR="00BD3AF2" w:rsidRPr="00AA24D3">
        <w:rPr>
          <w:rFonts w:eastAsia="Times New Roman"/>
          <w:color w:val="0E101A"/>
        </w:rPr>
        <w:t xml:space="preserve"> as most of the higher carbon </w:t>
      </w:r>
      <w:r w:rsidR="00BD3AF2" w:rsidRPr="00AA24D3">
        <w:rPr>
          <w:rFonts w:eastAsia="Times New Roman"/>
          <w:color w:val="0E101A"/>
        </w:rPr>
        <w:lastRenderedPageBreak/>
        <w:t>chain length fatty acids present in our body are very hydrophobic and highly insoluble. This results in technical difficulties in adding them to the assay media. The metabolic response of cells to</w:t>
      </w:r>
      <w:r w:rsidR="002E11CA" w:rsidRPr="00AA24D3">
        <w:rPr>
          <w:rFonts w:eastAsia="Times New Roman"/>
          <w:color w:val="0E101A"/>
        </w:rPr>
        <w:t xml:space="preserve"> single fatty acid like oleic or palmitic acid is </w:t>
      </w:r>
      <w:r w:rsidR="00BD3AF2" w:rsidRPr="00AA24D3">
        <w:rPr>
          <w:rFonts w:eastAsia="Times New Roman"/>
          <w:color w:val="0E101A"/>
        </w:rPr>
        <w:t>different</w:t>
      </w:r>
      <w:r w:rsidR="002E11CA" w:rsidRPr="00AA24D3">
        <w:rPr>
          <w:rFonts w:eastAsia="Times New Roman"/>
          <w:color w:val="0E101A"/>
        </w:rPr>
        <w:t xml:space="preserve"> under </w:t>
      </w:r>
      <w:r w:rsidR="007C7E90" w:rsidRPr="00AA24D3">
        <w:rPr>
          <w:rFonts w:eastAsia="Times New Roman"/>
          <w:color w:val="0E101A"/>
        </w:rPr>
        <w:t xml:space="preserve">other </w:t>
      </w:r>
      <w:r w:rsidR="002E11CA" w:rsidRPr="00AA24D3">
        <w:rPr>
          <w:rFonts w:eastAsia="Times New Roman"/>
          <w:color w:val="0E101A"/>
        </w:rPr>
        <w:t>physiological condition</w:t>
      </w:r>
      <w:r w:rsidR="00D3502B" w:rsidRPr="00AA24D3">
        <w:rPr>
          <w:rFonts w:eastAsia="Times New Roman"/>
          <w:color w:val="0E101A"/>
        </w:rPr>
        <w:t>s</w:t>
      </w:r>
      <w:r w:rsidR="002E11CA" w:rsidRPr="00AA24D3">
        <w:rPr>
          <w:rFonts w:eastAsia="Times New Roman"/>
          <w:color w:val="0E101A"/>
        </w:rPr>
        <w:t xml:space="preserve">, </w:t>
      </w:r>
      <w:r w:rsidR="007C7E90" w:rsidRPr="00AA24D3">
        <w:rPr>
          <w:rFonts w:eastAsia="Times New Roman"/>
          <w:color w:val="0E101A"/>
        </w:rPr>
        <w:t xml:space="preserve">where </w:t>
      </w:r>
      <w:r w:rsidR="002E11CA" w:rsidRPr="00AA24D3">
        <w:rPr>
          <w:rFonts w:eastAsia="Times New Roman"/>
          <w:color w:val="0E101A"/>
        </w:rPr>
        <w:t xml:space="preserve">the cells experience a cocktail of </w:t>
      </w:r>
      <w:r w:rsidR="00D3502B" w:rsidRPr="00AA24D3">
        <w:rPr>
          <w:rFonts w:eastAsia="Times New Roman"/>
          <w:color w:val="0E101A"/>
        </w:rPr>
        <w:t xml:space="preserve">various </w:t>
      </w:r>
      <w:r w:rsidR="002E11CA" w:rsidRPr="00AA24D3">
        <w:rPr>
          <w:rFonts w:eastAsia="Times New Roman"/>
          <w:color w:val="0E101A"/>
        </w:rPr>
        <w:t>fatty acids</w:t>
      </w:r>
      <w:r w:rsidR="00EE263D" w:rsidRPr="00AA24D3">
        <w:rPr>
          <w:rFonts w:eastAsia="Times New Roman"/>
          <w:color w:val="0E101A"/>
        </w:rPr>
        <w:t xml:space="preserve"> and binding proteins.</w:t>
      </w:r>
      <w:r w:rsidR="00EE444C" w:rsidRPr="00AA24D3">
        <w:rPr>
          <w:rFonts w:eastAsia="Times New Roman"/>
          <w:color w:val="0E101A"/>
        </w:rPr>
        <w:t xml:space="preserve"> </w:t>
      </w:r>
      <w:r w:rsidR="006F472A" w:rsidRPr="00AA24D3">
        <w:rPr>
          <w:rFonts w:eastAsia="Times New Roman"/>
          <w:color w:val="0E101A"/>
        </w:rPr>
        <w:t xml:space="preserve">Finally, the measurement of ATP using this method, while arguably superior to static luminescent assays, remains indirect as this technique only measures oxygen. </w:t>
      </w:r>
      <w:r w:rsidR="00252B25" w:rsidRPr="00AA24D3">
        <w:rPr>
          <w:rFonts w:eastAsia="Times New Roman"/>
          <w:color w:val="0E101A"/>
        </w:rPr>
        <w:t>While it is not a direct measurement, i</w:t>
      </w:r>
      <w:r w:rsidR="00A1297B" w:rsidRPr="00AA24D3">
        <w:rPr>
          <w:rFonts w:eastAsia="Times New Roman"/>
          <w:color w:val="0E101A"/>
        </w:rPr>
        <w:t>t is</w:t>
      </w:r>
      <w:r w:rsidR="006F472A" w:rsidRPr="00AA24D3">
        <w:rPr>
          <w:rFonts w:eastAsia="Times New Roman"/>
          <w:color w:val="0E101A"/>
        </w:rPr>
        <w:t xml:space="preserve"> true that the addition of the ATP synthase inhibitor, </w:t>
      </w:r>
      <w:r w:rsidR="00576D89">
        <w:rPr>
          <w:rFonts w:eastAsia="Times New Roman"/>
          <w:color w:val="0E101A"/>
        </w:rPr>
        <w:t>o</w:t>
      </w:r>
      <w:r w:rsidR="006F472A" w:rsidRPr="00AA24D3">
        <w:rPr>
          <w:rFonts w:eastAsia="Times New Roman"/>
          <w:color w:val="0E101A"/>
        </w:rPr>
        <w:t>ligomycin</w:t>
      </w:r>
      <w:r w:rsidR="00FE1BEC">
        <w:rPr>
          <w:rFonts w:eastAsia="Times New Roman"/>
          <w:color w:val="0E101A"/>
        </w:rPr>
        <w:t xml:space="preserve"> A</w:t>
      </w:r>
      <w:r w:rsidR="006F472A" w:rsidRPr="00AA24D3">
        <w:rPr>
          <w:rFonts w:eastAsia="Times New Roman"/>
          <w:color w:val="0E101A"/>
        </w:rPr>
        <w:t xml:space="preserve">, followed by electron transport chain inhibitors while measuring OCR provides strong </w:t>
      </w:r>
      <w:r w:rsidR="00A1297B" w:rsidRPr="00AA24D3">
        <w:rPr>
          <w:rFonts w:eastAsia="Times New Roman"/>
          <w:color w:val="0E101A"/>
        </w:rPr>
        <w:t>evidence of changes occurring in ATP. Therefore, techniques like mass spectroscopy can be used to support these data.</w:t>
      </w:r>
      <w:r w:rsidR="006F472A" w:rsidRPr="00AA24D3">
        <w:rPr>
          <w:rFonts w:eastAsia="Times New Roman"/>
          <w:color w:val="0E101A"/>
        </w:rPr>
        <w:t xml:space="preserve"> </w:t>
      </w:r>
      <w:r w:rsidR="00EE444C" w:rsidRPr="00AA24D3">
        <w:rPr>
          <w:rFonts w:eastAsia="Times New Roman"/>
          <w:color w:val="0E101A"/>
        </w:rPr>
        <w:t xml:space="preserve">Nonetheless, while these limitations should be carefully considered, this tool </w:t>
      </w:r>
      <w:r w:rsidR="001562A8" w:rsidRPr="00AA24D3">
        <w:rPr>
          <w:rFonts w:eastAsia="Times New Roman"/>
          <w:color w:val="0E101A"/>
        </w:rPr>
        <w:t>provides</w:t>
      </w:r>
      <w:r w:rsidR="00EE444C" w:rsidRPr="00AA24D3">
        <w:rPr>
          <w:rFonts w:eastAsia="Times New Roman"/>
          <w:color w:val="0E101A"/>
        </w:rPr>
        <w:t xml:space="preserve"> invaluable information relative to cellular bioenergetics.</w:t>
      </w:r>
    </w:p>
    <w:p w14:paraId="3CA0088C" w14:textId="77777777" w:rsidR="00052889" w:rsidRDefault="00052889" w:rsidP="00972F6D">
      <w:pPr>
        <w:widowControl/>
        <w:rPr>
          <w:rFonts w:eastAsia="Times New Roman"/>
          <w:color w:val="0E101A"/>
        </w:rPr>
      </w:pPr>
    </w:p>
    <w:p w14:paraId="4547B229" w14:textId="0385B63E" w:rsidR="002E11CA" w:rsidRDefault="001562A8" w:rsidP="00972F6D">
      <w:pPr>
        <w:widowControl/>
        <w:rPr>
          <w:rFonts w:eastAsia="Times New Roman"/>
          <w:color w:val="0E101A"/>
        </w:rPr>
      </w:pPr>
      <w:r w:rsidRPr="00AA24D3">
        <w:rPr>
          <w:rFonts w:eastAsia="Times New Roman"/>
          <w:color w:val="0E101A"/>
        </w:rPr>
        <w:t>Finally, it is noted that</w:t>
      </w:r>
      <w:r w:rsidR="002E11CA" w:rsidRPr="00AA24D3">
        <w:rPr>
          <w:rFonts w:eastAsia="Times New Roman"/>
          <w:color w:val="0E101A"/>
        </w:rPr>
        <w:t xml:space="preserve"> to understand </w:t>
      </w:r>
      <w:r w:rsidRPr="00AA24D3">
        <w:rPr>
          <w:rFonts w:eastAsia="Times New Roman"/>
          <w:color w:val="0E101A"/>
        </w:rPr>
        <w:t xml:space="preserve">how </w:t>
      </w:r>
      <w:r w:rsidR="001C3A76">
        <w:rPr>
          <w:rFonts w:eastAsia="Times New Roman"/>
          <w:color w:val="0E101A"/>
        </w:rPr>
        <w:t xml:space="preserve">the </w:t>
      </w:r>
      <w:r w:rsidRPr="00AA24D3">
        <w:rPr>
          <w:rFonts w:eastAsia="Times New Roman"/>
          <w:color w:val="0E101A"/>
        </w:rPr>
        <w:t xml:space="preserve">said alterations in bioenergetics impact cellular </w:t>
      </w:r>
      <w:r w:rsidR="002E11CA" w:rsidRPr="00AA24D3">
        <w:rPr>
          <w:rFonts w:eastAsia="Times New Roman"/>
          <w:color w:val="0E101A"/>
        </w:rPr>
        <w:t>functionality</w:t>
      </w:r>
      <w:r w:rsidRPr="00AA24D3">
        <w:rPr>
          <w:rFonts w:eastAsia="Times New Roman"/>
          <w:color w:val="0E101A"/>
        </w:rPr>
        <w:t>, specifically of the BMSCs and osteoblasts</w:t>
      </w:r>
      <w:r w:rsidR="002E11CA" w:rsidRPr="00AA24D3">
        <w:rPr>
          <w:rFonts w:eastAsia="Times New Roman"/>
          <w:color w:val="0E101A"/>
        </w:rPr>
        <w:t xml:space="preserve">, complementary experiments </w:t>
      </w:r>
      <w:r w:rsidRPr="00AA24D3">
        <w:rPr>
          <w:rFonts w:eastAsia="Times New Roman"/>
          <w:color w:val="0E101A"/>
        </w:rPr>
        <w:t xml:space="preserve">are needed to </w:t>
      </w:r>
      <w:r w:rsidR="00052889">
        <w:rPr>
          <w:rFonts w:eastAsia="Times New Roman"/>
          <w:color w:val="0E101A"/>
        </w:rPr>
        <w:t xml:space="preserve">be </w:t>
      </w:r>
      <w:r w:rsidRPr="00AA24D3">
        <w:rPr>
          <w:rFonts w:eastAsia="Times New Roman"/>
          <w:color w:val="0E101A"/>
        </w:rPr>
        <w:t>include</w:t>
      </w:r>
      <w:r w:rsidR="00052889">
        <w:rPr>
          <w:rFonts w:eastAsia="Times New Roman"/>
          <w:color w:val="0E101A"/>
        </w:rPr>
        <w:t xml:space="preserve">d </w:t>
      </w:r>
      <w:r w:rsidRPr="00111B61">
        <w:rPr>
          <w:rFonts w:eastAsia="Times New Roman"/>
          <w:i/>
          <w:iCs/>
          <w:color w:val="0E101A"/>
        </w:rPr>
        <w:t>in vitro</w:t>
      </w:r>
      <w:r w:rsidRPr="00AA24D3">
        <w:rPr>
          <w:rFonts w:eastAsia="Times New Roman"/>
          <w:color w:val="0E101A"/>
        </w:rPr>
        <w:t xml:space="preserve"> culturing followed by </w:t>
      </w:r>
      <w:r w:rsidR="002E11CA" w:rsidRPr="00AA24D3">
        <w:rPr>
          <w:rFonts w:eastAsia="Times New Roman"/>
          <w:color w:val="0E101A"/>
        </w:rPr>
        <w:t xml:space="preserve">alkaline phosphatase (ALIP), Von </w:t>
      </w:r>
      <w:proofErr w:type="spellStart"/>
      <w:r w:rsidR="002E11CA" w:rsidRPr="00AA24D3">
        <w:rPr>
          <w:rFonts w:eastAsia="Times New Roman"/>
          <w:color w:val="0E101A"/>
        </w:rPr>
        <w:t>Kossa</w:t>
      </w:r>
      <w:proofErr w:type="spellEnd"/>
      <w:r w:rsidR="002E11CA" w:rsidRPr="00AA24D3">
        <w:rPr>
          <w:rFonts w:eastAsia="Times New Roman"/>
          <w:color w:val="0E101A"/>
        </w:rPr>
        <w:t xml:space="preserve">, or Alizarin </w:t>
      </w:r>
      <w:r w:rsidRPr="00AA24D3">
        <w:rPr>
          <w:rFonts w:eastAsia="Times New Roman"/>
          <w:color w:val="0E101A"/>
        </w:rPr>
        <w:t>staining</w:t>
      </w:r>
      <w:r w:rsidR="002E11CA" w:rsidRPr="00AA24D3">
        <w:rPr>
          <w:rFonts w:eastAsia="Times New Roman"/>
          <w:color w:val="0E101A"/>
        </w:rPr>
        <w:t>.</w:t>
      </w:r>
    </w:p>
    <w:p w14:paraId="61A496F9" w14:textId="77777777" w:rsidR="00052889" w:rsidRPr="00AA24D3" w:rsidRDefault="00052889" w:rsidP="00972F6D">
      <w:pPr>
        <w:widowControl/>
        <w:rPr>
          <w:rFonts w:eastAsia="Times New Roman"/>
          <w:color w:val="0E101A"/>
        </w:rPr>
      </w:pPr>
    </w:p>
    <w:p w14:paraId="71523C42" w14:textId="3BAD1BB3" w:rsidR="00921000" w:rsidRPr="00AA24D3" w:rsidRDefault="00921000" w:rsidP="00972F6D">
      <w:pPr>
        <w:widowControl/>
        <w:rPr>
          <w:rFonts w:eastAsia="Times New Roman"/>
          <w:color w:val="0E101A"/>
        </w:rPr>
      </w:pPr>
      <w:r w:rsidRPr="00AA24D3">
        <w:rPr>
          <w:rFonts w:eastAsia="Times New Roman"/>
          <w:color w:val="0E101A"/>
        </w:rPr>
        <w:t xml:space="preserve">In conclusion, </w:t>
      </w:r>
      <w:r w:rsidR="001227FF" w:rsidRPr="00AA24D3">
        <w:rPr>
          <w:rFonts w:eastAsia="Times New Roman"/>
          <w:color w:val="0E101A"/>
        </w:rPr>
        <w:t xml:space="preserve">the </w:t>
      </w:r>
      <w:r w:rsidRPr="00AA24D3">
        <w:rPr>
          <w:rFonts w:eastAsia="Times New Roman"/>
          <w:color w:val="0E101A"/>
        </w:rPr>
        <w:t xml:space="preserve">methods described above provide the basis for monitoring various metabolic pathways in osteoblasts using the </w:t>
      </w:r>
      <w:r w:rsidR="003B0FA4">
        <w:t>r</w:t>
      </w:r>
      <w:r w:rsidR="00F634CD">
        <w:t>eal-</w:t>
      </w:r>
      <w:r w:rsidR="003B0FA4">
        <w:t>t</w:t>
      </w:r>
      <w:r w:rsidR="00F634CD">
        <w:t xml:space="preserve">ime </w:t>
      </w:r>
      <w:r w:rsidR="003B0FA4">
        <w:t>c</w:t>
      </w:r>
      <w:r w:rsidR="00F634CD">
        <w:t xml:space="preserve">ell </w:t>
      </w:r>
      <w:r w:rsidR="003B0FA4">
        <w:t>m</w:t>
      </w:r>
      <w:r w:rsidR="00F634CD">
        <w:t xml:space="preserve">etabolic </w:t>
      </w:r>
      <w:r w:rsidR="003B0FA4">
        <w:t>f</w:t>
      </w:r>
      <w:r w:rsidR="00F634CD">
        <w:t>lux analyzer</w:t>
      </w:r>
      <w:r w:rsidRPr="00AA24D3">
        <w:rPr>
          <w:rFonts w:eastAsia="Times New Roman"/>
          <w:color w:val="0E101A"/>
        </w:rPr>
        <w:t xml:space="preserve">. </w:t>
      </w:r>
      <w:r w:rsidR="00252B25" w:rsidRPr="00AA24D3">
        <w:rPr>
          <w:rFonts w:eastAsia="Times New Roman"/>
          <w:color w:val="0E101A"/>
        </w:rPr>
        <w:t>P</w:t>
      </w:r>
      <w:r w:rsidR="001227FF" w:rsidRPr="00AA24D3">
        <w:rPr>
          <w:rFonts w:eastAsia="Times New Roman"/>
          <w:color w:val="0E101A"/>
        </w:rPr>
        <w:t>erforming such experiments will lead to a deeper understanding of how cellular bioenergetics in primary, murine BMSCs throughout osteoblast differentiation can be modulated to improve skeletal</w:t>
      </w:r>
      <w:r w:rsidR="00252B25" w:rsidRPr="00AA24D3">
        <w:rPr>
          <w:rFonts w:eastAsia="Times New Roman"/>
          <w:color w:val="0E101A"/>
        </w:rPr>
        <w:t>-</w:t>
      </w:r>
      <w:r w:rsidR="001227FF" w:rsidRPr="00AA24D3">
        <w:rPr>
          <w:rFonts w:eastAsia="Times New Roman"/>
          <w:color w:val="0E101A"/>
        </w:rPr>
        <w:t>related outcomes.</w:t>
      </w:r>
    </w:p>
    <w:p w14:paraId="0BEA5F91" w14:textId="77777777" w:rsidR="008A2EA1" w:rsidRPr="00AA24D3" w:rsidRDefault="008A2EA1" w:rsidP="00AA24D3">
      <w:pPr>
        <w:pBdr>
          <w:top w:val="nil"/>
          <w:left w:val="nil"/>
          <w:bottom w:val="nil"/>
          <w:right w:val="nil"/>
          <w:between w:val="nil"/>
        </w:pBdr>
        <w:jc w:val="left"/>
        <w:rPr>
          <w:b/>
          <w:color w:val="000000"/>
        </w:rPr>
      </w:pPr>
    </w:p>
    <w:p w14:paraId="59F37CC4" w14:textId="7B0C7E30" w:rsidR="006E4797" w:rsidRPr="00AA24D3" w:rsidRDefault="00551D82" w:rsidP="00AA24D3">
      <w:pPr>
        <w:pBdr>
          <w:top w:val="nil"/>
          <w:left w:val="nil"/>
          <w:bottom w:val="nil"/>
          <w:right w:val="nil"/>
          <w:between w:val="nil"/>
        </w:pBdr>
        <w:jc w:val="left"/>
        <w:rPr>
          <w:color w:val="808080"/>
        </w:rPr>
      </w:pPr>
      <w:r w:rsidRPr="00AA24D3">
        <w:rPr>
          <w:b/>
          <w:color w:val="000000"/>
        </w:rPr>
        <w:t>ACKNOWLEDGMENTS:</w:t>
      </w:r>
    </w:p>
    <w:p w14:paraId="25B2FBBD" w14:textId="77CAE501" w:rsidR="006E4797" w:rsidRPr="00AA24D3" w:rsidRDefault="009720BC" w:rsidP="00AA24D3">
      <w:pPr>
        <w:jc w:val="left"/>
      </w:pPr>
      <w:r w:rsidRPr="00AA24D3">
        <w:t xml:space="preserve">This work was supported by </w:t>
      </w:r>
      <w:r w:rsidR="002E11CA" w:rsidRPr="00AA24D3">
        <w:t xml:space="preserve">the </w:t>
      </w:r>
      <w:r w:rsidRPr="00AA24D3">
        <w:t>National Institute of Health (NIH) National Institute of Arthritis and Musculoskeletal and Skin Diseases (NIAMS) Grant AR072123 and National Institute on Aging</w:t>
      </w:r>
      <w:r w:rsidR="00625808" w:rsidRPr="00AA24D3">
        <w:t xml:space="preserve"> (NIA)</w:t>
      </w:r>
      <w:r w:rsidRPr="00AA24D3">
        <w:t xml:space="preserve"> Grant AG069795 (to ERR)</w:t>
      </w:r>
      <w:r w:rsidR="001C3A76">
        <w:t>.</w:t>
      </w:r>
    </w:p>
    <w:p w14:paraId="2441A269" w14:textId="77777777" w:rsidR="009720BC" w:rsidRPr="00AA24D3" w:rsidRDefault="009720BC" w:rsidP="00AA24D3">
      <w:pPr>
        <w:jc w:val="left"/>
        <w:rPr>
          <w:b/>
        </w:rPr>
      </w:pPr>
    </w:p>
    <w:p w14:paraId="5E703EBA" w14:textId="2951E150" w:rsidR="006E4797" w:rsidRPr="00AA24D3" w:rsidRDefault="00551D82" w:rsidP="00AA24D3">
      <w:pPr>
        <w:pBdr>
          <w:top w:val="nil"/>
          <w:left w:val="nil"/>
          <w:bottom w:val="nil"/>
          <w:right w:val="nil"/>
          <w:between w:val="nil"/>
        </w:pBdr>
        <w:jc w:val="left"/>
        <w:rPr>
          <w:color w:val="808080"/>
        </w:rPr>
      </w:pPr>
      <w:r w:rsidRPr="00AA24D3">
        <w:rPr>
          <w:b/>
          <w:color w:val="000000"/>
        </w:rPr>
        <w:t>DISCLOSURES:</w:t>
      </w:r>
    </w:p>
    <w:p w14:paraId="03BA9DCF" w14:textId="77777777" w:rsidR="009720BC" w:rsidRPr="00AA24D3" w:rsidRDefault="009720BC" w:rsidP="00AA24D3">
      <w:pPr>
        <w:jc w:val="left"/>
        <w:rPr>
          <w:color w:val="000000"/>
        </w:rPr>
      </w:pPr>
      <w:r w:rsidRPr="00AA24D3">
        <w:rPr>
          <w:color w:val="000000"/>
        </w:rPr>
        <w:t>The authors have nothing to disclose.</w:t>
      </w:r>
    </w:p>
    <w:p w14:paraId="4A7B0E5C" w14:textId="77777777" w:rsidR="006E4797" w:rsidRPr="00AA24D3" w:rsidRDefault="006E4797" w:rsidP="00AA24D3">
      <w:pPr>
        <w:jc w:val="left"/>
        <w:rPr>
          <w:color w:val="000000"/>
        </w:rPr>
      </w:pPr>
    </w:p>
    <w:p w14:paraId="22CFC2A8" w14:textId="1C00B8CC" w:rsidR="00E65807" w:rsidRPr="00AA24D3" w:rsidRDefault="00551D82" w:rsidP="00111B61">
      <w:pPr>
        <w:autoSpaceDE w:val="0"/>
        <w:autoSpaceDN w:val="0"/>
        <w:adjustRightInd w:val="0"/>
        <w:rPr>
          <w:b/>
        </w:rPr>
      </w:pPr>
      <w:r w:rsidRPr="00AA24D3">
        <w:rPr>
          <w:b/>
        </w:rPr>
        <w:t>REFER</w:t>
      </w:r>
      <w:r w:rsidR="00E65807" w:rsidRPr="00AA24D3">
        <w:rPr>
          <w:b/>
        </w:rPr>
        <w:t>ENCES:</w:t>
      </w:r>
    </w:p>
    <w:p w14:paraId="79FDBD65" w14:textId="453D86DD" w:rsidR="00A613B2" w:rsidRPr="00A613B2" w:rsidRDefault="00294C4A" w:rsidP="00A613B2">
      <w:pPr>
        <w:autoSpaceDE w:val="0"/>
        <w:autoSpaceDN w:val="0"/>
        <w:adjustRightInd w:val="0"/>
        <w:ind w:left="640" w:hanging="640"/>
        <w:rPr>
          <w:noProof/>
        </w:rPr>
      </w:pPr>
      <w:r w:rsidRPr="00AA24D3">
        <w:rPr>
          <w:b/>
        </w:rPr>
        <w:fldChar w:fldCharType="begin" w:fldLock="1"/>
      </w:r>
      <w:r w:rsidRPr="00AA24D3">
        <w:rPr>
          <w:b/>
        </w:rPr>
        <w:instrText xml:space="preserve">ADDIN Mendeley Bibliography CSL_BIBLIOGRAPHY </w:instrText>
      </w:r>
      <w:r w:rsidRPr="00AA24D3">
        <w:rPr>
          <w:b/>
        </w:rPr>
        <w:fldChar w:fldCharType="separate"/>
      </w:r>
      <w:r w:rsidR="00A613B2" w:rsidRPr="00A613B2">
        <w:rPr>
          <w:noProof/>
        </w:rPr>
        <w:t>1.</w:t>
      </w:r>
      <w:r w:rsidR="00A613B2" w:rsidRPr="00A613B2">
        <w:rPr>
          <w:noProof/>
        </w:rPr>
        <w:tab/>
        <w:t>Rodan, G.</w:t>
      </w:r>
      <w:r w:rsidR="001C3A76">
        <w:rPr>
          <w:noProof/>
        </w:rPr>
        <w:t xml:space="preserve"> </w:t>
      </w:r>
      <w:r w:rsidR="00A613B2" w:rsidRPr="00A613B2">
        <w:rPr>
          <w:noProof/>
        </w:rPr>
        <w:t xml:space="preserve">A. Bone homeostasis. </w:t>
      </w:r>
      <w:r w:rsidR="00A613B2" w:rsidRPr="00A613B2">
        <w:rPr>
          <w:i/>
          <w:iCs/>
          <w:noProof/>
        </w:rPr>
        <w:t>Proceedings of the National Academy of Sciences</w:t>
      </w:r>
      <w:r w:rsidR="00AF1837">
        <w:rPr>
          <w:i/>
          <w:iCs/>
          <w:noProof/>
        </w:rPr>
        <w:t xml:space="preserve"> of the United States of America</w:t>
      </w:r>
      <w:r w:rsidR="00A613B2" w:rsidRPr="00A613B2">
        <w:rPr>
          <w:noProof/>
        </w:rPr>
        <w:t xml:space="preserve">. </w:t>
      </w:r>
      <w:r w:rsidR="00A613B2" w:rsidRPr="00A613B2">
        <w:rPr>
          <w:b/>
          <w:bCs/>
          <w:noProof/>
        </w:rPr>
        <w:t>95</w:t>
      </w:r>
      <w:r w:rsidR="00A613B2" w:rsidRPr="00A613B2">
        <w:rPr>
          <w:noProof/>
        </w:rPr>
        <w:t xml:space="preserve"> (23), 13361–13362 (1998).</w:t>
      </w:r>
    </w:p>
    <w:p w14:paraId="1657BD36" w14:textId="646BAD17" w:rsidR="00A613B2" w:rsidRPr="00A613B2" w:rsidRDefault="00A613B2" w:rsidP="00A613B2">
      <w:pPr>
        <w:autoSpaceDE w:val="0"/>
        <w:autoSpaceDN w:val="0"/>
        <w:adjustRightInd w:val="0"/>
        <w:ind w:left="640" w:hanging="640"/>
        <w:rPr>
          <w:noProof/>
        </w:rPr>
      </w:pPr>
      <w:r w:rsidRPr="00A613B2">
        <w:rPr>
          <w:noProof/>
        </w:rPr>
        <w:t>2.</w:t>
      </w:r>
      <w:r w:rsidRPr="00A613B2">
        <w:rPr>
          <w:noProof/>
        </w:rPr>
        <w:tab/>
        <w:t>Nakahama, K.</w:t>
      </w:r>
      <w:r w:rsidR="00AF1837">
        <w:rPr>
          <w:noProof/>
        </w:rPr>
        <w:t xml:space="preserve"> </w:t>
      </w:r>
      <w:r w:rsidRPr="00A613B2">
        <w:rPr>
          <w:noProof/>
        </w:rPr>
        <w:t xml:space="preserve">I. Cellular communications in bone homeostasis and repair. </w:t>
      </w:r>
      <w:r w:rsidRPr="00A613B2">
        <w:rPr>
          <w:i/>
          <w:iCs/>
          <w:noProof/>
        </w:rPr>
        <w:t>Cellular and Molecular Life Sciences</w:t>
      </w:r>
      <w:r w:rsidRPr="00A613B2">
        <w:rPr>
          <w:noProof/>
        </w:rPr>
        <w:t xml:space="preserve">. </w:t>
      </w:r>
      <w:r w:rsidRPr="00A613B2">
        <w:rPr>
          <w:b/>
          <w:bCs/>
          <w:noProof/>
        </w:rPr>
        <w:t>67</w:t>
      </w:r>
      <w:r w:rsidRPr="00A613B2">
        <w:rPr>
          <w:noProof/>
        </w:rPr>
        <w:t xml:space="preserve"> (23), 4001–4009 (2010).</w:t>
      </w:r>
    </w:p>
    <w:p w14:paraId="3F027B49" w14:textId="767A0FBB" w:rsidR="00A613B2" w:rsidRPr="00A613B2" w:rsidRDefault="00A613B2" w:rsidP="00A613B2">
      <w:pPr>
        <w:autoSpaceDE w:val="0"/>
        <w:autoSpaceDN w:val="0"/>
        <w:adjustRightInd w:val="0"/>
        <w:ind w:left="640" w:hanging="640"/>
        <w:rPr>
          <w:noProof/>
        </w:rPr>
      </w:pPr>
      <w:r w:rsidRPr="00A613B2">
        <w:rPr>
          <w:noProof/>
        </w:rPr>
        <w:t>3.</w:t>
      </w:r>
      <w:r w:rsidRPr="00A613B2">
        <w:rPr>
          <w:noProof/>
        </w:rPr>
        <w:tab/>
        <w:t>Kim, J.</w:t>
      </w:r>
      <w:r w:rsidR="00AF1837">
        <w:rPr>
          <w:noProof/>
        </w:rPr>
        <w:t xml:space="preserve"> </w:t>
      </w:r>
      <w:r w:rsidRPr="00A613B2">
        <w:rPr>
          <w:noProof/>
        </w:rPr>
        <w:t>M., Lin, C., Stavre, Z., Greenblatt, M.</w:t>
      </w:r>
      <w:r w:rsidR="00AF1837">
        <w:rPr>
          <w:noProof/>
        </w:rPr>
        <w:t xml:space="preserve"> </w:t>
      </w:r>
      <w:r w:rsidRPr="00A613B2">
        <w:rPr>
          <w:noProof/>
        </w:rPr>
        <w:t>B., Shim, J.</w:t>
      </w:r>
      <w:r w:rsidR="00AF1837">
        <w:rPr>
          <w:noProof/>
        </w:rPr>
        <w:t xml:space="preserve"> </w:t>
      </w:r>
      <w:r w:rsidRPr="00A613B2">
        <w:rPr>
          <w:noProof/>
        </w:rPr>
        <w:t>H. Osteoblast-</w:t>
      </w:r>
      <w:r w:rsidR="00AF1837">
        <w:rPr>
          <w:noProof/>
        </w:rPr>
        <w:t>o</w:t>
      </w:r>
      <w:r w:rsidR="00AF1837" w:rsidRPr="00A613B2">
        <w:rPr>
          <w:noProof/>
        </w:rPr>
        <w:t xml:space="preserve">steoclast </w:t>
      </w:r>
      <w:r w:rsidR="00AF1837">
        <w:rPr>
          <w:noProof/>
        </w:rPr>
        <w:t>c</w:t>
      </w:r>
      <w:r w:rsidR="00AF1837" w:rsidRPr="00A613B2">
        <w:rPr>
          <w:noProof/>
        </w:rPr>
        <w:t xml:space="preserve">ommunication </w:t>
      </w:r>
      <w:r w:rsidRPr="00A613B2">
        <w:rPr>
          <w:noProof/>
        </w:rPr>
        <w:t xml:space="preserve">and </w:t>
      </w:r>
      <w:r w:rsidR="00AF1837">
        <w:rPr>
          <w:noProof/>
        </w:rPr>
        <w:t>b</w:t>
      </w:r>
      <w:r w:rsidR="00AF1837" w:rsidRPr="00A613B2">
        <w:rPr>
          <w:noProof/>
        </w:rPr>
        <w:t xml:space="preserve">one </w:t>
      </w:r>
      <w:r w:rsidR="00AF1837">
        <w:rPr>
          <w:noProof/>
        </w:rPr>
        <w:t>h</w:t>
      </w:r>
      <w:r w:rsidR="00AF1837" w:rsidRPr="00A613B2">
        <w:rPr>
          <w:noProof/>
        </w:rPr>
        <w:t>omeostasis</w:t>
      </w:r>
      <w:r w:rsidRPr="00A613B2">
        <w:rPr>
          <w:noProof/>
        </w:rPr>
        <w:t xml:space="preserve">. </w:t>
      </w:r>
      <w:r w:rsidRPr="00A613B2">
        <w:rPr>
          <w:i/>
          <w:iCs/>
          <w:noProof/>
        </w:rPr>
        <w:t>Cells</w:t>
      </w:r>
      <w:r w:rsidRPr="00A613B2">
        <w:rPr>
          <w:noProof/>
        </w:rPr>
        <w:t xml:space="preserve">. </w:t>
      </w:r>
      <w:r w:rsidRPr="00A613B2">
        <w:rPr>
          <w:b/>
          <w:bCs/>
          <w:noProof/>
        </w:rPr>
        <w:t>9</w:t>
      </w:r>
      <w:r w:rsidRPr="00A613B2">
        <w:rPr>
          <w:noProof/>
        </w:rPr>
        <w:t xml:space="preserve"> (9), </w:t>
      </w:r>
      <w:r w:rsidR="00661683">
        <w:rPr>
          <w:noProof/>
        </w:rPr>
        <w:t>2073</w:t>
      </w:r>
      <w:r w:rsidRPr="00A613B2">
        <w:rPr>
          <w:noProof/>
        </w:rPr>
        <w:t xml:space="preserve"> (2020).</w:t>
      </w:r>
    </w:p>
    <w:p w14:paraId="5D4081F9" w14:textId="43BA7FE1" w:rsidR="00A613B2" w:rsidRPr="00A613B2" w:rsidRDefault="00A613B2" w:rsidP="00A613B2">
      <w:pPr>
        <w:autoSpaceDE w:val="0"/>
        <w:autoSpaceDN w:val="0"/>
        <w:adjustRightInd w:val="0"/>
        <w:ind w:left="640" w:hanging="640"/>
        <w:rPr>
          <w:noProof/>
        </w:rPr>
      </w:pPr>
      <w:r w:rsidRPr="00A613B2">
        <w:rPr>
          <w:noProof/>
        </w:rPr>
        <w:t>4.</w:t>
      </w:r>
      <w:r w:rsidRPr="00A613B2">
        <w:rPr>
          <w:noProof/>
        </w:rPr>
        <w:tab/>
        <w:t xml:space="preserve">Gao, J. </w:t>
      </w:r>
      <w:r w:rsidRPr="007E602D">
        <w:rPr>
          <w:noProof/>
        </w:rPr>
        <w:t>et al.</w:t>
      </w:r>
      <w:r w:rsidRPr="00AF1837">
        <w:rPr>
          <w:noProof/>
        </w:rPr>
        <w:t xml:space="preserve"> </w:t>
      </w:r>
      <w:r w:rsidRPr="00A613B2">
        <w:rPr>
          <w:noProof/>
        </w:rPr>
        <w:t xml:space="preserve">SIRT3/SOD2 maintains osteoblast differentiation and bone formation by regulating mitochondrial stress. </w:t>
      </w:r>
      <w:r w:rsidRPr="00A613B2">
        <w:rPr>
          <w:i/>
          <w:iCs/>
          <w:noProof/>
        </w:rPr>
        <w:t>Cell Death and Differentiation</w:t>
      </w:r>
      <w:r w:rsidRPr="00A613B2">
        <w:rPr>
          <w:noProof/>
        </w:rPr>
        <w:t xml:space="preserve">. </w:t>
      </w:r>
      <w:r w:rsidRPr="00A613B2">
        <w:rPr>
          <w:b/>
          <w:bCs/>
          <w:noProof/>
        </w:rPr>
        <w:t>25</w:t>
      </w:r>
      <w:r w:rsidRPr="00A613B2">
        <w:rPr>
          <w:noProof/>
        </w:rPr>
        <w:t xml:space="preserve"> (2), 229–240 (2018).</w:t>
      </w:r>
    </w:p>
    <w:p w14:paraId="0EC72139" w14:textId="64C8B9D2" w:rsidR="00A613B2" w:rsidRPr="00A613B2" w:rsidRDefault="00A613B2" w:rsidP="00A613B2">
      <w:pPr>
        <w:autoSpaceDE w:val="0"/>
        <w:autoSpaceDN w:val="0"/>
        <w:adjustRightInd w:val="0"/>
        <w:ind w:left="640" w:hanging="640"/>
        <w:rPr>
          <w:noProof/>
        </w:rPr>
      </w:pPr>
      <w:r w:rsidRPr="00A613B2">
        <w:rPr>
          <w:noProof/>
        </w:rPr>
        <w:t>5.</w:t>
      </w:r>
      <w:r w:rsidRPr="00A613B2">
        <w:rPr>
          <w:noProof/>
        </w:rPr>
        <w:tab/>
        <w:t xml:space="preserve">Baron, R. Molecular mechanisms of bone resorption by the osteoclast. </w:t>
      </w:r>
      <w:r w:rsidRPr="00A613B2">
        <w:rPr>
          <w:i/>
          <w:iCs/>
          <w:noProof/>
        </w:rPr>
        <w:t>The Anatomical Record</w:t>
      </w:r>
      <w:r w:rsidRPr="00A613B2">
        <w:rPr>
          <w:noProof/>
        </w:rPr>
        <w:t xml:space="preserve">. </w:t>
      </w:r>
      <w:r w:rsidRPr="00A613B2">
        <w:rPr>
          <w:b/>
          <w:bCs/>
          <w:noProof/>
        </w:rPr>
        <w:t>224</w:t>
      </w:r>
      <w:r w:rsidRPr="00A613B2">
        <w:rPr>
          <w:noProof/>
        </w:rPr>
        <w:t xml:space="preserve"> (2), 317–324 (1989).</w:t>
      </w:r>
    </w:p>
    <w:p w14:paraId="0852538A" w14:textId="6A688D6C" w:rsidR="00A613B2" w:rsidRPr="00A613B2" w:rsidRDefault="00A613B2" w:rsidP="00A613B2">
      <w:pPr>
        <w:autoSpaceDE w:val="0"/>
        <w:autoSpaceDN w:val="0"/>
        <w:adjustRightInd w:val="0"/>
        <w:ind w:left="640" w:hanging="640"/>
        <w:rPr>
          <w:noProof/>
        </w:rPr>
      </w:pPr>
      <w:r w:rsidRPr="00A613B2">
        <w:rPr>
          <w:noProof/>
        </w:rPr>
        <w:t>6.</w:t>
      </w:r>
      <w:r w:rsidRPr="00A613B2">
        <w:rPr>
          <w:noProof/>
        </w:rPr>
        <w:tab/>
        <w:t>Tian, L., Rosen, C.</w:t>
      </w:r>
      <w:r w:rsidR="00AF1837">
        <w:rPr>
          <w:noProof/>
        </w:rPr>
        <w:t xml:space="preserve"> </w:t>
      </w:r>
      <w:r w:rsidRPr="00A613B2">
        <w:rPr>
          <w:noProof/>
        </w:rPr>
        <w:t>J., Guntur, A.</w:t>
      </w:r>
      <w:r w:rsidR="00AF1837">
        <w:rPr>
          <w:noProof/>
        </w:rPr>
        <w:t xml:space="preserve"> </w:t>
      </w:r>
      <w:r w:rsidRPr="00A613B2">
        <w:rPr>
          <w:noProof/>
        </w:rPr>
        <w:t xml:space="preserve">R. Mitochondrial Function and Metabolism of Cultured Skeletal Cells. </w:t>
      </w:r>
      <w:r w:rsidRPr="00A613B2">
        <w:rPr>
          <w:i/>
          <w:iCs/>
          <w:noProof/>
        </w:rPr>
        <w:t>Methods in Molecular Biology</w:t>
      </w:r>
      <w:r w:rsidR="001B2A46">
        <w:rPr>
          <w:i/>
          <w:iCs/>
          <w:noProof/>
        </w:rPr>
        <w:t xml:space="preserve"> (Clifton, N.J.)</w:t>
      </w:r>
      <w:r w:rsidRPr="00A613B2">
        <w:rPr>
          <w:noProof/>
        </w:rPr>
        <w:t xml:space="preserve">. </w:t>
      </w:r>
      <w:r w:rsidRPr="00A613B2">
        <w:rPr>
          <w:b/>
          <w:bCs/>
          <w:noProof/>
        </w:rPr>
        <w:t>2230</w:t>
      </w:r>
      <w:r w:rsidRPr="00A613B2">
        <w:rPr>
          <w:noProof/>
        </w:rPr>
        <w:t>, 437–447 (2021).</w:t>
      </w:r>
    </w:p>
    <w:p w14:paraId="595B81B7" w14:textId="480650AF" w:rsidR="00A613B2" w:rsidRPr="00A613B2" w:rsidRDefault="00A613B2" w:rsidP="00A613B2">
      <w:pPr>
        <w:autoSpaceDE w:val="0"/>
        <w:autoSpaceDN w:val="0"/>
        <w:adjustRightInd w:val="0"/>
        <w:ind w:left="640" w:hanging="640"/>
        <w:rPr>
          <w:noProof/>
        </w:rPr>
      </w:pPr>
      <w:r w:rsidRPr="00A613B2">
        <w:rPr>
          <w:noProof/>
        </w:rPr>
        <w:lastRenderedPageBreak/>
        <w:t>7.</w:t>
      </w:r>
      <w:r w:rsidRPr="00A613B2">
        <w:rPr>
          <w:noProof/>
        </w:rPr>
        <w:tab/>
        <w:t>Zanotelli, M.</w:t>
      </w:r>
      <w:r w:rsidR="00AF1837">
        <w:rPr>
          <w:noProof/>
        </w:rPr>
        <w:t xml:space="preserve"> </w:t>
      </w:r>
      <w:r w:rsidRPr="00A613B2">
        <w:rPr>
          <w:noProof/>
        </w:rPr>
        <w:t xml:space="preserve">R. </w:t>
      </w:r>
      <w:r w:rsidRPr="007E602D">
        <w:rPr>
          <w:noProof/>
        </w:rPr>
        <w:t>et al.</w:t>
      </w:r>
      <w:r w:rsidRPr="00AF1837">
        <w:rPr>
          <w:noProof/>
        </w:rPr>
        <w:t xml:space="preserve"> </w:t>
      </w:r>
      <w:r w:rsidRPr="00A613B2">
        <w:rPr>
          <w:noProof/>
        </w:rPr>
        <w:t xml:space="preserve">Regulation of ATP utilization during metastatic cell migration by collagen architecture. </w:t>
      </w:r>
      <w:r w:rsidRPr="00A613B2">
        <w:rPr>
          <w:i/>
          <w:iCs/>
          <w:noProof/>
        </w:rPr>
        <w:t>Molecular Biology of the Cell</w:t>
      </w:r>
      <w:r w:rsidRPr="00A613B2">
        <w:rPr>
          <w:noProof/>
        </w:rPr>
        <w:t xml:space="preserve">. </w:t>
      </w:r>
      <w:r w:rsidRPr="00A613B2">
        <w:rPr>
          <w:b/>
          <w:bCs/>
          <w:noProof/>
        </w:rPr>
        <w:t>29</w:t>
      </w:r>
      <w:r w:rsidRPr="00A613B2">
        <w:rPr>
          <w:noProof/>
        </w:rPr>
        <w:t xml:space="preserve"> (1), 1–9 (2018).</w:t>
      </w:r>
    </w:p>
    <w:p w14:paraId="268C263E" w14:textId="35522B5B" w:rsidR="00A613B2" w:rsidRPr="00A613B2" w:rsidRDefault="00A613B2" w:rsidP="00A613B2">
      <w:pPr>
        <w:autoSpaceDE w:val="0"/>
        <w:autoSpaceDN w:val="0"/>
        <w:adjustRightInd w:val="0"/>
        <w:ind w:left="640" w:hanging="640"/>
        <w:rPr>
          <w:noProof/>
        </w:rPr>
      </w:pPr>
      <w:r w:rsidRPr="00A613B2">
        <w:rPr>
          <w:noProof/>
        </w:rPr>
        <w:t>8.</w:t>
      </w:r>
      <w:r w:rsidRPr="00A613B2">
        <w:rPr>
          <w:noProof/>
        </w:rPr>
        <w:tab/>
        <w:t>Gonzales, S., Wang, C., Levene, H., Cheung, H.</w:t>
      </w:r>
      <w:r w:rsidR="00AF1837">
        <w:rPr>
          <w:noProof/>
        </w:rPr>
        <w:t xml:space="preserve"> </w:t>
      </w:r>
      <w:r w:rsidRPr="00A613B2">
        <w:rPr>
          <w:noProof/>
        </w:rPr>
        <w:t>S., Huang, C.</w:t>
      </w:r>
      <w:r w:rsidR="00AF1837">
        <w:rPr>
          <w:noProof/>
        </w:rPr>
        <w:t xml:space="preserve"> </w:t>
      </w:r>
      <w:r w:rsidRPr="00A613B2">
        <w:rPr>
          <w:noProof/>
        </w:rPr>
        <w:t>Y.</w:t>
      </w:r>
      <w:r w:rsidR="00AF1837">
        <w:rPr>
          <w:noProof/>
        </w:rPr>
        <w:t xml:space="preserve"> </w:t>
      </w:r>
      <w:r w:rsidRPr="00A613B2">
        <w:rPr>
          <w:noProof/>
        </w:rPr>
        <w:t xml:space="preserve">C. ATP promotes extracellular matrix biosynthesis of intervertebral disc cells. </w:t>
      </w:r>
      <w:r w:rsidRPr="00A613B2">
        <w:rPr>
          <w:i/>
          <w:iCs/>
          <w:noProof/>
        </w:rPr>
        <w:t>Cell and Tissue Research</w:t>
      </w:r>
      <w:r w:rsidRPr="00A613B2">
        <w:rPr>
          <w:noProof/>
        </w:rPr>
        <w:t xml:space="preserve">. </w:t>
      </w:r>
      <w:r w:rsidRPr="00A613B2">
        <w:rPr>
          <w:b/>
          <w:bCs/>
          <w:noProof/>
        </w:rPr>
        <w:t>359</w:t>
      </w:r>
      <w:r w:rsidRPr="00A613B2">
        <w:rPr>
          <w:noProof/>
        </w:rPr>
        <w:t xml:space="preserve"> (2), 635–642 (2015).</w:t>
      </w:r>
    </w:p>
    <w:p w14:paraId="69A3ED6A" w14:textId="2C561D79" w:rsidR="00A613B2" w:rsidRPr="00A613B2" w:rsidRDefault="00A613B2" w:rsidP="00A613B2">
      <w:pPr>
        <w:autoSpaceDE w:val="0"/>
        <w:autoSpaceDN w:val="0"/>
        <w:adjustRightInd w:val="0"/>
        <w:ind w:left="640" w:hanging="640"/>
        <w:rPr>
          <w:noProof/>
        </w:rPr>
      </w:pPr>
      <w:r w:rsidRPr="00A613B2">
        <w:rPr>
          <w:noProof/>
        </w:rPr>
        <w:t>9.</w:t>
      </w:r>
      <w:r w:rsidRPr="00A613B2">
        <w:rPr>
          <w:noProof/>
        </w:rPr>
        <w:tab/>
        <w:t>Kruse, N.</w:t>
      </w:r>
      <w:r w:rsidR="00AF1837">
        <w:rPr>
          <w:noProof/>
        </w:rPr>
        <w:t xml:space="preserve"> </w:t>
      </w:r>
      <w:r w:rsidRPr="00A613B2">
        <w:rPr>
          <w:noProof/>
        </w:rPr>
        <w:t xml:space="preserve">J., Bornstein, P. The metabolic requirements for transcellular movement and secretion of collagen. </w:t>
      </w:r>
      <w:r w:rsidRPr="00A613B2">
        <w:rPr>
          <w:i/>
          <w:iCs/>
          <w:noProof/>
        </w:rPr>
        <w:t>Journal of Biological Chemistry</w:t>
      </w:r>
      <w:r w:rsidRPr="00A613B2">
        <w:rPr>
          <w:noProof/>
        </w:rPr>
        <w:t xml:space="preserve">. </w:t>
      </w:r>
      <w:r w:rsidRPr="00A613B2">
        <w:rPr>
          <w:b/>
          <w:bCs/>
          <w:noProof/>
        </w:rPr>
        <w:t>250</w:t>
      </w:r>
      <w:r w:rsidRPr="00A613B2">
        <w:rPr>
          <w:noProof/>
        </w:rPr>
        <w:t xml:space="preserve"> (13), 4841–4847 (1975).</w:t>
      </w:r>
    </w:p>
    <w:p w14:paraId="50D7F3FE" w14:textId="7EB57582" w:rsidR="00A613B2" w:rsidRPr="00A613B2" w:rsidRDefault="00A613B2" w:rsidP="00A613B2">
      <w:pPr>
        <w:autoSpaceDE w:val="0"/>
        <w:autoSpaceDN w:val="0"/>
        <w:adjustRightInd w:val="0"/>
        <w:ind w:left="640" w:hanging="640"/>
        <w:rPr>
          <w:noProof/>
        </w:rPr>
      </w:pPr>
      <w:r w:rsidRPr="00A613B2">
        <w:rPr>
          <w:noProof/>
        </w:rPr>
        <w:t>10.</w:t>
      </w:r>
      <w:r w:rsidRPr="00A613B2">
        <w:rPr>
          <w:noProof/>
        </w:rPr>
        <w:tab/>
        <w:t>Rendina-Ruedy, E., Guntur, A.</w:t>
      </w:r>
      <w:r w:rsidR="00AF1837">
        <w:rPr>
          <w:noProof/>
        </w:rPr>
        <w:t xml:space="preserve"> </w:t>
      </w:r>
      <w:r w:rsidRPr="00A613B2">
        <w:rPr>
          <w:noProof/>
        </w:rPr>
        <w:t>R., Rosen, C.</w:t>
      </w:r>
      <w:r w:rsidR="00AF1837">
        <w:rPr>
          <w:noProof/>
        </w:rPr>
        <w:t xml:space="preserve"> </w:t>
      </w:r>
      <w:r w:rsidRPr="00A613B2">
        <w:rPr>
          <w:noProof/>
        </w:rPr>
        <w:t xml:space="preserve">J. Intracellular lipid droplets support osteoblast function. </w:t>
      </w:r>
      <w:r w:rsidRPr="00A613B2">
        <w:rPr>
          <w:i/>
          <w:iCs/>
          <w:noProof/>
        </w:rPr>
        <w:t>Adipocyte</w:t>
      </w:r>
      <w:r w:rsidRPr="00A613B2">
        <w:rPr>
          <w:noProof/>
        </w:rPr>
        <w:t xml:space="preserve">. </w:t>
      </w:r>
      <w:r w:rsidRPr="00A613B2">
        <w:rPr>
          <w:b/>
          <w:bCs/>
          <w:noProof/>
        </w:rPr>
        <w:t>6</w:t>
      </w:r>
      <w:r w:rsidRPr="00A613B2">
        <w:rPr>
          <w:noProof/>
        </w:rPr>
        <w:t xml:space="preserve"> (3), 250–258 (2017).</w:t>
      </w:r>
    </w:p>
    <w:p w14:paraId="07B8341D" w14:textId="057C0B81" w:rsidR="00A613B2" w:rsidRPr="00A613B2" w:rsidRDefault="00A613B2" w:rsidP="00A613B2">
      <w:pPr>
        <w:autoSpaceDE w:val="0"/>
        <w:autoSpaceDN w:val="0"/>
        <w:adjustRightInd w:val="0"/>
        <w:ind w:left="640" w:hanging="640"/>
        <w:rPr>
          <w:noProof/>
        </w:rPr>
      </w:pPr>
      <w:r w:rsidRPr="00A613B2">
        <w:rPr>
          <w:noProof/>
        </w:rPr>
        <w:t>11.</w:t>
      </w:r>
      <w:r w:rsidRPr="00A613B2">
        <w:rPr>
          <w:noProof/>
        </w:rPr>
        <w:tab/>
        <w:t xml:space="preserve">Sinnott-Armstrong, N. </w:t>
      </w:r>
      <w:r w:rsidRPr="007E602D">
        <w:rPr>
          <w:noProof/>
        </w:rPr>
        <w:t>et al.</w:t>
      </w:r>
      <w:r w:rsidRPr="00AF1837">
        <w:rPr>
          <w:noProof/>
        </w:rPr>
        <w:t xml:space="preserve"> </w:t>
      </w:r>
      <w:r w:rsidRPr="00A613B2">
        <w:rPr>
          <w:noProof/>
        </w:rPr>
        <w:t xml:space="preserve">A regulatory variant at 3q21.1 confers an increased pleiotropic risk for hyperglycemia and altered bone mineral density. </w:t>
      </w:r>
      <w:r w:rsidRPr="00A613B2">
        <w:rPr>
          <w:i/>
          <w:iCs/>
          <w:noProof/>
        </w:rPr>
        <w:t>Cell Metabolism</w:t>
      </w:r>
      <w:r w:rsidRPr="00A613B2">
        <w:rPr>
          <w:noProof/>
        </w:rPr>
        <w:t xml:space="preserve">. </w:t>
      </w:r>
      <w:r w:rsidRPr="00A613B2">
        <w:rPr>
          <w:b/>
          <w:bCs/>
          <w:noProof/>
        </w:rPr>
        <w:t>33</w:t>
      </w:r>
      <w:r w:rsidRPr="00A613B2">
        <w:rPr>
          <w:noProof/>
        </w:rPr>
        <w:t xml:space="preserve"> (3), 615</w:t>
      </w:r>
      <w:r w:rsidR="00AF1837">
        <w:rPr>
          <w:noProof/>
        </w:rPr>
        <w:t>–</w:t>
      </w:r>
      <w:r w:rsidRPr="00A613B2">
        <w:rPr>
          <w:noProof/>
        </w:rPr>
        <w:t>628.e13 (2021).</w:t>
      </w:r>
    </w:p>
    <w:p w14:paraId="40B3F209" w14:textId="35F58B35" w:rsidR="00A613B2" w:rsidRPr="00A613B2" w:rsidRDefault="00A613B2" w:rsidP="00A613B2">
      <w:pPr>
        <w:autoSpaceDE w:val="0"/>
        <w:autoSpaceDN w:val="0"/>
        <w:adjustRightInd w:val="0"/>
        <w:ind w:left="640" w:hanging="640"/>
        <w:rPr>
          <w:noProof/>
        </w:rPr>
      </w:pPr>
      <w:r w:rsidRPr="00A613B2">
        <w:rPr>
          <w:noProof/>
        </w:rPr>
        <w:t>12.</w:t>
      </w:r>
      <w:r w:rsidRPr="00A613B2">
        <w:rPr>
          <w:noProof/>
        </w:rPr>
        <w:tab/>
        <w:t>Esen, E., Lee, S.</w:t>
      </w:r>
      <w:r w:rsidR="00AF1837">
        <w:rPr>
          <w:noProof/>
        </w:rPr>
        <w:t xml:space="preserve"> </w:t>
      </w:r>
      <w:r w:rsidRPr="00A613B2">
        <w:rPr>
          <w:noProof/>
        </w:rPr>
        <w:t>Y., Wice, B.</w:t>
      </w:r>
      <w:r w:rsidR="00AF1837">
        <w:rPr>
          <w:noProof/>
        </w:rPr>
        <w:t xml:space="preserve"> </w:t>
      </w:r>
      <w:r w:rsidRPr="00A613B2">
        <w:rPr>
          <w:noProof/>
        </w:rPr>
        <w:t xml:space="preserve">M., Long, F. PTH </w:t>
      </w:r>
      <w:r w:rsidR="00AF1837">
        <w:rPr>
          <w:noProof/>
        </w:rPr>
        <w:t>p</w:t>
      </w:r>
      <w:r w:rsidR="00AF1837" w:rsidRPr="00A613B2">
        <w:rPr>
          <w:noProof/>
        </w:rPr>
        <w:t xml:space="preserve">romotes </w:t>
      </w:r>
      <w:r w:rsidR="00AF1837">
        <w:rPr>
          <w:noProof/>
        </w:rPr>
        <w:t>b</w:t>
      </w:r>
      <w:r w:rsidR="00AF1837" w:rsidRPr="00A613B2">
        <w:rPr>
          <w:noProof/>
        </w:rPr>
        <w:t xml:space="preserve">one </w:t>
      </w:r>
      <w:r w:rsidR="00AF1837">
        <w:rPr>
          <w:noProof/>
        </w:rPr>
        <w:t>a</w:t>
      </w:r>
      <w:r w:rsidR="00AF1837" w:rsidRPr="00A613B2">
        <w:rPr>
          <w:noProof/>
        </w:rPr>
        <w:t xml:space="preserve">nabolism </w:t>
      </w:r>
      <w:r w:rsidRPr="00A613B2">
        <w:rPr>
          <w:noProof/>
        </w:rPr>
        <w:t xml:space="preserve">by </w:t>
      </w:r>
      <w:r w:rsidR="00AF1837">
        <w:rPr>
          <w:noProof/>
        </w:rPr>
        <w:t>s</w:t>
      </w:r>
      <w:r w:rsidR="00AF1837" w:rsidRPr="00A613B2">
        <w:rPr>
          <w:noProof/>
        </w:rPr>
        <w:t xml:space="preserve">timulating </w:t>
      </w:r>
      <w:r w:rsidR="00AF1837">
        <w:rPr>
          <w:noProof/>
        </w:rPr>
        <w:t>a</w:t>
      </w:r>
      <w:r w:rsidR="00AF1837" w:rsidRPr="00A613B2">
        <w:rPr>
          <w:noProof/>
        </w:rPr>
        <w:t xml:space="preserve">erobic </w:t>
      </w:r>
      <w:r w:rsidR="00AF1837">
        <w:rPr>
          <w:noProof/>
        </w:rPr>
        <w:t>g</w:t>
      </w:r>
      <w:r w:rsidR="00AF1837" w:rsidRPr="00A613B2">
        <w:rPr>
          <w:noProof/>
        </w:rPr>
        <w:t xml:space="preserve">lycolysis </w:t>
      </w:r>
      <w:r w:rsidRPr="00A613B2">
        <w:rPr>
          <w:noProof/>
        </w:rPr>
        <w:t xml:space="preserve">via IGF </w:t>
      </w:r>
      <w:r w:rsidR="00AF1837">
        <w:rPr>
          <w:noProof/>
        </w:rPr>
        <w:t>s</w:t>
      </w:r>
      <w:r w:rsidR="00AF1837" w:rsidRPr="00A613B2">
        <w:rPr>
          <w:noProof/>
        </w:rPr>
        <w:t>ignaling</w:t>
      </w:r>
      <w:r w:rsidRPr="00A613B2">
        <w:rPr>
          <w:noProof/>
        </w:rPr>
        <w:t xml:space="preserve">. </w:t>
      </w:r>
      <w:r w:rsidRPr="00A613B2">
        <w:rPr>
          <w:i/>
          <w:iCs/>
          <w:noProof/>
        </w:rPr>
        <w:t>Journal of Bone and Mineral Research</w:t>
      </w:r>
      <w:r w:rsidRPr="00A613B2">
        <w:rPr>
          <w:noProof/>
        </w:rPr>
        <w:t xml:space="preserve">. </w:t>
      </w:r>
      <w:r w:rsidRPr="00A613B2">
        <w:rPr>
          <w:b/>
          <w:bCs/>
          <w:noProof/>
        </w:rPr>
        <w:t>30</w:t>
      </w:r>
      <w:r w:rsidRPr="00A613B2">
        <w:rPr>
          <w:noProof/>
        </w:rPr>
        <w:t xml:space="preserve"> (11), 1959–1968 (2015).</w:t>
      </w:r>
    </w:p>
    <w:p w14:paraId="52591145" w14:textId="39131357" w:rsidR="00A613B2" w:rsidRPr="00A613B2" w:rsidRDefault="00A613B2" w:rsidP="00A613B2">
      <w:pPr>
        <w:autoSpaceDE w:val="0"/>
        <w:autoSpaceDN w:val="0"/>
        <w:adjustRightInd w:val="0"/>
        <w:ind w:left="640" w:hanging="640"/>
        <w:rPr>
          <w:noProof/>
        </w:rPr>
      </w:pPr>
      <w:r w:rsidRPr="00A613B2">
        <w:rPr>
          <w:noProof/>
        </w:rPr>
        <w:t>13.</w:t>
      </w:r>
      <w:r w:rsidRPr="00A613B2">
        <w:rPr>
          <w:noProof/>
        </w:rPr>
        <w:tab/>
        <w:t>Borle, A.</w:t>
      </w:r>
      <w:r w:rsidR="00AF1837">
        <w:rPr>
          <w:noProof/>
        </w:rPr>
        <w:t xml:space="preserve"> </w:t>
      </w:r>
      <w:r w:rsidRPr="00A613B2">
        <w:rPr>
          <w:noProof/>
        </w:rPr>
        <w:t xml:space="preserve">B., Nichols, N., Nichols, G. Metabolic </w:t>
      </w:r>
      <w:r w:rsidR="00AF1837">
        <w:rPr>
          <w:noProof/>
        </w:rPr>
        <w:t>s</w:t>
      </w:r>
      <w:r w:rsidR="00AF1837" w:rsidRPr="00A613B2">
        <w:rPr>
          <w:noProof/>
        </w:rPr>
        <w:t xml:space="preserve">tudies </w:t>
      </w:r>
      <w:r w:rsidRPr="00A613B2">
        <w:rPr>
          <w:noProof/>
        </w:rPr>
        <w:t xml:space="preserve">of </w:t>
      </w:r>
      <w:r w:rsidR="00AF1837">
        <w:rPr>
          <w:noProof/>
        </w:rPr>
        <w:t>b</w:t>
      </w:r>
      <w:r w:rsidR="00AF1837" w:rsidRPr="00A613B2">
        <w:rPr>
          <w:noProof/>
        </w:rPr>
        <w:t xml:space="preserve">one </w:t>
      </w:r>
      <w:r w:rsidRPr="00A613B2">
        <w:rPr>
          <w:noProof/>
        </w:rPr>
        <w:t xml:space="preserve">in </w:t>
      </w:r>
      <w:r w:rsidR="00AF1837">
        <w:rPr>
          <w:noProof/>
        </w:rPr>
        <w:t>v</w:t>
      </w:r>
      <w:r w:rsidR="00AF1837" w:rsidRPr="00A613B2">
        <w:rPr>
          <w:noProof/>
        </w:rPr>
        <w:t>itro</w:t>
      </w:r>
      <w:r w:rsidRPr="00A613B2">
        <w:rPr>
          <w:noProof/>
        </w:rPr>
        <w:t xml:space="preserve">: I. </w:t>
      </w:r>
      <w:r w:rsidR="00AF1837" w:rsidRPr="00A613B2">
        <w:rPr>
          <w:noProof/>
        </w:rPr>
        <w:t>N</w:t>
      </w:r>
      <w:r w:rsidR="00AF1837">
        <w:rPr>
          <w:noProof/>
        </w:rPr>
        <w:t>ormal</w:t>
      </w:r>
      <w:r w:rsidR="00AF1837" w:rsidRPr="00A613B2">
        <w:rPr>
          <w:noProof/>
        </w:rPr>
        <w:t xml:space="preserve"> </w:t>
      </w:r>
      <w:r w:rsidR="00AF1837">
        <w:rPr>
          <w:noProof/>
        </w:rPr>
        <w:t>bone</w:t>
      </w:r>
      <w:r w:rsidRPr="00A613B2">
        <w:rPr>
          <w:noProof/>
        </w:rPr>
        <w:t xml:space="preserve">. </w:t>
      </w:r>
      <w:r w:rsidRPr="00A613B2">
        <w:rPr>
          <w:i/>
          <w:iCs/>
          <w:noProof/>
        </w:rPr>
        <w:t>Journal of Biological Chemistry</w:t>
      </w:r>
      <w:r w:rsidRPr="00A613B2">
        <w:rPr>
          <w:noProof/>
        </w:rPr>
        <w:t xml:space="preserve">. </w:t>
      </w:r>
      <w:r w:rsidRPr="00A613B2">
        <w:rPr>
          <w:b/>
          <w:bCs/>
          <w:noProof/>
        </w:rPr>
        <w:t>235</w:t>
      </w:r>
      <w:r w:rsidRPr="00A613B2">
        <w:rPr>
          <w:noProof/>
        </w:rPr>
        <w:t>, 1206–1210 (1960).</w:t>
      </w:r>
    </w:p>
    <w:p w14:paraId="3DF86147" w14:textId="418A0A98" w:rsidR="00A613B2" w:rsidRPr="00A613B2" w:rsidRDefault="00A613B2" w:rsidP="00A613B2">
      <w:pPr>
        <w:autoSpaceDE w:val="0"/>
        <w:autoSpaceDN w:val="0"/>
        <w:adjustRightInd w:val="0"/>
        <w:ind w:left="640" w:hanging="640"/>
        <w:rPr>
          <w:noProof/>
        </w:rPr>
      </w:pPr>
      <w:r w:rsidRPr="00A613B2">
        <w:rPr>
          <w:noProof/>
        </w:rPr>
        <w:t>14.</w:t>
      </w:r>
      <w:r w:rsidRPr="00A613B2">
        <w:rPr>
          <w:noProof/>
        </w:rPr>
        <w:tab/>
        <w:t>Borle, A.</w:t>
      </w:r>
      <w:r w:rsidR="00AF1837">
        <w:rPr>
          <w:noProof/>
        </w:rPr>
        <w:t xml:space="preserve"> </w:t>
      </w:r>
      <w:r w:rsidRPr="00A613B2">
        <w:rPr>
          <w:noProof/>
        </w:rPr>
        <w:t xml:space="preserve">B., Nichols, N., Nichols, G. Metabolic </w:t>
      </w:r>
      <w:r w:rsidR="000C4467">
        <w:rPr>
          <w:noProof/>
        </w:rPr>
        <w:t>s</w:t>
      </w:r>
      <w:r w:rsidR="000C4467" w:rsidRPr="00A613B2">
        <w:rPr>
          <w:noProof/>
        </w:rPr>
        <w:t xml:space="preserve">tudies </w:t>
      </w:r>
      <w:r w:rsidRPr="00A613B2">
        <w:rPr>
          <w:noProof/>
        </w:rPr>
        <w:t xml:space="preserve">of </w:t>
      </w:r>
      <w:r w:rsidR="000C4467">
        <w:rPr>
          <w:noProof/>
        </w:rPr>
        <w:t>b</w:t>
      </w:r>
      <w:r w:rsidR="000C4467" w:rsidRPr="00A613B2">
        <w:rPr>
          <w:noProof/>
        </w:rPr>
        <w:t xml:space="preserve">one </w:t>
      </w:r>
      <w:r w:rsidRPr="00A613B2">
        <w:rPr>
          <w:noProof/>
        </w:rPr>
        <w:t xml:space="preserve">in </w:t>
      </w:r>
      <w:r w:rsidR="000C4467">
        <w:rPr>
          <w:noProof/>
        </w:rPr>
        <w:t>v</w:t>
      </w:r>
      <w:r w:rsidR="000C4467" w:rsidRPr="00A613B2">
        <w:rPr>
          <w:noProof/>
        </w:rPr>
        <w:t>itro</w:t>
      </w:r>
      <w:r w:rsidRPr="00A613B2">
        <w:rPr>
          <w:noProof/>
        </w:rPr>
        <w:t xml:space="preserve">: II. </w:t>
      </w:r>
      <w:r w:rsidR="000C4467" w:rsidRPr="00A613B2">
        <w:rPr>
          <w:noProof/>
        </w:rPr>
        <w:t>T</w:t>
      </w:r>
      <w:r w:rsidR="000C4467">
        <w:rPr>
          <w:noProof/>
        </w:rPr>
        <w:t>he</w:t>
      </w:r>
      <w:r w:rsidR="000C4467" w:rsidRPr="00A613B2">
        <w:rPr>
          <w:noProof/>
        </w:rPr>
        <w:t xml:space="preserve"> </w:t>
      </w:r>
      <w:r w:rsidR="000C4467">
        <w:rPr>
          <w:noProof/>
        </w:rPr>
        <w:t>metabolic</w:t>
      </w:r>
      <w:r w:rsidR="000C4467" w:rsidRPr="00A613B2">
        <w:rPr>
          <w:noProof/>
        </w:rPr>
        <w:t xml:space="preserve"> </w:t>
      </w:r>
      <w:r w:rsidR="000C4467">
        <w:rPr>
          <w:noProof/>
        </w:rPr>
        <w:t>patterns</w:t>
      </w:r>
      <w:r w:rsidR="000C4467" w:rsidRPr="00A613B2">
        <w:rPr>
          <w:noProof/>
        </w:rPr>
        <w:t xml:space="preserve"> </w:t>
      </w:r>
      <w:r w:rsidR="000C4467">
        <w:rPr>
          <w:noProof/>
        </w:rPr>
        <w:t>of</w:t>
      </w:r>
      <w:r w:rsidR="000C4467" w:rsidRPr="00A613B2">
        <w:rPr>
          <w:noProof/>
        </w:rPr>
        <w:t xml:space="preserve"> </w:t>
      </w:r>
      <w:r w:rsidR="000C4467">
        <w:rPr>
          <w:noProof/>
        </w:rPr>
        <w:t>accretion</w:t>
      </w:r>
      <w:r w:rsidR="000C4467" w:rsidRPr="00A613B2">
        <w:rPr>
          <w:noProof/>
        </w:rPr>
        <w:t xml:space="preserve"> </w:t>
      </w:r>
      <w:r w:rsidR="000C4467">
        <w:rPr>
          <w:noProof/>
        </w:rPr>
        <w:t>and</w:t>
      </w:r>
      <w:r w:rsidR="000C4467" w:rsidRPr="00A613B2">
        <w:rPr>
          <w:noProof/>
        </w:rPr>
        <w:t xml:space="preserve"> </w:t>
      </w:r>
      <w:r w:rsidR="000C4467">
        <w:rPr>
          <w:noProof/>
        </w:rPr>
        <w:t>resorption</w:t>
      </w:r>
      <w:r w:rsidRPr="00A613B2">
        <w:rPr>
          <w:noProof/>
        </w:rPr>
        <w:t xml:space="preserve">. </w:t>
      </w:r>
      <w:r w:rsidRPr="00A613B2">
        <w:rPr>
          <w:i/>
          <w:iCs/>
          <w:noProof/>
        </w:rPr>
        <w:t>Journal of Biological Chemistry</w:t>
      </w:r>
      <w:r w:rsidRPr="00A613B2">
        <w:rPr>
          <w:noProof/>
        </w:rPr>
        <w:t xml:space="preserve">. </w:t>
      </w:r>
      <w:r w:rsidRPr="00A613B2">
        <w:rPr>
          <w:b/>
          <w:bCs/>
          <w:noProof/>
        </w:rPr>
        <w:t>235</w:t>
      </w:r>
      <w:r w:rsidRPr="00A613B2">
        <w:rPr>
          <w:noProof/>
        </w:rPr>
        <w:t>, 1211–1214 (1960).</w:t>
      </w:r>
    </w:p>
    <w:p w14:paraId="7CB8B921" w14:textId="1496748A" w:rsidR="00A613B2" w:rsidRPr="00A613B2" w:rsidRDefault="00A613B2" w:rsidP="00A613B2">
      <w:pPr>
        <w:autoSpaceDE w:val="0"/>
        <w:autoSpaceDN w:val="0"/>
        <w:adjustRightInd w:val="0"/>
        <w:ind w:left="640" w:hanging="640"/>
        <w:rPr>
          <w:noProof/>
        </w:rPr>
      </w:pPr>
      <w:r w:rsidRPr="00A613B2">
        <w:rPr>
          <w:noProof/>
        </w:rPr>
        <w:t>15.</w:t>
      </w:r>
      <w:r w:rsidRPr="00A613B2">
        <w:rPr>
          <w:noProof/>
        </w:rPr>
        <w:tab/>
        <w:t>Adamek, G., Felix, R., Guenther, H.</w:t>
      </w:r>
      <w:r w:rsidR="000C4467">
        <w:rPr>
          <w:noProof/>
        </w:rPr>
        <w:t xml:space="preserve"> </w:t>
      </w:r>
      <w:r w:rsidRPr="00A613B2">
        <w:rPr>
          <w:noProof/>
        </w:rPr>
        <w:t xml:space="preserve">L., Fleisch, H. Fatty acid oxidation in bone tissue and bone cells in culture. Characterization and hormonal influences. </w:t>
      </w:r>
      <w:r w:rsidRPr="00A613B2">
        <w:rPr>
          <w:i/>
          <w:iCs/>
          <w:noProof/>
        </w:rPr>
        <w:t xml:space="preserve">The Biochemical </w:t>
      </w:r>
      <w:r w:rsidR="000C4467">
        <w:rPr>
          <w:i/>
          <w:iCs/>
          <w:noProof/>
        </w:rPr>
        <w:t>J</w:t>
      </w:r>
      <w:r w:rsidR="000C4467" w:rsidRPr="00A613B2">
        <w:rPr>
          <w:i/>
          <w:iCs/>
          <w:noProof/>
        </w:rPr>
        <w:t>ournal</w:t>
      </w:r>
      <w:r w:rsidRPr="00A613B2">
        <w:rPr>
          <w:noProof/>
        </w:rPr>
        <w:t xml:space="preserve">. </w:t>
      </w:r>
      <w:r w:rsidRPr="00A613B2">
        <w:rPr>
          <w:b/>
          <w:bCs/>
          <w:noProof/>
        </w:rPr>
        <w:t>248</w:t>
      </w:r>
      <w:r w:rsidRPr="00A613B2">
        <w:rPr>
          <w:noProof/>
        </w:rPr>
        <w:t xml:space="preserve"> (1), 129–137 (1987).</w:t>
      </w:r>
    </w:p>
    <w:p w14:paraId="55A32D1C" w14:textId="0AB94D5D" w:rsidR="00A613B2" w:rsidRPr="00A613B2" w:rsidRDefault="00A613B2" w:rsidP="00A613B2">
      <w:pPr>
        <w:autoSpaceDE w:val="0"/>
        <w:autoSpaceDN w:val="0"/>
        <w:adjustRightInd w:val="0"/>
        <w:ind w:left="640" w:hanging="640"/>
        <w:rPr>
          <w:noProof/>
        </w:rPr>
      </w:pPr>
      <w:r w:rsidRPr="00A613B2">
        <w:rPr>
          <w:noProof/>
        </w:rPr>
        <w:t>16.</w:t>
      </w:r>
      <w:r w:rsidRPr="00A613B2">
        <w:rPr>
          <w:noProof/>
        </w:rPr>
        <w:tab/>
        <w:t>Frey, J.</w:t>
      </w:r>
      <w:r w:rsidR="000C4467">
        <w:rPr>
          <w:noProof/>
        </w:rPr>
        <w:t xml:space="preserve"> </w:t>
      </w:r>
      <w:r w:rsidRPr="00A613B2">
        <w:rPr>
          <w:noProof/>
        </w:rPr>
        <w:t xml:space="preserve">L. </w:t>
      </w:r>
      <w:r w:rsidRPr="007E602D">
        <w:rPr>
          <w:noProof/>
        </w:rPr>
        <w:t>et al.</w:t>
      </w:r>
      <w:r w:rsidRPr="000C4467">
        <w:rPr>
          <w:noProof/>
        </w:rPr>
        <w:t xml:space="preserve"> </w:t>
      </w:r>
      <w:r w:rsidRPr="00A613B2">
        <w:rPr>
          <w:noProof/>
        </w:rPr>
        <w:t xml:space="preserve">Wnt-Lrp5 </w:t>
      </w:r>
      <w:r w:rsidR="000C4467">
        <w:rPr>
          <w:noProof/>
        </w:rPr>
        <w:t>s</w:t>
      </w:r>
      <w:r w:rsidR="000C4467" w:rsidRPr="00A613B2">
        <w:rPr>
          <w:noProof/>
        </w:rPr>
        <w:t xml:space="preserve">ignaling </w:t>
      </w:r>
      <w:r w:rsidR="000C4467">
        <w:rPr>
          <w:noProof/>
        </w:rPr>
        <w:t>r</w:t>
      </w:r>
      <w:r w:rsidR="000C4467" w:rsidRPr="00A613B2">
        <w:rPr>
          <w:noProof/>
        </w:rPr>
        <w:t xml:space="preserve">egulates </w:t>
      </w:r>
      <w:r w:rsidR="000C4467">
        <w:rPr>
          <w:noProof/>
        </w:rPr>
        <w:t>f</w:t>
      </w:r>
      <w:r w:rsidR="000C4467" w:rsidRPr="00A613B2">
        <w:rPr>
          <w:noProof/>
        </w:rPr>
        <w:t xml:space="preserve">atty </w:t>
      </w:r>
      <w:r w:rsidR="000C4467">
        <w:rPr>
          <w:noProof/>
        </w:rPr>
        <w:t>a</w:t>
      </w:r>
      <w:r w:rsidR="000C4467" w:rsidRPr="00A613B2">
        <w:rPr>
          <w:noProof/>
        </w:rPr>
        <w:t xml:space="preserve">cid </w:t>
      </w:r>
      <w:r w:rsidR="000C4467">
        <w:rPr>
          <w:noProof/>
        </w:rPr>
        <w:t>m</w:t>
      </w:r>
      <w:r w:rsidR="000C4467" w:rsidRPr="00A613B2">
        <w:rPr>
          <w:noProof/>
        </w:rPr>
        <w:t xml:space="preserve">etabolism </w:t>
      </w:r>
      <w:r w:rsidRPr="00A613B2">
        <w:rPr>
          <w:noProof/>
        </w:rPr>
        <w:t xml:space="preserve">in the </w:t>
      </w:r>
      <w:r w:rsidR="000C4467">
        <w:rPr>
          <w:noProof/>
        </w:rPr>
        <w:t>o</w:t>
      </w:r>
      <w:r w:rsidR="000C4467" w:rsidRPr="00A613B2">
        <w:rPr>
          <w:noProof/>
        </w:rPr>
        <w:t>steoblast</w:t>
      </w:r>
      <w:r w:rsidRPr="00A613B2">
        <w:rPr>
          <w:noProof/>
        </w:rPr>
        <w:t xml:space="preserve">. </w:t>
      </w:r>
      <w:r w:rsidRPr="00A613B2">
        <w:rPr>
          <w:i/>
          <w:iCs/>
          <w:noProof/>
        </w:rPr>
        <w:t>Molecular and Cellular Biology</w:t>
      </w:r>
      <w:r w:rsidRPr="00A613B2">
        <w:rPr>
          <w:noProof/>
        </w:rPr>
        <w:t xml:space="preserve">. </w:t>
      </w:r>
      <w:r w:rsidRPr="00A613B2">
        <w:rPr>
          <w:b/>
          <w:bCs/>
          <w:noProof/>
        </w:rPr>
        <w:t>35</w:t>
      </w:r>
      <w:r w:rsidRPr="00A613B2">
        <w:rPr>
          <w:noProof/>
        </w:rPr>
        <w:t xml:space="preserve"> (11), 1979–1991 (2015).</w:t>
      </w:r>
    </w:p>
    <w:p w14:paraId="70066A67" w14:textId="137E8210" w:rsidR="00A613B2" w:rsidRPr="00A613B2" w:rsidRDefault="00A613B2" w:rsidP="00A613B2">
      <w:pPr>
        <w:autoSpaceDE w:val="0"/>
        <w:autoSpaceDN w:val="0"/>
        <w:adjustRightInd w:val="0"/>
        <w:ind w:left="640" w:hanging="640"/>
        <w:rPr>
          <w:noProof/>
        </w:rPr>
      </w:pPr>
      <w:r w:rsidRPr="00A613B2">
        <w:rPr>
          <w:noProof/>
        </w:rPr>
        <w:t>17.</w:t>
      </w:r>
      <w:r w:rsidRPr="00A613B2">
        <w:rPr>
          <w:noProof/>
        </w:rPr>
        <w:tab/>
        <w:t xml:space="preserve">Romero, N., Rogers, G., Neilson, A., Dranka, B. </w:t>
      </w:r>
      <w:r w:rsidR="000C4467">
        <w:rPr>
          <w:noProof/>
        </w:rPr>
        <w:t xml:space="preserve">P. </w:t>
      </w:r>
      <w:r w:rsidRPr="00A613B2">
        <w:rPr>
          <w:noProof/>
        </w:rPr>
        <w:t xml:space="preserve">Quantifying </w:t>
      </w:r>
      <w:r w:rsidR="000C4467">
        <w:rPr>
          <w:noProof/>
        </w:rPr>
        <w:t>c</w:t>
      </w:r>
      <w:r w:rsidR="000C4467" w:rsidRPr="00A613B2">
        <w:rPr>
          <w:noProof/>
        </w:rPr>
        <w:t xml:space="preserve">ellular </w:t>
      </w:r>
      <w:r w:rsidRPr="00A613B2">
        <w:rPr>
          <w:noProof/>
        </w:rPr>
        <w:t xml:space="preserve">ATP </w:t>
      </w:r>
      <w:r w:rsidR="000C4467">
        <w:rPr>
          <w:noProof/>
        </w:rPr>
        <w:t>p</w:t>
      </w:r>
      <w:r w:rsidR="000C4467" w:rsidRPr="00A613B2">
        <w:rPr>
          <w:noProof/>
        </w:rPr>
        <w:t xml:space="preserve">roduction </w:t>
      </w:r>
      <w:r w:rsidR="000C4467">
        <w:rPr>
          <w:noProof/>
        </w:rPr>
        <w:t>r</w:t>
      </w:r>
      <w:r w:rsidR="000C4467" w:rsidRPr="00A613B2">
        <w:rPr>
          <w:noProof/>
        </w:rPr>
        <w:t xml:space="preserve">ate </w:t>
      </w:r>
      <w:r w:rsidR="000C4467">
        <w:rPr>
          <w:noProof/>
        </w:rPr>
        <w:t>u</w:t>
      </w:r>
      <w:r w:rsidR="000C4467" w:rsidRPr="00A613B2">
        <w:rPr>
          <w:noProof/>
        </w:rPr>
        <w:t xml:space="preserve">sing </w:t>
      </w:r>
      <w:r w:rsidR="000C4467">
        <w:rPr>
          <w:noProof/>
        </w:rPr>
        <w:t>a</w:t>
      </w:r>
      <w:r w:rsidR="000C4467" w:rsidRPr="00A613B2">
        <w:rPr>
          <w:noProof/>
        </w:rPr>
        <w:t xml:space="preserve">gilent </w:t>
      </w:r>
      <w:r w:rsidR="000C4467">
        <w:rPr>
          <w:noProof/>
        </w:rPr>
        <w:t>s</w:t>
      </w:r>
      <w:r w:rsidR="000C4467" w:rsidRPr="00A613B2">
        <w:rPr>
          <w:noProof/>
        </w:rPr>
        <w:t xml:space="preserve">eahorse </w:t>
      </w:r>
      <w:r w:rsidRPr="00A613B2">
        <w:rPr>
          <w:noProof/>
        </w:rPr>
        <w:t xml:space="preserve">XF </w:t>
      </w:r>
      <w:r w:rsidR="000C4467">
        <w:rPr>
          <w:noProof/>
        </w:rPr>
        <w:t>t</w:t>
      </w:r>
      <w:r w:rsidR="000C4467" w:rsidRPr="00A613B2">
        <w:rPr>
          <w:noProof/>
        </w:rPr>
        <w:t xml:space="preserve">echnology </w:t>
      </w:r>
      <w:r w:rsidRPr="00A613B2">
        <w:rPr>
          <w:noProof/>
        </w:rPr>
        <w:t>(2018).</w:t>
      </w:r>
    </w:p>
    <w:p w14:paraId="412CEC73" w14:textId="24F6BB5E" w:rsidR="00A613B2" w:rsidRPr="00A613B2" w:rsidRDefault="00A613B2" w:rsidP="00A613B2">
      <w:pPr>
        <w:autoSpaceDE w:val="0"/>
        <w:autoSpaceDN w:val="0"/>
        <w:adjustRightInd w:val="0"/>
        <w:ind w:left="640" w:hanging="640"/>
        <w:rPr>
          <w:noProof/>
        </w:rPr>
      </w:pPr>
      <w:r w:rsidRPr="00A613B2">
        <w:rPr>
          <w:noProof/>
        </w:rPr>
        <w:t>18.</w:t>
      </w:r>
      <w:r w:rsidRPr="00A613B2">
        <w:rPr>
          <w:noProof/>
        </w:rPr>
        <w:tab/>
        <w:t xml:space="preserve">van der Windt, G., Chang, C., Pearce, E. Measuring bioenergetics in T cells using a Seahorse Extracellular Flux Analyzer. </w:t>
      </w:r>
      <w:r w:rsidRPr="00A613B2">
        <w:rPr>
          <w:i/>
          <w:iCs/>
          <w:noProof/>
        </w:rPr>
        <w:t>Current Protocols in Immunology</w:t>
      </w:r>
      <w:r w:rsidRPr="00A613B2">
        <w:rPr>
          <w:noProof/>
        </w:rPr>
        <w:t xml:space="preserve">. </w:t>
      </w:r>
      <w:r w:rsidRPr="00A613B2">
        <w:rPr>
          <w:b/>
          <w:bCs/>
          <w:noProof/>
        </w:rPr>
        <w:t>113</w:t>
      </w:r>
      <w:r w:rsidR="000C4467" w:rsidRPr="007E602D">
        <w:rPr>
          <w:noProof/>
        </w:rPr>
        <w:t>:</w:t>
      </w:r>
      <w:r w:rsidRPr="00972F6D">
        <w:rPr>
          <w:noProof/>
        </w:rPr>
        <w:t>3.16B</w:t>
      </w:r>
      <w:r w:rsidR="009A10AC">
        <w:rPr>
          <w:noProof/>
        </w:rPr>
        <w:t>.1–3.16B.14</w:t>
      </w:r>
      <w:r w:rsidR="00AA5FCE">
        <w:rPr>
          <w:noProof/>
        </w:rPr>
        <w:t xml:space="preserve">. </w:t>
      </w:r>
      <w:r w:rsidRPr="00A613B2">
        <w:rPr>
          <w:noProof/>
        </w:rPr>
        <w:t>(2016).</w:t>
      </w:r>
    </w:p>
    <w:p w14:paraId="7377DB81" w14:textId="4B3A462C" w:rsidR="00A613B2" w:rsidRPr="00A613B2" w:rsidRDefault="00A613B2" w:rsidP="00A613B2">
      <w:pPr>
        <w:autoSpaceDE w:val="0"/>
        <w:autoSpaceDN w:val="0"/>
        <w:adjustRightInd w:val="0"/>
        <w:ind w:left="640" w:hanging="640"/>
        <w:rPr>
          <w:noProof/>
        </w:rPr>
      </w:pPr>
      <w:r w:rsidRPr="00A613B2">
        <w:rPr>
          <w:noProof/>
        </w:rPr>
        <w:t>19.</w:t>
      </w:r>
      <w:r w:rsidRPr="00A613B2">
        <w:rPr>
          <w:noProof/>
        </w:rPr>
        <w:tab/>
        <w:t>Traba, J., Miozzo, P., Akkaya, B., Pierce, S.</w:t>
      </w:r>
      <w:r w:rsidR="000C4467">
        <w:rPr>
          <w:noProof/>
        </w:rPr>
        <w:t xml:space="preserve"> </w:t>
      </w:r>
      <w:r w:rsidRPr="00A613B2">
        <w:rPr>
          <w:noProof/>
        </w:rPr>
        <w:t xml:space="preserve">K., Akkaya, M. An </w:t>
      </w:r>
      <w:r w:rsidR="000C4467">
        <w:rPr>
          <w:noProof/>
        </w:rPr>
        <w:t>o</w:t>
      </w:r>
      <w:r w:rsidR="000C4467" w:rsidRPr="00A613B2">
        <w:rPr>
          <w:noProof/>
        </w:rPr>
        <w:t xml:space="preserve">ptimized </w:t>
      </w:r>
      <w:r w:rsidR="000C4467">
        <w:rPr>
          <w:noProof/>
        </w:rPr>
        <w:t>p</w:t>
      </w:r>
      <w:r w:rsidR="000C4467" w:rsidRPr="00A613B2">
        <w:rPr>
          <w:noProof/>
        </w:rPr>
        <w:t xml:space="preserve">rotocol </w:t>
      </w:r>
      <w:r w:rsidRPr="00A613B2">
        <w:rPr>
          <w:noProof/>
        </w:rPr>
        <w:t xml:space="preserve">to </w:t>
      </w:r>
      <w:r w:rsidR="000C4467">
        <w:rPr>
          <w:noProof/>
        </w:rPr>
        <w:t>a</w:t>
      </w:r>
      <w:r w:rsidR="000C4467" w:rsidRPr="00A613B2">
        <w:rPr>
          <w:noProof/>
        </w:rPr>
        <w:t xml:space="preserve">nalyze </w:t>
      </w:r>
      <w:r w:rsidR="006F15BC">
        <w:rPr>
          <w:noProof/>
        </w:rPr>
        <w:t>g</w:t>
      </w:r>
      <w:r w:rsidR="006F15BC" w:rsidRPr="00A613B2">
        <w:rPr>
          <w:noProof/>
        </w:rPr>
        <w:t xml:space="preserve">lycolysis </w:t>
      </w:r>
      <w:r w:rsidRPr="00A613B2">
        <w:rPr>
          <w:noProof/>
        </w:rPr>
        <w:t xml:space="preserve">and </w:t>
      </w:r>
      <w:r w:rsidR="006F15BC">
        <w:rPr>
          <w:noProof/>
        </w:rPr>
        <w:t>m</w:t>
      </w:r>
      <w:r w:rsidR="006F15BC" w:rsidRPr="00A613B2">
        <w:rPr>
          <w:noProof/>
        </w:rPr>
        <w:t xml:space="preserve">itochondrial </w:t>
      </w:r>
      <w:r w:rsidR="006F15BC">
        <w:rPr>
          <w:noProof/>
        </w:rPr>
        <w:t>r</w:t>
      </w:r>
      <w:r w:rsidR="006F15BC" w:rsidRPr="00A613B2">
        <w:rPr>
          <w:noProof/>
        </w:rPr>
        <w:t xml:space="preserve">espiration </w:t>
      </w:r>
      <w:r w:rsidRPr="00A613B2">
        <w:rPr>
          <w:noProof/>
        </w:rPr>
        <w:t xml:space="preserve">in </w:t>
      </w:r>
      <w:r w:rsidR="006F15BC">
        <w:rPr>
          <w:noProof/>
        </w:rPr>
        <w:t>l</w:t>
      </w:r>
      <w:r w:rsidR="006F15BC" w:rsidRPr="00A613B2">
        <w:rPr>
          <w:noProof/>
        </w:rPr>
        <w:t>ymphocytes</w:t>
      </w:r>
      <w:r w:rsidRPr="00A613B2">
        <w:rPr>
          <w:noProof/>
        </w:rPr>
        <w:t>.</w:t>
      </w:r>
      <w:r w:rsidRPr="00A613B2">
        <w:rPr>
          <w:i/>
          <w:iCs/>
          <w:noProof/>
        </w:rPr>
        <w:t xml:space="preserve"> Journal of Visualized Experiments</w:t>
      </w:r>
      <w:r w:rsidR="006F15BC">
        <w:rPr>
          <w:i/>
          <w:iCs/>
          <w:noProof/>
        </w:rPr>
        <w:t>:</w:t>
      </w:r>
      <w:r w:rsidR="006F15BC" w:rsidRPr="00A613B2">
        <w:rPr>
          <w:noProof/>
        </w:rPr>
        <w:t xml:space="preserve"> </w:t>
      </w:r>
      <w:r w:rsidR="006F15BC" w:rsidRPr="00A613B2">
        <w:rPr>
          <w:i/>
          <w:iCs/>
          <w:noProof/>
        </w:rPr>
        <w:t>JoVE</w:t>
      </w:r>
      <w:r w:rsidRPr="00A613B2">
        <w:rPr>
          <w:noProof/>
        </w:rPr>
        <w:t xml:space="preserve">. (117), </w:t>
      </w:r>
      <w:r w:rsidR="00AA5FCE" w:rsidRPr="004A3B77">
        <w:rPr>
          <w:noProof/>
        </w:rPr>
        <w:t>54918</w:t>
      </w:r>
      <w:r w:rsidRPr="00A613B2">
        <w:rPr>
          <w:noProof/>
        </w:rPr>
        <w:t xml:space="preserve"> (2016).</w:t>
      </w:r>
    </w:p>
    <w:p w14:paraId="582CDB00" w14:textId="46F5AE51" w:rsidR="00A613B2" w:rsidRPr="00A613B2" w:rsidRDefault="00A613B2" w:rsidP="00A613B2">
      <w:pPr>
        <w:autoSpaceDE w:val="0"/>
        <w:autoSpaceDN w:val="0"/>
        <w:adjustRightInd w:val="0"/>
        <w:ind w:left="640" w:hanging="640"/>
        <w:rPr>
          <w:noProof/>
        </w:rPr>
      </w:pPr>
      <w:r w:rsidRPr="00A613B2">
        <w:rPr>
          <w:noProof/>
        </w:rPr>
        <w:t>20.</w:t>
      </w:r>
      <w:r w:rsidRPr="00A613B2">
        <w:rPr>
          <w:noProof/>
        </w:rPr>
        <w:tab/>
        <w:t>Noel, P.</w:t>
      </w:r>
      <w:r w:rsidR="006F15BC">
        <w:rPr>
          <w:noProof/>
        </w:rPr>
        <w:t xml:space="preserve"> et al</w:t>
      </w:r>
      <w:r w:rsidRPr="00A613B2">
        <w:rPr>
          <w:noProof/>
        </w:rPr>
        <w:t xml:space="preserve">. Preparation and </w:t>
      </w:r>
      <w:r w:rsidR="006F15BC">
        <w:rPr>
          <w:noProof/>
        </w:rPr>
        <w:t>m</w:t>
      </w:r>
      <w:r w:rsidR="006F15BC" w:rsidRPr="00A613B2">
        <w:rPr>
          <w:noProof/>
        </w:rPr>
        <w:t xml:space="preserve">etabolic </w:t>
      </w:r>
      <w:r w:rsidR="006F15BC">
        <w:rPr>
          <w:noProof/>
        </w:rPr>
        <w:t>a</w:t>
      </w:r>
      <w:r w:rsidR="006F15BC" w:rsidRPr="00A613B2">
        <w:rPr>
          <w:noProof/>
        </w:rPr>
        <w:t xml:space="preserve">ssay </w:t>
      </w:r>
      <w:r w:rsidRPr="00A613B2">
        <w:rPr>
          <w:noProof/>
        </w:rPr>
        <w:t xml:space="preserve">of 3-dimensional </w:t>
      </w:r>
      <w:r w:rsidR="006F15BC">
        <w:rPr>
          <w:noProof/>
        </w:rPr>
        <w:t>s</w:t>
      </w:r>
      <w:r w:rsidR="006F15BC" w:rsidRPr="00A613B2">
        <w:rPr>
          <w:noProof/>
        </w:rPr>
        <w:t xml:space="preserve">pheroid </w:t>
      </w:r>
      <w:r w:rsidR="006F15BC">
        <w:rPr>
          <w:noProof/>
        </w:rPr>
        <w:t>c</w:t>
      </w:r>
      <w:r w:rsidR="006F15BC" w:rsidRPr="00A613B2">
        <w:rPr>
          <w:noProof/>
        </w:rPr>
        <w:t>o</w:t>
      </w:r>
      <w:r w:rsidRPr="00A613B2">
        <w:rPr>
          <w:noProof/>
        </w:rPr>
        <w:t xml:space="preserve">-cultures of </w:t>
      </w:r>
      <w:r w:rsidR="006F15BC">
        <w:rPr>
          <w:noProof/>
        </w:rPr>
        <w:t>p</w:t>
      </w:r>
      <w:r w:rsidR="006F15BC" w:rsidRPr="00A613B2">
        <w:rPr>
          <w:noProof/>
        </w:rPr>
        <w:t xml:space="preserve">ancreatic </w:t>
      </w:r>
      <w:r w:rsidR="006F15BC">
        <w:rPr>
          <w:noProof/>
        </w:rPr>
        <w:t>c</w:t>
      </w:r>
      <w:r w:rsidR="006F15BC" w:rsidRPr="00A613B2">
        <w:rPr>
          <w:noProof/>
        </w:rPr>
        <w:t xml:space="preserve">ancer </w:t>
      </w:r>
      <w:r w:rsidR="006F15BC">
        <w:rPr>
          <w:noProof/>
        </w:rPr>
        <w:t>c</w:t>
      </w:r>
      <w:r w:rsidR="006F15BC" w:rsidRPr="00A613B2">
        <w:rPr>
          <w:noProof/>
        </w:rPr>
        <w:t xml:space="preserve">ells </w:t>
      </w:r>
      <w:r w:rsidRPr="00A613B2">
        <w:rPr>
          <w:noProof/>
        </w:rPr>
        <w:t xml:space="preserve">and </w:t>
      </w:r>
      <w:r w:rsidR="006F15BC">
        <w:rPr>
          <w:noProof/>
        </w:rPr>
        <w:t>f</w:t>
      </w:r>
      <w:r w:rsidR="006F15BC" w:rsidRPr="00A613B2">
        <w:rPr>
          <w:noProof/>
        </w:rPr>
        <w:t>ibroblasts</w:t>
      </w:r>
      <w:r w:rsidRPr="00A613B2">
        <w:rPr>
          <w:noProof/>
        </w:rPr>
        <w:t>.</w:t>
      </w:r>
      <w:r w:rsidRPr="00A613B2">
        <w:rPr>
          <w:i/>
          <w:iCs/>
          <w:noProof/>
        </w:rPr>
        <w:t xml:space="preserve"> Journal of Visualized Experiments</w:t>
      </w:r>
      <w:r w:rsidR="006F15BC">
        <w:rPr>
          <w:i/>
          <w:iCs/>
          <w:noProof/>
        </w:rPr>
        <w:t>:</w:t>
      </w:r>
      <w:r w:rsidR="006F15BC" w:rsidRPr="00A613B2">
        <w:rPr>
          <w:noProof/>
        </w:rPr>
        <w:t xml:space="preserve"> </w:t>
      </w:r>
      <w:r w:rsidR="006F15BC" w:rsidRPr="00A613B2">
        <w:rPr>
          <w:i/>
          <w:iCs/>
          <w:noProof/>
        </w:rPr>
        <w:t>JoVE</w:t>
      </w:r>
      <w:r w:rsidRPr="00A613B2">
        <w:rPr>
          <w:noProof/>
        </w:rPr>
        <w:t>. (126), 56081 (2017).</w:t>
      </w:r>
    </w:p>
    <w:p w14:paraId="4BDA61A5" w14:textId="6197DCE4" w:rsidR="00A613B2" w:rsidRPr="00A613B2" w:rsidRDefault="00A613B2" w:rsidP="00A613B2">
      <w:pPr>
        <w:autoSpaceDE w:val="0"/>
        <w:autoSpaceDN w:val="0"/>
        <w:adjustRightInd w:val="0"/>
        <w:ind w:left="640" w:hanging="640"/>
        <w:rPr>
          <w:noProof/>
        </w:rPr>
      </w:pPr>
      <w:r w:rsidRPr="00A613B2">
        <w:rPr>
          <w:noProof/>
        </w:rPr>
        <w:t>21.</w:t>
      </w:r>
      <w:r w:rsidRPr="00A613B2">
        <w:rPr>
          <w:noProof/>
        </w:rPr>
        <w:tab/>
        <w:t>Nicholls, D.</w:t>
      </w:r>
      <w:r w:rsidR="006F15BC">
        <w:rPr>
          <w:noProof/>
        </w:rPr>
        <w:t xml:space="preserve"> et al</w:t>
      </w:r>
      <w:r w:rsidRPr="00A613B2">
        <w:rPr>
          <w:noProof/>
        </w:rPr>
        <w:t xml:space="preserve">. Bioenergetic </w:t>
      </w:r>
      <w:r w:rsidR="006F15BC">
        <w:rPr>
          <w:noProof/>
        </w:rPr>
        <w:t>p</w:t>
      </w:r>
      <w:r w:rsidR="006F15BC" w:rsidRPr="00A613B2">
        <w:rPr>
          <w:noProof/>
        </w:rPr>
        <w:t xml:space="preserve">rofile </w:t>
      </w:r>
      <w:r w:rsidR="006F15BC">
        <w:rPr>
          <w:noProof/>
        </w:rPr>
        <w:t>e</w:t>
      </w:r>
      <w:r w:rsidR="006F15BC" w:rsidRPr="00A613B2">
        <w:rPr>
          <w:noProof/>
        </w:rPr>
        <w:t xml:space="preserve">xperiment </w:t>
      </w:r>
      <w:r w:rsidRPr="00A613B2">
        <w:rPr>
          <w:noProof/>
        </w:rPr>
        <w:t xml:space="preserve">using C2C12 </w:t>
      </w:r>
      <w:r w:rsidR="006F15BC">
        <w:rPr>
          <w:noProof/>
        </w:rPr>
        <w:t>m</w:t>
      </w:r>
      <w:r w:rsidR="006F15BC" w:rsidRPr="00A613B2">
        <w:rPr>
          <w:noProof/>
        </w:rPr>
        <w:t xml:space="preserve">yoblast </w:t>
      </w:r>
      <w:r w:rsidR="006F15BC">
        <w:rPr>
          <w:noProof/>
        </w:rPr>
        <w:t>c</w:t>
      </w:r>
      <w:r w:rsidR="006F15BC" w:rsidRPr="00A613B2">
        <w:rPr>
          <w:noProof/>
        </w:rPr>
        <w:t>ells</w:t>
      </w:r>
      <w:r w:rsidRPr="00A613B2">
        <w:rPr>
          <w:noProof/>
        </w:rPr>
        <w:t>.</w:t>
      </w:r>
      <w:r w:rsidRPr="00A613B2">
        <w:rPr>
          <w:i/>
          <w:iCs/>
          <w:noProof/>
        </w:rPr>
        <w:t xml:space="preserve"> Journal of Visualized Experiments</w:t>
      </w:r>
      <w:r w:rsidR="006F15BC">
        <w:rPr>
          <w:i/>
          <w:iCs/>
          <w:noProof/>
        </w:rPr>
        <w:t>:</w:t>
      </w:r>
      <w:r w:rsidR="006F15BC" w:rsidRPr="00A613B2">
        <w:rPr>
          <w:noProof/>
        </w:rPr>
        <w:t xml:space="preserve"> </w:t>
      </w:r>
      <w:r w:rsidR="006F15BC" w:rsidRPr="00A613B2">
        <w:rPr>
          <w:i/>
          <w:iCs/>
          <w:noProof/>
        </w:rPr>
        <w:t>JoVE</w:t>
      </w:r>
      <w:r w:rsidRPr="00A613B2">
        <w:rPr>
          <w:noProof/>
        </w:rPr>
        <w:t>. (46), 2511 (2010).</w:t>
      </w:r>
    </w:p>
    <w:p w14:paraId="13E0DE32" w14:textId="1A01F4B7" w:rsidR="00A613B2" w:rsidRPr="00A613B2" w:rsidRDefault="00A613B2" w:rsidP="00A613B2">
      <w:pPr>
        <w:autoSpaceDE w:val="0"/>
        <w:autoSpaceDN w:val="0"/>
        <w:adjustRightInd w:val="0"/>
        <w:ind w:left="640" w:hanging="640"/>
        <w:rPr>
          <w:noProof/>
        </w:rPr>
      </w:pPr>
      <w:r w:rsidRPr="00A613B2">
        <w:rPr>
          <w:noProof/>
        </w:rPr>
        <w:t>22.</w:t>
      </w:r>
      <w:r w:rsidRPr="00A613B2">
        <w:rPr>
          <w:noProof/>
        </w:rPr>
        <w:tab/>
        <w:t>Sakamuri, S.</w:t>
      </w:r>
      <w:r w:rsidR="006F15BC">
        <w:rPr>
          <w:noProof/>
        </w:rPr>
        <w:t xml:space="preserve"> </w:t>
      </w:r>
      <w:r w:rsidRPr="00A613B2">
        <w:rPr>
          <w:noProof/>
        </w:rPr>
        <w:t>S.</w:t>
      </w:r>
      <w:r w:rsidR="006F15BC">
        <w:rPr>
          <w:noProof/>
        </w:rPr>
        <w:t xml:space="preserve"> </w:t>
      </w:r>
      <w:r w:rsidRPr="00A613B2">
        <w:rPr>
          <w:noProof/>
        </w:rPr>
        <w:t>V.</w:t>
      </w:r>
      <w:r w:rsidR="006F15BC">
        <w:rPr>
          <w:noProof/>
        </w:rPr>
        <w:t xml:space="preserve"> </w:t>
      </w:r>
      <w:r w:rsidRPr="00A613B2">
        <w:rPr>
          <w:noProof/>
        </w:rPr>
        <w:t xml:space="preserve">P. </w:t>
      </w:r>
      <w:r w:rsidRPr="007E602D">
        <w:rPr>
          <w:noProof/>
        </w:rPr>
        <w:t>et al.</w:t>
      </w:r>
      <w:r w:rsidRPr="006F15BC">
        <w:rPr>
          <w:noProof/>
        </w:rPr>
        <w:t xml:space="preserve"> </w:t>
      </w:r>
      <w:r w:rsidRPr="00A613B2">
        <w:rPr>
          <w:noProof/>
        </w:rPr>
        <w:t xml:space="preserve">Measurement of respiratory function in isolated cardiac mitochondria using Seahorse XFe24 Analyzer: applications for aging research. </w:t>
      </w:r>
      <w:r w:rsidRPr="00A613B2">
        <w:rPr>
          <w:i/>
          <w:iCs/>
          <w:noProof/>
        </w:rPr>
        <w:t>GeroScience</w:t>
      </w:r>
      <w:r w:rsidRPr="00A613B2">
        <w:rPr>
          <w:noProof/>
        </w:rPr>
        <w:t xml:space="preserve">. </w:t>
      </w:r>
      <w:r w:rsidRPr="00A613B2">
        <w:rPr>
          <w:b/>
          <w:bCs/>
          <w:noProof/>
        </w:rPr>
        <w:t>40</w:t>
      </w:r>
      <w:r w:rsidRPr="00A613B2">
        <w:rPr>
          <w:noProof/>
        </w:rPr>
        <w:t xml:space="preserve"> (3), 347–356 (2018).</w:t>
      </w:r>
    </w:p>
    <w:p w14:paraId="34B8E32E" w14:textId="77777777" w:rsidR="00A613B2" w:rsidRPr="00A613B2" w:rsidRDefault="00A613B2" w:rsidP="00A613B2">
      <w:pPr>
        <w:autoSpaceDE w:val="0"/>
        <w:autoSpaceDN w:val="0"/>
        <w:adjustRightInd w:val="0"/>
        <w:ind w:left="640" w:hanging="640"/>
        <w:rPr>
          <w:noProof/>
        </w:rPr>
      </w:pPr>
      <w:r w:rsidRPr="00A613B2">
        <w:rPr>
          <w:noProof/>
        </w:rPr>
        <w:t>23.</w:t>
      </w:r>
      <w:r w:rsidRPr="00A613B2">
        <w:rPr>
          <w:noProof/>
        </w:rPr>
        <w:tab/>
        <w:t>What are the advantages of using Seahorse XF technology? at &lt;https://www.agilent.com/en/support/cell-analysis/advantages-of-using-xf-tech&gt;.</w:t>
      </w:r>
    </w:p>
    <w:p w14:paraId="33F02C56" w14:textId="5815DACF" w:rsidR="00A613B2" w:rsidRPr="00A613B2" w:rsidRDefault="00A613B2" w:rsidP="00A613B2">
      <w:pPr>
        <w:autoSpaceDE w:val="0"/>
        <w:autoSpaceDN w:val="0"/>
        <w:adjustRightInd w:val="0"/>
        <w:ind w:left="640" w:hanging="640"/>
        <w:rPr>
          <w:noProof/>
        </w:rPr>
      </w:pPr>
      <w:r w:rsidRPr="00A613B2">
        <w:rPr>
          <w:noProof/>
        </w:rPr>
        <w:t>24.</w:t>
      </w:r>
      <w:r w:rsidRPr="00A613B2">
        <w:rPr>
          <w:noProof/>
        </w:rPr>
        <w:tab/>
        <w:t>Horan, M.</w:t>
      </w:r>
      <w:r w:rsidR="006F15BC">
        <w:rPr>
          <w:noProof/>
        </w:rPr>
        <w:t xml:space="preserve"> </w:t>
      </w:r>
      <w:r w:rsidRPr="00A613B2">
        <w:rPr>
          <w:noProof/>
        </w:rPr>
        <w:t>P., Pichaud, N., Ballard, J.</w:t>
      </w:r>
      <w:r w:rsidR="006F15BC">
        <w:rPr>
          <w:noProof/>
        </w:rPr>
        <w:t xml:space="preserve"> </w:t>
      </w:r>
      <w:r w:rsidRPr="00A613B2">
        <w:rPr>
          <w:noProof/>
        </w:rPr>
        <w:t>W.</w:t>
      </w:r>
      <w:r w:rsidR="006F15BC">
        <w:rPr>
          <w:noProof/>
        </w:rPr>
        <w:t xml:space="preserve"> </w:t>
      </w:r>
      <w:r w:rsidRPr="00A613B2">
        <w:rPr>
          <w:noProof/>
        </w:rPr>
        <w:t xml:space="preserve">O. Review: Quantifying mitochondrial dysfunction </w:t>
      </w:r>
      <w:r w:rsidRPr="00A613B2">
        <w:rPr>
          <w:noProof/>
        </w:rPr>
        <w:lastRenderedPageBreak/>
        <w:t xml:space="preserve">in complex diseases of aging. </w:t>
      </w:r>
      <w:r w:rsidRPr="00A613B2">
        <w:rPr>
          <w:i/>
          <w:iCs/>
          <w:noProof/>
        </w:rPr>
        <w:t>Journals of Gerontology - Series A Biological Sciences and Medical Sciences</w:t>
      </w:r>
      <w:r w:rsidRPr="00A613B2">
        <w:rPr>
          <w:noProof/>
        </w:rPr>
        <w:t xml:space="preserve">. </w:t>
      </w:r>
      <w:r w:rsidRPr="00A613B2">
        <w:rPr>
          <w:b/>
          <w:bCs/>
          <w:noProof/>
        </w:rPr>
        <w:t>67 A</w:t>
      </w:r>
      <w:r w:rsidRPr="00A613B2">
        <w:rPr>
          <w:noProof/>
        </w:rPr>
        <w:t xml:space="preserve"> (10), 1022–1035 (2012).</w:t>
      </w:r>
    </w:p>
    <w:p w14:paraId="1FE1A3CE" w14:textId="6F4671E3" w:rsidR="00A613B2" w:rsidRPr="00A613B2" w:rsidRDefault="00A613B2" w:rsidP="00A613B2">
      <w:pPr>
        <w:autoSpaceDE w:val="0"/>
        <w:autoSpaceDN w:val="0"/>
        <w:adjustRightInd w:val="0"/>
        <w:ind w:left="640" w:hanging="640"/>
        <w:rPr>
          <w:noProof/>
        </w:rPr>
      </w:pPr>
      <w:r w:rsidRPr="00A613B2">
        <w:rPr>
          <w:noProof/>
        </w:rPr>
        <w:t>25.</w:t>
      </w:r>
      <w:r w:rsidRPr="00A613B2">
        <w:rPr>
          <w:noProof/>
        </w:rPr>
        <w:tab/>
        <w:t xml:space="preserve">XF </w:t>
      </w:r>
      <w:r w:rsidR="006F15BC">
        <w:rPr>
          <w:noProof/>
        </w:rPr>
        <w:t>c</w:t>
      </w:r>
      <w:r w:rsidR="006F15BC" w:rsidRPr="00A613B2">
        <w:rPr>
          <w:noProof/>
        </w:rPr>
        <w:t xml:space="preserve">ell </w:t>
      </w:r>
      <w:r w:rsidRPr="00A613B2">
        <w:rPr>
          <w:noProof/>
        </w:rPr>
        <w:t xml:space="preserve">energy phenotype </w:t>
      </w:r>
      <w:r w:rsidR="006F15BC">
        <w:rPr>
          <w:noProof/>
        </w:rPr>
        <w:t>t</w:t>
      </w:r>
      <w:r w:rsidR="006F15BC" w:rsidRPr="00A613B2">
        <w:rPr>
          <w:noProof/>
        </w:rPr>
        <w:t>est</w:t>
      </w:r>
      <w:r w:rsidRPr="00A613B2">
        <w:rPr>
          <w:noProof/>
        </w:rPr>
        <w:t>. at &lt;https://www.agilent.com/en/product/cell-analysis/real-time-cell-metabolic-analysis/xf-assay-kits-reagents-cell-assay-media/seahorse-xf-cell-energy-phenotype-test-kit-740884&gt;.</w:t>
      </w:r>
    </w:p>
    <w:p w14:paraId="2E55D108" w14:textId="3E8D3D76" w:rsidR="00A613B2" w:rsidRPr="00A613B2" w:rsidRDefault="00A613B2" w:rsidP="00A613B2">
      <w:pPr>
        <w:autoSpaceDE w:val="0"/>
        <w:autoSpaceDN w:val="0"/>
        <w:adjustRightInd w:val="0"/>
        <w:ind w:left="640" w:hanging="640"/>
        <w:rPr>
          <w:noProof/>
        </w:rPr>
      </w:pPr>
      <w:r w:rsidRPr="00A613B2">
        <w:rPr>
          <w:noProof/>
        </w:rPr>
        <w:t>26.</w:t>
      </w:r>
      <w:r w:rsidRPr="00A613B2">
        <w:rPr>
          <w:noProof/>
        </w:rPr>
        <w:tab/>
        <w:t>Leung, D.</w:t>
      </w:r>
      <w:r w:rsidR="006F15BC">
        <w:rPr>
          <w:noProof/>
        </w:rPr>
        <w:t xml:space="preserve"> </w:t>
      </w:r>
      <w:r w:rsidRPr="00A613B2">
        <w:rPr>
          <w:noProof/>
        </w:rPr>
        <w:t>T.</w:t>
      </w:r>
      <w:r w:rsidR="00314DA3">
        <w:rPr>
          <w:noProof/>
        </w:rPr>
        <w:t xml:space="preserve"> H.</w:t>
      </w:r>
      <w:r w:rsidRPr="00A613B2">
        <w:rPr>
          <w:noProof/>
        </w:rPr>
        <w:t>, C</w:t>
      </w:r>
      <w:r w:rsidR="00314DA3">
        <w:rPr>
          <w:noProof/>
        </w:rPr>
        <w:t>hu, S</w:t>
      </w:r>
      <w:r w:rsidRPr="00A613B2">
        <w:rPr>
          <w:noProof/>
        </w:rPr>
        <w:t xml:space="preserve">. Measurement of </w:t>
      </w:r>
      <w:r w:rsidR="006F15BC">
        <w:rPr>
          <w:noProof/>
        </w:rPr>
        <w:t>o</w:t>
      </w:r>
      <w:r w:rsidR="006F15BC" w:rsidRPr="00A613B2">
        <w:rPr>
          <w:noProof/>
        </w:rPr>
        <w:t xml:space="preserve">xidative </w:t>
      </w:r>
      <w:r w:rsidR="006F15BC">
        <w:rPr>
          <w:noProof/>
        </w:rPr>
        <w:t>s</w:t>
      </w:r>
      <w:r w:rsidR="006F15BC" w:rsidRPr="00A613B2">
        <w:rPr>
          <w:noProof/>
        </w:rPr>
        <w:t>tress</w:t>
      </w:r>
      <w:r w:rsidRPr="00A613B2">
        <w:rPr>
          <w:noProof/>
        </w:rPr>
        <w:t xml:space="preserve">: Mitochondrial </w:t>
      </w:r>
      <w:r w:rsidR="006F15BC">
        <w:rPr>
          <w:noProof/>
        </w:rPr>
        <w:t>f</w:t>
      </w:r>
      <w:r w:rsidR="006F15BC" w:rsidRPr="00A613B2">
        <w:rPr>
          <w:noProof/>
        </w:rPr>
        <w:t xml:space="preserve">unction </w:t>
      </w:r>
      <w:r w:rsidR="006F15BC">
        <w:rPr>
          <w:noProof/>
        </w:rPr>
        <w:t>u</w:t>
      </w:r>
      <w:r w:rsidR="006F15BC" w:rsidRPr="00A613B2">
        <w:rPr>
          <w:noProof/>
        </w:rPr>
        <w:t xml:space="preserve">sing </w:t>
      </w:r>
      <w:r w:rsidRPr="00A613B2">
        <w:rPr>
          <w:noProof/>
        </w:rPr>
        <w:t xml:space="preserve">the </w:t>
      </w:r>
      <w:r w:rsidR="006F15BC">
        <w:rPr>
          <w:noProof/>
        </w:rPr>
        <w:t>s</w:t>
      </w:r>
      <w:r w:rsidR="006F15BC" w:rsidRPr="00A613B2">
        <w:rPr>
          <w:noProof/>
        </w:rPr>
        <w:t xml:space="preserve">eahorse </w:t>
      </w:r>
      <w:r w:rsidR="006F15BC">
        <w:rPr>
          <w:noProof/>
        </w:rPr>
        <w:t>s</w:t>
      </w:r>
      <w:r w:rsidR="006F15BC" w:rsidRPr="00A613B2">
        <w:rPr>
          <w:noProof/>
        </w:rPr>
        <w:t>ystem</w:t>
      </w:r>
      <w:r w:rsidRPr="00A613B2">
        <w:rPr>
          <w:noProof/>
        </w:rPr>
        <w:t xml:space="preserve">. </w:t>
      </w:r>
      <w:r w:rsidR="00DB6BAD">
        <w:rPr>
          <w:i/>
          <w:iCs/>
          <w:noProof/>
        </w:rPr>
        <w:t xml:space="preserve">Methods in </w:t>
      </w:r>
      <w:r w:rsidR="006F15BC">
        <w:rPr>
          <w:i/>
          <w:iCs/>
          <w:noProof/>
        </w:rPr>
        <w:t xml:space="preserve">Molecular Biology </w:t>
      </w:r>
      <w:r w:rsidR="00DB6BAD">
        <w:rPr>
          <w:i/>
          <w:iCs/>
          <w:noProof/>
        </w:rPr>
        <w:t>(Cl</w:t>
      </w:r>
      <w:r w:rsidR="00AC389C">
        <w:rPr>
          <w:i/>
          <w:iCs/>
          <w:noProof/>
        </w:rPr>
        <w:t>ifton, N.J.</w:t>
      </w:r>
      <w:r w:rsidR="00DB6BAD">
        <w:rPr>
          <w:i/>
          <w:iCs/>
          <w:noProof/>
        </w:rPr>
        <w:t>)</w:t>
      </w:r>
      <w:r w:rsidRPr="00A613B2">
        <w:rPr>
          <w:noProof/>
        </w:rPr>
        <w:t xml:space="preserve">. </w:t>
      </w:r>
      <w:r w:rsidR="00AC389C">
        <w:rPr>
          <w:noProof/>
        </w:rPr>
        <w:t xml:space="preserve">1710, </w:t>
      </w:r>
      <w:r w:rsidRPr="00A613B2">
        <w:rPr>
          <w:noProof/>
        </w:rPr>
        <w:t>285–293 (2018).</w:t>
      </w:r>
    </w:p>
    <w:p w14:paraId="2D40E66A" w14:textId="4B7BBD05" w:rsidR="00A613B2" w:rsidRPr="00A613B2" w:rsidRDefault="00A613B2" w:rsidP="00A613B2">
      <w:pPr>
        <w:autoSpaceDE w:val="0"/>
        <w:autoSpaceDN w:val="0"/>
        <w:adjustRightInd w:val="0"/>
        <w:ind w:left="640" w:hanging="640"/>
        <w:rPr>
          <w:noProof/>
        </w:rPr>
      </w:pPr>
      <w:r w:rsidRPr="00A613B2">
        <w:rPr>
          <w:noProof/>
        </w:rPr>
        <w:t>27.</w:t>
      </w:r>
      <w:r w:rsidRPr="00A613B2">
        <w:rPr>
          <w:noProof/>
        </w:rPr>
        <w:tab/>
        <w:t xml:space="preserve">XF ATP </w:t>
      </w:r>
      <w:r w:rsidR="00314DA3">
        <w:rPr>
          <w:noProof/>
        </w:rPr>
        <w:t>r</w:t>
      </w:r>
      <w:r w:rsidR="00314DA3" w:rsidRPr="00A613B2">
        <w:rPr>
          <w:noProof/>
        </w:rPr>
        <w:t xml:space="preserve">ate </w:t>
      </w:r>
      <w:r w:rsidRPr="00A613B2">
        <w:rPr>
          <w:noProof/>
        </w:rPr>
        <w:t>assay. at &lt;https://www.agilent.com/en/product/cell-analysis/real-time-cell-metabolic-analysis/xf-assay-kits-reagents-cell-assay-media/seahorse-xf-real-time-atp-rate-assay-kit-740889&gt;.</w:t>
      </w:r>
    </w:p>
    <w:p w14:paraId="2DD4476D" w14:textId="76CF3F2F" w:rsidR="00A613B2" w:rsidRPr="00A613B2" w:rsidRDefault="00A613B2" w:rsidP="00A613B2">
      <w:pPr>
        <w:autoSpaceDE w:val="0"/>
        <w:autoSpaceDN w:val="0"/>
        <w:adjustRightInd w:val="0"/>
        <w:ind w:left="640" w:hanging="640"/>
        <w:rPr>
          <w:noProof/>
        </w:rPr>
      </w:pPr>
      <w:r w:rsidRPr="00A613B2">
        <w:rPr>
          <w:noProof/>
        </w:rPr>
        <w:t>28.</w:t>
      </w:r>
      <w:r w:rsidRPr="00A613B2">
        <w:rPr>
          <w:noProof/>
        </w:rPr>
        <w:tab/>
        <w:t xml:space="preserve">XF </w:t>
      </w:r>
      <w:r w:rsidR="00314DA3">
        <w:rPr>
          <w:noProof/>
        </w:rPr>
        <w:t>c</w:t>
      </w:r>
      <w:r w:rsidR="00314DA3" w:rsidRPr="00A613B2">
        <w:rPr>
          <w:noProof/>
        </w:rPr>
        <w:t xml:space="preserve">ell </w:t>
      </w:r>
      <w:r w:rsidR="00314DA3">
        <w:rPr>
          <w:noProof/>
        </w:rPr>
        <w:t>m</w:t>
      </w:r>
      <w:r w:rsidR="00314DA3" w:rsidRPr="00A613B2">
        <w:rPr>
          <w:noProof/>
        </w:rPr>
        <w:t xml:space="preserve">ito </w:t>
      </w:r>
      <w:r w:rsidR="00314DA3">
        <w:rPr>
          <w:noProof/>
        </w:rPr>
        <w:t>s</w:t>
      </w:r>
      <w:r w:rsidR="00314DA3" w:rsidRPr="00A613B2">
        <w:rPr>
          <w:noProof/>
        </w:rPr>
        <w:t xml:space="preserve">tress </w:t>
      </w:r>
      <w:r w:rsidR="00314DA3">
        <w:rPr>
          <w:noProof/>
        </w:rPr>
        <w:t>t</w:t>
      </w:r>
      <w:r w:rsidR="00314DA3" w:rsidRPr="00A613B2">
        <w:rPr>
          <w:noProof/>
        </w:rPr>
        <w:t>est</w:t>
      </w:r>
      <w:r w:rsidRPr="00A613B2">
        <w:rPr>
          <w:noProof/>
        </w:rPr>
        <w:t>. at &lt;https://www.agilent.com/en/product/cell-analysis/real-time-cell-metabolic-analysis/xf-assay-kits-reagents-cell-assay-media/seahorse-xf-cell-mito-stress-test-kit-740885&gt;.</w:t>
      </w:r>
    </w:p>
    <w:p w14:paraId="43C4EF0C" w14:textId="44C5349F" w:rsidR="00A613B2" w:rsidRPr="00A613B2" w:rsidRDefault="00A613B2" w:rsidP="00A613B2">
      <w:pPr>
        <w:autoSpaceDE w:val="0"/>
        <w:autoSpaceDN w:val="0"/>
        <w:adjustRightInd w:val="0"/>
        <w:ind w:left="640" w:hanging="640"/>
        <w:rPr>
          <w:noProof/>
        </w:rPr>
      </w:pPr>
      <w:r w:rsidRPr="00A613B2">
        <w:rPr>
          <w:noProof/>
        </w:rPr>
        <w:t>29.</w:t>
      </w:r>
      <w:r w:rsidRPr="00A613B2">
        <w:rPr>
          <w:noProof/>
        </w:rPr>
        <w:tab/>
        <w:t xml:space="preserve">XF </w:t>
      </w:r>
      <w:r w:rsidR="00314DA3">
        <w:rPr>
          <w:noProof/>
        </w:rPr>
        <w:t>m</w:t>
      </w:r>
      <w:r w:rsidR="00314DA3" w:rsidRPr="00A613B2">
        <w:rPr>
          <w:noProof/>
        </w:rPr>
        <w:t xml:space="preserve">ito </w:t>
      </w:r>
      <w:r w:rsidR="00314DA3">
        <w:rPr>
          <w:noProof/>
        </w:rPr>
        <w:t>f</w:t>
      </w:r>
      <w:r w:rsidR="00314DA3" w:rsidRPr="00A613B2">
        <w:rPr>
          <w:noProof/>
        </w:rPr>
        <w:t xml:space="preserve">uel </w:t>
      </w:r>
      <w:r w:rsidR="00314DA3">
        <w:rPr>
          <w:noProof/>
        </w:rPr>
        <w:t>f</w:t>
      </w:r>
      <w:r w:rsidR="00314DA3" w:rsidRPr="00A613B2">
        <w:rPr>
          <w:noProof/>
        </w:rPr>
        <w:t xml:space="preserve">lex </w:t>
      </w:r>
      <w:r w:rsidR="00314DA3">
        <w:rPr>
          <w:noProof/>
        </w:rPr>
        <w:t>t</w:t>
      </w:r>
      <w:r w:rsidR="00314DA3" w:rsidRPr="00A613B2">
        <w:rPr>
          <w:noProof/>
        </w:rPr>
        <w:t>est</w:t>
      </w:r>
      <w:r w:rsidRPr="00A613B2">
        <w:rPr>
          <w:noProof/>
        </w:rPr>
        <w:t>. at &lt;https://www.agilent.com/en/product/cell-analysis/real-time-cell-metabolic-analysis/xf-assay-kits-reagents-cell-assay-media/seahorse-xf-mito-fuel-flex-test-kit-740888&gt;.</w:t>
      </w:r>
    </w:p>
    <w:p w14:paraId="75138004" w14:textId="4870545F" w:rsidR="00A613B2" w:rsidRPr="00A613B2" w:rsidRDefault="00A613B2" w:rsidP="00A613B2">
      <w:pPr>
        <w:autoSpaceDE w:val="0"/>
        <w:autoSpaceDN w:val="0"/>
        <w:adjustRightInd w:val="0"/>
        <w:ind w:left="640" w:hanging="640"/>
        <w:rPr>
          <w:noProof/>
        </w:rPr>
      </w:pPr>
      <w:r w:rsidRPr="00A613B2">
        <w:rPr>
          <w:noProof/>
        </w:rPr>
        <w:t>30.</w:t>
      </w:r>
      <w:r w:rsidRPr="00A613B2">
        <w:rPr>
          <w:noProof/>
        </w:rPr>
        <w:tab/>
        <w:t>Maridas, D.</w:t>
      </w:r>
      <w:r w:rsidR="00314DA3">
        <w:rPr>
          <w:noProof/>
        </w:rPr>
        <w:t xml:space="preserve"> </w:t>
      </w:r>
      <w:r w:rsidRPr="00A613B2">
        <w:rPr>
          <w:noProof/>
        </w:rPr>
        <w:t>E., Rendina-Ruedy, E., Le, P.</w:t>
      </w:r>
      <w:r w:rsidR="00314DA3">
        <w:rPr>
          <w:noProof/>
        </w:rPr>
        <w:t xml:space="preserve"> </w:t>
      </w:r>
      <w:r w:rsidRPr="00A613B2">
        <w:rPr>
          <w:noProof/>
        </w:rPr>
        <w:t>T., Rosen, C.</w:t>
      </w:r>
      <w:r w:rsidR="00314DA3">
        <w:rPr>
          <w:noProof/>
        </w:rPr>
        <w:t xml:space="preserve"> </w:t>
      </w:r>
      <w:r w:rsidRPr="00A613B2">
        <w:rPr>
          <w:noProof/>
        </w:rPr>
        <w:t xml:space="preserve">J. Isolation, culture, and differentiation of bone marrow stromal cells and osteoclast progenitors from mice. </w:t>
      </w:r>
      <w:r w:rsidRPr="00A613B2">
        <w:rPr>
          <w:i/>
          <w:iCs/>
          <w:noProof/>
        </w:rPr>
        <w:t>Journal of Visualized Experiments</w:t>
      </w:r>
      <w:r w:rsidR="00314DA3">
        <w:rPr>
          <w:i/>
          <w:iCs/>
          <w:noProof/>
        </w:rPr>
        <w:t>: JoVE</w:t>
      </w:r>
      <w:r w:rsidRPr="00A613B2">
        <w:rPr>
          <w:noProof/>
        </w:rPr>
        <w:t xml:space="preserve">. (131), </w:t>
      </w:r>
      <w:r w:rsidR="00AC389C" w:rsidRPr="004A3B77">
        <w:rPr>
          <w:noProof/>
        </w:rPr>
        <w:t>56750</w:t>
      </w:r>
      <w:r w:rsidRPr="00A613B2">
        <w:rPr>
          <w:noProof/>
        </w:rPr>
        <w:t xml:space="preserve"> (2018).</w:t>
      </w:r>
    </w:p>
    <w:p w14:paraId="0822FF6F" w14:textId="6CA11386" w:rsidR="00A613B2" w:rsidRPr="00A613B2" w:rsidRDefault="00A613B2" w:rsidP="00A613B2">
      <w:pPr>
        <w:autoSpaceDE w:val="0"/>
        <w:autoSpaceDN w:val="0"/>
        <w:adjustRightInd w:val="0"/>
        <w:ind w:left="640" w:hanging="640"/>
        <w:rPr>
          <w:noProof/>
        </w:rPr>
      </w:pPr>
      <w:r w:rsidRPr="00A613B2">
        <w:rPr>
          <w:noProof/>
        </w:rPr>
        <w:t>31.</w:t>
      </w:r>
      <w:r w:rsidRPr="00A613B2">
        <w:rPr>
          <w:noProof/>
        </w:rPr>
        <w:tab/>
        <w:t xml:space="preserve">Wei, J. </w:t>
      </w:r>
      <w:r w:rsidRPr="007E602D">
        <w:rPr>
          <w:noProof/>
        </w:rPr>
        <w:t>et al.</w:t>
      </w:r>
      <w:r w:rsidRPr="00314DA3">
        <w:rPr>
          <w:noProof/>
        </w:rPr>
        <w:t xml:space="preserve"> </w:t>
      </w:r>
      <w:r w:rsidRPr="00A613B2">
        <w:rPr>
          <w:noProof/>
        </w:rPr>
        <w:t xml:space="preserve">Glucose </w:t>
      </w:r>
      <w:r w:rsidR="00314DA3">
        <w:rPr>
          <w:noProof/>
        </w:rPr>
        <w:t>u</w:t>
      </w:r>
      <w:r w:rsidR="00314DA3" w:rsidRPr="00A613B2">
        <w:rPr>
          <w:noProof/>
        </w:rPr>
        <w:t xml:space="preserve">ptake </w:t>
      </w:r>
      <w:r w:rsidRPr="00A613B2">
        <w:rPr>
          <w:noProof/>
        </w:rPr>
        <w:t xml:space="preserve">and Runx2 </w:t>
      </w:r>
      <w:r w:rsidR="00314DA3">
        <w:rPr>
          <w:noProof/>
        </w:rPr>
        <w:t>s</w:t>
      </w:r>
      <w:r w:rsidR="00314DA3" w:rsidRPr="00A613B2">
        <w:rPr>
          <w:noProof/>
        </w:rPr>
        <w:t xml:space="preserve">ynergize </w:t>
      </w:r>
      <w:r w:rsidRPr="00A613B2">
        <w:rPr>
          <w:noProof/>
        </w:rPr>
        <w:t xml:space="preserve">to </w:t>
      </w:r>
      <w:r w:rsidR="00314DA3">
        <w:rPr>
          <w:noProof/>
        </w:rPr>
        <w:t>o</w:t>
      </w:r>
      <w:r w:rsidR="00314DA3" w:rsidRPr="00A613B2">
        <w:rPr>
          <w:noProof/>
        </w:rPr>
        <w:t xml:space="preserve">rchestrate </w:t>
      </w:r>
      <w:r w:rsidR="00314DA3">
        <w:rPr>
          <w:noProof/>
        </w:rPr>
        <w:t>o</w:t>
      </w:r>
      <w:r w:rsidR="00314DA3" w:rsidRPr="00A613B2">
        <w:rPr>
          <w:noProof/>
        </w:rPr>
        <w:t xml:space="preserve">steoblast </w:t>
      </w:r>
      <w:r w:rsidR="00314DA3">
        <w:rPr>
          <w:noProof/>
        </w:rPr>
        <w:t>d</w:t>
      </w:r>
      <w:r w:rsidR="00314DA3" w:rsidRPr="00A613B2">
        <w:rPr>
          <w:noProof/>
        </w:rPr>
        <w:t xml:space="preserve">ifferentiation </w:t>
      </w:r>
      <w:r w:rsidRPr="00A613B2">
        <w:rPr>
          <w:noProof/>
        </w:rPr>
        <w:t xml:space="preserve">and </w:t>
      </w:r>
      <w:r w:rsidR="00314DA3">
        <w:rPr>
          <w:noProof/>
        </w:rPr>
        <w:t>b</w:t>
      </w:r>
      <w:r w:rsidR="00314DA3" w:rsidRPr="00A613B2">
        <w:rPr>
          <w:noProof/>
        </w:rPr>
        <w:t xml:space="preserve">one </w:t>
      </w:r>
      <w:r w:rsidR="00314DA3">
        <w:rPr>
          <w:noProof/>
        </w:rPr>
        <w:t>f</w:t>
      </w:r>
      <w:r w:rsidR="00314DA3" w:rsidRPr="00A613B2">
        <w:rPr>
          <w:noProof/>
        </w:rPr>
        <w:t>ormation</w:t>
      </w:r>
      <w:r w:rsidRPr="00A613B2">
        <w:rPr>
          <w:noProof/>
        </w:rPr>
        <w:t xml:space="preserve">. </w:t>
      </w:r>
      <w:r w:rsidRPr="00A613B2">
        <w:rPr>
          <w:i/>
          <w:iCs/>
          <w:noProof/>
        </w:rPr>
        <w:t>Cell</w:t>
      </w:r>
      <w:r w:rsidRPr="00A613B2">
        <w:rPr>
          <w:noProof/>
        </w:rPr>
        <w:t xml:space="preserve">. </w:t>
      </w:r>
      <w:r w:rsidRPr="00A613B2">
        <w:rPr>
          <w:b/>
          <w:bCs/>
          <w:noProof/>
        </w:rPr>
        <w:t>161</w:t>
      </w:r>
      <w:r w:rsidRPr="00A613B2">
        <w:rPr>
          <w:noProof/>
        </w:rPr>
        <w:t xml:space="preserve"> (7), 1576–1591 (2015).</w:t>
      </w:r>
    </w:p>
    <w:p w14:paraId="41AE010B" w14:textId="411D0543" w:rsidR="00A613B2" w:rsidRPr="00A613B2" w:rsidRDefault="00A613B2" w:rsidP="00A613B2">
      <w:pPr>
        <w:autoSpaceDE w:val="0"/>
        <w:autoSpaceDN w:val="0"/>
        <w:adjustRightInd w:val="0"/>
        <w:ind w:left="640" w:hanging="640"/>
        <w:rPr>
          <w:noProof/>
        </w:rPr>
      </w:pPr>
      <w:r w:rsidRPr="00A613B2">
        <w:rPr>
          <w:noProof/>
        </w:rPr>
        <w:t>32.</w:t>
      </w:r>
      <w:r w:rsidRPr="00A613B2">
        <w:rPr>
          <w:noProof/>
        </w:rPr>
        <w:tab/>
        <w:t>Zoch, M.</w:t>
      </w:r>
      <w:r w:rsidR="00314DA3">
        <w:rPr>
          <w:noProof/>
        </w:rPr>
        <w:t xml:space="preserve"> </w:t>
      </w:r>
      <w:r w:rsidRPr="00A613B2">
        <w:rPr>
          <w:noProof/>
        </w:rPr>
        <w:t>L., Abou, D.</w:t>
      </w:r>
      <w:r w:rsidR="00314DA3">
        <w:rPr>
          <w:noProof/>
        </w:rPr>
        <w:t xml:space="preserve"> </w:t>
      </w:r>
      <w:r w:rsidRPr="00A613B2">
        <w:rPr>
          <w:noProof/>
        </w:rPr>
        <w:t>S., Clemens, T.</w:t>
      </w:r>
      <w:r w:rsidR="00314DA3">
        <w:rPr>
          <w:noProof/>
        </w:rPr>
        <w:t xml:space="preserve"> </w:t>
      </w:r>
      <w:r w:rsidRPr="00A613B2">
        <w:rPr>
          <w:noProof/>
        </w:rPr>
        <w:t>L., Thorek, D.</w:t>
      </w:r>
      <w:r w:rsidR="00314DA3">
        <w:rPr>
          <w:noProof/>
        </w:rPr>
        <w:t xml:space="preserve"> </w:t>
      </w:r>
      <w:r w:rsidRPr="00A613B2">
        <w:rPr>
          <w:noProof/>
        </w:rPr>
        <w:t>L.</w:t>
      </w:r>
      <w:r w:rsidR="00314DA3">
        <w:rPr>
          <w:noProof/>
        </w:rPr>
        <w:t xml:space="preserve"> </w:t>
      </w:r>
      <w:r w:rsidRPr="00A613B2">
        <w:rPr>
          <w:noProof/>
        </w:rPr>
        <w:t>J., Riddle, R.</w:t>
      </w:r>
      <w:r w:rsidR="00314DA3">
        <w:rPr>
          <w:noProof/>
        </w:rPr>
        <w:t xml:space="preserve"> </w:t>
      </w:r>
      <w:r w:rsidRPr="00A613B2">
        <w:rPr>
          <w:noProof/>
        </w:rPr>
        <w:t xml:space="preserve">C. In vivo radiometric analysis of glucose uptake and distribution in mouse bone. </w:t>
      </w:r>
      <w:r w:rsidRPr="00A613B2">
        <w:rPr>
          <w:i/>
          <w:iCs/>
          <w:noProof/>
        </w:rPr>
        <w:t>Bone Research</w:t>
      </w:r>
      <w:r w:rsidRPr="00A613B2">
        <w:rPr>
          <w:noProof/>
        </w:rPr>
        <w:t xml:space="preserve">. </w:t>
      </w:r>
      <w:r w:rsidRPr="00A613B2">
        <w:rPr>
          <w:b/>
          <w:bCs/>
          <w:noProof/>
        </w:rPr>
        <w:t>4</w:t>
      </w:r>
      <w:r w:rsidRPr="00A613B2">
        <w:rPr>
          <w:noProof/>
        </w:rPr>
        <w:t xml:space="preserve">, </w:t>
      </w:r>
      <w:r w:rsidR="00673DB4">
        <w:rPr>
          <w:noProof/>
        </w:rPr>
        <w:t>16004</w:t>
      </w:r>
      <w:r w:rsidRPr="00A613B2">
        <w:rPr>
          <w:noProof/>
        </w:rPr>
        <w:t xml:space="preserve"> (2016).</w:t>
      </w:r>
    </w:p>
    <w:p w14:paraId="4B6AD3EB" w14:textId="115FA67F" w:rsidR="00A613B2" w:rsidRPr="00A613B2" w:rsidRDefault="00A613B2" w:rsidP="00A613B2">
      <w:pPr>
        <w:autoSpaceDE w:val="0"/>
        <w:autoSpaceDN w:val="0"/>
        <w:adjustRightInd w:val="0"/>
        <w:ind w:left="640" w:hanging="640"/>
        <w:rPr>
          <w:noProof/>
        </w:rPr>
      </w:pPr>
      <w:r w:rsidRPr="00A613B2">
        <w:rPr>
          <w:noProof/>
        </w:rPr>
        <w:t>33.</w:t>
      </w:r>
      <w:r w:rsidRPr="00A613B2">
        <w:rPr>
          <w:noProof/>
        </w:rPr>
        <w:tab/>
        <w:t>Divakaruni, A.</w:t>
      </w:r>
      <w:r w:rsidR="00314DA3">
        <w:rPr>
          <w:noProof/>
        </w:rPr>
        <w:t xml:space="preserve"> </w:t>
      </w:r>
      <w:r w:rsidRPr="00A613B2">
        <w:rPr>
          <w:noProof/>
        </w:rPr>
        <w:t>S., Paradyse, A., Ferrick, D.</w:t>
      </w:r>
      <w:r w:rsidR="00314DA3">
        <w:rPr>
          <w:noProof/>
        </w:rPr>
        <w:t xml:space="preserve"> </w:t>
      </w:r>
      <w:r w:rsidRPr="00A613B2">
        <w:rPr>
          <w:noProof/>
        </w:rPr>
        <w:t>A., Murphy, A.</w:t>
      </w:r>
      <w:r w:rsidR="00314DA3">
        <w:rPr>
          <w:noProof/>
        </w:rPr>
        <w:t xml:space="preserve"> </w:t>
      </w:r>
      <w:r w:rsidRPr="00A613B2">
        <w:rPr>
          <w:noProof/>
        </w:rPr>
        <w:t xml:space="preserve">N., Jastroch, M. Analysis and interpretation of microplate-based oxygen consumption and pH data. </w:t>
      </w:r>
      <w:r w:rsidRPr="00A613B2">
        <w:rPr>
          <w:i/>
          <w:iCs/>
          <w:noProof/>
        </w:rPr>
        <w:t>Methods in Enzymology</w:t>
      </w:r>
      <w:r w:rsidRPr="00A613B2">
        <w:rPr>
          <w:noProof/>
        </w:rPr>
        <w:t xml:space="preserve">. </w:t>
      </w:r>
      <w:r w:rsidRPr="00A613B2">
        <w:rPr>
          <w:b/>
          <w:bCs/>
          <w:noProof/>
        </w:rPr>
        <w:t>547</w:t>
      </w:r>
      <w:r w:rsidRPr="00A613B2">
        <w:rPr>
          <w:noProof/>
        </w:rPr>
        <w:t xml:space="preserve"> (C), 309–354 (2014).</w:t>
      </w:r>
    </w:p>
    <w:p w14:paraId="5C50BECD" w14:textId="47DF1F80" w:rsidR="00A613B2" w:rsidRPr="00A613B2" w:rsidRDefault="00A613B2" w:rsidP="00A613B2">
      <w:pPr>
        <w:autoSpaceDE w:val="0"/>
        <w:autoSpaceDN w:val="0"/>
        <w:adjustRightInd w:val="0"/>
        <w:ind w:left="640" w:hanging="640"/>
        <w:rPr>
          <w:noProof/>
        </w:rPr>
      </w:pPr>
      <w:r w:rsidRPr="00A613B2">
        <w:rPr>
          <w:noProof/>
        </w:rPr>
        <w:t>34.</w:t>
      </w:r>
      <w:r w:rsidRPr="00A613B2">
        <w:rPr>
          <w:noProof/>
        </w:rPr>
        <w:tab/>
        <w:t xml:space="preserve">Kam, Y., Jastromb, N., Clayton, J., Held, P., Dranka, B. Normalization of </w:t>
      </w:r>
      <w:r w:rsidR="00314DA3">
        <w:rPr>
          <w:noProof/>
        </w:rPr>
        <w:t>a</w:t>
      </w:r>
      <w:r w:rsidR="00314DA3" w:rsidRPr="00A613B2">
        <w:rPr>
          <w:noProof/>
        </w:rPr>
        <w:t xml:space="preserve">gilent </w:t>
      </w:r>
      <w:r w:rsidR="00314DA3">
        <w:rPr>
          <w:noProof/>
        </w:rPr>
        <w:t>s</w:t>
      </w:r>
      <w:r w:rsidR="00314DA3" w:rsidRPr="00A613B2">
        <w:rPr>
          <w:noProof/>
        </w:rPr>
        <w:t xml:space="preserve">eahorse </w:t>
      </w:r>
      <w:r w:rsidRPr="00A613B2">
        <w:rPr>
          <w:noProof/>
        </w:rPr>
        <w:t xml:space="preserve">XF </w:t>
      </w:r>
      <w:r w:rsidR="00314DA3">
        <w:rPr>
          <w:noProof/>
        </w:rPr>
        <w:t>d</w:t>
      </w:r>
      <w:r w:rsidR="00314DA3" w:rsidRPr="00A613B2">
        <w:rPr>
          <w:noProof/>
        </w:rPr>
        <w:t xml:space="preserve">ata </w:t>
      </w:r>
      <w:r w:rsidRPr="00A613B2">
        <w:rPr>
          <w:noProof/>
        </w:rPr>
        <w:t xml:space="preserve">by </w:t>
      </w:r>
      <w:r w:rsidR="00314DA3">
        <w:rPr>
          <w:noProof/>
        </w:rPr>
        <w:t>i</w:t>
      </w:r>
      <w:r w:rsidR="00314DA3" w:rsidRPr="00A613B2">
        <w:rPr>
          <w:noProof/>
        </w:rPr>
        <w:t>n</w:t>
      </w:r>
      <w:r w:rsidRPr="00A613B2">
        <w:rPr>
          <w:noProof/>
        </w:rPr>
        <w:t xml:space="preserve">-situ </w:t>
      </w:r>
      <w:r w:rsidR="00314DA3">
        <w:rPr>
          <w:noProof/>
        </w:rPr>
        <w:t>c</w:t>
      </w:r>
      <w:r w:rsidR="00314DA3" w:rsidRPr="00A613B2">
        <w:rPr>
          <w:noProof/>
        </w:rPr>
        <w:t xml:space="preserve">ell </w:t>
      </w:r>
      <w:r w:rsidR="00314DA3">
        <w:rPr>
          <w:noProof/>
        </w:rPr>
        <w:t>c</w:t>
      </w:r>
      <w:r w:rsidR="00314DA3" w:rsidRPr="00A613B2">
        <w:rPr>
          <w:noProof/>
        </w:rPr>
        <w:t xml:space="preserve">ounting </w:t>
      </w:r>
      <w:r w:rsidR="00314DA3">
        <w:rPr>
          <w:noProof/>
        </w:rPr>
        <w:t>u</w:t>
      </w:r>
      <w:r w:rsidR="00314DA3" w:rsidRPr="00A613B2">
        <w:rPr>
          <w:noProof/>
        </w:rPr>
        <w:t xml:space="preserve">sing </w:t>
      </w:r>
      <w:r w:rsidRPr="00A613B2">
        <w:rPr>
          <w:noProof/>
        </w:rPr>
        <w:t xml:space="preserve">a BioTek </w:t>
      </w:r>
      <w:r w:rsidR="00314DA3">
        <w:rPr>
          <w:noProof/>
        </w:rPr>
        <w:t>c</w:t>
      </w:r>
      <w:r w:rsidR="00314DA3" w:rsidRPr="00A613B2">
        <w:rPr>
          <w:noProof/>
        </w:rPr>
        <w:t xml:space="preserve">ytation </w:t>
      </w:r>
      <w:r w:rsidRPr="00A613B2">
        <w:rPr>
          <w:noProof/>
        </w:rPr>
        <w:t xml:space="preserve">5 </w:t>
      </w:r>
      <w:r w:rsidR="00314DA3">
        <w:rPr>
          <w:noProof/>
        </w:rPr>
        <w:t>a</w:t>
      </w:r>
      <w:r w:rsidR="00314DA3" w:rsidRPr="00A613B2">
        <w:rPr>
          <w:noProof/>
        </w:rPr>
        <w:t xml:space="preserve">pplication </w:t>
      </w:r>
      <w:r w:rsidR="00314DA3">
        <w:rPr>
          <w:noProof/>
        </w:rPr>
        <w:t>n</w:t>
      </w:r>
      <w:r w:rsidR="00314DA3" w:rsidRPr="00A613B2">
        <w:rPr>
          <w:noProof/>
        </w:rPr>
        <w:t xml:space="preserve">ote </w:t>
      </w:r>
      <w:r w:rsidRPr="00A613B2">
        <w:rPr>
          <w:noProof/>
        </w:rPr>
        <w:t>(2017).</w:t>
      </w:r>
    </w:p>
    <w:p w14:paraId="2E834DFE" w14:textId="62F973D6" w:rsidR="00A613B2" w:rsidRPr="00AA24D3" w:rsidRDefault="00294C4A" w:rsidP="007E602D">
      <w:pPr>
        <w:jc w:val="left"/>
        <w:rPr>
          <w:color w:val="7F7F7F"/>
        </w:rPr>
      </w:pPr>
      <w:r w:rsidRPr="00AA24D3">
        <w:rPr>
          <w:b/>
        </w:rPr>
        <w:fldChar w:fldCharType="end"/>
      </w:r>
    </w:p>
    <w:sectPr w:rsidR="00A613B2" w:rsidRPr="00AA24D3" w:rsidSect="00810DAB">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8A2F0" w14:textId="77777777" w:rsidR="004847F0" w:rsidRDefault="004847F0">
      <w:r>
        <w:separator/>
      </w:r>
    </w:p>
  </w:endnote>
  <w:endnote w:type="continuationSeparator" w:id="0">
    <w:p w14:paraId="08BB176E" w14:textId="77777777" w:rsidR="004847F0" w:rsidRDefault="0048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F6295" w:rsidRDefault="009F629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B65A" w14:textId="1964DE7D" w:rsidR="009F6295" w:rsidRDefault="009F6295" w:rsidP="0036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F44D" w14:textId="77777777" w:rsidR="004847F0" w:rsidRDefault="004847F0">
      <w:r>
        <w:separator/>
      </w:r>
    </w:p>
  </w:footnote>
  <w:footnote w:type="continuationSeparator" w:id="0">
    <w:p w14:paraId="0EA8EA96" w14:textId="77777777" w:rsidR="004847F0" w:rsidRDefault="0048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F6295" w:rsidRDefault="009F629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6DDCB29" w:rsidR="009F6295" w:rsidRDefault="009F6295">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BF42224" w:rsidR="009F6295" w:rsidRDefault="009F6295" w:rsidP="007E602D">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2A14"/>
    <w:multiLevelType w:val="multilevel"/>
    <w:tmpl w:val="68E6B66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8C4AD4"/>
    <w:multiLevelType w:val="multilevel"/>
    <w:tmpl w:val="C7F0C67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1NLMwNjU2NzQBYiUdpeDU4uLM/DyQAiPTWgDkwYCNLQAAAA=="/>
  </w:docVars>
  <w:rsids>
    <w:rsidRoot w:val="006E4797"/>
    <w:rsid w:val="00002A91"/>
    <w:rsid w:val="00005791"/>
    <w:rsid w:val="000114D9"/>
    <w:rsid w:val="0001268E"/>
    <w:rsid w:val="00013967"/>
    <w:rsid w:val="00023751"/>
    <w:rsid w:val="00026095"/>
    <w:rsid w:val="00031070"/>
    <w:rsid w:val="00031CC2"/>
    <w:rsid w:val="00034AB5"/>
    <w:rsid w:val="00036DDC"/>
    <w:rsid w:val="0004079A"/>
    <w:rsid w:val="00042894"/>
    <w:rsid w:val="00043E33"/>
    <w:rsid w:val="00046A51"/>
    <w:rsid w:val="00052889"/>
    <w:rsid w:val="00053C20"/>
    <w:rsid w:val="00053FDB"/>
    <w:rsid w:val="00060178"/>
    <w:rsid w:val="000634D0"/>
    <w:rsid w:val="00063C97"/>
    <w:rsid w:val="00066337"/>
    <w:rsid w:val="000670B2"/>
    <w:rsid w:val="00067A03"/>
    <w:rsid w:val="00077EB0"/>
    <w:rsid w:val="00081BFF"/>
    <w:rsid w:val="00082562"/>
    <w:rsid w:val="00090F5A"/>
    <w:rsid w:val="000920CB"/>
    <w:rsid w:val="00092144"/>
    <w:rsid w:val="00093382"/>
    <w:rsid w:val="000958C9"/>
    <w:rsid w:val="000967F8"/>
    <w:rsid w:val="000A78BA"/>
    <w:rsid w:val="000C00BD"/>
    <w:rsid w:val="000C0240"/>
    <w:rsid w:val="000C33CB"/>
    <w:rsid w:val="000C4467"/>
    <w:rsid w:val="000C63AD"/>
    <w:rsid w:val="000D04B5"/>
    <w:rsid w:val="000D4278"/>
    <w:rsid w:val="000D4B33"/>
    <w:rsid w:val="000D5768"/>
    <w:rsid w:val="000D5FFF"/>
    <w:rsid w:val="000E78E5"/>
    <w:rsid w:val="000F1266"/>
    <w:rsid w:val="000F2008"/>
    <w:rsid w:val="000F6FD4"/>
    <w:rsid w:val="000F7A1A"/>
    <w:rsid w:val="00103433"/>
    <w:rsid w:val="00103CD6"/>
    <w:rsid w:val="0010608F"/>
    <w:rsid w:val="00111B61"/>
    <w:rsid w:val="0011329D"/>
    <w:rsid w:val="00115688"/>
    <w:rsid w:val="00120856"/>
    <w:rsid w:val="00121C71"/>
    <w:rsid w:val="001223C8"/>
    <w:rsid w:val="00122648"/>
    <w:rsid w:val="001227FF"/>
    <w:rsid w:val="001229C8"/>
    <w:rsid w:val="00140FF7"/>
    <w:rsid w:val="0014155F"/>
    <w:rsid w:val="001443BC"/>
    <w:rsid w:val="00146F04"/>
    <w:rsid w:val="00150DAA"/>
    <w:rsid w:val="0015313F"/>
    <w:rsid w:val="001562A8"/>
    <w:rsid w:val="00157F33"/>
    <w:rsid w:val="00161488"/>
    <w:rsid w:val="00161AD8"/>
    <w:rsid w:val="001634CF"/>
    <w:rsid w:val="00163634"/>
    <w:rsid w:val="001639D3"/>
    <w:rsid w:val="00167170"/>
    <w:rsid w:val="0017044C"/>
    <w:rsid w:val="0017562C"/>
    <w:rsid w:val="0018199E"/>
    <w:rsid w:val="001820A8"/>
    <w:rsid w:val="00186D0E"/>
    <w:rsid w:val="0019014B"/>
    <w:rsid w:val="001931DA"/>
    <w:rsid w:val="00194D2B"/>
    <w:rsid w:val="00196E7A"/>
    <w:rsid w:val="00197226"/>
    <w:rsid w:val="00197826"/>
    <w:rsid w:val="001A4C57"/>
    <w:rsid w:val="001A67E3"/>
    <w:rsid w:val="001B2496"/>
    <w:rsid w:val="001B2A46"/>
    <w:rsid w:val="001B5659"/>
    <w:rsid w:val="001B7B33"/>
    <w:rsid w:val="001C00C3"/>
    <w:rsid w:val="001C2AF1"/>
    <w:rsid w:val="001C3A76"/>
    <w:rsid w:val="001C5E6E"/>
    <w:rsid w:val="001C7A5A"/>
    <w:rsid w:val="001D0B7F"/>
    <w:rsid w:val="001D5305"/>
    <w:rsid w:val="001D6BDC"/>
    <w:rsid w:val="001E175C"/>
    <w:rsid w:val="001E2426"/>
    <w:rsid w:val="001E35D7"/>
    <w:rsid w:val="001E397E"/>
    <w:rsid w:val="001F65FE"/>
    <w:rsid w:val="0020002F"/>
    <w:rsid w:val="002027C3"/>
    <w:rsid w:val="0020410C"/>
    <w:rsid w:val="00206D9D"/>
    <w:rsid w:val="00222A11"/>
    <w:rsid w:val="00225384"/>
    <w:rsid w:val="002300EE"/>
    <w:rsid w:val="00237151"/>
    <w:rsid w:val="00237420"/>
    <w:rsid w:val="00240731"/>
    <w:rsid w:val="002419A2"/>
    <w:rsid w:val="00244A20"/>
    <w:rsid w:val="00247235"/>
    <w:rsid w:val="00247C5B"/>
    <w:rsid w:val="002516DB"/>
    <w:rsid w:val="00252B25"/>
    <w:rsid w:val="00253FD0"/>
    <w:rsid w:val="002567F0"/>
    <w:rsid w:val="002569BA"/>
    <w:rsid w:val="00262F15"/>
    <w:rsid w:val="0026460E"/>
    <w:rsid w:val="00264C52"/>
    <w:rsid w:val="00266110"/>
    <w:rsid w:val="00267F46"/>
    <w:rsid w:val="00270A21"/>
    <w:rsid w:val="002715A6"/>
    <w:rsid w:val="00276FE6"/>
    <w:rsid w:val="00282587"/>
    <w:rsid w:val="00284DDA"/>
    <w:rsid w:val="002875BE"/>
    <w:rsid w:val="00292310"/>
    <w:rsid w:val="00294C4A"/>
    <w:rsid w:val="00296699"/>
    <w:rsid w:val="00297A84"/>
    <w:rsid w:val="002A5214"/>
    <w:rsid w:val="002B3299"/>
    <w:rsid w:val="002B7929"/>
    <w:rsid w:val="002C38EE"/>
    <w:rsid w:val="002C476A"/>
    <w:rsid w:val="002C648A"/>
    <w:rsid w:val="002D38ED"/>
    <w:rsid w:val="002D3C03"/>
    <w:rsid w:val="002D4FC1"/>
    <w:rsid w:val="002D546F"/>
    <w:rsid w:val="002D6B43"/>
    <w:rsid w:val="002E11CA"/>
    <w:rsid w:val="002E467E"/>
    <w:rsid w:val="002F5D78"/>
    <w:rsid w:val="00301171"/>
    <w:rsid w:val="00304E2D"/>
    <w:rsid w:val="00305F0F"/>
    <w:rsid w:val="003143C1"/>
    <w:rsid w:val="00314DA3"/>
    <w:rsid w:val="00317B11"/>
    <w:rsid w:val="00317F4D"/>
    <w:rsid w:val="0032028C"/>
    <w:rsid w:val="0032242C"/>
    <w:rsid w:val="00322472"/>
    <w:rsid w:val="003301E7"/>
    <w:rsid w:val="00330AF5"/>
    <w:rsid w:val="0033241E"/>
    <w:rsid w:val="003375DE"/>
    <w:rsid w:val="00340770"/>
    <w:rsid w:val="00341702"/>
    <w:rsid w:val="003441F9"/>
    <w:rsid w:val="00346722"/>
    <w:rsid w:val="00351087"/>
    <w:rsid w:val="0036179B"/>
    <w:rsid w:val="0036683D"/>
    <w:rsid w:val="003700C8"/>
    <w:rsid w:val="00371DDC"/>
    <w:rsid w:val="00373F87"/>
    <w:rsid w:val="00376BEB"/>
    <w:rsid w:val="003809E9"/>
    <w:rsid w:val="00382C3D"/>
    <w:rsid w:val="00391C5C"/>
    <w:rsid w:val="00394CB9"/>
    <w:rsid w:val="0039758F"/>
    <w:rsid w:val="003B0FA4"/>
    <w:rsid w:val="003B3019"/>
    <w:rsid w:val="003B6B7C"/>
    <w:rsid w:val="003C1A3C"/>
    <w:rsid w:val="003C446A"/>
    <w:rsid w:val="003C6424"/>
    <w:rsid w:val="003C6AE2"/>
    <w:rsid w:val="003D427D"/>
    <w:rsid w:val="003D67D3"/>
    <w:rsid w:val="003E41A1"/>
    <w:rsid w:val="003F084D"/>
    <w:rsid w:val="003F1916"/>
    <w:rsid w:val="003F2231"/>
    <w:rsid w:val="003F294C"/>
    <w:rsid w:val="003F2F86"/>
    <w:rsid w:val="003F557F"/>
    <w:rsid w:val="003F6742"/>
    <w:rsid w:val="003F7315"/>
    <w:rsid w:val="003F7E61"/>
    <w:rsid w:val="00402E56"/>
    <w:rsid w:val="00404A6C"/>
    <w:rsid w:val="0040561E"/>
    <w:rsid w:val="00405B91"/>
    <w:rsid w:val="0040784E"/>
    <w:rsid w:val="00411712"/>
    <w:rsid w:val="00412975"/>
    <w:rsid w:val="00414A48"/>
    <w:rsid w:val="004167AF"/>
    <w:rsid w:val="004204A2"/>
    <w:rsid w:val="00422C04"/>
    <w:rsid w:val="00423874"/>
    <w:rsid w:val="0043597A"/>
    <w:rsid w:val="00436B4C"/>
    <w:rsid w:val="00450A1B"/>
    <w:rsid w:val="00452248"/>
    <w:rsid w:val="00457EAD"/>
    <w:rsid w:val="004626A1"/>
    <w:rsid w:val="00462D6A"/>
    <w:rsid w:val="0046444F"/>
    <w:rsid w:val="00464536"/>
    <w:rsid w:val="0047169B"/>
    <w:rsid w:val="004738B0"/>
    <w:rsid w:val="00474216"/>
    <w:rsid w:val="004747F2"/>
    <w:rsid w:val="0047537D"/>
    <w:rsid w:val="00477D74"/>
    <w:rsid w:val="0048302A"/>
    <w:rsid w:val="00483303"/>
    <w:rsid w:val="00484507"/>
    <w:rsid w:val="004847F0"/>
    <w:rsid w:val="004859EA"/>
    <w:rsid w:val="00485A5C"/>
    <w:rsid w:val="004906B5"/>
    <w:rsid w:val="00491B4A"/>
    <w:rsid w:val="004A1B81"/>
    <w:rsid w:val="004A3B77"/>
    <w:rsid w:val="004A3FD7"/>
    <w:rsid w:val="004A4CA2"/>
    <w:rsid w:val="004B137E"/>
    <w:rsid w:val="004B4334"/>
    <w:rsid w:val="004C102D"/>
    <w:rsid w:val="004C40F1"/>
    <w:rsid w:val="004D1BB6"/>
    <w:rsid w:val="004D28DA"/>
    <w:rsid w:val="004D5043"/>
    <w:rsid w:val="004D594C"/>
    <w:rsid w:val="004D6863"/>
    <w:rsid w:val="004D6D07"/>
    <w:rsid w:val="004D7BFA"/>
    <w:rsid w:val="004E19EF"/>
    <w:rsid w:val="004E4556"/>
    <w:rsid w:val="004E4A95"/>
    <w:rsid w:val="004F35CF"/>
    <w:rsid w:val="004F3AD8"/>
    <w:rsid w:val="004F3EA3"/>
    <w:rsid w:val="004F76AF"/>
    <w:rsid w:val="00505E84"/>
    <w:rsid w:val="00511F1B"/>
    <w:rsid w:val="00515A5C"/>
    <w:rsid w:val="00521473"/>
    <w:rsid w:val="00522792"/>
    <w:rsid w:val="00523E42"/>
    <w:rsid w:val="00524464"/>
    <w:rsid w:val="00525011"/>
    <w:rsid w:val="00531D54"/>
    <w:rsid w:val="005355E8"/>
    <w:rsid w:val="005362E6"/>
    <w:rsid w:val="00551D16"/>
    <w:rsid w:val="00551D82"/>
    <w:rsid w:val="005548CA"/>
    <w:rsid w:val="00556A75"/>
    <w:rsid w:val="00556CF0"/>
    <w:rsid w:val="00557435"/>
    <w:rsid w:val="00567856"/>
    <w:rsid w:val="00572336"/>
    <w:rsid w:val="005730EA"/>
    <w:rsid w:val="005759BB"/>
    <w:rsid w:val="00576D89"/>
    <w:rsid w:val="00584472"/>
    <w:rsid w:val="00585064"/>
    <w:rsid w:val="00587BF8"/>
    <w:rsid w:val="005924EB"/>
    <w:rsid w:val="005A3D60"/>
    <w:rsid w:val="005A44A4"/>
    <w:rsid w:val="005A5E42"/>
    <w:rsid w:val="005A7000"/>
    <w:rsid w:val="005B00D9"/>
    <w:rsid w:val="005B0303"/>
    <w:rsid w:val="005B0A95"/>
    <w:rsid w:val="005B38C4"/>
    <w:rsid w:val="005B4D0E"/>
    <w:rsid w:val="005B56C1"/>
    <w:rsid w:val="005C16C6"/>
    <w:rsid w:val="005C322E"/>
    <w:rsid w:val="005C57C6"/>
    <w:rsid w:val="005C5828"/>
    <w:rsid w:val="005D1DB7"/>
    <w:rsid w:val="005D3489"/>
    <w:rsid w:val="005D36F6"/>
    <w:rsid w:val="005D6DF3"/>
    <w:rsid w:val="005E4BAC"/>
    <w:rsid w:val="005E590B"/>
    <w:rsid w:val="005E63DD"/>
    <w:rsid w:val="005E7E3F"/>
    <w:rsid w:val="005F40B8"/>
    <w:rsid w:val="00600DB0"/>
    <w:rsid w:val="0060203D"/>
    <w:rsid w:val="00605ADF"/>
    <w:rsid w:val="00610A08"/>
    <w:rsid w:val="00612D14"/>
    <w:rsid w:val="006130E7"/>
    <w:rsid w:val="00613B42"/>
    <w:rsid w:val="006205F2"/>
    <w:rsid w:val="00621D7A"/>
    <w:rsid w:val="00622578"/>
    <w:rsid w:val="00625808"/>
    <w:rsid w:val="00626580"/>
    <w:rsid w:val="00630672"/>
    <w:rsid w:val="00630E73"/>
    <w:rsid w:val="00636517"/>
    <w:rsid w:val="006376B9"/>
    <w:rsid w:val="006379AF"/>
    <w:rsid w:val="00643A72"/>
    <w:rsid w:val="0064418A"/>
    <w:rsid w:val="00645E14"/>
    <w:rsid w:val="006527BF"/>
    <w:rsid w:val="00653B61"/>
    <w:rsid w:val="00653CE6"/>
    <w:rsid w:val="006613E4"/>
    <w:rsid w:val="00661683"/>
    <w:rsid w:val="006640CF"/>
    <w:rsid w:val="006712FE"/>
    <w:rsid w:val="00671512"/>
    <w:rsid w:val="00673DB4"/>
    <w:rsid w:val="0069091C"/>
    <w:rsid w:val="00691C1E"/>
    <w:rsid w:val="006A0324"/>
    <w:rsid w:val="006A1B3F"/>
    <w:rsid w:val="006A2581"/>
    <w:rsid w:val="006A3397"/>
    <w:rsid w:val="006B0084"/>
    <w:rsid w:val="006B0DD4"/>
    <w:rsid w:val="006B5D27"/>
    <w:rsid w:val="006C251D"/>
    <w:rsid w:val="006C265F"/>
    <w:rsid w:val="006C439C"/>
    <w:rsid w:val="006C629B"/>
    <w:rsid w:val="006C776F"/>
    <w:rsid w:val="006D4494"/>
    <w:rsid w:val="006E4797"/>
    <w:rsid w:val="006F15BC"/>
    <w:rsid w:val="006F15E6"/>
    <w:rsid w:val="006F2BD7"/>
    <w:rsid w:val="006F34E9"/>
    <w:rsid w:val="006F472A"/>
    <w:rsid w:val="006F484C"/>
    <w:rsid w:val="006F6536"/>
    <w:rsid w:val="0070444F"/>
    <w:rsid w:val="00704A1A"/>
    <w:rsid w:val="007122AB"/>
    <w:rsid w:val="007139F5"/>
    <w:rsid w:val="00713A74"/>
    <w:rsid w:val="007160BE"/>
    <w:rsid w:val="00716ABC"/>
    <w:rsid w:val="00721735"/>
    <w:rsid w:val="00722302"/>
    <w:rsid w:val="00725DF2"/>
    <w:rsid w:val="00732534"/>
    <w:rsid w:val="0073382D"/>
    <w:rsid w:val="007346DE"/>
    <w:rsid w:val="0073571D"/>
    <w:rsid w:val="00744F1F"/>
    <w:rsid w:val="00746913"/>
    <w:rsid w:val="00754782"/>
    <w:rsid w:val="00755A67"/>
    <w:rsid w:val="007576C9"/>
    <w:rsid w:val="0075782C"/>
    <w:rsid w:val="0076339E"/>
    <w:rsid w:val="007666F1"/>
    <w:rsid w:val="007677E5"/>
    <w:rsid w:val="00767DAB"/>
    <w:rsid w:val="00770C33"/>
    <w:rsid w:val="00772156"/>
    <w:rsid w:val="00776708"/>
    <w:rsid w:val="00777F09"/>
    <w:rsid w:val="007826D0"/>
    <w:rsid w:val="0079254E"/>
    <w:rsid w:val="007926F5"/>
    <w:rsid w:val="00795696"/>
    <w:rsid w:val="00795905"/>
    <w:rsid w:val="00796335"/>
    <w:rsid w:val="007A04EC"/>
    <w:rsid w:val="007B2821"/>
    <w:rsid w:val="007B42F3"/>
    <w:rsid w:val="007B6E46"/>
    <w:rsid w:val="007C2363"/>
    <w:rsid w:val="007C2B7D"/>
    <w:rsid w:val="007C3DFC"/>
    <w:rsid w:val="007C7E90"/>
    <w:rsid w:val="007D3BE7"/>
    <w:rsid w:val="007E1549"/>
    <w:rsid w:val="007E29E0"/>
    <w:rsid w:val="007E4B6D"/>
    <w:rsid w:val="007E51D8"/>
    <w:rsid w:val="007E5612"/>
    <w:rsid w:val="007E602D"/>
    <w:rsid w:val="007F0293"/>
    <w:rsid w:val="007F2B17"/>
    <w:rsid w:val="007F5785"/>
    <w:rsid w:val="007F7450"/>
    <w:rsid w:val="0080555F"/>
    <w:rsid w:val="00810DAB"/>
    <w:rsid w:val="00810DD8"/>
    <w:rsid w:val="008115AC"/>
    <w:rsid w:val="0081323F"/>
    <w:rsid w:val="0081712F"/>
    <w:rsid w:val="00821F02"/>
    <w:rsid w:val="00822FD6"/>
    <w:rsid w:val="00823A54"/>
    <w:rsid w:val="008261F0"/>
    <w:rsid w:val="00834CA3"/>
    <w:rsid w:val="00836265"/>
    <w:rsid w:val="008410E8"/>
    <w:rsid w:val="00852C0F"/>
    <w:rsid w:val="008625A2"/>
    <w:rsid w:val="00866906"/>
    <w:rsid w:val="00871C9A"/>
    <w:rsid w:val="008729B2"/>
    <w:rsid w:val="00872C36"/>
    <w:rsid w:val="00874018"/>
    <w:rsid w:val="008750F2"/>
    <w:rsid w:val="00884C0A"/>
    <w:rsid w:val="00891528"/>
    <w:rsid w:val="0089321C"/>
    <w:rsid w:val="00893631"/>
    <w:rsid w:val="008A0E46"/>
    <w:rsid w:val="008A1CA7"/>
    <w:rsid w:val="008A2EA1"/>
    <w:rsid w:val="008A53C6"/>
    <w:rsid w:val="008B090E"/>
    <w:rsid w:val="008B52CA"/>
    <w:rsid w:val="008B5A5B"/>
    <w:rsid w:val="008B5E87"/>
    <w:rsid w:val="008C0EE2"/>
    <w:rsid w:val="008C17AE"/>
    <w:rsid w:val="008C5854"/>
    <w:rsid w:val="008D0367"/>
    <w:rsid w:val="008D08F4"/>
    <w:rsid w:val="008D14D7"/>
    <w:rsid w:val="008D26FB"/>
    <w:rsid w:val="008D3239"/>
    <w:rsid w:val="008D6348"/>
    <w:rsid w:val="008E0F47"/>
    <w:rsid w:val="008E2011"/>
    <w:rsid w:val="008E5897"/>
    <w:rsid w:val="008E6F19"/>
    <w:rsid w:val="008F2EB0"/>
    <w:rsid w:val="008F32E3"/>
    <w:rsid w:val="008F3447"/>
    <w:rsid w:val="00907AD1"/>
    <w:rsid w:val="00907FD5"/>
    <w:rsid w:val="009105B5"/>
    <w:rsid w:val="00911669"/>
    <w:rsid w:val="00916CE2"/>
    <w:rsid w:val="00921000"/>
    <w:rsid w:val="00930C9F"/>
    <w:rsid w:val="00932E4B"/>
    <w:rsid w:val="00942622"/>
    <w:rsid w:val="00946516"/>
    <w:rsid w:val="0094692F"/>
    <w:rsid w:val="00947640"/>
    <w:rsid w:val="00947CC0"/>
    <w:rsid w:val="00954326"/>
    <w:rsid w:val="009603F7"/>
    <w:rsid w:val="00961B14"/>
    <w:rsid w:val="0096519C"/>
    <w:rsid w:val="00966123"/>
    <w:rsid w:val="00966B4D"/>
    <w:rsid w:val="009716ED"/>
    <w:rsid w:val="009720BC"/>
    <w:rsid w:val="00972F6D"/>
    <w:rsid w:val="00973F01"/>
    <w:rsid w:val="00977A20"/>
    <w:rsid w:val="00981750"/>
    <w:rsid w:val="0098202B"/>
    <w:rsid w:val="00983C00"/>
    <w:rsid w:val="009851A4"/>
    <w:rsid w:val="00985D88"/>
    <w:rsid w:val="00987389"/>
    <w:rsid w:val="0098751C"/>
    <w:rsid w:val="009949DB"/>
    <w:rsid w:val="00995661"/>
    <w:rsid w:val="00996F67"/>
    <w:rsid w:val="009A10AC"/>
    <w:rsid w:val="009A63CE"/>
    <w:rsid w:val="009C1AE5"/>
    <w:rsid w:val="009C339A"/>
    <w:rsid w:val="009C6E1A"/>
    <w:rsid w:val="009C7731"/>
    <w:rsid w:val="009D0133"/>
    <w:rsid w:val="009D0266"/>
    <w:rsid w:val="009D034D"/>
    <w:rsid w:val="009D3257"/>
    <w:rsid w:val="009D5F0B"/>
    <w:rsid w:val="009D6502"/>
    <w:rsid w:val="009E0139"/>
    <w:rsid w:val="009F4F4E"/>
    <w:rsid w:val="009F5E9A"/>
    <w:rsid w:val="009F6295"/>
    <w:rsid w:val="009F7BE7"/>
    <w:rsid w:val="00A01AE1"/>
    <w:rsid w:val="00A02F72"/>
    <w:rsid w:val="00A054EB"/>
    <w:rsid w:val="00A078D6"/>
    <w:rsid w:val="00A11981"/>
    <w:rsid w:val="00A1297B"/>
    <w:rsid w:val="00A15536"/>
    <w:rsid w:val="00A2162F"/>
    <w:rsid w:val="00A23661"/>
    <w:rsid w:val="00A24E5C"/>
    <w:rsid w:val="00A25B60"/>
    <w:rsid w:val="00A25FC3"/>
    <w:rsid w:val="00A27A7B"/>
    <w:rsid w:val="00A30DC0"/>
    <w:rsid w:val="00A30FEC"/>
    <w:rsid w:val="00A34F72"/>
    <w:rsid w:val="00A37C3E"/>
    <w:rsid w:val="00A44E6F"/>
    <w:rsid w:val="00A5299D"/>
    <w:rsid w:val="00A54ACD"/>
    <w:rsid w:val="00A560B9"/>
    <w:rsid w:val="00A56D62"/>
    <w:rsid w:val="00A613B2"/>
    <w:rsid w:val="00A64950"/>
    <w:rsid w:val="00A6717B"/>
    <w:rsid w:val="00A70FC7"/>
    <w:rsid w:val="00A71B97"/>
    <w:rsid w:val="00A72806"/>
    <w:rsid w:val="00A72A83"/>
    <w:rsid w:val="00A75169"/>
    <w:rsid w:val="00A7585E"/>
    <w:rsid w:val="00A75917"/>
    <w:rsid w:val="00A75BFC"/>
    <w:rsid w:val="00A7656A"/>
    <w:rsid w:val="00A82693"/>
    <w:rsid w:val="00A840DF"/>
    <w:rsid w:val="00A85B60"/>
    <w:rsid w:val="00A920B5"/>
    <w:rsid w:val="00A94D8B"/>
    <w:rsid w:val="00AA24D3"/>
    <w:rsid w:val="00AA326F"/>
    <w:rsid w:val="00AA5FCE"/>
    <w:rsid w:val="00AB4291"/>
    <w:rsid w:val="00AB431A"/>
    <w:rsid w:val="00AB48CF"/>
    <w:rsid w:val="00AC1EA1"/>
    <w:rsid w:val="00AC2A79"/>
    <w:rsid w:val="00AC389C"/>
    <w:rsid w:val="00AC4EDE"/>
    <w:rsid w:val="00AC52E0"/>
    <w:rsid w:val="00AC6E76"/>
    <w:rsid w:val="00AE0777"/>
    <w:rsid w:val="00AE0EA3"/>
    <w:rsid w:val="00AE3A55"/>
    <w:rsid w:val="00AE4388"/>
    <w:rsid w:val="00AE4835"/>
    <w:rsid w:val="00AF1837"/>
    <w:rsid w:val="00AF75D4"/>
    <w:rsid w:val="00B03658"/>
    <w:rsid w:val="00B03F6A"/>
    <w:rsid w:val="00B10092"/>
    <w:rsid w:val="00B11311"/>
    <w:rsid w:val="00B1163C"/>
    <w:rsid w:val="00B16045"/>
    <w:rsid w:val="00B234B6"/>
    <w:rsid w:val="00B26823"/>
    <w:rsid w:val="00B30D95"/>
    <w:rsid w:val="00B3204C"/>
    <w:rsid w:val="00B3296D"/>
    <w:rsid w:val="00B36F1B"/>
    <w:rsid w:val="00B42522"/>
    <w:rsid w:val="00B47B02"/>
    <w:rsid w:val="00B50D1E"/>
    <w:rsid w:val="00B55BF7"/>
    <w:rsid w:val="00B57686"/>
    <w:rsid w:val="00B60FAB"/>
    <w:rsid w:val="00B63F60"/>
    <w:rsid w:val="00B64BB7"/>
    <w:rsid w:val="00B67B9A"/>
    <w:rsid w:val="00B67DD4"/>
    <w:rsid w:val="00B81529"/>
    <w:rsid w:val="00B81F76"/>
    <w:rsid w:val="00B83869"/>
    <w:rsid w:val="00B875B2"/>
    <w:rsid w:val="00BA4027"/>
    <w:rsid w:val="00BA4E8F"/>
    <w:rsid w:val="00BB031E"/>
    <w:rsid w:val="00BB18B0"/>
    <w:rsid w:val="00BB2947"/>
    <w:rsid w:val="00BB320E"/>
    <w:rsid w:val="00BC5CC1"/>
    <w:rsid w:val="00BD1958"/>
    <w:rsid w:val="00BD38B2"/>
    <w:rsid w:val="00BD3AF2"/>
    <w:rsid w:val="00BE22A2"/>
    <w:rsid w:val="00BE4E94"/>
    <w:rsid w:val="00BE4FF1"/>
    <w:rsid w:val="00BF0643"/>
    <w:rsid w:val="00BF261F"/>
    <w:rsid w:val="00BF2B61"/>
    <w:rsid w:val="00BF5B55"/>
    <w:rsid w:val="00BF7BF0"/>
    <w:rsid w:val="00C0419A"/>
    <w:rsid w:val="00C06054"/>
    <w:rsid w:val="00C0630F"/>
    <w:rsid w:val="00C10C67"/>
    <w:rsid w:val="00C110F4"/>
    <w:rsid w:val="00C1388D"/>
    <w:rsid w:val="00C14792"/>
    <w:rsid w:val="00C31778"/>
    <w:rsid w:val="00C319DA"/>
    <w:rsid w:val="00C32FBC"/>
    <w:rsid w:val="00C350A1"/>
    <w:rsid w:val="00C40A6A"/>
    <w:rsid w:val="00C41ABD"/>
    <w:rsid w:val="00C43277"/>
    <w:rsid w:val="00C54CA6"/>
    <w:rsid w:val="00C566CB"/>
    <w:rsid w:val="00C56DD6"/>
    <w:rsid w:val="00C57DC0"/>
    <w:rsid w:val="00C61439"/>
    <w:rsid w:val="00C66C44"/>
    <w:rsid w:val="00C700B6"/>
    <w:rsid w:val="00C722A6"/>
    <w:rsid w:val="00C741B7"/>
    <w:rsid w:val="00C7440B"/>
    <w:rsid w:val="00C7668C"/>
    <w:rsid w:val="00C80AB8"/>
    <w:rsid w:val="00C82CC6"/>
    <w:rsid w:val="00C85265"/>
    <w:rsid w:val="00C86A3F"/>
    <w:rsid w:val="00C92346"/>
    <w:rsid w:val="00C9340B"/>
    <w:rsid w:val="00C94BC8"/>
    <w:rsid w:val="00C95E6D"/>
    <w:rsid w:val="00C96247"/>
    <w:rsid w:val="00C9673F"/>
    <w:rsid w:val="00CA0F9A"/>
    <w:rsid w:val="00CA7ECF"/>
    <w:rsid w:val="00CB019B"/>
    <w:rsid w:val="00CB1511"/>
    <w:rsid w:val="00CB2843"/>
    <w:rsid w:val="00CB3586"/>
    <w:rsid w:val="00CB4FC6"/>
    <w:rsid w:val="00CB69EA"/>
    <w:rsid w:val="00CC7A9F"/>
    <w:rsid w:val="00CD5179"/>
    <w:rsid w:val="00CD6090"/>
    <w:rsid w:val="00CF13C5"/>
    <w:rsid w:val="00CF4B95"/>
    <w:rsid w:val="00CF722D"/>
    <w:rsid w:val="00D06F22"/>
    <w:rsid w:val="00D11878"/>
    <w:rsid w:val="00D11AB6"/>
    <w:rsid w:val="00D13169"/>
    <w:rsid w:val="00D1598E"/>
    <w:rsid w:val="00D17E23"/>
    <w:rsid w:val="00D22DE9"/>
    <w:rsid w:val="00D27030"/>
    <w:rsid w:val="00D304B5"/>
    <w:rsid w:val="00D31FB2"/>
    <w:rsid w:val="00D3502B"/>
    <w:rsid w:val="00D36CDC"/>
    <w:rsid w:val="00D401C3"/>
    <w:rsid w:val="00D41732"/>
    <w:rsid w:val="00D42D32"/>
    <w:rsid w:val="00D47203"/>
    <w:rsid w:val="00D52DD5"/>
    <w:rsid w:val="00D61D1F"/>
    <w:rsid w:val="00D62CC2"/>
    <w:rsid w:val="00D65B87"/>
    <w:rsid w:val="00D667F2"/>
    <w:rsid w:val="00D66F02"/>
    <w:rsid w:val="00D67432"/>
    <w:rsid w:val="00D75073"/>
    <w:rsid w:val="00D769F7"/>
    <w:rsid w:val="00D77007"/>
    <w:rsid w:val="00D85436"/>
    <w:rsid w:val="00D85A40"/>
    <w:rsid w:val="00D8623B"/>
    <w:rsid w:val="00D86F8B"/>
    <w:rsid w:val="00D877A7"/>
    <w:rsid w:val="00D9010A"/>
    <w:rsid w:val="00D94BE8"/>
    <w:rsid w:val="00DA0AED"/>
    <w:rsid w:val="00DA57FD"/>
    <w:rsid w:val="00DA6E60"/>
    <w:rsid w:val="00DA726F"/>
    <w:rsid w:val="00DB027C"/>
    <w:rsid w:val="00DB3D20"/>
    <w:rsid w:val="00DB6073"/>
    <w:rsid w:val="00DB6BAD"/>
    <w:rsid w:val="00DC0809"/>
    <w:rsid w:val="00DC6DD9"/>
    <w:rsid w:val="00DD1BED"/>
    <w:rsid w:val="00DD3F9E"/>
    <w:rsid w:val="00DD5EF4"/>
    <w:rsid w:val="00DE1486"/>
    <w:rsid w:val="00DE16D0"/>
    <w:rsid w:val="00DE1D76"/>
    <w:rsid w:val="00DE2733"/>
    <w:rsid w:val="00DE7F66"/>
    <w:rsid w:val="00DF1BBD"/>
    <w:rsid w:val="00E00574"/>
    <w:rsid w:val="00E01B1E"/>
    <w:rsid w:val="00E02452"/>
    <w:rsid w:val="00E02CBF"/>
    <w:rsid w:val="00E12A25"/>
    <w:rsid w:val="00E13E8C"/>
    <w:rsid w:val="00E2172B"/>
    <w:rsid w:val="00E26BAF"/>
    <w:rsid w:val="00E354E6"/>
    <w:rsid w:val="00E35D1A"/>
    <w:rsid w:val="00E40036"/>
    <w:rsid w:val="00E441A3"/>
    <w:rsid w:val="00E509A3"/>
    <w:rsid w:val="00E55256"/>
    <w:rsid w:val="00E55D17"/>
    <w:rsid w:val="00E61415"/>
    <w:rsid w:val="00E65807"/>
    <w:rsid w:val="00E66752"/>
    <w:rsid w:val="00E75DAD"/>
    <w:rsid w:val="00E776E4"/>
    <w:rsid w:val="00E80037"/>
    <w:rsid w:val="00E86FFB"/>
    <w:rsid w:val="00E93E51"/>
    <w:rsid w:val="00E95FC9"/>
    <w:rsid w:val="00EA1381"/>
    <w:rsid w:val="00EB1E68"/>
    <w:rsid w:val="00EB6220"/>
    <w:rsid w:val="00EC3A85"/>
    <w:rsid w:val="00EC7BCF"/>
    <w:rsid w:val="00ED0634"/>
    <w:rsid w:val="00ED10CD"/>
    <w:rsid w:val="00ED1FF9"/>
    <w:rsid w:val="00ED48A6"/>
    <w:rsid w:val="00ED613A"/>
    <w:rsid w:val="00EE263D"/>
    <w:rsid w:val="00EE329D"/>
    <w:rsid w:val="00EE3528"/>
    <w:rsid w:val="00EE444C"/>
    <w:rsid w:val="00EF0C38"/>
    <w:rsid w:val="00EF0DBD"/>
    <w:rsid w:val="00EF2270"/>
    <w:rsid w:val="00EF25CB"/>
    <w:rsid w:val="00EF5CD9"/>
    <w:rsid w:val="00F0113A"/>
    <w:rsid w:val="00F0144E"/>
    <w:rsid w:val="00F03D6B"/>
    <w:rsid w:val="00F043C7"/>
    <w:rsid w:val="00F1302E"/>
    <w:rsid w:val="00F14B2F"/>
    <w:rsid w:val="00F1634F"/>
    <w:rsid w:val="00F17F48"/>
    <w:rsid w:val="00F20AC7"/>
    <w:rsid w:val="00F22027"/>
    <w:rsid w:val="00F25F54"/>
    <w:rsid w:val="00F26508"/>
    <w:rsid w:val="00F27441"/>
    <w:rsid w:val="00F3296D"/>
    <w:rsid w:val="00F33A5D"/>
    <w:rsid w:val="00F35624"/>
    <w:rsid w:val="00F376FA"/>
    <w:rsid w:val="00F37A8D"/>
    <w:rsid w:val="00F572D4"/>
    <w:rsid w:val="00F57A8C"/>
    <w:rsid w:val="00F60D47"/>
    <w:rsid w:val="00F61759"/>
    <w:rsid w:val="00F634CD"/>
    <w:rsid w:val="00F66300"/>
    <w:rsid w:val="00F67758"/>
    <w:rsid w:val="00F712BD"/>
    <w:rsid w:val="00F7131C"/>
    <w:rsid w:val="00F71D8E"/>
    <w:rsid w:val="00F74613"/>
    <w:rsid w:val="00F7683A"/>
    <w:rsid w:val="00F8494B"/>
    <w:rsid w:val="00F85939"/>
    <w:rsid w:val="00F931DC"/>
    <w:rsid w:val="00FA2807"/>
    <w:rsid w:val="00FA5C65"/>
    <w:rsid w:val="00FA631F"/>
    <w:rsid w:val="00FB15CF"/>
    <w:rsid w:val="00FC12F7"/>
    <w:rsid w:val="00FC3033"/>
    <w:rsid w:val="00FC4EB5"/>
    <w:rsid w:val="00FC651A"/>
    <w:rsid w:val="00FC692A"/>
    <w:rsid w:val="00FC6D88"/>
    <w:rsid w:val="00FC6E33"/>
    <w:rsid w:val="00FD1013"/>
    <w:rsid w:val="00FD5ED1"/>
    <w:rsid w:val="00FE152B"/>
    <w:rsid w:val="00FE1BEC"/>
    <w:rsid w:val="00FE57C6"/>
    <w:rsid w:val="00FE68AD"/>
    <w:rsid w:val="00FF0330"/>
    <w:rsid w:val="00FF0D8F"/>
    <w:rsid w:val="00FF5382"/>
    <w:rsid w:val="00FF67EA"/>
    <w:rsid w:val="220A0067"/>
    <w:rsid w:val="594BA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odyText">
    <w:name w:val="Body Text"/>
    <w:basedOn w:val="Normal"/>
    <w:link w:val="BodyTextChar"/>
    <w:uiPriority w:val="1"/>
    <w:qFormat/>
    <w:rsid w:val="003F2F86"/>
    <w:pPr>
      <w:autoSpaceDE w:val="0"/>
      <w:autoSpaceDN w:val="0"/>
      <w:jc w:val="left"/>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2F8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F2F86"/>
    <w:rPr>
      <w:sz w:val="16"/>
      <w:szCs w:val="16"/>
    </w:rPr>
  </w:style>
  <w:style w:type="paragraph" w:styleId="CommentText">
    <w:name w:val="annotation text"/>
    <w:basedOn w:val="Normal"/>
    <w:link w:val="CommentTextChar"/>
    <w:uiPriority w:val="99"/>
    <w:unhideWhenUsed/>
    <w:rsid w:val="003F2F86"/>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F2F86"/>
    <w:rPr>
      <w:rFonts w:asciiTheme="minorHAnsi" w:eastAsiaTheme="minorHAnsi" w:hAnsiTheme="minorHAnsi" w:cstheme="minorBidi"/>
      <w:sz w:val="20"/>
      <w:szCs w:val="20"/>
    </w:rPr>
  </w:style>
  <w:style w:type="character" w:styleId="FollowedHyperlink">
    <w:name w:val="FollowedHyperlink"/>
    <w:basedOn w:val="DefaultParagraphFont"/>
    <w:uiPriority w:val="99"/>
    <w:semiHidden/>
    <w:unhideWhenUsed/>
    <w:rsid w:val="00DD3F9E"/>
    <w:rPr>
      <w:color w:val="800080" w:themeColor="followedHyperlink"/>
      <w:u w:val="single"/>
    </w:rPr>
  </w:style>
  <w:style w:type="character" w:styleId="Emphasis">
    <w:name w:val="Emphasis"/>
    <w:basedOn w:val="DefaultParagraphFont"/>
    <w:uiPriority w:val="20"/>
    <w:qFormat/>
    <w:rsid w:val="00E26BAF"/>
    <w:rPr>
      <w:i/>
      <w:iCs/>
    </w:rPr>
  </w:style>
  <w:style w:type="paragraph" w:styleId="ListParagraph">
    <w:name w:val="List Paragraph"/>
    <w:basedOn w:val="Normal"/>
    <w:uiPriority w:val="34"/>
    <w:qFormat/>
    <w:rsid w:val="00FC3033"/>
    <w:pPr>
      <w:ind w:left="720"/>
      <w:contextualSpacing/>
    </w:pPr>
  </w:style>
  <w:style w:type="paragraph" w:styleId="NormalWeb">
    <w:name w:val="Normal (Web)"/>
    <w:basedOn w:val="Normal"/>
    <w:uiPriority w:val="99"/>
    <w:semiHidden/>
    <w:unhideWhenUsed/>
    <w:rsid w:val="00A5299D"/>
    <w:pPr>
      <w:widowControl/>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EF0C38"/>
    <w:rPr>
      <w:b/>
      <w:bCs/>
    </w:rPr>
  </w:style>
  <w:style w:type="character" w:customStyle="1" w:styleId="highwire-citation-author">
    <w:name w:val="highwire-citation-author"/>
    <w:basedOn w:val="DefaultParagraphFont"/>
    <w:rsid w:val="00C566CB"/>
  </w:style>
  <w:style w:type="character" w:customStyle="1" w:styleId="nlm-given-names">
    <w:name w:val="nlm-given-names"/>
    <w:basedOn w:val="DefaultParagraphFont"/>
    <w:rsid w:val="00C566CB"/>
  </w:style>
  <w:style w:type="character" w:customStyle="1" w:styleId="nlm-surname">
    <w:name w:val="nlm-surname"/>
    <w:basedOn w:val="DefaultParagraphFont"/>
    <w:rsid w:val="00C566CB"/>
  </w:style>
  <w:style w:type="character" w:customStyle="1" w:styleId="highwire-cite-metadata-journal">
    <w:name w:val="highwire-cite-metadata-journal"/>
    <w:basedOn w:val="DefaultParagraphFont"/>
    <w:rsid w:val="00C566CB"/>
  </w:style>
  <w:style w:type="character" w:customStyle="1" w:styleId="highwire-cite-metadata-date">
    <w:name w:val="highwire-cite-metadata-date"/>
    <w:basedOn w:val="DefaultParagraphFont"/>
    <w:rsid w:val="00C566CB"/>
  </w:style>
  <w:style w:type="character" w:customStyle="1" w:styleId="highwire-cite-metadata-volume">
    <w:name w:val="highwire-cite-metadata-volume"/>
    <w:basedOn w:val="DefaultParagraphFont"/>
    <w:rsid w:val="00C566CB"/>
  </w:style>
  <w:style w:type="character" w:customStyle="1" w:styleId="highwire-cite-metadata-issue">
    <w:name w:val="highwire-cite-metadata-issue"/>
    <w:basedOn w:val="DefaultParagraphFont"/>
    <w:rsid w:val="00C566CB"/>
  </w:style>
  <w:style w:type="character" w:customStyle="1" w:styleId="highwire-cite-metadata-pages">
    <w:name w:val="highwire-cite-metadata-pages"/>
    <w:basedOn w:val="DefaultParagraphFont"/>
    <w:rsid w:val="00C566CB"/>
  </w:style>
  <w:style w:type="character" w:customStyle="1" w:styleId="highwire-cite-metadata-doi">
    <w:name w:val="highwire-cite-metadata-doi"/>
    <w:basedOn w:val="DefaultParagraphFont"/>
    <w:rsid w:val="00C566CB"/>
  </w:style>
  <w:style w:type="character" w:customStyle="1" w:styleId="label">
    <w:name w:val="label"/>
    <w:basedOn w:val="DefaultParagraphFont"/>
    <w:rsid w:val="00C566CB"/>
  </w:style>
  <w:style w:type="paragraph" w:customStyle="1" w:styleId="EndNoteBibliography">
    <w:name w:val="EndNote Bibliography"/>
    <w:basedOn w:val="Normal"/>
    <w:link w:val="EndNoteBibliographyChar"/>
    <w:rsid w:val="00240731"/>
    <w:pPr>
      <w:widowControl/>
      <w:spacing w:after="16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240731"/>
    <w:rPr>
      <w:rFonts w:eastAsiaTheme="minorHAnsi"/>
      <w:noProof/>
      <w:sz w:val="22"/>
      <w:szCs w:val="22"/>
    </w:rPr>
  </w:style>
  <w:style w:type="paragraph" w:styleId="CommentSubject">
    <w:name w:val="annotation subject"/>
    <w:basedOn w:val="CommentText"/>
    <w:next w:val="CommentText"/>
    <w:link w:val="CommentSubjectChar"/>
    <w:uiPriority w:val="99"/>
    <w:semiHidden/>
    <w:unhideWhenUsed/>
    <w:rsid w:val="00240731"/>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240731"/>
    <w:rPr>
      <w:rFonts w:asciiTheme="minorHAnsi" w:eastAsiaTheme="minorHAnsi" w:hAnsiTheme="minorHAnsi" w:cstheme="minorBidi"/>
      <w:b/>
      <w:bCs/>
      <w:sz w:val="20"/>
      <w:szCs w:val="20"/>
    </w:rPr>
  </w:style>
  <w:style w:type="paragraph" w:customStyle="1" w:styleId="p">
    <w:name w:val="p"/>
    <w:basedOn w:val="Normal"/>
    <w:rsid w:val="004D1BB6"/>
    <w:pPr>
      <w:widowControl/>
      <w:spacing w:before="100" w:beforeAutospacing="1" w:after="100" w:afterAutospacing="1"/>
      <w:jc w:val="left"/>
    </w:pPr>
    <w:rPr>
      <w:rFonts w:ascii="Times New Roman" w:eastAsia="Times New Roman" w:hAnsi="Times New Roman" w:cs="Times New Roman"/>
    </w:rPr>
  </w:style>
  <w:style w:type="character" w:customStyle="1" w:styleId="figpopup-sensitive-area">
    <w:name w:val="figpopup-sensitive-area"/>
    <w:basedOn w:val="DefaultParagraphFont"/>
    <w:rsid w:val="004D1BB6"/>
  </w:style>
  <w:style w:type="paragraph" w:styleId="Revision">
    <w:name w:val="Revision"/>
    <w:hidden/>
    <w:uiPriority w:val="99"/>
    <w:semiHidden/>
    <w:rsid w:val="00810DD8"/>
    <w:pPr>
      <w:widowControl/>
      <w:jc w:val="left"/>
    </w:pPr>
  </w:style>
  <w:style w:type="paragraph" w:styleId="Footer">
    <w:name w:val="footer"/>
    <w:basedOn w:val="Normal"/>
    <w:link w:val="FooterChar"/>
    <w:uiPriority w:val="99"/>
    <w:unhideWhenUsed/>
    <w:rsid w:val="00103433"/>
    <w:pPr>
      <w:tabs>
        <w:tab w:val="center" w:pos="4680"/>
        <w:tab w:val="right" w:pos="9360"/>
      </w:tabs>
    </w:pPr>
  </w:style>
  <w:style w:type="character" w:customStyle="1" w:styleId="FooterChar">
    <w:name w:val="Footer Char"/>
    <w:basedOn w:val="DefaultParagraphFont"/>
    <w:link w:val="Footer"/>
    <w:uiPriority w:val="99"/>
    <w:rsid w:val="00103433"/>
  </w:style>
  <w:style w:type="character" w:styleId="LineNumber">
    <w:name w:val="line number"/>
    <w:basedOn w:val="DefaultParagraphFont"/>
    <w:uiPriority w:val="99"/>
    <w:semiHidden/>
    <w:unhideWhenUsed/>
    <w:rsid w:val="00810DA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BalloonText">
    <w:name w:val="Balloon Text"/>
    <w:basedOn w:val="Normal"/>
    <w:link w:val="BalloonTextChar"/>
    <w:uiPriority w:val="99"/>
    <w:semiHidden/>
    <w:unhideWhenUsed/>
    <w:rsid w:val="004D7B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BFA"/>
    <w:rPr>
      <w:rFonts w:ascii="Segoe UI" w:hAnsi="Segoe UI" w:cs="Segoe UI"/>
      <w:sz w:val="18"/>
      <w:szCs w:val="18"/>
    </w:rPr>
  </w:style>
  <w:style w:type="character" w:styleId="UnresolvedMention">
    <w:name w:val="Unresolved Mention"/>
    <w:basedOn w:val="DefaultParagraphFont"/>
    <w:uiPriority w:val="99"/>
    <w:semiHidden/>
    <w:unhideWhenUsed/>
    <w:rsid w:val="00CC7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7250">
      <w:bodyDiv w:val="1"/>
      <w:marLeft w:val="0"/>
      <w:marRight w:val="0"/>
      <w:marTop w:val="0"/>
      <w:marBottom w:val="0"/>
      <w:divBdr>
        <w:top w:val="none" w:sz="0" w:space="0" w:color="auto"/>
        <w:left w:val="none" w:sz="0" w:space="0" w:color="auto"/>
        <w:bottom w:val="none" w:sz="0" w:space="0" w:color="auto"/>
        <w:right w:val="none" w:sz="0" w:space="0" w:color="auto"/>
      </w:divBdr>
    </w:div>
    <w:div w:id="216472183">
      <w:bodyDiv w:val="1"/>
      <w:marLeft w:val="0"/>
      <w:marRight w:val="0"/>
      <w:marTop w:val="0"/>
      <w:marBottom w:val="0"/>
      <w:divBdr>
        <w:top w:val="none" w:sz="0" w:space="0" w:color="auto"/>
        <w:left w:val="none" w:sz="0" w:space="0" w:color="auto"/>
        <w:bottom w:val="none" w:sz="0" w:space="0" w:color="auto"/>
        <w:right w:val="none" w:sz="0" w:space="0" w:color="auto"/>
      </w:divBdr>
    </w:div>
    <w:div w:id="341130533">
      <w:bodyDiv w:val="1"/>
      <w:marLeft w:val="0"/>
      <w:marRight w:val="0"/>
      <w:marTop w:val="0"/>
      <w:marBottom w:val="0"/>
      <w:divBdr>
        <w:top w:val="none" w:sz="0" w:space="0" w:color="auto"/>
        <w:left w:val="none" w:sz="0" w:space="0" w:color="auto"/>
        <w:bottom w:val="none" w:sz="0" w:space="0" w:color="auto"/>
        <w:right w:val="none" w:sz="0" w:space="0" w:color="auto"/>
      </w:divBdr>
    </w:div>
    <w:div w:id="343090517">
      <w:bodyDiv w:val="1"/>
      <w:marLeft w:val="0"/>
      <w:marRight w:val="0"/>
      <w:marTop w:val="0"/>
      <w:marBottom w:val="0"/>
      <w:divBdr>
        <w:top w:val="none" w:sz="0" w:space="0" w:color="auto"/>
        <w:left w:val="none" w:sz="0" w:space="0" w:color="auto"/>
        <w:bottom w:val="none" w:sz="0" w:space="0" w:color="auto"/>
        <w:right w:val="none" w:sz="0" w:space="0" w:color="auto"/>
      </w:divBdr>
    </w:div>
    <w:div w:id="400173778">
      <w:bodyDiv w:val="1"/>
      <w:marLeft w:val="0"/>
      <w:marRight w:val="0"/>
      <w:marTop w:val="0"/>
      <w:marBottom w:val="0"/>
      <w:divBdr>
        <w:top w:val="none" w:sz="0" w:space="0" w:color="auto"/>
        <w:left w:val="none" w:sz="0" w:space="0" w:color="auto"/>
        <w:bottom w:val="none" w:sz="0" w:space="0" w:color="auto"/>
        <w:right w:val="none" w:sz="0" w:space="0" w:color="auto"/>
      </w:divBdr>
      <w:divsChild>
        <w:div w:id="1650863747">
          <w:marLeft w:val="446"/>
          <w:marRight w:val="0"/>
          <w:marTop w:val="0"/>
          <w:marBottom w:val="0"/>
          <w:divBdr>
            <w:top w:val="none" w:sz="0" w:space="0" w:color="auto"/>
            <w:left w:val="none" w:sz="0" w:space="0" w:color="auto"/>
            <w:bottom w:val="none" w:sz="0" w:space="0" w:color="auto"/>
            <w:right w:val="none" w:sz="0" w:space="0" w:color="auto"/>
          </w:divBdr>
        </w:div>
        <w:div w:id="1169905738">
          <w:marLeft w:val="446"/>
          <w:marRight w:val="0"/>
          <w:marTop w:val="0"/>
          <w:marBottom w:val="0"/>
          <w:divBdr>
            <w:top w:val="none" w:sz="0" w:space="0" w:color="auto"/>
            <w:left w:val="none" w:sz="0" w:space="0" w:color="auto"/>
            <w:bottom w:val="none" w:sz="0" w:space="0" w:color="auto"/>
            <w:right w:val="none" w:sz="0" w:space="0" w:color="auto"/>
          </w:divBdr>
        </w:div>
        <w:div w:id="2012097516">
          <w:marLeft w:val="446"/>
          <w:marRight w:val="0"/>
          <w:marTop w:val="0"/>
          <w:marBottom w:val="0"/>
          <w:divBdr>
            <w:top w:val="none" w:sz="0" w:space="0" w:color="auto"/>
            <w:left w:val="none" w:sz="0" w:space="0" w:color="auto"/>
            <w:bottom w:val="none" w:sz="0" w:space="0" w:color="auto"/>
            <w:right w:val="none" w:sz="0" w:space="0" w:color="auto"/>
          </w:divBdr>
        </w:div>
      </w:divsChild>
    </w:div>
    <w:div w:id="401492458">
      <w:bodyDiv w:val="1"/>
      <w:marLeft w:val="0"/>
      <w:marRight w:val="0"/>
      <w:marTop w:val="0"/>
      <w:marBottom w:val="0"/>
      <w:divBdr>
        <w:top w:val="none" w:sz="0" w:space="0" w:color="auto"/>
        <w:left w:val="none" w:sz="0" w:space="0" w:color="auto"/>
        <w:bottom w:val="none" w:sz="0" w:space="0" w:color="auto"/>
        <w:right w:val="none" w:sz="0" w:space="0" w:color="auto"/>
      </w:divBdr>
      <w:divsChild>
        <w:div w:id="2061325700">
          <w:marLeft w:val="446"/>
          <w:marRight w:val="0"/>
          <w:marTop w:val="0"/>
          <w:marBottom w:val="0"/>
          <w:divBdr>
            <w:top w:val="none" w:sz="0" w:space="0" w:color="auto"/>
            <w:left w:val="none" w:sz="0" w:space="0" w:color="auto"/>
            <w:bottom w:val="none" w:sz="0" w:space="0" w:color="auto"/>
            <w:right w:val="none" w:sz="0" w:space="0" w:color="auto"/>
          </w:divBdr>
        </w:div>
        <w:div w:id="1447503426">
          <w:marLeft w:val="446"/>
          <w:marRight w:val="0"/>
          <w:marTop w:val="0"/>
          <w:marBottom w:val="0"/>
          <w:divBdr>
            <w:top w:val="none" w:sz="0" w:space="0" w:color="auto"/>
            <w:left w:val="none" w:sz="0" w:space="0" w:color="auto"/>
            <w:bottom w:val="none" w:sz="0" w:space="0" w:color="auto"/>
            <w:right w:val="none" w:sz="0" w:space="0" w:color="auto"/>
          </w:divBdr>
        </w:div>
        <w:div w:id="232350064">
          <w:marLeft w:val="446"/>
          <w:marRight w:val="0"/>
          <w:marTop w:val="0"/>
          <w:marBottom w:val="0"/>
          <w:divBdr>
            <w:top w:val="none" w:sz="0" w:space="0" w:color="auto"/>
            <w:left w:val="none" w:sz="0" w:space="0" w:color="auto"/>
            <w:bottom w:val="none" w:sz="0" w:space="0" w:color="auto"/>
            <w:right w:val="none" w:sz="0" w:space="0" w:color="auto"/>
          </w:divBdr>
        </w:div>
      </w:divsChild>
    </w:div>
    <w:div w:id="420833538">
      <w:bodyDiv w:val="1"/>
      <w:marLeft w:val="0"/>
      <w:marRight w:val="0"/>
      <w:marTop w:val="0"/>
      <w:marBottom w:val="0"/>
      <w:divBdr>
        <w:top w:val="none" w:sz="0" w:space="0" w:color="auto"/>
        <w:left w:val="none" w:sz="0" w:space="0" w:color="auto"/>
        <w:bottom w:val="none" w:sz="0" w:space="0" w:color="auto"/>
        <w:right w:val="none" w:sz="0" w:space="0" w:color="auto"/>
      </w:divBdr>
    </w:div>
    <w:div w:id="443886255">
      <w:bodyDiv w:val="1"/>
      <w:marLeft w:val="0"/>
      <w:marRight w:val="0"/>
      <w:marTop w:val="0"/>
      <w:marBottom w:val="0"/>
      <w:divBdr>
        <w:top w:val="none" w:sz="0" w:space="0" w:color="auto"/>
        <w:left w:val="none" w:sz="0" w:space="0" w:color="auto"/>
        <w:bottom w:val="none" w:sz="0" w:space="0" w:color="auto"/>
        <w:right w:val="none" w:sz="0" w:space="0" w:color="auto"/>
      </w:divBdr>
    </w:div>
    <w:div w:id="704134696">
      <w:bodyDiv w:val="1"/>
      <w:marLeft w:val="0"/>
      <w:marRight w:val="0"/>
      <w:marTop w:val="0"/>
      <w:marBottom w:val="0"/>
      <w:divBdr>
        <w:top w:val="none" w:sz="0" w:space="0" w:color="auto"/>
        <w:left w:val="none" w:sz="0" w:space="0" w:color="auto"/>
        <w:bottom w:val="none" w:sz="0" w:space="0" w:color="auto"/>
        <w:right w:val="none" w:sz="0" w:space="0" w:color="auto"/>
      </w:divBdr>
    </w:div>
    <w:div w:id="750665468">
      <w:bodyDiv w:val="1"/>
      <w:marLeft w:val="0"/>
      <w:marRight w:val="0"/>
      <w:marTop w:val="0"/>
      <w:marBottom w:val="0"/>
      <w:divBdr>
        <w:top w:val="none" w:sz="0" w:space="0" w:color="auto"/>
        <w:left w:val="none" w:sz="0" w:space="0" w:color="auto"/>
        <w:bottom w:val="none" w:sz="0" w:space="0" w:color="auto"/>
        <w:right w:val="none" w:sz="0" w:space="0" w:color="auto"/>
      </w:divBdr>
    </w:div>
    <w:div w:id="773746816">
      <w:bodyDiv w:val="1"/>
      <w:marLeft w:val="0"/>
      <w:marRight w:val="0"/>
      <w:marTop w:val="0"/>
      <w:marBottom w:val="0"/>
      <w:divBdr>
        <w:top w:val="none" w:sz="0" w:space="0" w:color="auto"/>
        <w:left w:val="none" w:sz="0" w:space="0" w:color="auto"/>
        <w:bottom w:val="none" w:sz="0" w:space="0" w:color="auto"/>
        <w:right w:val="none" w:sz="0" w:space="0" w:color="auto"/>
      </w:divBdr>
    </w:div>
    <w:div w:id="810748678">
      <w:bodyDiv w:val="1"/>
      <w:marLeft w:val="0"/>
      <w:marRight w:val="0"/>
      <w:marTop w:val="0"/>
      <w:marBottom w:val="0"/>
      <w:divBdr>
        <w:top w:val="none" w:sz="0" w:space="0" w:color="auto"/>
        <w:left w:val="none" w:sz="0" w:space="0" w:color="auto"/>
        <w:bottom w:val="none" w:sz="0" w:space="0" w:color="auto"/>
        <w:right w:val="none" w:sz="0" w:space="0" w:color="auto"/>
      </w:divBdr>
    </w:div>
    <w:div w:id="1006978128">
      <w:bodyDiv w:val="1"/>
      <w:marLeft w:val="0"/>
      <w:marRight w:val="0"/>
      <w:marTop w:val="0"/>
      <w:marBottom w:val="0"/>
      <w:divBdr>
        <w:top w:val="none" w:sz="0" w:space="0" w:color="auto"/>
        <w:left w:val="none" w:sz="0" w:space="0" w:color="auto"/>
        <w:bottom w:val="none" w:sz="0" w:space="0" w:color="auto"/>
        <w:right w:val="none" w:sz="0" w:space="0" w:color="auto"/>
      </w:divBdr>
    </w:div>
    <w:div w:id="1045452407">
      <w:bodyDiv w:val="1"/>
      <w:marLeft w:val="0"/>
      <w:marRight w:val="0"/>
      <w:marTop w:val="0"/>
      <w:marBottom w:val="0"/>
      <w:divBdr>
        <w:top w:val="none" w:sz="0" w:space="0" w:color="auto"/>
        <w:left w:val="none" w:sz="0" w:space="0" w:color="auto"/>
        <w:bottom w:val="none" w:sz="0" w:space="0" w:color="auto"/>
        <w:right w:val="none" w:sz="0" w:space="0" w:color="auto"/>
      </w:divBdr>
    </w:div>
    <w:div w:id="1179344798">
      <w:bodyDiv w:val="1"/>
      <w:marLeft w:val="0"/>
      <w:marRight w:val="0"/>
      <w:marTop w:val="0"/>
      <w:marBottom w:val="0"/>
      <w:divBdr>
        <w:top w:val="none" w:sz="0" w:space="0" w:color="auto"/>
        <w:left w:val="none" w:sz="0" w:space="0" w:color="auto"/>
        <w:bottom w:val="none" w:sz="0" w:space="0" w:color="auto"/>
        <w:right w:val="none" w:sz="0" w:space="0" w:color="auto"/>
      </w:divBdr>
    </w:div>
    <w:div w:id="1246112992">
      <w:bodyDiv w:val="1"/>
      <w:marLeft w:val="0"/>
      <w:marRight w:val="0"/>
      <w:marTop w:val="0"/>
      <w:marBottom w:val="0"/>
      <w:divBdr>
        <w:top w:val="none" w:sz="0" w:space="0" w:color="auto"/>
        <w:left w:val="none" w:sz="0" w:space="0" w:color="auto"/>
        <w:bottom w:val="none" w:sz="0" w:space="0" w:color="auto"/>
        <w:right w:val="none" w:sz="0" w:space="0" w:color="auto"/>
      </w:divBdr>
      <w:divsChild>
        <w:div w:id="130565212">
          <w:marLeft w:val="0"/>
          <w:marRight w:val="0"/>
          <w:marTop w:val="75"/>
          <w:marBottom w:val="75"/>
          <w:divBdr>
            <w:top w:val="none" w:sz="0" w:space="0" w:color="auto"/>
            <w:left w:val="none" w:sz="0" w:space="0" w:color="auto"/>
            <w:bottom w:val="none" w:sz="0" w:space="0" w:color="auto"/>
            <w:right w:val="none" w:sz="0" w:space="0" w:color="auto"/>
          </w:divBdr>
        </w:div>
        <w:div w:id="388850063">
          <w:marLeft w:val="0"/>
          <w:marRight w:val="0"/>
          <w:marTop w:val="0"/>
          <w:marBottom w:val="0"/>
          <w:divBdr>
            <w:top w:val="none" w:sz="0" w:space="0" w:color="auto"/>
            <w:left w:val="none" w:sz="0" w:space="0" w:color="auto"/>
            <w:bottom w:val="none" w:sz="0" w:space="0" w:color="auto"/>
            <w:right w:val="none" w:sz="0" w:space="0" w:color="auto"/>
          </w:divBdr>
        </w:div>
      </w:divsChild>
    </w:div>
    <w:div w:id="1301232987">
      <w:bodyDiv w:val="1"/>
      <w:marLeft w:val="0"/>
      <w:marRight w:val="0"/>
      <w:marTop w:val="0"/>
      <w:marBottom w:val="0"/>
      <w:divBdr>
        <w:top w:val="none" w:sz="0" w:space="0" w:color="auto"/>
        <w:left w:val="none" w:sz="0" w:space="0" w:color="auto"/>
        <w:bottom w:val="none" w:sz="0" w:space="0" w:color="auto"/>
        <w:right w:val="none" w:sz="0" w:space="0" w:color="auto"/>
      </w:divBdr>
    </w:div>
    <w:div w:id="1381130549">
      <w:bodyDiv w:val="1"/>
      <w:marLeft w:val="0"/>
      <w:marRight w:val="0"/>
      <w:marTop w:val="0"/>
      <w:marBottom w:val="0"/>
      <w:divBdr>
        <w:top w:val="none" w:sz="0" w:space="0" w:color="auto"/>
        <w:left w:val="none" w:sz="0" w:space="0" w:color="auto"/>
        <w:bottom w:val="none" w:sz="0" w:space="0" w:color="auto"/>
        <w:right w:val="none" w:sz="0" w:space="0" w:color="auto"/>
      </w:divBdr>
      <w:divsChild>
        <w:div w:id="1146314041">
          <w:marLeft w:val="360"/>
          <w:marRight w:val="0"/>
          <w:marTop w:val="0"/>
          <w:marBottom w:val="0"/>
          <w:divBdr>
            <w:top w:val="none" w:sz="0" w:space="0" w:color="auto"/>
            <w:left w:val="none" w:sz="0" w:space="0" w:color="auto"/>
            <w:bottom w:val="none" w:sz="0" w:space="0" w:color="auto"/>
            <w:right w:val="none" w:sz="0" w:space="0" w:color="auto"/>
          </w:divBdr>
        </w:div>
        <w:div w:id="988900969">
          <w:marLeft w:val="360"/>
          <w:marRight w:val="0"/>
          <w:marTop w:val="0"/>
          <w:marBottom w:val="0"/>
          <w:divBdr>
            <w:top w:val="none" w:sz="0" w:space="0" w:color="auto"/>
            <w:left w:val="none" w:sz="0" w:space="0" w:color="auto"/>
            <w:bottom w:val="none" w:sz="0" w:space="0" w:color="auto"/>
            <w:right w:val="none" w:sz="0" w:space="0" w:color="auto"/>
          </w:divBdr>
        </w:div>
        <w:div w:id="1662393782">
          <w:marLeft w:val="360"/>
          <w:marRight w:val="0"/>
          <w:marTop w:val="0"/>
          <w:marBottom w:val="0"/>
          <w:divBdr>
            <w:top w:val="none" w:sz="0" w:space="0" w:color="auto"/>
            <w:left w:val="none" w:sz="0" w:space="0" w:color="auto"/>
            <w:bottom w:val="none" w:sz="0" w:space="0" w:color="auto"/>
            <w:right w:val="none" w:sz="0" w:space="0" w:color="auto"/>
          </w:divBdr>
        </w:div>
      </w:divsChild>
    </w:div>
    <w:div w:id="1432815449">
      <w:bodyDiv w:val="1"/>
      <w:marLeft w:val="0"/>
      <w:marRight w:val="0"/>
      <w:marTop w:val="0"/>
      <w:marBottom w:val="0"/>
      <w:divBdr>
        <w:top w:val="none" w:sz="0" w:space="0" w:color="auto"/>
        <w:left w:val="none" w:sz="0" w:space="0" w:color="auto"/>
        <w:bottom w:val="none" w:sz="0" w:space="0" w:color="auto"/>
        <w:right w:val="none" w:sz="0" w:space="0" w:color="auto"/>
      </w:divBdr>
    </w:div>
    <w:div w:id="1496608440">
      <w:bodyDiv w:val="1"/>
      <w:marLeft w:val="0"/>
      <w:marRight w:val="0"/>
      <w:marTop w:val="0"/>
      <w:marBottom w:val="0"/>
      <w:divBdr>
        <w:top w:val="none" w:sz="0" w:space="0" w:color="auto"/>
        <w:left w:val="none" w:sz="0" w:space="0" w:color="auto"/>
        <w:bottom w:val="none" w:sz="0" w:space="0" w:color="auto"/>
        <w:right w:val="none" w:sz="0" w:space="0" w:color="auto"/>
      </w:divBdr>
    </w:div>
    <w:div w:id="1510411450">
      <w:bodyDiv w:val="1"/>
      <w:marLeft w:val="0"/>
      <w:marRight w:val="0"/>
      <w:marTop w:val="0"/>
      <w:marBottom w:val="0"/>
      <w:divBdr>
        <w:top w:val="none" w:sz="0" w:space="0" w:color="auto"/>
        <w:left w:val="none" w:sz="0" w:space="0" w:color="auto"/>
        <w:bottom w:val="none" w:sz="0" w:space="0" w:color="auto"/>
        <w:right w:val="none" w:sz="0" w:space="0" w:color="auto"/>
      </w:divBdr>
    </w:div>
    <w:div w:id="1548371064">
      <w:bodyDiv w:val="1"/>
      <w:marLeft w:val="0"/>
      <w:marRight w:val="0"/>
      <w:marTop w:val="0"/>
      <w:marBottom w:val="0"/>
      <w:divBdr>
        <w:top w:val="none" w:sz="0" w:space="0" w:color="auto"/>
        <w:left w:val="none" w:sz="0" w:space="0" w:color="auto"/>
        <w:bottom w:val="none" w:sz="0" w:space="0" w:color="auto"/>
        <w:right w:val="none" w:sz="0" w:space="0" w:color="auto"/>
      </w:divBdr>
    </w:div>
    <w:div w:id="1589119798">
      <w:bodyDiv w:val="1"/>
      <w:marLeft w:val="0"/>
      <w:marRight w:val="0"/>
      <w:marTop w:val="0"/>
      <w:marBottom w:val="0"/>
      <w:divBdr>
        <w:top w:val="none" w:sz="0" w:space="0" w:color="auto"/>
        <w:left w:val="none" w:sz="0" w:space="0" w:color="auto"/>
        <w:bottom w:val="none" w:sz="0" w:space="0" w:color="auto"/>
        <w:right w:val="none" w:sz="0" w:space="0" w:color="auto"/>
      </w:divBdr>
    </w:div>
    <w:div w:id="1625694761">
      <w:bodyDiv w:val="1"/>
      <w:marLeft w:val="0"/>
      <w:marRight w:val="0"/>
      <w:marTop w:val="0"/>
      <w:marBottom w:val="0"/>
      <w:divBdr>
        <w:top w:val="none" w:sz="0" w:space="0" w:color="auto"/>
        <w:left w:val="none" w:sz="0" w:space="0" w:color="auto"/>
        <w:bottom w:val="none" w:sz="0" w:space="0" w:color="auto"/>
        <w:right w:val="none" w:sz="0" w:space="0" w:color="auto"/>
      </w:divBdr>
    </w:div>
    <w:div w:id="1628048901">
      <w:bodyDiv w:val="1"/>
      <w:marLeft w:val="0"/>
      <w:marRight w:val="0"/>
      <w:marTop w:val="0"/>
      <w:marBottom w:val="0"/>
      <w:divBdr>
        <w:top w:val="none" w:sz="0" w:space="0" w:color="auto"/>
        <w:left w:val="none" w:sz="0" w:space="0" w:color="auto"/>
        <w:bottom w:val="none" w:sz="0" w:space="0" w:color="auto"/>
        <w:right w:val="none" w:sz="0" w:space="0" w:color="auto"/>
      </w:divBdr>
    </w:div>
    <w:div w:id="1738547583">
      <w:bodyDiv w:val="1"/>
      <w:marLeft w:val="0"/>
      <w:marRight w:val="0"/>
      <w:marTop w:val="0"/>
      <w:marBottom w:val="0"/>
      <w:divBdr>
        <w:top w:val="none" w:sz="0" w:space="0" w:color="auto"/>
        <w:left w:val="none" w:sz="0" w:space="0" w:color="auto"/>
        <w:bottom w:val="none" w:sz="0" w:space="0" w:color="auto"/>
        <w:right w:val="none" w:sz="0" w:space="0" w:color="auto"/>
      </w:divBdr>
    </w:div>
    <w:div w:id="1785269266">
      <w:bodyDiv w:val="1"/>
      <w:marLeft w:val="0"/>
      <w:marRight w:val="0"/>
      <w:marTop w:val="0"/>
      <w:marBottom w:val="0"/>
      <w:divBdr>
        <w:top w:val="none" w:sz="0" w:space="0" w:color="auto"/>
        <w:left w:val="none" w:sz="0" w:space="0" w:color="auto"/>
        <w:bottom w:val="none" w:sz="0" w:space="0" w:color="auto"/>
        <w:right w:val="none" w:sz="0" w:space="0" w:color="auto"/>
      </w:divBdr>
    </w:div>
    <w:div w:id="1905529397">
      <w:bodyDiv w:val="1"/>
      <w:marLeft w:val="0"/>
      <w:marRight w:val="0"/>
      <w:marTop w:val="0"/>
      <w:marBottom w:val="0"/>
      <w:divBdr>
        <w:top w:val="none" w:sz="0" w:space="0" w:color="auto"/>
        <w:left w:val="none" w:sz="0" w:space="0" w:color="auto"/>
        <w:bottom w:val="none" w:sz="0" w:space="0" w:color="auto"/>
        <w:right w:val="none" w:sz="0" w:space="0" w:color="auto"/>
      </w:divBdr>
    </w:div>
    <w:div w:id="1998725129">
      <w:bodyDiv w:val="1"/>
      <w:marLeft w:val="0"/>
      <w:marRight w:val="0"/>
      <w:marTop w:val="0"/>
      <w:marBottom w:val="0"/>
      <w:divBdr>
        <w:top w:val="none" w:sz="0" w:space="0" w:color="auto"/>
        <w:left w:val="none" w:sz="0" w:space="0" w:color="auto"/>
        <w:bottom w:val="none" w:sz="0" w:space="0" w:color="auto"/>
        <w:right w:val="none" w:sz="0" w:space="0" w:color="auto"/>
      </w:divBdr>
    </w:div>
    <w:div w:id="2000770035">
      <w:bodyDiv w:val="1"/>
      <w:marLeft w:val="0"/>
      <w:marRight w:val="0"/>
      <w:marTop w:val="0"/>
      <w:marBottom w:val="0"/>
      <w:divBdr>
        <w:top w:val="none" w:sz="0" w:space="0" w:color="auto"/>
        <w:left w:val="none" w:sz="0" w:space="0" w:color="auto"/>
        <w:bottom w:val="none" w:sz="0" w:space="0" w:color="auto"/>
        <w:right w:val="none" w:sz="0" w:space="0" w:color="auto"/>
      </w:divBdr>
    </w:div>
    <w:div w:id="2043438265">
      <w:bodyDiv w:val="1"/>
      <w:marLeft w:val="0"/>
      <w:marRight w:val="0"/>
      <w:marTop w:val="0"/>
      <w:marBottom w:val="0"/>
      <w:divBdr>
        <w:top w:val="none" w:sz="0" w:space="0" w:color="auto"/>
        <w:left w:val="none" w:sz="0" w:space="0" w:color="auto"/>
        <w:bottom w:val="none" w:sz="0" w:space="0" w:color="auto"/>
        <w:right w:val="none" w:sz="0" w:space="0" w:color="auto"/>
      </w:divBdr>
    </w:div>
    <w:div w:id="2140757904">
      <w:bodyDiv w:val="1"/>
      <w:marLeft w:val="0"/>
      <w:marRight w:val="0"/>
      <w:marTop w:val="0"/>
      <w:marBottom w:val="0"/>
      <w:divBdr>
        <w:top w:val="none" w:sz="0" w:space="0" w:color="auto"/>
        <w:left w:val="none" w:sz="0" w:space="0" w:color="auto"/>
        <w:bottom w:val="none" w:sz="0" w:space="0" w:color="auto"/>
        <w:right w:val="none" w:sz="0" w:space="0" w:color="auto"/>
      </w:divBdr>
      <w:divsChild>
        <w:div w:id="1342466389">
          <w:marLeft w:val="0"/>
          <w:marRight w:val="0"/>
          <w:marTop w:val="150"/>
          <w:marBottom w:val="0"/>
          <w:divBdr>
            <w:top w:val="none" w:sz="0" w:space="0" w:color="auto"/>
            <w:left w:val="none" w:sz="0" w:space="0" w:color="auto"/>
            <w:bottom w:val="none" w:sz="0" w:space="0" w:color="auto"/>
            <w:right w:val="none" w:sz="0" w:space="0" w:color="auto"/>
          </w:divBdr>
        </w:div>
        <w:div w:id="1664117073">
          <w:marLeft w:val="0"/>
          <w:marRight w:val="0"/>
          <w:marTop w:val="150"/>
          <w:marBottom w:val="0"/>
          <w:divBdr>
            <w:top w:val="none" w:sz="0" w:space="0" w:color="auto"/>
            <w:left w:val="none" w:sz="0" w:space="0" w:color="auto"/>
            <w:bottom w:val="none" w:sz="0" w:space="0" w:color="auto"/>
            <w:right w:val="none" w:sz="0" w:space="0" w:color="auto"/>
          </w:divBdr>
          <w:divsChild>
            <w:div w:id="219480433">
              <w:marLeft w:val="0"/>
              <w:marRight w:val="300"/>
              <w:marTop w:val="15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917C6-D859-483B-B010-18A8043B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18109</Words>
  <Characters>103227</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2021-07-23T17:10:00Z</cp:lastPrinted>
  <dcterms:created xsi:type="dcterms:W3CDTF">2021-11-28T19:16:00Z</dcterms:created>
  <dcterms:modified xsi:type="dcterms:W3CDTF">2021-12-01T11:36:00Z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2869719d-37ec-35e8-9d6b-2943f57f7bac</vt:lpwstr>
  </property>
  <property fmtid="{D5CDD505-2E9C-101B-9397-08002B2CF9AE}" pid="24" name="Mendeley Citation Style_1">
    <vt:lpwstr>http://www.zotero.org/styles/journal-of-visualized-experiments</vt:lpwstr>
  </property>
</Properties>
</file>