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B34C" w14:textId="77777777" w:rsidR="009001EE" w:rsidRDefault="00E01D80">
      <w:pPr>
        <w:pStyle w:val="NormalWeb"/>
        <w:spacing w:beforeAutospacing="0" w:afterAutospacing="0"/>
        <w:rPr>
          <w:rFonts w:asciiTheme="minorHAnsi" w:hAnsiTheme="minorHAnsi" w:cstheme="minorHAnsi"/>
        </w:rPr>
      </w:pPr>
      <w:r>
        <w:rPr>
          <w:rFonts w:asciiTheme="minorHAnsi" w:hAnsiTheme="minorHAnsi" w:cstheme="minorHAnsi"/>
          <w:b/>
          <w:bCs/>
        </w:rPr>
        <w:t>TITLE</w:t>
      </w:r>
    </w:p>
    <w:p w14:paraId="09303F36" w14:textId="05FC0679" w:rsidR="009001EE" w:rsidRDefault="00E01D80">
      <w:pPr>
        <w:rPr>
          <w:rFonts w:asciiTheme="minorHAnsi" w:hAnsiTheme="minorHAnsi" w:cstheme="minorHAnsi"/>
          <w:color w:val="auto"/>
        </w:rPr>
      </w:pPr>
      <w:r>
        <w:rPr>
          <w:rFonts w:asciiTheme="minorHAnsi" w:hAnsiTheme="minorHAnsi" w:cstheme="minorHAnsi"/>
          <w:color w:val="auto"/>
        </w:rPr>
        <w:t xml:space="preserve">Detection of </w:t>
      </w:r>
      <w:r w:rsidR="008519E3">
        <w:rPr>
          <w:rFonts w:asciiTheme="minorHAnsi" w:hAnsiTheme="minorHAnsi" w:cstheme="minorHAnsi"/>
        </w:rPr>
        <w:t xml:space="preserve">Neutralization </w:t>
      </w:r>
      <w:r w:rsidR="008519E3">
        <w:rPr>
          <w:rFonts w:asciiTheme="minorHAnsi" w:hAnsiTheme="minorHAnsi" w:cstheme="minorHAnsi"/>
          <w:color w:val="auto"/>
        </w:rPr>
        <w:t xml:space="preserve">Epitopes </w:t>
      </w:r>
      <w:r>
        <w:rPr>
          <w:rFonts w:asciiTheme="minorHAnsi" w:hAnsiTheme="minorHAnsi" w:cstheme="minorHAnsi"/>
          <w:color w:val="auto"/>
        </w:rPr>
        <w:t xml:space="preserve">in </w:t>
      </w:r>
      <w:r w:rsidR="008519E3">
        <w:rPr>
          <w:rFonts w:asciiTheme="minorHAnsi" w:hAnsiTheme="minorHAnsi" w:cstheme="minorHAnsi"/>
          <w:color w:val="auto"/>
        </w:rPr>
        <w:t xml:space="preserve">Antigens Displayed </w:t>
      </w:r>
      <w:r>
        <w:rPr>
          <w:rFonts w:asciiTheme="minorHAnsi" w:hAnsiTheme="minorHAnsi" w:cstheme="minorHAnsi"/>
          <w:color w:val="auto"/>
        </w:rPr>
        <w:t xml:space="preserve">on </w:t>
      </w:r>
      <w:r w:rsidR="008519E3">
        <w:rPr>
          <w:rFonts w:asciiTheme="minorHAnsi" w:hAnsiTheme="minorHAnsi" w:cstheme="minorHAnsi"/>
          <w:color w:val="auto"/>
        </w:rPr>
        <w:t xml:space="preserve">Virus-Like Particle </w:t>
      </w:r>
      <w:r>
        <w:rPr>
          <w:rFonts w:asciiTheme="minorHAnsi" w:hAnsiTheme="minorHAnsi" w:cstheme="minorHAnsi"/>
          <w:color w:val="auto"/>
        </w:rPr>
        <w:t>(VLP)-</w:t>
      </w:r>
      <w:r w:rsidR="008519E3">
        <w:rPr>
          <w:rFonts w:asciiTheme="minorHAnsi" w:hAnsiTheme="minorHAnsi" w:cstheme="minorHAnsi"/>
          <w:color w:val="auto"/>
        </w:rPr>
        <w:t>B</w:t>
      </w:r>
      <w:r>
        <w:rPr>
          <w:rFonts w:asciiTheme="minorHAnsi" w:hAnsiTheme="minorHAnsi" w:cstheme="minorHAnsi"/>
          <w:color w:val="auto"/>
        </w:rPr>
        <w:t xml:space="preserve">ased </w:t>
      </w:r>
      <w:r w:rsidR="008519E3">
        <w:rPr>
          <w:rFonts w:asciiTheme="minorHAnsi" w:hAnsiTheme="minorHAnsi" w:cstheme="minorHAnsi"/>
          <w:color w:val="auto"/>
        </w:rPr>
        <w:t>V</w:t>
      </w:r>
      <w:r>
        <w:rPr>
          <w:rFonts w:asciiTheme="minorHAnsi" w:hAnsiTheme="minorHAnsi" w:cstheme="minorHAnsi"/>
          <w:color w:val="auto"/>
        </w:rPr>
        <w:t>accines</w:t>
      </w:r>
    </w:p>
    <w:p w14:paraId="1AF5A182" w14:textId="77777777" w:rsidR="009001EE" w:rsidRDefault="009001EE">
      <w:pPr>
        <w:rPr>
          <w:rFonts w:asciiTheme="minorHAnsi" w:hAnsiTheme="minorHAnsi" w:cstheme="minorHAnsi"/>
          <w:b/>
          <w:bCs/>
          <w:color w:val="auto"/>
        </w:rPr>
      </w:pPr>
    </w:p>
    <w:p w14:paraId="5C41B61E" w14:textId="77777777" w:rsidR="009001EE" w:rsidRDefault="00E01D80">
      <w:pPr>
        <w:tabs>
          <w:tab w:val="left" w:pos="4935"/>
        </w:tabs>
        <w:rPr>
          <w:rFonts w:asciiTheme="minorHAnsi" w:hAnsiTheme="minorHAnsi" w:cstheme="minorHAnsi"/>
          <w:color w:val="808080"/>
        </w:rPr>
      </w:pPr>
      <w:r>
        <w:rPr>
          <w:rFonts w:asciiTheme="minorHAnsi" w:hAnsiTheme="minorHAnsi" w:cstheme="minorHAnsi"/>
          <w:b/>
          <w:bCs/>
        </w:rPr>
        <w:t>AUTHORS AND AFFILIATIONS</w:t>
      </w:r>
    </w:p>
    <w:p w14:paraId="250D2966" w14:textId="0573E527" w:rsidR="008519E3" w:rsidRPr="00F21D5F" w:rsidRDefault="00E01D80">
      <w:pPr>
        <w:rPr>
          <w:rFonts w:asciiTheme="minorHAnsi" w:hAnsiTheme="minorHAnsi" w:cstheme="minorHAnsi"/>
          <w:color w:val="auto"/>
          <w:vertAlign w:val="superscript"/>
          <w:lang w:val="de-DE"/>
        </w:rPr>
      </w:pPr>
      <w:r w:rsidRPr="00F21D5F">
        <w:rPr>
          <w:rFonts w:asciiTheme="minorHAnsi" w:hAnsiTheme="minorHAnsi" w:cstheme="minorHAnsi"/>
          <w:color w:val="auto"/>
          <w:lang w:val="de-DE"/>
        </w:rPr>
        <w:t>Jamila Franca Rosengarten</w:t>
      </w:r>
      <w:r w:rsidRPr="00F21D5F">
        <w:rPr>
          <w:rFonts w:asciiTheme="minorHAnsi" w:hAnsiTheme="minorHAnsi" w:cstheme="minorHAnsi"/>
          <w:color w:val="auto"/>
          <w:vertAlign w:val="superscript"/>
          <w:lang w:val="de-DE"/>
        </w:rPr>
        <w:t>*</w:t>
      </w:r>
      <w:r w:rsidR="008519E3" w:rsidRPr="00F21D5F">
        <w:rPr>
          <w:rFonts w:asciiTheme="minorHAnsi" w:hAnsiTheme="minorHAnsi" w:cstheme="minorHAnsi"/>
          <w:color w:val="auto"/>
          <w:vertAlign w:val="superscript"/>
          <w:lang w:val="de-DE"/>
        </w:rPr>
        <w:t>,</w:t>
      </w:r>
      <w:r w:rsidRPr="00F21D5F">
        <w:rPr>
          <w:rFonts w:asciiTheme="minorHAnsi" w:hAnsiTheme="minorHAnsi" w:cstheme="minorHAnsi"/>
          <w:color w:val="auto"/>
          <w:vertAlign w:val="superscript"/>
          <w:lang w:val="de-DE"/>
        </w:rPr>
        <w:t>1,2</w:t>
      </w:r>
      <w:r w:rsidRPr="00F21D5F">
        <w:rPr>
          <w:rFonts w:asciiTheme="minorHAnsi" w:hAnsiTheme="minorHAnsi" w:cstheme="minorHAnsi"/>
          <w:color w:val="auto"/>
          <w:lang w:val="de-DE"/>
        </w:rPr>
        <w:t>, Stefanie Schatz</w:t>
      </w:r>
      <w:r w:rsidRPr="00F21D5F">
        <w:rPr>
          <w:rFonts w:asciiTheme="minorHAnsi" w:hAnsiTheme="minorHAnsi" w:cstheme="minorHAnsi"/>
          <w:color w:val="auto"/>
          <w:vertAlign w:val="superscript"/>
          <w:lang w:val="de-DE"/>
        </w:rPr>
        <w:t>*,1,2</w:t>
      </w:r>
      <w:r w:rsidRPr="00F21D5F">
        <w:rPr>
          <w:rFonts w:asciiTheme="minorHAnsi" w:hAnsiTheme="minorHAnsi" w:cstheme="minorHAnsi"/>
          <w:color w:val="auto"/>
          <w:lang w:val="de-DE"/>
        </w:rPr>
        <w:t>, Jörn Stitz</w:t>
      </w:r>
      <w:r w:rsidRPr="00F21D5F">
        <w:rPr>
          <w:rFonts w:asciiTheme="minorHAnsi" w:hAnsiTheme="minorHAnsi" w:cstheme="minorHAnsi"/>
          <w:color w:val="auto"/>
          <w:vertAlign w:val="superscript"/>
          <w:lang w:val="de-DE"/>
        </w:rPr>
        <w:t>1</w:t>
      </w:r>
      <w:r w:rsidR="008519E3" w:rsidRPr="00F21D5F">
        <w:rPr>
          <w:rFonts w:asciiTheme="minorHAnsi" w:hAnsiTheme="minorHAnsi" w:cstheme="minorHAnsi"/>
          <w:color w:val="auto"/>
          <w:vertAlign w:val="superscript"/>
          <w:lang w:val="de-DE"/>
        </w:rPr>
        <w:t>,#</w:t>
      </w:r>
    </w:p>
    <w:p w14:paraId="40AFC001" w14:textId="4BDE541E" w:rsidR="009001EE" w:rsidRDefault="00E01D80">
      <w:pPr>
        <w:jc w:val="left"/>
        <w:rPr>
          <w:rFonts w:asciiTheme="minorHAnsi" w:hAnsiTheme="minorHAnsi" w:cstheme="minorHAnsi"/>
          <w:bCs/>
          <w:color w:val="auto"/>
        </w:rPr>
      </w:pPr>
      <w:r w:rsidRPr="009B23C4">
        <w:rPr>
          <w:rFonts w:asciiTheme="minorHAnsi" w:hAnsiTheme="minorHAnsi" w:cstheme="minorHAnsi"/>
          <w:color w:val="auto"/>
        </w:rPr>
        <w:br/>
      </w:r>
      <w:r>
        <w:rPr>
          <w:rFonts w:asciiTheme="minorHAnsi" w:hAnsiTheme="minorHAnsi" w:cstheme="minorHAnsi"/>
          <w:bCs/>
          <w:color w:val="auto"/>
          <w:vertAlign w:val="superscript"/>
        </w:rPr>
        <w:t>1</w:t>
      </w:r>
      <w:r>
        <w:rPr>
          <w:rFonts w:asciiTheme="minorHAnsi" w:hAnsiTheme="minorHAnsi" w:cstheme="minorHAnsi"/>
          <w:bCs/>
          <w:color w:val="auto"/>
        </w:rPr>
        <w:t>Research Group Pharmaceutical Biotechnology, TH Köln – University of Applied Sciences</w:t>
      </w:r>
      <w:r w:rsidR="00FA5C94">
        <w:rPr>
          <w:rFonts w:asciiTheme="minorHAnsi" w:hAnsiTheme="minorHAnsi" w:cstheme="minorHAnsi"/>
          <w:bCs/>
          <w:color w:val="auto"/>
        </w:rPr>
        <w:t xml:space="preserve">, </w:t>
      </w:r>
      <w:r w:rsidR="00FA5C94">
        <w:t xml:space="preserve">Leverkusen, </w:t>
      </w:r>
      <w:r w:rsidR="00FA5C94" w:rsidRPr="00FA5C94">
        <w:t>North Rhine-Westphalia</w:t>
      </w:r>
      <w:r w:rsidR="00FA5C94">
        <w:t>, Germany</w:t>
      </w:r>
      <w:r>
        <w:rPr>
          <w:rFonts w:asciiTheme="minorHAnsi" w:hAnsiTheme="minorHAnsi" w:cstheme="minorHAnsi"/>
          <w:bCs/>
          <w:color w:val="auto"/>
        </w:rPr>
        <w:t xml:space="preserve"> </w:t>
      </w:r>
    </w:p>
    <w:p w14:paraId="3165C24D" w14:textId="54924B00" w:rsidR="009001EE" w:rsidRDefault="00E01D80">
      <w:pPr>
        <w:jc w:val="left"/>
        <w:rPr>
          <w:rFonts w:asciiTheme="minorHAnsi" w:hAnsiTheme="minorHAnsi" w:cstheme="minorHAnsi"/>
          <w:bCs/>
          <w:color w:val="auto"/>
        </w:rPr>
      </w:pPr>
      <w:r>
        <w:rPr>
          <w:rFonts w:asciiTheme="minorHAnsi" w:hAnsiTheme="minorHAnsi" w:cstheme="minorHAnsi"/>
          <w:bCs/>
          <w:color w:val="auto"/>
          <w:vertAlign w:val="superscript"/>
        </w:rPr>
        <w:t>2</w:t>
      </w:r>
      <w:r>
        <w:rPr>
          <w:rFonts w:asciiTheme="minorHAnsi" w:hAnsiTheme="minorHAnsi" w:cstheme="minorHAnsi"/>
          <w:bCs/>
          <w:color w:val="auto"/>
        </w:rPr>
        <w:t>Institute of Technical Chemistry, Leibniz University Hannover,</w:t>
      </w:r>
      <w:r w:rsidR="00FA5C94">
        <w:rPr>
          <w:rFonts w:asciiTheme="minorHAnsi" w:hAnsiTheme="minorHAnsi" w:cstheme="minorHAnsi"/>
          <w:bCs/>
          <w:color w:val="auto"/>
        </w:rPr>
        <w:t xml:space="preserve"> Hannover,</w:t>
      </w:r>
      <w:r>
        <w:rPr>
          <w:rFonts w:asciiTheme="minorHAnsi" w:hAnsiTheme="minorHAnsi" w:cstheme="minorHAnsi"/>
          <w:bCs/>
          <w:color w:val="auto"/>
        </w:rPr>
        <w:t xml:space="preserve"> Germany</w:t>
      </w:r>
    </w:p>
    <w:p w14:paraId="69523C77" w14:textId="3CC2B710" w:rsidR="008519E3" w:rsidRDefault="008519E3">
      <w:pPr>
        <w:jc w:val="left"/>
        <w:rPr>
          <w:rFonts w:asciiTheme="minorHAnsi" w:hAnsiTheme="minorHAnsi" w:cstheme="minorHAnsi"/>
          <w:bCs/>
          <w:color w:val="auto"/>
        </w:rPr>
      </w:pPr>
    </w:p>
    <w:p w14:paraId="14F5C632" w14:textId="75A421F6" w:rsidR="008519E3" w:rsidRDefault="008519E3">
      <w:pPr>
        <w:jc w:val="left"/>
        <w:rPr>
          <w:rFonts w:asciiTheme="minorHAnsi" w:hAnsiTheme="minorHAnsi" w:cstheme="minorHAnsi"/>
          <w:color w:val="auto"/>
        </w:rPr>
      </w:pPr>
      <w:r>
        <w:rPr>
          <w:rFonts w:asciiTheme="minorHAnsi" w:hAnsiTheme="minorHAnsi" w:cstheme="minorHAnsi"/>
          <w:color w:val="auto"/>
          <w:vertAlign w:val="superscript"/>
        </w:rPr>
        <w:t>*</w:t>
      </w:r>
      <w:r>
        <w:rPr>
          <w:rFonts w:asciiTheme="minorHAnsi" w:hAnsiTheme="minorHAnsi" w:cstheme="minorHAnsi"/>
          <w:color w:val="auto"/>
        </w:rPr>
        <w:t>Both authors contributed equally to the work presented.</w:t>
      </w:r>
    </w:p>
    <w:p w14:paraId="34B7C477" w14:textId="77777777" w:rsidR="008519E3" w:rsidRDefault="008519E3">
      <w:pPr>
        <w:jc w:val="left"/>
        <w:rPr>
          <w:rFonts w:asciiTheme="minorHAnsi" w:hAnsiTheme="minorHAnsi" w:cstheme="minorHAnsi"/>
          <w:color w:val="auto"/>
        </w:rPr>
      </w:pPr>
    </w:p>
    <w:p w14:paraId="22EA522A" w14:textId="670962BE" w:rsidR="008519E3" w:rsidRDefault="008519E3">
      <w:pPr>
        <w:jc w:val="left"/>
        <w:rPr>
          <w:rFonts w:asciiTheme="minorHAnsi" w:hAnsiTheme="minorHAnsi" w:cstheme="minorHAnsi"/>
          <w:bCs/>
          <w:color w:val="auto"/>
        </w:rPr>
      </w:pPr>
      <w:r>
        <w:rPr>
          <w:rFonts w:asciiTheme="minorHAnsi" w:hAnsiTheme="minorHAnsi" w:cstheme="minorHAnsi"/>
          <w:bCs/>
          <w:color w:val="auto"/>
        </w:rPr>
        <w:t>Email addresses of co-authors:</w:t>
      </w:r>
    </w:p>
    <w:p w14:paraId="1969B4C2" w14:textId="77777777" w:rsidR="008519E3" w:rsidRPr="00F21D5F" w:rsidRDefault="008519E3" w:rsidP="008519E3">
      <w:pPr>
        <w:widowControl/>
        <w:jc w:val="left"/>
        <w:rPr>
          <w:rFonts w:asciiTheme="minorHAnsi" w:hAnsiTheme="minorHAnsi" w:cstheme="minorHAnsi"/>
          <w:color w:val="auto"/>
          <w:lang w:val="pt-PT" w:eastAsia="de-DE"/>
        </w:rPr>
      </w:pPr>
      <w:r w:rsidRPr="00F21D5F">
        <w:rPr>
          <w:rFonts w:asciiTheme="minorHAnsi" w:hAnsiTheme="minorHAnsi" w:cstheme="minorHAnsi"/>
          <w:color w:val="auto"/>
          <w:lang w:val="pt-PT"/>
        </w:rPr>
        <w:t>Jamila Franca Rosengarten</w:t>
      </w:r>
      <w:r w:rsidRPr="00F21D5F" w:rsidDel="008519E3">
        <w:rPr>
          <w:rFonts w:asciiTheme="minorHAnsi" w:hAnsiTheme="minorHAnsi" w:cstheme="minorHAnsi"/>
          <w:bCs/>
          <w:color w:val="auto"/>
          <w:vertAlign w:val="superscript"/>
          <w:lang w:val="pt-PT"/>
        </w:rPr>
        <w:t xml:space="preserve"> </w:t>
      </w:r>
      <w:r w:rsidRPr="00F21D5F">
        <w:rPr>
          <w:rFonts w:asciiTheme="minorHAnsi" w:hAnsiTheme="minorHAnsi" w:cstheme="minorHAnsi"/>
          <w:bCs/>
          <w:color w:val="auto"/>
          <w:vertAlign w:val="superscript"/>
          <w:lang w:val="pt-PT"/>
        </w:rPr>
        <w:tab/>
      </w:r>
      <w:r w:rsidRPr="00F21D5F">
        <w:rPr>
          <w:rFonts w:asciiTheme="minorHAnsi" w:hAnsiTheme="minorHAnsi" w:cstheme="minorHAnsi"/>
          <w:bCs/>
          <w:color w:val="auto"/>
          <w:lang w:val="pt-PT"/>
        </w:rPr>
        <w:t>(</w:t>
      </w:r>
      <w:r w:rsidRPr="00F21D5F">
        <w:rPr>
          <w:rFonts w:asciiTheme="minorHAnsi" w:hAnsiTheme="minorHAnsi" w:cstheme="minorHAnsi"/>
          <w:color w:val="auto"/>
          <w:lang w:val="pt-PT" w:eastAsia="de-DE"/>
        </w:rPr>
        <w:t>jamila_franca.rosengarten@th-koeln.de)</w:t>
      </w:r>
    </w:p>
    <w:p w14:paraId="074823D0" w14:textId="77777777" w:rsidR="008519E3" w:rsidRPr="00F21D5F" w:rsidRDefault="008519E3" w:rsidP="008519E3">
      <w:pPr>
        <w:widowControl/>
        <w:jc w:val="left"/>
        <w:rPr>
          <w:rFonts w:asciiTheme="minorHAnsi" w:hAnsiTheme="minorHAnsi" w:cstheme="minorHAnsi"/>
          <w:color w:val="auto"/>
          <w:lang w:val="de-DE" w:eastAsia="de-DE"/>
        </w:rPr>
      </w:pPr>
      <w:r w:rsidRPr="00F21D5F">
        <w:rPr>
          <w:rFonts w:asciiTheme="minorHAnsi" w:hAnsiTheme="minorHAnsi" w:cstheme="minorHAnsi"/>
          <w:color w:val="auto"/>
          <w:lang w:val="de-DE"/>
        </w:rPr>
        <w:t>Stefanie Schatz</w:t>
      </w:r>
      <w:r w:rsidRPr="00F21D5F" w:rsidDel="008519E3">
        <w:rPr>
          <w:rFonts w:asciiTheme="minorHAnsi" w:hAnsiTheme="minorHAnsi" w:cstheme="minorHAnsi"/>
          <w:bCs/>
          <w:color w:val="auto"/>
          <w:vertAlign w:val="superscript"/>
          <w:lang w:val="de-DE"/>
        </w:rPr>
        <w:t xml:space="preserve"> </w:t>
      </w:r>
      <w:r w:rsidRPr="00F21D5F">
        <w:rPr>
          <w:rFonts w:asciiTheme="minorHAnsi" w:hAnsiTheme="minorHAnsi" w:cstheme="minorHAnsi"/>
          <w:bCs/>
          <w:color w:val="auto"/>
          <w:vertAlign w:val="superscript"/>
          <w:lang w:val="de-DE"/>
        </w:rPr>
        <w:tab/>
      </w:r>
      <w:r w:rsidRPr="00F21D5F">
        <w:rPr>
          <w:rFonts w:asciiTheme="minorHAnsi" w:hAnsiTheme="minorHAnsi" w:cstheme="minorHAnsi"/>
          <w:bCs/>
          <w:color w:val="auto"/>
          <w:vertAlign w:val="superscript"/>
          <w:lang w:val="de-DE"/>
        </w:rPr>
        <w:tab/>
      </w:r>
      <w:r w:rsidRPr="00F21D5F">
        <w:rPr>
          <w:rFonts w:asciiTheme="minorHAnsi" w:hAnsiTheme="minorHAnsi" w:cstheme="minorHAnsi"/>
          <w:bCs/>
          <w:color w:val="auto"/>
          <w:lang w:val="de-DE"/>
        </w:rPr>
        <w:t>(</w:t>
      </w:r>
      <w:r w:rsidRPr="00F21D5F">
        <w:rPr>
          <w:rFonts w:asciiTheme="minorHAnsi" w:hAnsiTheme="minorHAnsi" w:cstheme="minorHAnsi"/>
          <w:color w:val="auto"/>
          <w:lang w:val="de-DE" w:eastAsia="de-DE"/>
        </w:rPr>
        <w:t>stefanie.schatz@th-koeln.de)</w:t>
      </w:r>
    </w:p>
    <w:p w14:paraId="248214CF" w14:textId="77777777" w:rsidR="008519E3" w:rsidRPr="00F21D5F" w:rsidRDefault="008519E3" w:rsidP="008519E3">
      <w:pPr>
        <w:jc w:val="left"/>
        <w:rPr>
          <w:rFonts w:asciiTheme="minorHAnsi" w:hAnsiTheme="minorHAnsi" w:cstheme="minorHAnsi"/>
          <w:bCs/>
          <w:color w:val="auto"/>
          <w:lang w:val="de-DE"/>
        </w:rPr>
      </w:pPr>
      <w:r w:rsidRPr="00F21D5F">
        <w:rPr>
          <w:rFonts w:asciiTheme="minorHAnsi" w:hAnsiTheme="minorHAnsi" w:cstheme="minorHAnsi"/>
          <w:color w:val="auto"/>
          <w:lang w:val="de-DE"/>
        </w:rPr>
        <w:t>Jörn Stitz</w:t>
      </w:r>
      <w:r w:rsidRPr="00F21D5F">
        <w:rPr>
          <w:rFonts w:asciiTheme="minorHAnsi" w:hAnsiTheme="minorHAnsi" w:cstheme="minorHAnsi"/>
          <w:bCs/>
          <w:color w:val="auto"/>
          <w:lang w:val="de-DE"/>
        </w:rPr>
        <w:t xml:space="preserve"> </w:t>
      </w:r>
      <w:r w:rsidRPr="00F21D5F">
        <w:rPr>
          <w:rFonts w:asciiTheme="minorHAnsi" w:hAnsiTheme="minorHAnsi" w:cstheme="minorHAnsi"/>
          <w:bCs/>
          <w:color w:val="auto"/>
          <w:lang w:val="de-DE"/>
        </w:rPr>
        <w:tab/>
      </w:r>
      <w:r w:rsidRPr="00F21D5F">
        <w:rPr>
          <w:rFonts w:asciiTheme="minorHAnsi" w:hAnsiTheme="minorHAnsi" w:cstheme="minorHAnsi"/>
          <w:bCs/>
          <w:color w:val="auto"/>
          <w:lang w:val="de-DE"/>
        </w:rPr>
        <w:tab/>
      </w:r>
      <w:r w:rsidRPr="00F21D5F">
        <w:rPr>
          <w:rFonts w:asciiTheme="minorHAnsi" w:hAnsiTheme="minorHAnsi" w:cstheme="minorHAnsi"/>
          <w:bCs/>
          <w:color w:val="auto"/>
          <w:lang w:val="de-DE"/>
        </w:rPr>
        <w:tab/>
        <w:t>(joern.stitz@th-koeln.de)</w:t>
      </w:r>
    </w:p>
    <w:p w14:paraId="6E1DFDF2" w14:textId="77777777" w:rsidR="008519E3" w:rsidRPr="00F21D5F" w:rsidRDefault="008519E3">
      <w:pPr>
        <w:jc w:val="left"/>
        <w:rPr>
          <w:rFonts w:asciiTheme="minorHAnsi" w:hAnsiTheme="minorHAnsi" w:cstheme="minorHAnsi"/>
          <w:bCs/>
          <w:color w:val="auto"/>
          <w:lang w:val="de-DE"/>
        </w:rPr>
      </w:pPr>
    </w:p>
    <w:p w14:paraId="10B0A20D" w14:textId="76828BF1" w:rsidR="008519E3" w:rsidRDefault="008519E3">
      <w:pPr>
        <w:jc w:val="left"/>
        <w:rPr>
          <w:rFonts w:asciiTheme="minorHAnsi" w:hAnsiTheme="minorHAnsi" w:cstheme="minorHAnsi"/>
          <w:bCs/>
          <w:color w:val="auto"/>
        </w:rPr>
      </w:pPr>
      <w:r>
        <w:rPr>
          <w:rFonts w:asciiTheme="minorHAnsi" w:hAnsiTheme="minorHAnsi" w:cstheme="minorHAnsi"/>
          <w:bCs/>
          <w:color w:val="auto"/>
          <w:vertAlign w:val="superscript"/>
        </w:rPr>
        <w:t>#</w:t>
      </w:r>
      <w:r w:rsidR="00E01D80">
        <w:rPr>
          <w:rFonts w:asciiTheme="minorHAnsi" w:hAnsiTheme="minorHAnsi" w:cstheme="minorHAnsi"/>
          <w:bCs/>
          <w:color w:val="auto"/>
        </w:rPr>
        <w:t xml:space="preserve">Corresponding author: </w:t>
      </w:r>
    </w:p>
    <w:p w14:paraId="27DBD8F1" w14:textId="69A23809" w:rsidR="009001EE" w:rsidRDefault="008519E3">
      <w:pPr>
        <w:jc w:val="left"/>
        <w:rPr>
          <w:rFonts w:asciiTheme="minorHAnsi" w:hAnsiTheme="minorHAnsi" w:cstheme="minorHAnsi"/>
          <w:bCs/>
          <w:color w:val="auto"/>
        </w:rPr>
      </w:pPr>
      <w:r w:rsidRPr="008519E3">
        <w:rPr>
          <w:rFonts w:asciiTheme="minorHAnsi" w:hAnsiTheme="minorHAnsi" w:cstheme="minorHAnsi"/>
          <w:color w:val="auto"/>
        </w:rPr>
        <w:t>Jörn Stitz</w:t>
      </w:r>
      <w:r>
        <w:rPr>
          <w:rFonts w:asciiTheme="minorHAnsi" w:hAnsiTheme="minorHAnsi" w:cstheme="minorHAnsi"/>
          <w:bCs/>
          <w:color w:val="auto"/>
        </w:rPr>
        <w:t xml:space="preserve"> </w:t>
      </w: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t>(</w:t>
      </w:r>
      <w:r w:rsidR="00E01D80">
        <w:rPr>
          <w:rFonts w:asciiTheme="minorHAnsi" w:hAnsiTheme="minorHAnsi" w:cstheme="minorHAnsi"/>
          <w:bCs/>
          <w:color w:val="auto"/>
        </w:rPr>
        <w:t>joern.stitz@th-koeln.de</w:t>
      </w:r>
      <w:r>
        <w:rPr>
          <w:rFonts w:asciiTheme="minorHAnsi" w:hAnsiTheme="minorHAnsi" w:cstheme="minorHAnsi"/>
          <w:bCs/>
          <w:color w:val="auto"/>
        </w:rPr>
        <w:t>)</w:t>
      </w:r>
    </w:p>
    <w:p w14:paraId="1ED2B37C" w14:textId="77777777" w:rsidR="009001EE" w:rsidRDefault="009001EE">
      <w:pPr>
        <w:jc w:val="left"/>
        <w:rPr>
          <w:rFonts w:asciiTheme="minorHAnsi" w:hAnsiTheme="minorHAnsi" w:cstheme="minorHAnsi"/>
          <w:bCs/>
          <w:color w:val="auto"/>
        </w:rPr>
      </w:pPr>
    </w:p>
    <w:p w14:paraId="143C6688" w14:textId="77777777" w:rsidR="009001EE" w:rsidRDefault="00E01D80">
      <w:pPr>
        <w:pStyle w:val="NormalWeb"/>
        <w:spacing w:beforeAutospacing="0" w:afterAutospacing="0"/>
        <w:rPr>
          <w:rFonts w:asciiTheme="minorHAnsi" w:hAnsiTheme="minorHAnsi" w:cstheme="minorHAnsi"/>
        </w:rPr>
      </w:pPr>
      <w:r>
        <w:rPr>
          <w:rFonts w:asciiTheme="minorHAnsi" w:hAnsiTheme="minorHAnsi" w:cstheme="minorHAnsi"/>
          <w:b/>
          <w:bCs/>
        </w:rPr>
        <w:t>KEYWORDS</w:t>
      </w:r>
    </w:p>
    <w:p w14:paraId="6C3628A6" w14:textId="1804752E" w:rsidR="009001EE" w:rsidRDefault="00E01D80">
      <w:pPr>
        <w:jc w:val="left"/>
        <w:rPr>
          <w:rFonts w:asciiTheme="minorHAnsi" w:hAnsiTheme="minorHAnsi" w:cstheme="minorHAnsi"/>
          <w:color w:val="auto"/>
        </w:rPr>
      </w:pPr>
      <w:r>
        <w:rPr>
          <w:rFonts w:asciiTheme="minorHAnsi" w:hAnsiTheme="minorHAnsi" w:cstheme="minorHAnsi"/>
          <w:color w:val="auto"/>
        </w:rPr>
        <w:t xml:space="preserve">immunoprecipitation, magnetic beads, antigen display, </w:t>
      </w:r>
      <w:r>
        <w:rPr>
          <w:rFonts w:asciiTheme="minorHAnsi" w:hAnsiTheme="minorHAnsi" w:cstheme="minorHAnsi"/>
        </w:rPr>
        <w:t xml:space="preserve">neutralization </w:t>
      </w:r>
      <w:r>
        <w:rPr>
          <w:rFonts w:asciiTheme="minorHAnsi" w:hAnsiTheme="minorHAnsi" w:cstheme="minorHAnsi"/>
          <w:color w:val="auto"/>
        </w:rPr>
        <w:t>epitopes, virus-like particles, antibodies</w:t>
      </w:r>
    </w:p>
    <w:p w14:paraId="74C25FD0" w14:textId="77777777" w:rsidR="009001EE" w:rsidRDefault="009001EE">
      <w:pPr>
        <w:rPr>
          <w:rFonts w:asciiTheme="minorHAnsi" w:hAnsiTheme="minorHAnsi" w:cstheme="minorHAnsi"/>
          <w:b/>
          <w:bCs/>
        </w:rPr>
      </w:pPr>
    </w:p>
    <w:p w14:paraId="5FE2A3F9" w14:textId="77777777" w:rsidR="009001EE" w:rsidRDefault="00E01D80">
      <w:pPr>
        <w:rPr>
          <w:rFonts w:asciiTheme="minorHAnsi" w:hAnsiTheme="minorHAnsi" w:cstheme="minorHAnsi"/>
          <w:color w:val="808080"/>
        </w:rPr>
      </w:pPr>
      <w:r>
        <w:rPr>
          <w:rFonts w:asciiTheme="minorHAnsi" w:hAnsiTheme="minorHAnsi" w:cstheme="minorHAnsi"/>
          <w:b/>
          <w:bCs/>
        </w:rPr>
        <w:t>SUMMARY</w:t>
      </w:r>
    </w:p>
    <w:p w14:paraId="14B97993" w14:textId="7775BF5D" w:rsidR="009001EE" w:rsidRDefault="00E01D80">
      <w:r>
        <w:rPr>
          <w:rFonts w:asciiTheme="minorHAnsi" w:hAnsiTheme="minorHAnsi" w:cstheme="minorHAnsi"/>
        </w:rPr>
        <w:t xml:space="preserve">Here, we present a protocol to detect </w:t>
      </w:r>
      <w:r w:rsidR="00076A08">
        <w:rPr>
          <w:rFonts w:asciiTheme="minorHAnsi" w:hAnsiTheme="minorHAnsi" w:cstheme="minorHAnsi"/>
        </w:rPr>
        <w:t>neutralization</w:t>
      </w:r>
      <w:r>
        <w:rPr>
          <w:rFonts w:asciiTheme="minorHAnsi" w:hAnsiTheme="minorHAnsi" w:cstheme="minorHAnsi"/>
        </w:rPr>
        <w:t xml:space="preserve"> epitopes on antigen-displaying virus-like particles (VLPs). Immunoprecipitation of </w:t>
      </w:r>
      <w:r w:rsidR="00D25F42">
        <w:rPr>
          <w:rFonts w:asciiTheme="minorHAnsi" w:hAnsiTheme="minorHAnsi" w:cstheme="minorHAnsi"/>
        </w:rPr>
        <w:t xml:space="preserve">the </w:t>
      </w:r>
      <w:r>
        <w:rPr>
          <w:rFonts w:asciiTheme="minorHAnsi" w:hAnsiTheme="minorHAnsi" w:cstheme="minorHAnsi"/>
          <w:shd w:val="clear" w:color="auto" w:fill="FFFFFF"/>
        </w:rPr>
        <w:t>human immunodeficiency virus (HIV)</w:t>
      </w:r>
      <w:r>
        <w:rPr>
          <w:rFonts w:asciiTheme="minorHAnsi" w:hAnsiTheme="minorHAnsi" w:cstheme="minorHAnsi"/>
        </w:rPr>
        <w:t xml:space="preserve">-derived VLPs is performed using envelope glycoproteins-specific monoclonal antibodies coupled to protein G-conjugated magnetic beads. Captured VLPs are subsequently subjected to SDS-PAGE </w:t>
      </w:r>
      <w:r w:rsidR="00076A08">
        <w:rPr>
          <w:rFonts w:asciiTheme="minorHAnsi" w:hAnsiTheme="minorHAnsi" w:cstheme="minorHAnsi"/>
        </w:rPr>
        <w:t>and</w:t>
      </w:r>
      <w:r>
        <w:rPr>
          <w:rFonts w:asciiTheme="minorHAnsi" w:hAnsiTheme="minorHAnsi" w:cstheme="minorHAnsi"/>
        </w:rPr>
        <w:t xml:space="preserve"> Western blot-analysis employing viral core protein Gag-specific antibodies. </w:t>
      </w:r>
    </w:p>
    <w:p w14:paraId="000903C9" w14:textId="77777777" w:rsidR="009001EE" w:rsidRDefault="009001EE">
      <w:pPr>
        <w:rPr>
          <w:rFonts w:asciiTheme="minorHAnsi" w:hAnsiTheme="minorHAnsi" w:cstheme="minorHAnsi"/>
        </w:rPr>
      </w:pPr>
    </w:p>
    <w:p w14:paraId="74E2E54C" w14:textId="77777777" w:rsidR="009001EE" w:rsidRDefault="00E01D80">
      <w:pPr>
        <w:rPr>
          <w:rFonts w:asciiTheme="minorHAnsi" w:hAnsiTheme="minorHAnsi" w:cstheme="minorHAnsi"/>
          <w:color w:val="808080"/>
        </w:rPr>
      </w:pPr>
      <w:r>
        <w:rPr>
          <w:rFonts w:asciiTheme="minorHAnsi" w:hAnsiTheme="minorHAnsi" w:cstheme="minorHAnsi"/>
          <w:b/>
          <w:bCs/>
        </w:rPr>
        <w:t>ABSTRACT</w:t>
      </w:r>
    </w:p>
    <w:p w14:paraId="16135FEF" w14:textId="1E8F6F62" w:rsidR="009001EE" w:rsidRDefault="00E01D80">
      <w:pPr>
        <w:rPr>
          <w:rFonts w:asciiTheme="minorHAnsi" w:hAnsiTheme="minorHAnsi" w:cstheme="minorHAnsi"/>
          <w:shd w:val="clear" w:color="auto" w:fill="FFFFFF"/>
        </w:rPr>
      </w:pPr>
      <w:r>
        <w:rPr>
          <w:rFonts w:asciiTheme="minorHAnsi" w:hAnsiTheme="minorHAnsi" w:cstheme="minorHAnsi"/>
          <w:shd w:val="clear" w:color="auto" w:fill="FFFFFF"/>
        </w:rPr>
        <w:t xml:space="preserve">The virus-like particle (VLP) capture assay is an immunoprecipitation method, commonly known as </w:t>
      </w:r>
      <w:r w:rsidR="00D25F42">
        <w:rPr>
          <w:rFonts w:asciiTheme="minorHAnsi" w:hAnsiTheme="minorHAnsi" w:cstheme="minorHAnsi"/>
          <w:shd w:val="clear" w:color="auto" w:fill="FFFFFF"/>
        </w:rPr>
        <w:t xml:space="preserve">a </w:t>
      </w:r>
      <w:r>
        <w:rPr>
          <w:rFonts w:asciiTheme="minorHAnsi" w:hAnsiTheme="minorHAnsi" w:cstheme="minorHAnsi"/>
          <w:shd w:val="clear" w:color="auto" w:fill="FFFFFF"/>
        </w:rPr>
        <w:t>'pull-down assay' used to purify and isolate antigen-displaying VLPs. Surface antigen-specific antibodies are coupled to</w:t>
      </w:r>
      <w:r w:rsidR="00076A08">
        <w:rPr>
          <w:rFonts w:asciiTheme="minorHAnsi" w:hAnsiTheme="minorHAnsi" w:cstheme="minorHAnsi"/>
          <w:shd w:val="clear" w:color="auto" w:fill="FFFFFF"/>
        </w:rPr>
        <w:t>,</w:t>
      </w:r>
      <w:r>
        <w:rPr>
          <w:rFonts w:asciiTheme="minorHAnsi" w:hAnsiTheme="minorHAnsi" w:cstheme="minorHAnsi"/>
          <w:shd w:val="clear" w:color="auto" w:fill="FFFFFF"/>
        </w:rPr>
        <w:t xml:space="preserve"> and thus immobilized on</w:t>
      </w:r>
      <w:r w:rsidR="00076A08">
        <w:rPr>
          <w:rFonts w:asciiTheme="minorHAnsi" w:hAnsiTheme="minorHAnsi" w:cstheme="minorHAnsi"/>
          <w:shd w:val="clear" w:color="auto" w:fill="FFFFFF"/>
        </w:rPr>
        <w:t>,</w:t>
      </w:r>
      <w:r>
        <w:rPr>
          <w:rFonts w:asciiTheme="minorHAnsi" w:hAnsiTheme="minorHAnsi" w:cstheme="minorHAnsi"/>
          <w:shd w:val="clear" w:color="auto" w:fill="FFFFFF"/>
        </w:rPr>
        <w:t xml:space="preserve"> a solid and insoluble matrix such as beads. Due to their high affinity to the target antigen, these antibodies can capture VLPs decorated with the cognate antigen anchored in the membrane envelope of the VLPs. This protocol describes the binding of antigen-specific antibodies to protein A- or G-conjugated magnetic beads. In our study, human immunodeficiency virus (HIV)-derived VLPs formed by the </w:t>
      </w:r>
      <w:r w:rsidR="00076A08">
        <w:rPr>
          <w:rFonts w:asciiTheme="minorHAnsi" w:hAnsiTheme="minorHAnsi" w:cstheme="minorHAnsi"/>
          <w:shd w:val="clear" w:color="auto" w:fill="FFFFFF"/>
        </w:rPr>
        <w:t xml:space="preserve">group-specific antigen (Gag) </w:t>
      </w:r>
      <w:r>
        <w:rPr>
          <w:rFonts w:asciiTheme="minorHAnsi" w:hAnsiTheme="minorHAnsi" w:cstheme="minorHAnsi"/>
          <w:shd w:val="clear" w:color="auto" w:fill="FFFFFF"/>
        </w:rPr>
        <w:t xml:space="preserve">viral core precursor protein p55 Gag and displaying the envelope glycoproteins (Env) of HIV are examined. The VLPs are captured utilizing broadly neutralizing antibodies (bNAbs) directed against </w:t>
      </w:r>
      <w:r w:rsidR="00076A08">
        <w:rPr>
          <w:rFonts w:asciiTheme="minorHAnsi" w:hAnsiTheme="minorHAnsi" w:cstheme="minorHAnsi"/>
          <w:shd w:val="clear" w:color="auto" w:fill="FFFFFF"/>
        </w:rPr>
        <w:t xml:space="preserve">neutralization epitopes in </w:t>
      </w:r>
      <w:r>
        <w:rPr>
          <w:rFonts w:asciiTheme="minorHAnsi" w:hAnsiTheme="minorHAnsi" w:cstheme="minorHAnsi"/>
          <w:shd w:val="clear" w:color="auto" w:fill="FFFFFF"/>
        </w:rPr>
        <w:t>Env.</w:t>
      </w:r>
      <w:r w:rsidR="00D25F42">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The VLP capture assay outlined here represents a sensitive and easy-to-perform method to demonstrate that </w:t>
      </w:r>
      <w:r w:rsidR="00D25F42">
        <w:rPr>
          <w:rFonts w:asciiTheme="minorHAnsi" w:hAnsiTheme="minorHAnsi" w:cstheme="minorHAnsi"/>
          <w:shd w:val="clear" w:color="auto" w:fill="FFFFFF"/>
        </w:rPr>
        <w:t>(</w:t>
      </w:r>
      <w:r>
        <w:rPr>
          <w:rFonts w:asciiTheme="minorHAnsi" w:hAnsiTheme="minorHAnsi" w:cstheme="minorHAnsi"/>
          <w:shd w:val="clear" w:color="auto" w:fill="FFFFFF"/>
        </w:rPr>
        <w:t xml:space="preserve">i) the VLPs are decorated with the respective </w:t>
      </w:r>
      <w:r>
        <w:rPr>
          <w:rFonts w:asciiTheme="minorHAnsi" w:hAnsiTheme="minorHAnsi" w:cstheme="minorHAnsi"/>
          <w:shd w:val="clear" w:color="auto" w:fill="FFFFFF"/>
        </w:rPr>
        <w:lastRenderedPageBreak/>
        <w:t xml:space="preserve">target antigen, </w:t>
      </w:r>
      <w:r w:rsidR="00D25F42">
        <w:rPr>
          <w:rFonts w:asciiTheme="minorHAnsi" w:hAnsiTheme="minorHAnsi" w:cstheme="minorHAnsi"/>
          <w:shd w:val="clear" w:color="auto" w:fill="FFFFFF"/>
        </w:rPr>
        <w:t>(</w:t>
      </w:r>
      <w:r>
        <w:rPr>
          <w:rFonts w:asciiTheme="minorHAnsi" w:hAnsiTheme="minorHAnsi" w:cstheme="minorHAnsi"/>
          <w:shd w:val="clear" w:color="auto" w:fill="FFFFFF"/>
        </w:rPr>
        <w:t>ii) the surface antigen retained its structural integrity as demonstrated by the epitope</w:t>
      </w:r>
      <w:r w:rsidR="00E72B75">
        <w:rPr>
          <w:rFonts w:asciiTheme="minorHAnsi" w:hAnsiTheme="minorHAnsi" w:cstheme="minorHAnsi"/>
          <w:shd w:val="clear" w:color="auto" w:fill="FFFFFF"/>
        </w:rPr>
        <w:t>-specific</w:t>
      </w:r>
      <w:r>
        <w:rPr>
          <w:rFonts w:asciiTheme="minorHAnsi" w:hAnsiTheme="minorHAnsi" w:cstheme="minorHAnsi"/>
          <w:shd w:val="clear" w:color="auto" w:fill="FFFFFF"/>
        </w:rPr>
        <w:t xml:space="preserve"> </w:t>
      </w:r>
      <w:r w:rsidR="00076A08">
        <w:rPr>
          <w:rFonts w:asciiTheme="minorHAnsi" w:hAnsiTheme="minorHAnsi" w:cstheme="minorHAnsi"/>
          <w:shd w:val="clear" w:color="auto" w:fill="FFFFFF"/>
        </w:rPr>
        <w:t xml:space="preserve">binding of </w:t>
      </w:r>
      <w:r>
        <w:rPr>
          <w:rFonts w:asciiTheme="minorHAnsi" w:hAnsiTheme="minorHAnsi" w:cstheme="minorHAnsi"/>
          <w:shd w:val="clear" w:color="auto" w:fill="FFFFFF"/>
        </w:rPr>
        <w:t xml:space="preserve">bNAbs used in the assay and </w:t>
      </w:r>
      <w:r w:rsidR="00D25F42">
        <w:rPr>
          <w:rFonts w:asciiTheme="minorHAnsi" w:hAnsiTheme="minorHAnsi" w:cstheme="minorHAnsi"/>
          <w:shd w:val="clear" w:color="auto" w:fill="FFFFFF"/>
        </w:rPr>
        <w:t>(</w:t>
      </w:r>
      <w:r>
        <w:rPr>
          <w:rFonts w:asciiTheme="minorHAnsi" w:hAnsiTheme="minorHAnsi" w:cstheme="minorHAnsi"/>
          <w:shd w:val="clear" w:color="auto" w:fill="FFFFFF"/>
        </w:rPr>
        <w:t>iii) the structural integrity of the VLPs revealed by the detection of Gag proteins in a subsequent Western blot</w:t>
      </w:r>
      <w:r w:rsidR="00D25F42">
        <w:rPr>
          <w:rFonts w:asciiTheme="minorHAnsi" w:hAnsiTheme="minorHAnsi" w:cstheme="minorHAnsi"/>
          <w:shd w:val="clear" w:color="auto" w:fill="FFFFFF"/>
        </w:rPr>
        <w:t xml:space="preserve"> </w:t>
      </w:r>
      <w:r>
        <w:rPr>
          <w:rFonts w:asciiTheme="minorHAnsi" w:hAnsiTheme="minorHAnsi" w:cstheme="minorHAnsi"/>
          <w:shd w:val="clear" w:color="auto" w:fill="FFFFFF"/>
        </w:rPr>
        <w:t>analysis. Consequently, the utilization of bNAbs for immunoprecipitation facilitates a prediction of whether VLP vaccines will be able to elicit a neutralizing B cell</w:t>
      </w:r>
      <w:r w:rsidR="00D25F42">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response in vaccinated </w:t>
      </w:r>
      <w:r w:rsidR="00E72B75">
        <w:rPr>
          <w:rFonts w:asciiTheme="minorHAnsi" w:hAnsiTheme="minorHAnsi" w:cstheme="minorHAnsi"/>
          <w:shd w:val="clear" w:color="auto" w:fill="FFFFFF"/>
        </w:rPr>
        <w:t>humans</w:t>
      </w:r>
      <w:r>
        <w:rPr>
          <w:rFonts w:asciiTheme="minorHAnsi" w:hAnsiTheme="minorHAnsi" w:cstheme="minorHAnsi"/>
          <w:shd w:val="clear" w:color="auto" w:fill="FFFFFF"/>
        </w:rPr>
        <w:t xml:space="preserve">. We anticipate that this protocol will furnish other researchers with a valuable and straightforward experimental approach </w:t>
      </w:r>
      <w:r w:rsidR="00D25F42">
        <w:rPr>
          <w:rFonts w:asciiTheme="minorHAnsi" w:hAnsiTheme="minorHAnsi" w:cstheme="minorHAnsi"/>
          <w:shd w:val="clear" w:color="auto" w:fill="FFFFFF"/>
        </w:rPr>
        <w:t>to examine</w:t>
      </w:r>
      <w:r>
        <w:rPr>
          <w:rFonts w:asciiTheme="minorHAnsi" w:hAnsiTheme="minorHAnsi" w:cstheme="minorHAnsi"/>
          <w:shd w:val="clear" w:color="auto" w:fill="FFFFFF"/>
        </w:rPr>
        <w:t xml:space="preserve"> potential VLP-based vaccines.</w:t>
      </w:r>
    </w:p>
    <w:p w14:paraId="32B46621" w14:textId="77777777" w:rsidR="009001EE" w:rsidRDefault="009001EE">
      <w:pPr>
        <w:rPr>
          <w:rFonts w:asciiTheme="minorHAnsi" w:hAnsiTheme="minorHAnsi" w:cstheme="minorHAnsi"/>
        </w:rPr>
      </w:pPr>
    </w:p>
    <w:p w14:paraId="4DBEC8E5" w14:textId="77777777" w:rsidR="009001EE" w:rsidRDefault="00E01D80">
      <w:pPr>
        <w:rPr>
          <w:rFonts w:asciiTheme="minorHAnsi" w:hAnsiTheme="minorHAnsi" w:cstheme="minorHAnsi"/>
          <w:color w:val="808080"/>
        </w:rPr>
      </w:pPr>
      <w:r>
        <w:rPr>
          <w:rFonts w:asciiTheme="minorHAnsi" w:hAnsiTheme="minorHAnsi" w:cstheme="minorHAnsi"/>
          <w:b/>
        </w:rPr>
        <w:t>INTRODUCTION</w:t>
      </w:r>
    </w:p>
    <w:p w14:paraId="2B2DD74E" w14:textId="1A01B7C3" w:rsidR="009001EE" w:rsidRDefault="00E01D80">
      <w:r>
        <w:rPr>
          <w:rFonts w:asciiTheme="minorHAnsi" w:hAnsiTheme="minorHAnsi" w:cstheme="minorHAnsi"/>
        </w:rPr>
        <w:t>Virus-like particles (VLPs) resemble the native virus particle</w:t>
      </w:r>
      <w:r>
        <w:rPr>
          <w:rFonts w:asciiTheme="minorHAnsi" w:hAnsiTheme="minorHAnsi" w:cstheme="minorHAnsi"/>
          <w:color w:val="365F91" w:themeColor="accent1" w:themeShade="BF"/>
        </w:rPr>
        <w:t xml:space="preserve"> </w:t>
      </w:r>
      <w:r>
        <w:rPr>
          <w:rFonts w:asciiTheme="minorHAnsi" w:hAnsiTheme="minorHAnsi" w:cstheme="minorHAnsi"/>
        </w:rPr>
        <w:t>structure while lacking the viral genome, thus providing a high safety profile</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{"citationItems":[{"id":"ITEM-1","itemData":{"DOI":"10.1586/erv.10.115","ISSN":"14760584","PMID":"20923267","abstract":"Virus-like particles (VLPs) are multiprotein structures that mimic the organization and conformation of authentic native viruses but lack the viral genome, potentially yielding safer and cheaper vaccine candidates. A handful of prophylactic VLP-based vaccines is currently commercialized worldwide: GlaxoSmithKlines Engerix® (hepatitis B virus) and Cervarix ® (human papillomavirus), and Merck and Co., Inc.s Recombivax HB® (hepatitis B virus) and Gardasil® (human papillomavirus) are some examples. Other VLP-based vaccine candidates are in clinical trials or undergoing preclinical evaluation, such as, influenza virus, parvovirus, Norwalk and various chimeric VLPs. Many others are still restricted to small-scale fundamental research, despite their success in preclinical tests. This article focuses on the essential role of VLP technology in new-generation vaccines against prevalent and emergent diseases. The implications of large-scale VLP production are discussed in the context of process control, monitorization and optimization. The main up- and down-stream technical challenges are identified and discussed accordingly. Successful VLP-based vaccine blockbusters are briefly presented concomitantly with the latest results from clinical trials and the recent developments in chimeric VLP-based technology for either therapeutic or prophylactic vaccination. © 2010 Expert Reviews Ltd.","author":[{"dropping-particle":"","family":"Roldão","given":"António","non-dropping-particle":"","parse-names":false,"suffix":""},{"dropping-particle":"","family":"Mellado","given":"Maria Candida M.","non-dropping-particle":"","parse-names":false,"suffix":""},{"dropping-particle":"","family":"Castilho","given":"Leda R.","non-dropping-particle":"","parse-names":false,"suffix":""},{"dropping-particle":"","family":"Carrondo","given":"Manuel J.T.","non-dropping-particle":"","parse-names":false,"suffix":""},{"dropping-particle":"","family":"Alves","given":"Paula M.","non-dropping-particle":"","parse-names":false,"suffix":""}],"container-title":"Expert Review of Vaccines","id":"ITEM-1","issue":"10","issued":{"date-parts":[["2010"]]},"page":"1149-1176","title":"Virus-like particles in vaccine development","type":"article-journal","volume":"9"},"uris":["http://www.mendeley.com/documents/?uuid=3df6b17c-9fea-47ee-99ea-16dba6845982"]}],"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1</w:t>
      </w:r>
      <w:r>
        <w:rPr>
          <w:rFonts w:asciiTheme="minorHAnsi" w:hAnsiTheme="minorHAnsi" w:cstheme="minorHAnsi"/>
        </w:rPr>
        <w:fldChar w:fldCharType="end"/>
      </w:r>
      <w:r>
        <w:rPr>
          <w:rFonts w:asciiTheme="minorHAnsi" w:hAnsiTheme="minorHAnsi" w:cstheme="minorHAnsi"/>
          <w:b/>
          <w:vertAlign w:val="superscript"/>
        </w:rPr>
        <w:t>,</w:t>
      </w:r>
      <w:r>
        <w:rPr>
          <w:rFonts w:asciiTheme="minorHAnsi" w:hAnsiTheme="minorHAnsi" w:cstheme="minorHAnsi"/>
        </w:rPr>
        <w:fldChar w:fldCharType="begin" w:fldLock="1"/>
      </w:r>
      <w:r w:rsidR="009B4D7A">
        <w:rPr>
          <w:rFonts w:asciiTheme="minorHAnsi" w:hAnsiTheme="minorHAnsi" w:cstheme="minorHAnsi"/>
          <w:b/>
        </w:rPr>
        <w:instrText>ADDIN CSL_CITATION {"citationItems":[{"id":"ITEM-1","itemData":{"DOI":"10.1016/S0966-842X(03)00208-7","ISSN":"0966842X","PMID":"13678860","abstract":"Subunit vaccines based on recombinant proteins can suffer from poor immunogenicity owing to incorrect folding of the target protein or poor presentation to the immune system. Virus-like particles (VLPs) represent a specific class of subunit vaccine that mimic the structure of authentic virus particles. They are recognized readily by the immune system and present viral antigens in a more authentic conformation than other subunit vaccines. VLPs have therefore shown dramatic effectiveness as candidate vaccines. Here, we review the current status of VLPs as vaccines, and discuss the characteristics and problems associated with producing VLPs for different viruses.","author":[{"dropping-particle":"","family":"Noad","given":"Rob","non-dropping-particle":"","parse-names":false,"suffix":""},{"dropping-particle":"","family":"Roy","given":"Polly","non-dropping-particle":"","parse-names":false,"suffix":""}],"container-title":"Trends in Microbiology","id":"ITEM-1","issue":"9","issued":{"date-parts":[["2003"]]},"page":"438-444","title":"Virus-like particles as immunogens","type":"article-journal","volume":"11"},"uris":["http://www.mendeley.com/documents/?uuid=e20924e8-9296-4138-ace3-ef9469c40799"]}],"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b/>
        </w:rPr>
        <w:fldChar w:fldCharType="separate"/>
      </w:r>
      <w:r>
        <w:rPr>
          <w:rFonts w:asciiTheme="minorHAnsi" w:hAnsiTheme="minorHAnsi" w:cstheme="minorHAnsi"/>
          <w:noProof/>
          <w:vertAlign w:val="superscript"/>
        </w:rPr>
        <w:t>2</w:t>
      </w:r>
      <w:r>
        <w:rPr>
          <w:rFonts w:asciiTheme="minorHAnsi" w:hAnsiTheme="minorHAnsi" w:cstheme="minorHAnsi"/>
          <w:b/>
        </w:rPr>
        <w:fldChar w:fldCharType="end"/>
      </w:r>
      <w:r>
        <w:rPr>
          <w:rFonts w:asciiTheme="minorHAnsi" w:hAnsiTheme="minorHAnsi" w:cstheme="minorHAnsi"/>
        </w:rPr>
        <w:t>. VLPs represent an individual class of vaccines increasingly developed due to their high immunogenicity</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{"citationItems":[{"id":"ITEM-1","itemData":{"DOI":"10.3390/vaccines8010139","ISSN":"2076393X","abstract":"Virus-like particles (VLPs) are multimeric nanostructures composed of one or more structural proteins of a virus in the absence of genetic material. Having similar morphology to natural viruses but lacking any pathogenicity or infectivity, VLPs have gradually become a safe substitute for inactivated or attenuated vaccines. VLPs can achieve tissue-specific targeting and complete and effective cell penetration. With highly ordered epitope repeats, VLPs have excellent immunogenicity and can induce strong cellular and humoral immune responses. In addition, as a type of nanocarrier, VLPs can be used to display antigenic epitopes or deliver small molecules. VLPs have thus become powerful tools for vaccinology and biomedical research. This review highlights the versatility of VLPs in antigen presentation, drug delivery, and vaccine technology.","author":[{"dropping-particle":"","family":"Qian","given":"Ciying","non-dropping-particle":"","parse-names":false,"suffix":""},{"dropping-particle":"","family":"Liu","given":"Xinlin","non-dropping-particle":"","parse-names":false,"suffix":""},{"dropping-particle":"","family":"Xu","given":"Qin","non-dropping-particle":"","parse-names":false,"suffix":""},{"dropping-particle":"","family":"Wang","given":"Zhiping","non-dropping-particle":"","parse-names":false,"suffix":""},{"dropping-particle":"","family":"Chen","given":"Jie","non-dropping-particle":"","parse-names":false,"suffix":""},{"dropping-particle":"","family":"Li","given":"Tingting","non-dropping-particle":"","parse-names":false,"suffix":""},{"dropping-particle":"","family":"Zheng","given":"Qingbing","non-dropping-particle":"","parse-names":false,"suffix":""},{"dropping-particle":"","family":"Yu","given":"Hai","non-dropping-particle":"","parse-names":false,"suffix":""},{"dropping-particle":"","family":"Gu","given":"Ying","non-dropping-particle":"","parse-names":false,"suffix":""},{"dropping-particle":"","family":"Li","given":"Shaowei","non-dropping-particle":"","parse-names":false,"suffix":""},{"dropping-particle":"","family":"Xia","given":"Ningshao","non-dropping-particle":"","parse-names":false,"suffix":""}],"container-title":"Vaccines","id":"ITEM-1","issue":"1","issued":{"date-parts":[["2020"]]},"page":"1-14","title":"Recent progress on the versatility of virus-like particles","type":"article-journal","volume":"8"},"uris":["http://www.mendeley.com/documents/?uuid=db5aabee-83d0-4a4e-9281-cf1c2e81103e"]}],"mendeley":{"formattedCitation":"&lt;sup&gt;3&lt;/sup&gt;","plainTextFormattedCitation":"3","previouslyFormattedCitation":"&lt;sup&gt;3&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3</w:t>
      </w:r>
      <w:r>
        <w:rPr>
          <w:rFonts w:asciiTheme="minorHAnsi" w:hAnsiTheme="minorHAnsi" w:cstheme="minorHAnsi"/>
        </w:rPr>
        <w:fldChar w:fldCharType="end"/>
      </w:r>
      <w:r w:rsidR="00D25F42">
        <w:rPr>
          <w:rFonts w:asciiTheme="minorHAnsi" w:hAnsiTheme="minorHAnsi" w:cstheme="minorHAnsi"/>
          <w:vertAlign w:val="superscript"/>
        </w:rPr>
        <w:t>–</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{"citationItems":[{"id":"ITEM-1","itemData":{"DOI":"10.1186/s13036-019-0206-z","ISSN":"17541611","abstract":"Background: Influenza viruses cause hundreds of thousands of respiratory diseases worldwide each year, and vaccination is considered the most effective approach for preventing influenza annual epidemics or pandemics. Since 1950, chicken embryonated eggs have been used as the main method for producing seasonal influenza vaccines. However, this platform has the main drawback of a lack of scale-up flexibility, and thus, egg-based vaccine manufacturers cannot supply sufficient doses within a short period for use for pandemic prevention. As a result, strategies for reducing the manufacturing time and increasing production capacity are urgently needed. Non-virion vaccine methods have been considered an alternative strategy against an influenza pandemic, and the purpose of maintaining an immunogenic capsule structure with infectious properties appears to be met by the virus-like particle (VLP) platform. Results: An influenza H7N9-TW VLP production platform using insect cells, which included the expression of hemagglutinin (HA), NA, and M1 proteins, was established. To scale up H7N9-TW VLP production, several culture conditions were optimized to obtain a higher production yield. A high level of dissolved oxygen (DO) could be critical to H7N9-TW VLP production. If the DO was maintained at a high level, the HA titer obtained in the spinner flask system with ventilation was similar to that obtained in a shake flask. In this study, the HA titer in a 5-L bioreactor with a well-controlled DO level was substantially improved by 128-fold (from 4 HA units (HAU)/50 μL to 512 HAU/50 μL). Conclusions: In this study, a multigene expression platform and an effective upstream process were developed. Notably, a high H7N9-TW VLP yield was achieved using a two-step production strategy while a high DO level was maintained. The upstream process, which resulted in high VLP titers, could be further used for large-scale influenza VLP vaccine production.","author":[{"dropping-particle":"","family":"Lai","given":"Chia Chun","non-dropping-particle":"","parse-names":false,"suffix":""},{"dropping-particle":"","family":"Cheng","given":"Yu Chieh","non-dropping-particle":"","parse-names":false,"suffix":""},{"dropping-particle":"","family":"Chen","given":"Pin Wen","non-dropping-particle":"","parse-names":false,"suffix":""},{"dropping-particle":"","family":"Lin","given":"Ting Hui","non-dropping-particle":"","parse-names":false,"suffix":""},{"dropping-particle":"","family":"Tzeng","given":"Tsai Teng","non-dropping-particle":"","parse-names":false,"suffix":""},{"dropping-particle":"","family":"Lu","given":"Chia Chun","non-dropping-particle":"","parse-names":false,"suffix":""},{"dropping-particle":"","family":"Lee","given":"Min Shi","non-dropping-particle":"","parse-names":false,"suffix":""},{"dropping-particle":"","family":"Hu","given":"Alan Yung Chih","non-dropping-particle":"","parse-names":false,"suffix":""}],"container-title":"Journal of Biological Engineering","id":"ITEM-1","issue":"1","issued":{"date-parts":[["2019"]]},"page":"1-9","publisher":"Journal of Biological Engineering","title":"Process development for pandemic influenza VLP vaccine production using a baculovirus expression system","type":"article-journal","volume":"13"},"uris":["http://www.mendeley.com/documents/?uuid=1889ad01-470d-4205-baee-82ac4f3b2ae3"]}],"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7</w:t>
      </w:r>
      <w:r>
        <w:rPr>
          <w:rFonts w:asciiTheme="minorHAnsi" w:hAnsiTheme="minorHAnsi" w:cstheme="minorHAnsi"/>
        </w:rPr>
        <w:fldChar w:fldCharType="end"/>
      </w:r>
      <w:r>
        <w:rPr>
          <w:rFonts w:asciiTheme="minorHAnsi" w:hAnsiTheme="minorHAnsi" w:cstheme="minorHAnsi"/>
        </w:rPr>
        <w:t>. This is particularly the case for membrane enveloped VLPs</w:t>
      </w:r>
      <w:r w:rsidR="00D25F42">
        <w:rPr>
          <w:rFonts w:asciiTheme="minorHAnsi" w:hAnsiTheme="minorHAnsi" w:cstheme="minorHAnsi"/>
        </w:rPr>
        <w:t>,</w:t>
      </w:r>
      <w:r>
        <w:rPr>
          <w:rFonts w:asciiTheme="minorHAnsi" w:hAnsiTheme="minorHAnsi" w:cstheme="minorHAnsi"/>
        </w:rPr>
        <w:t xml:space="preserve"> allowing for the display of not only homologous viral surface antigens but also heterologous antigens such as tumor antigens</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{"citationItems":[{"id":"ITEM-1","itemData":{"DOI":"10.3390/v12050488","ISBN":"3901167064","ISSN":"1999-4915","PMID":"22094141","abstract":"Virus-like particles (VLP) spontaneously assemble from viral structural proteins. They are naturally biocompatible and non-infectious. VLP can serve as a platform for many potential vaccine epitopes, display them in a dense repeating array, and elicit antibodies against non-immunogenic substances, including tumor-associated self-antigens. Genetic or chemical conjugation facilitates the multivalent display of a homologous or heterologous epitope. Most VLP range in diameter from 25 to 100 nm and, in most cases, drain freely into the lymphatic vessels and induce antibodies with high titers and affinity without the need for additional adjuvants. VLP administration can be performed using different strategies, regimens, and doses to improve the immunogenicity of the antigen they expose on their surface. This article summarizes the features of VLP and presents them as a relevant platform technology to address not only infectious diseases but also chronic diseases and cancer.","author":[{"dropping-particle":"","family":"Caldeira","given":"Jerri C.","non-dropping-particle":"","parse-names":false,"suffix":""},{"dropping-particle":"","family":"Perrine","given":"Michael","non-dropping-particle":"","parse-names":false,"suffix":""},{"dropping-particle":"","family":"Pericle","given":"Federica","non-dropping-particle":"","parse-names":false,"suffix":""},{"dropping-particle":"","family":"Cavallo","given":"Federica","non-dropping-particle":"","parse-names":false,"suffix":""}],"container-title":"Viruses","id":"ITEM-1","issue":"5","issued":{"date-parts":[["2020","4","27"]]},"page":"488","title":"Virus-Like Particles as an Immunogenic Platform for Cancer Vaccines","type":"article-journal","volume":"12"},"uris":["http://www.mendeley.com/documents/?uuid=87b6e612-cccf-4cc7-b769-a616323b9445"]}],"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8</w:t>
      </w:r>
      <w:r>
        <w:rPr>
          <w:rFonts w:asciiTheme="minorHAnsi" w:hAnsiTheme="minorHAnsi" w:cstheme="minorHAnsi"/>
        </w:rPr>
        <w:fldChar w:fldCharType="end"/>
      </w:r>
      <w:r w:rsidR="00D25F42">
        <w:rPr>
          <w:rFonts w:asciiTheme="minorHAnsi" w:hAnsiTheme="minorHAnsi" w:cstheme="minorHAnsi"/>
          <w:vertAlign w:val="superscript"/>
        </w:rPr>
        <w:t>–</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{"citationItems":[{"id":"ITEM-1","itemData":{"DOI":"10.1016/j.smim.2017.08.014","ISSN":"10963618","abstract":"Virus-like particles (VLPs) have made giant strides in the field of vaccinology over the last three decades. VLPs constitute versatile tools in vaccine development due to their favourable immunological characteristics such as their size, repetitive surface geometry, ability to induce both innate and adaptive immune responses as well as being safe templates with favourable economics. Several VLP-based vaccines are commercially available including vaccines against Human Papilloma Virus (HPV) such as Cervarix®, Gardasil® &amp; Gardasil9® and Hepatitis B Virus (HBV) including the 3rd generation Sci-B-Vac™. In addition, the first licensed malaria-VLP-based vaccine Mosquirix™ has been recently approved by the European regulators. Several other VLP-based vaccines are currently undergoing preclinical and clinical development. This review summarizes some of the major findings and recent advances in VLP-based vaccine development and technologies and outlines general principles that may be harnessed for induction of targeted immune responses.","author":[{"dropping-particle":"","family":"Mohsen","given":"Mona O.","non-dropping-particle":"","parse-names":false,"suffix":""},{"dropping-particle":"","family":"Zha","given":"Lisha","non-dropping-particle":"","parse-names":false,"suffix":""},{"dropping-particle":"","family":"Cabral-Miranda","given":"Gustavo","non-dropping-particle":"","parse-names":false,"suffix":""},{"dropping-particle":"","family":"Bachmann","given":"Martin F.","non-dropping-particle":"","parse-names":false,"suffix":""}],"container-title":"Seminars in Immunology","id":"ITEM-1","issue":"July","issued":{"date-parts":[["2017"]]},"page":"123-132","publisher":"Elsevier","title":"Major findings and recent advances in virus–like particle (VLP)-based vaccines","type":"article-journal","volume":"34"},"uris":["http://www.mendeley.com/documents/?uuid=48eb9517-8506-4958-a3ce-3668a2133fd7"]}],"mendeley":{"formattedCitation":"&lt;sup&gt;10&lt;/sup&gt;","plainTextFormattedCitation":"10","previouslyFormattedCitation":"&lt;sup&gt;10&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10</w:t>
      </w:r>
      <w:r>
        <w:rPr>
          <w:rFonts w:asciiTheme="minorHAnsi" w:hAnsiTheme="minorHAnsi" w:cstheme="minorHAnsi"/>
        </w:rPr>
        <w:fldChar w:fldCharType="end"/>
      </w:r>
      <w:r>
        <w:rPr>
          <w:rFonts w:asciiTheme="minorHAnsi" w:hAnsiTheme="minorHAnsi" w:cstheme="minorHAnsi"/>
        </w:rPr>
        <w:t xml:space="preserve">. </w:t>
      </w:r>
      <w:r w:rsidRPr="00BC459E">
        <w:rPr>
          <w:rFonts w:asciiTheme="minorHAnsi" w:hAnsiTheme="minorHAnsi" w:cstheme="minorHAnsi"/>
          <w:b/>
          <w:bCs/>
        </w:rPr>
        <w:t>Figure 1</w:t>
      </w:r>
      <w:r>
        <w:rPr>
          <w:rFonts w:asciiTheme="minorHAnsi" w:hAnsiTheme="minorHAnsi" w:cstheme="minorHAnsi"/>
        </w:rPr>
        <w:t xml:space="preserve"> provides an exemplary overview </w:t>
      </w:r>
      <w:r w:rsidR="00D25F42">
        <w:rPr>
          <w:rFonts w:asciiTheme="minorHAnsi" w:hAnsiTheme="minorHAnsi" w:cstheme="minorHAnsi"/>
        </w:rPr>
        <w:t xml:space="preserve">of </w:t>
      </w:r>
      <w:r>
        <w:rPr>
          <w:rFonts w:asciiTheme="minorHAnsi" w:hAnsiTheme="minorHAnsi" w:cstheme="minorHAnsi"/>
        </w:rPr>
        <w:t xml:space="preserve">the structure of an enveloped </w:t>
      </w:r>
      <w:r w:rsidR="00267601">
        <w:rPr>
          <w:rFonts w:asciiTheme="minorHAnsi" w:hAnsiTheme="minorHAnsi" w:cstheme="minorHAnsi"/>
        </w:rPr>
        <w:t>antigen decorated</w:t>
      </w:r>
      <w:r>
        <w:rPr>
          <w:rFonts w:asciiTheme="minorHAnsi" w:hAnsiTheme="minorHAnsi" w:cstheme="minorHAnsi"/>
        </w:rPr>
        <w:t xml:space="preserve"> VLP. During the development process of VLP-based vaccines, assays are indispensable enabling the analysis of the respective target antigen displayed on the VLP surface. Such assays should be instrumental to elucidate the composition of a particulate vaccine: </w:t>
      </w:r>
      <w:r w:rsidR="00D25F42">
        <w:rPr>
          <w:rFonts w:asciiTheme="minorHAnsi" w:hAnsiTheme="minorHAnsi" w:cstheme="minorHAnsi"/>
        </w:rPr>
        <w:t>(</w:t>
      </w:r>
      <w:r>
        <w:rPr>
          <w:rFonts w:asciiTheme="minorHAnsi" w:hAnsiTheme="minorHAnsi" w:cstheme="minorHAnsi"/>
        </w:rPr>
        <w:t xml:space="preserve">i) Are the VLPs decorated with the respective surface antigen? </w:t>
      </w:r>
      <w:r w:rsidR="00D25F42">
        <w:rPr>
          <w:rFonts w:asciiTheme="minorHAnsi" w:hAnsiTheme="minorHAnsi" w:cstheme="minorHAnsi"/>
        </w:rPr>
        <w:t>(</w:t>
      </w:r>
      <w:r>
        <w:rPr>
          <w:rFonts w:asciiTheme="minorHAnsi" w:hAnsiTheme="minorHAnsi" w:cstheme="minorHAnsi"/>
        </w:rPr>
        <w:t xml:space="preserve">ii) Has the surface antigen retained its native structure as demonstrated by epitope recognition of neutralizing antibodies (bNAbs) and </w:t>
      </w:r>
      <w:r w:rsidR="00D25F42">
        <w:rPr>
          <w:rFonts w:asciiTheme="minorHAnsi" w:hAnsiTheme="minorHAnsi" w:cstheme="minorHAnsi"/>
        </w:rPr>
        <w:t>(</w:t>
      </w:r>
      <w:r>
        <w:rPr>
          <w:rFonts w:asciiTheme="minorHAnsi" w:hAnsiTheme="minorHAnsi" w:cstheme="minorHAnsi"/>
        </w:rPr>
        <w:t>iii) can the structural integrity of the VLPs be confirmed due to the detection of the viral protein mediating VLP formation?</w:t>
      </w:r>
    </w:p>
    <w:p w14:paraId="18A98436" w14:textId="77777777" w:rsidR="009001EE" w:rsidRDefault="009001EE"/>
    <w:p w14:paraId="3A41B9EC" w14:textId="77777777" w:rsidR="009001EE" w:rsidRDefault="00E01D80">
      <w:r>
        <w:rPr>
          <w:rFonts w:asciiTheme="minorHAnsi" w:hAnsiTheme="minorHAnsi" w:cstheme="minorHAnsi"/>
        </w:rPr>
        <w:t xml:space="preserve">[Place </w:t>
      </w:r>
      <w:r w:rsidRPr="00BC459E">
        <w:rPr>
          <w:rFonts w:asciiTheme="minorHAnsi" w:hAnsiTheme="minorHAnsi" w:cstheme="minorHAnsi"/>
          <w:b/>
          <w:bCs/>
        </w:rPr>
        <w:t>Figure 1</w:t>
      </w:r>
      <w:r>
        <w:rPr>
          <w:rFonts w:asciiTheme="minorHAnsi" w:hAnsiTheme="minorHAnsi" w:cstheme="minorHAnsi"/>
        </w:rPr>
        <w:t xml:space="preserve"> here]</w:t>
      </w:r>
    </w:p>
    <w:p w14:paraId="06867651" w14:textId="77777777" w:rsidR="009001EE" w:rsidRDefault="009001EE"/>
    <w:p w14:paraId="6F75C442" w14:textId="595B37D1" w:rsidR="009001EE" w:rsidRDefault="00E01D80">
      <w:r>
        <w:rPr>
          <w:rFonts w:asciiTheme="minorHAnsi" w:hAnsiTheme="minorHAnsi" w:cstheme="minorHAnsi"/>
        </w:rPr>
        <w:t xml:space="preserve">Especially VLPs formed by the viral </w:t>
      </w:r>
      <w:r w:rsidR="00FD7BAE">
        <w:rPr>
          <w:rFonts w:asciiTheme="minorHAnsi" w:hAnsiTheme="minorHAnsi" w:cstheme="minorHAnsi"/>
        </w:rPr>
        <w:t xml:space="preserve">group-specific antigen (Gag) </w:t>
      </w:r>
      <w:r>
        <w:rPr>
          <w:rFonts w:asciiTheme="minorHAnsi" w:hAnsiTheme="minorHAnsi" w:cstheme="minorHAnsi"/>
        </w:rPr>
        <w:t xml:space="preserve">core precursor protein p55 of </w:t>
      </w:r>
      <w:r>
        <w:rPr>
          <w:rFonts w:asciiTheme="minorHAnsi" w:hAnsiTheme="minorHAnsi" w:cstheme="minorHAnsi"/>
          <w:shd w:val="clear" w:color="auto" w:fill="FFFFFF"/>
        </w:rPr>
        <w:t>human immunodeficiency virus type 1 (</w:t>
      </w:r>
      <w:r>
        <w:rPr>
          <w:rFonts w:asciiTheme="minorHAnsi" w:hAnsiTheme="minorHAnsi" w:cstheme="minorHAnsi"/>
        </w:rPr>
        <w:t>HIV-1) are preferred scaffolds for antigen display in vaccine development as numerous antibodies</w:t>
      </w:r>
      <w:r w:rsidR="00D25F42">
        <w:rPr>
          <w:rFonts w:asciiTheme="minorHAnsi" w:hAnsiTheme="minorHAnsi" w:cstheme="minorHAnsi"/>
        </w:rPr>
        <w:t>,</w:t>
      </w:r>
      <w:r>
        <w:rPr>
          <w:rFonts w:asciiTheme="minorHAnsi" w:hAnsiTheme="minorHAnsi" w:cstheme="minorHAnsi"/>
        </w:rPr>
        <w:t xml:space="preserve"> and ELISA kits are available</w:t>
      </w:r>
      <w:r w:rsidR="00D25F42">
        <w:rPr>
          <w:rFonts w:asciiTheme="minorHAnsi" w:hAnsiTheme="minorHAnsi" w:cstheme="minorHAnsi"/>
        </w:rPr>
        <w:t>,</w:t>
      </w:r>
      <w:r>
        <w:rPr>
          <w:rFonts w:asciiTheme="minorHAnsi" w:hAnsiTheme="minorHAnsi" w:cstheme="minorHAnsi"/>
        </w:rPr>
        <w:t xml:space="preserve"> enabling the quantification of these VLPs</w:t>
      </w:r>
      <w:r w:rsidR="00FD7BAE">
        <w:rPr>
          <w:rFonts w:asciiTheme="minorHAnsi" w:hAnsiTheme="minorHAnsi" w:cstheme="minorHAnsi"/>
        </w:rPr>
        <w:fldChar w:fldCharType="begin" w:fldLock="1"/>
      </w:r>
      <w:r w:rsidR="00FD7BAE">
        <w:rPr>
          <w:rFonts w:asciiTheme="minorHAnsi" w:hAnsiTheme="minorHAnsi" w:cstheme="minorHAnsi"/>
        </w:rPr>
        <w:instrText>ADDIN CSL_CITATION {"citationItems":[{"id":"ITEM-1","itemData":{"DOI":"10.3390/vaccines9030251","ISSN":"2076393X","abstract":"Foot and mouth disease is a livestock acute disease, causing economic losses in affected areas. Currently, control of this disease is performed by mandatory vaccination campaigns using inactivated viral vaccines. In this work, we describe the development of a chimeric VLP-based vaccine candidate for foot-and-mouth disease virus (FMDV), based on the co-expression of the HIV-1 Gag protein and a novel fusion rabies glycoprotein (RVG), which carries in its N-term the FMDV main antigen: the G-H loop. It is demonstrated by confocal microscopy that both Gag-GFP polyprotein and the G-H loop colocalize at the cell membrane and, that the Gag polyprotein of the HIV virus acts as a scaffold for enveloped VLPs that during the budding process acquires the proteins that are being expressed in the cell membrane. The obtained VLPs were spherical particles of 130 ± 40 nm in diameter (analyzed by TEM, Cryo-TEM and NTA) carrying an envelope membrane that efficiently display the GH-RVG on its surface (analyzed by gold immunolabeling). Immunostainings with a FMDV hyperimmune serum showed that the heterologous antigenic site, genetically fused to RVG, is recognized by specific G-H loop antibodies. Additionally, the cVLPs produced expose the G-H loop to the liquid surrounding (analyzed by specific ELISA). Finally, we confirmed that these FMD cVLPs are able to induce a specific humoral immune response, based on antibodies directed to the G-H loop in experimental animals.","author":[{"dropping-particle":"","family":"Fontana","given":"Diego","non-dropping-particle":"","parse-names":false,"suffix":""},{"dropping-particle":"","family":"Garay","given":"Ernesto","non-dropping-particle":"","parse-names":false,"suffix":""},{"dropping-particle":"","family":"Cevera","given":"Laura","non-dropping-particle":"","parse-names":false,"suffix":""},{"dropping-particle":"","family":"Kratje","given":"Ricardo","non-dropping-particle":"","parse-names":false,"suffix":""},{"dropping-particle":"","family":"Prieto","given":"Claudio","non-dropping-particle":"","parse-names":false,"suffix":""},{"dropping-particle":"","family":"Gòdia","given":"Francesc","non-dropping-particle":"","parse-names":false,"suffix":""}],"container-title":"Vaccines","id":"ITEM-1","issue":"3","issued":{"date-parts":[["2021"]]},"title":"Chimeric VLPs Based on HIV-1 Gag and a Fusion Rabies Glycoprotein Induce Specific Antibodies against Rabies and Foot-and-Mouth Disease Virus","type":"article-journal","volume":"9"},"uris":["http://www.mendeley.com/documents/?uuid=6a2a1530-2151-467c-90a4-0d8160ff5975"]}],"mendeley":{"formattedCitation":"&lt;sup&gt;11&lt;/sup&gt;","plainTextFormattedCitation":"11","previouslyFormattedCitation":"&lt;sup&gt;11&lt;/sup&gt;"},"properties":{"noteIndex":0},"schema":"https://github.com/citation-style-language/schema/raw/master/csl-citation.json"}</w:instrText>
      </w:r>
      <w:r w:rsidR="00FD7BAE">
        <w:rPr>
          <w:rFonts w:asciiTheme="minorHAnsi" w:hAnsiTheme="minorHAnsi" w:cstheme="minorHAnsi"/>
        </w:rPr>
        <w:fldChar w:fldCharType="separate"/>
      </w:r>
      <w:r w:rsidR="00FD7BAE">
        <w:rPr>
          <w:rFonts w:asciiTheme="minorHAnsi" w:hAnsiTheme="minorHAnsi" w:cstheme="minorHAnsi"/>
          <w:noProof/>
          <w:vertAlign w:val="superscript"/>
        </w:rPr>
        <w:t>11</w:t>
      </w:r>
      <w:r w:rsidR="00FD7BAE">
        <w:rPr>
          <w:rFonts w:asciiTheme="minorHAnsi" w:hAnsiTheme="minorHAnsi" w:cstheme="minorHAnsi"/>
        </w:rPr>
        <w:fldChar w:fldCharType="end"/>
      </w:r>
      <w:r w:rsidR="00FD7BAE">
        <w:rPr>
          <w:rFonts w:asciiTheme="minorHAnsi" w:hAnsiTheme="minorHAnsi" w:cstheme="minorHAnsi"/>
          <w:b/>
          <w:vertAlign w:val="superscript"/>
        </w:rPr>
        <w:t>,</w:t>
      </w:r>
      <w:r w:rsidR="00FD7BAE">
        <w:rPr>
          <w:rFonts w:asciiTheme="minorHAnsi" w:hAnsiTheme="minorHAnsi" w:cstheme="minorHAnsi"/>
        </w:rPr>
        <w:fldChar w:fldCharType="begin" w:fldLock="1"/>
      </w:r>
      <w:r w:rsidR="00FD7BAE">
        <w:rPr>
          <w:rFonts w:asciiTheme="minorHAnsi" w:hAnsiTheme="minorHAnsi" w:cstheme="minorHAnsi"/>
          <w:b/>
        </w:rPr>
        <w:instrText>ADDIN CSL_CITATION {"citationItems":[{"id":"ITEM-1","itemData":{"DOI":"10.1007/s00253-019-10038-3","ISSN":"14320614","abstract":"Over the past years, much knowledge has been gained about the HIV-1 virus structure and infection cycle. This knowledge has been used to conceive different types of potential vaccines and vaccination strategies. This review focuses on the characteristics of the virus and the vaccines that have been developed, particularly on those using virus-like particles, as well as on the developments for their production and purification. The production of HIV-1 VLPs has been investigated in different platforms such as, yeast, plants, insect and mammalian cells. Their purification follows the same rational as for viral vectors: clarification, nuclease treatment, concentration/capture, polishing, formulation and viral clearance. Analytical techniques to characterise the obtained productions will be of paramount relevance for their final application, considering that the raw production obtained in bioreactors comprises not only the VLPs of interest but also many other extracellular vesicles. Finally, it should also be considered that VLPs are prone to carry host cell proteins and DNA.","author":[{"dropping-particle":"","family":"Cervera","given":"Laura","non-dropping-particle":"","parse-names":false,"suffix":""},{"dropping-particle":"","family":"Gòdia","given":"Francesc","non-dropping-particle":"","parse-names":false,"suffix":""},{"dropping-particle":"","family":"Tarrés-Freixas","given":"Ferran","non-dropping-particle":"","parse-names":false,"suffix":""},{"dropping-particle":"","family":"Aguilar-Gurrieri","given":"Carmen","non-dropping-particle":"","parse-names":false,"suffix":""},{"dropping-particle":"","family":"Carrillo","given":"Jorge","non-dropping-particle":"","parse-names":false,"suffix":""},{"dropping-particle":"","family":"Blanco","given":"Julià","non-dropping-particle":"","parse-names":false,"suffix":""},{"dropping-particle":"","family":"Gutiérrez-Granados","given":"Sònia","non-dropping-particle":"","parse-names":false,"suffix":""}],"container-title":"Applied Microbiology and Biotechnology","id":"ITEM-1","issue":"18","issued":{"date-parts":[["2019"]]},"page":"7367-7384","title":"Production of HIV-1-based virus-like particles for vaccination: achievements and limits","type":"article-journal","volume":"103"},"uris":["http://www.mendeley.com/documents/?uuid=55a97d49-1d8a-4f8d-badf-8d8129890d65"]}],"mendeley":{"formattedCitation":"&lt;sup&gt;12&lt;/sup&gt;","plainTextFormattedCitation":"12","previouslyFormattedCitation":"&lt;sup&gt;12&lt;/sup&gt;"},"properties":{"noteIndex":0},"schema":"https://github.com/citation-style-language/schema/raw/master/csl-citation.json"}</w:instrText>
      </w:r>
      <w:r w:rsidR="00FD7BAE">
        <w:rPr>
          <w:rFonts w:asciiTheme="minorHAnsi" w:hAnsiTheme="minorHAnsi" w:cstheme="minorHAnsi"/>
          <w:b/>
        </w:rPr>
        <w:fldChar w:fldCharType="separate"/>
      </w:r>
      <w:r w:rsidR="00FD7BAE">
        <w:rPr>
          <w:rFonts w:asciiTheme="minorHAnsi" w:hAnsiTheme="minorHAnsi" w:cstheme="minorHAnsi"/>
          <w:noProof/>
          <w:vertAlign w:val="superscript"/>
        </w:rPr>
        <w:t>12</w:t>
      </w:r>
      <w:r w:rsidR="00FD7BAE">
        <w:rPr>
          <w:rFonts w:asciiTheme="minorHAnsi" w:hAnsiTheme="minorHAnsi" w:cstheme="minorHAnsi"/>
          <w:b/>
        </w:rPr>
        <w:fldChar w:fldCharType="end"/>
      </w:r>
      <w:r>
        <w:rPr>
          <w:rFonts w:asciiTheme="minorHAnsi" w:hAnsiTheme="minorHAnsi" w:cstheme="minorHAnsi"/>
        </w:rPr>
        <w:t>. The HIV-1 envelope glycoproteins</w:t>
      </w:r>
      <w:r w:rsidR="00A56E66">
        <w:rPr>
          <w:rFonts w:asciiTheme="minorHAnsi" w:hAnsiTheme="minorHAnsi" w:cstheme="minorHAnsi"/>
        </w:rPr>
        <w:t xml:space="preserve"> (Env)</w:t>
      </w:r>
      <w:r>
        <w:rPr>
          <w:rFonts w:asciiTheme="minorHAnsi" w:hAnsiTheme="minorHAnsi" w:cstheme="minorHAnsi"/>
        </w:rPr>
        <w:t xml:space="preserve">, namely, the transmembrane protein gp41 (gp41-TM) and the soluble </w:t>
      </w:r>
      <w:r w:rsidR="00FD7BAE">
        <w:rPr>
          <w:rFonts w:asciiTheme="minorHAnsi" w:hAnsiTheme="minorHAnsi" w:cstheme="minorHAnsi"/>
        </w:rPr>
        <w:t xml:space="preserve">surface unit </w:t>
      </w:r>
      <w:r>
        <w:rPr>
          <w:rFonts w:asciiTheme="minorHAnsi" w:hAnsiTheme="minorHAnsi" w:cstheme="minorHAnsi"/>
        </w:rPr>
        <w:t>gp120</w:t>
      </w:r>
      <w:r w:rsidR="00FD7BAE">
        <w:rPr>
          <w:rFonts w:asciiTheme="minorHAnsi" w:hAnsiTheme="minorHAnsi" w:cstheme="minorHAnsi"/>
        </w:rPr>
        <w:t xml:space="preserve"> </w:t>
      </w:r>
      <w:r>
        <w:rPr>
          <w:rFonts w:asciiTheme="minorHAnsi" w:hAnsiTheme="minorHAnsi" w:cstheme="minorHAnsi"/>
        </w:rPr>
        <w:t>(gp120-SU) forming heterodimers, are incorporated into the membrane envelope of particles and are crucial target antigens for the development of vaccines against HIV-infection</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{"citationItems":[{"id":"ITEM-1","itemData":{"DOI":"10.3390/vaccines9030239","ISSN":"2076393X","abstract":"An optimal prophylactic vaccine to prevent human immunodeficiency virus (HIV-1) transmission should elicit protective antibody responses against the HIV-1 envelope glycoprotein (Env). Replication-incompetent HIV-1 virus-like particles (VLPs) offer the opportunity to present virion-associated Env with a native-like structure during vaccination that closely resembles that encountered on infectious virus. Here, we optimized the incorporation of Env into previously designed mature-form VLPs (mVLPs) and assessed their immunogenicity in mice. The incorporation of Env into mVLPs was increased by replacing the Env transmembrane and cytoplasmic tail domains with those of influenza haemagglutinin (HA-TMCT). Furthermore, Env was stabilized on the VLP surface by introducing an interchain disulfide and proline substitution (SOSIP) mutations typically employed to stabilize soluble Env trimers. The resulting mVLPs efficiently presented neutralizing antibody epitopes while minimizing exposure of non-neutralizing antibody sites. Vaccination of mice with mVLPs elicited a broader range of Env-specific antibody isotypes than Env presented on immature VLPs or extracellular vesicles. The mVLPs bearing HA-TMCT-modified Env consistently induced anti-Env antibody responses that mediated modest neutralization activity. These mVLPs are potentially useful immunogens for eliciting neutralizing antibody responses that target native Env epitopes on infectious HIV-1 virions.","author":[{"dropping-particle":"","family":"Gonelli","given":"Christopher A.","non-dropping-particle":"","parse-names":false,"suffix":""},{"dropping-particle":"","family":"King","given":"Hannah A.D.","non-dropping-particle":"","parse-names":false,"suffix":""},{"dropping-particle":"","family":"Mackenzie","given":"Charlene","non-dropping-particle":"","parse-names":false,"suffix":""},{"dropping-particle":"","family":"Sonza","given":"Secondo","non-dropping-particle":"","parse-names":false,"suffix":""},{"dropping-particle":"","family":"Center","given":"Rob J.","non-dropping-particle":"","parse-names":false,"suffix":""},{"dropping-particle":"","family":"Purcell","given":"Damian F.J.","non-dropping-particle":"","parse-names":false,"suffix":""}],"container-title":"Vaccines","id":"ITEM-1","issue":"3","issued":{"date-parts":[["2021"]]},"page":"1-36","title":"Immunogenicity of hiv-1-based virus-like particles with increased incorporation and stability of membrane-bound env","type":"article-journal","volume":"9"},"uris":["http://www.mendeley.com/documents/?uuid=9d254514-e496-4754-8022-7befb3d07148"]}],"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13</w:t>
      </w:r>
      <w:r>
        <w:rPr>
          <w:rFonts w:asciiTheme="minorHAnsi" w:hAnsiTheme="minorHAnsi" w:cstheme="minorHAnsi"/>
        </w:rPr>
        <w:fldChar w:fldCharType="end"/>
      </w:r>
      <w:r w:rsidR="00D25F42" w:rsidRPr="00BC459E">
        <w:rPr>
          <w:rFonts w:asciiTheme="minorHAnsi" w:hAnsiTheme="minorHAnsi" w:cstheme="minorHAnsi"/>
          <w:vertAlign w:val="superscript"/>
        </w:rPr>
        <w:t>–</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{"citationItems":[{"id":"ITEM-1","itemData":{"DOI":"10.1038/345622a0","ISSN":"00280836","PMID":"2190095","abstract":"THE development of a vaccine to provide protective immunity to human immunodeficiency virus type 1 (HIV-1), the virus causing AIDS, would be the most practical method to control its spread. Subunit vaccines consisting of virus envelope glycoproteins, produced by recombinant DNA technology, are effective in preventing viral infections1. We have now used this approach in the development of a candidate AIDS vaccine. Chimpanzees were immunized with recombinant forms of the HIV-1 glycoproteins gp120 and gp160 produced in Chinese hamster ovary cells, and then challenged with HIV-1. The control and the two animals immunized with the gp160 variant became infected within 7 weeks of challenge. The two animals immunized with the gp120 variant have shown no signs of infection after more than 6 months. These studies demonstrate that recombinant gp120, formulated in an adjuvant approved for human use, can elicit protective immunity against a homologous strain of HIV-1. © 1990 Nature Publishing Group.","author":[{"dropping-particle":"","family":"Berman","given":"Phillip W.","non-dropping-particle":"","parse-names":false,"suffix":""},{"dropping-particle":"","family":"Gregory","given":"Timothy J.","non-dropping-particle":"","parse-names":false,"suffix":""},{"dropping-particle":"","family":"Riddle","given":"Lavon","non-dropping-particle":"","parse-names":false,"suffix":""},{"dropping-particle":"","family":"Nakamura","given":"Gerald R.","non-dropping-particle":"","parse-names":false,"suffix":""},{"dropping-particle":"","family":"Champe","given":"Mark A.","non-dropping-particle":"","parse-names":false,"suffix":""},{"dropping-particle":"","family":"Porter","given":"James P.","non-dropping-particle":"","parse-names":false,"suffix":""},{"dropping-particle":"","family":"Wurm","given":"Florain M.","non-dropping-particle":"","parse-names":false,"suffix":""},{"dropping-particle":"","family":"Hershberg","given":"Robert D.","non-dropping-particle":"","parse-names":false,"suffix":""},{"dropping-particle":"","family":"Cobb","given":"E. Kathy","non-dropping-particle":"","parse-names":false,"suffix":""},{"dropping-particle":"","family":"Eichberg","given":"Jorg W.","non-dropping-particle":"","parse-names":false,"suffix":""}],"container-title":"Nature","id":"ITEM-1","issue":"6276","issued":{"date-parts":[["1990"]]},"page":"622-625","title":"Protection of chimpanzees from infection by HIV-1 after vaccination with recombinant glycoprotein gp120 but not gp160","type":"article-journal","volume":"345"},"uris":["http://www.mendeley.com/documents/?uuid=97941ea0-412d-46ff-b2ed-a563769462cf"]}],"mendeley":{"formattedCitation":"&lt;sup&gt;15&lt;/sup&gt;","plainTextFormattedCitation":"15","previouslyFormattedCitation":"&lt;sup&gt;15&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15</w:t>
      </w:r>
      <w:r>
        <w:rPr>
          <w:rFonts w:asciiTheme="minorHAnsi" w:hAnsiTheme="minorHAnsi" w:cstheme="minorHAnsi"/>
        </w:rPr>
        <w:fldChar w:fldCharType="end"/>
      </w:r>
      <w:r>
        <w:rPr>
          <w:rFonts w:asciiTheme="minorHAnsi" w:hAnsiTheme="minorHAnsi" w:cstheme="minorHAnsi"/>
        </w:rPr>
        <w:t>. The display of neutralization epitopes in these target antigens is a prerequisite to elicit</w:t>
      </w:r>
      <w:r w:rsidR="00D25F42">
        <w:rPr>
          <w:rFonts w:asciiTheme="minorHAnsi" w:hAnsiTheme="minorHAnsi" w:cstheme="minorHAnsi"/>
        </w:rPr>
        <w:t>ing</w:t>
      </w:r>
      <w:r>
        <w:rPr>
          <w:rFonts w:asciiTheme="minorHAnsi" w:hAnsiTheme="minorHAnsi" w:cstheme="minorHAnsi"/>
        </w:rPr>
        <w:t xml:space="preserve"> a broadly neutralizing antibody response in vaccines. Besides a T cell response directed against the Gag proteins, this is considered an important correlate of protection against HIV</w:t>
      </w:r>
      <w:r w:rsidR="00D25F42">
        <w:rPr>
          <w:rFonts w:asciiTheme="minorHAnsi" w:hAnsiTheme="minorHAnsi" w:cstheme="minorHAnsi"/>
        </w:rPr>
        <w:t xml:space="preserve"> </w:t>
      </w:r>
      <w:r>
        <w:rPr>
          <w:rFonts w:asciiTheme="minorHAnsi" w:hAnsiTheme="minorHAnsi" w:cstheme="minorHAnsi"/>
        </w:rPr>
        <w:t>infection</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{"citationItems":[{"id":"ITEM-1","itemData":{"DOI":"10.1038/nature07352","ISSN":"14764687","PMID":"18833271","abstract":"The development of a safe and effective human immunodeficiency virus (HIV)-1 vaccine is a critically important global health priority. Despite recent advances in our understanding of HIV-1 pathogenesis and immunology, however, major scientific obstacles remain. Prototype HIV-1 vaccine candidates aimed at eliciting humoral and cellular immune responses have so far failed to protect against HIV-1 infection or to reduce viral loads after infection in clinical efficacy studies. A renewed and coordinated commitment to basic discovery research, preclinical studies and clinical trials will therefore be required to overcome the hurdles currently facing the field. Here I review key challenges and future prospects in the quest to develop a prophylactic HIV-1 vaccine. ©2008 Macmillan Publishers Limited. All rights reserved.","author":[{"dropping-particle":"","family":"Barouch","given":"Dan H.","non-dropping-particle":"","parse-names":false,"suffix":""}],"container-title":"Nature","id":"ITEM-1","issue":"7213","issued":{"date-parts":[["2008"]]},"page":"613-619","title":"Challenges in the development of an HIV-1 vaccine","type":"article-journal","volume":"455"},"uris":["http://www.mendeley.com/documents/?uuid=29828ca0-9eb1-41da-af25-15945a4ff754"]}],"mendeley":{"formattedCitation":"&lt;sup&gt;16&lt;/sup&gt;","plainTextFormattedCitation":"16","previouslyFormattedCitation":"&lt;sup&gt;16&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16</w:t>
      </w:r>
      <w:r>
        <w:rPr>
          <w:rFonts w:asciiTheme="minorHAnsi" w:hAnsiTheme="minorHAnsi" w:cstheme="minorHAnsi"/>
        </w:rPr>
        <w:fldChar w:fldCharType="end"/>
      </w:r>
      <w:r>
        <w:rPr>
          <w:rFonts w:asciiTheme="minorHAnsi" w:hAnsiTheme="minorHAnsi" w:cstheme="minorHAnsi"/>
        </w:rPr>
        <w:t>. Consequently, and upon design and production of VLPs decorated with target antigen candidates, the subsequent analysis of the quality of the displayed antigen</w:t>
      </w:r>
      <w:r w:rsidR="00FD7BAE">
        <w:rPr>
          <w:rFonts w:asciiTheme="minorHAnsi" w:hAnsiTheme="minorHAnsi" w:cstheme="minorHAnsi"/>
        </w:rPr>
        <w:t>s</w:t>
      </w:r>
      <w:r>
        <w:rPr>
          <w:rFonts w:asciiTheme="minorHAnsi" w:hAnsiTheme="minorHAnsi" w:cstheme="minorHAnsi"/>
        </w:rPr>
        <w:t xml:space="preserve"> represents a critical step in the process of vaccine development. </w:t>
      </w:r>
    </w:p>
    <w:p w14:paraId="13F71915" w14:textId="77777777" w:rsidR="009001EE" w:rsidRDefault="009001EE"/>
    <w:p w14:paraId="0989ECE9" w14:textId="12821687" w:rsidR="009001EE" w:rsidRDefault="00E01D80">
      <w:r>
        <w:rPr>
          <w:rFonts w:asciiTheme="minorHAnsi" w:hAnsiTheme="minorHAnsi" w:cstheme="minorHAnsi"/>
        </w:rPr>
        <w:t>Immunoprecipitation (IP) is a widely used technique for the detection of protein-protein interactions and the purification of protein complexes at</w:t>
      </w:r>
      <w:r>
        <w:rPr>
          <w:rFonts w:asciiTheme="minorHAnsi" w:hAnsiTheme="minorHAnsi" w:cstheme="minorHAnsi"/>
          <w:color w:val="365F91" w:themeColor="accent1" w:themeShade="BF"/>
        </w:rPr>
        <w:t xml:space="preserve"> </w:t>
      </w:r>
      <w:r>
        <w:rPr>
          <w:rFonts w:asciiTheme="minorHAnsi" w:hAnsiTheme="minorHAnsi" w:cstheme="minorHAnsi"/>
          <w:color w:val="auto"/>
        </w:rPr>
        <w:t>a</w:t>
      </w:r>
      <w:r>
        <w:rPr>
          <w:rFonts w:asciiTheme="minorHAnsi" w:hAnsiTheme="minorHAnsi" w:cstheme="minorHAnsi"/>
          <w:color w:val="365F91" w:themeColor="accent1" w:themeShade="BF"/>
        </w:rPr>
        <w:t xml:space="preserve"> </w:t>
      </w:r>
      <w:r>
        <w:rPr>
          <w:rFonts w:asciiTheme="minorHAnsi" w:hAnsiTheme="minorHAnsi" w:cstheme="minorHAnsi"/>
        </w:rPr>
        <w:t>small scale</w:t>
      </w:r>
      <w:r w:rsidR="00FD7BAE">
        <w:rPr>
          <w:rFonts w:asciiTheme="minorHAnsi" w:hAnsiTheme="minorHAnsi" w:cstheme="minorHAnsi"/>
        </w:rPr>
        <w:fldChar w:fldCharType="begin" w:fldLock="1"/>
      </w:r>
      <w:r w:rsidR="00FD7BAE">
        <w:rPr>
          <w:rFonts w:asciiTheme="minorHAnsi" w:hAnsiTheme="minorHAnsi" w:cstheme="minorHAnsi"/>
        </w:rPr>
        <w:instrText>ADDIN CSL_CITATION {"citationItems":[{"id":"ITEM-1","itemData":{"DOI":"10.1101/pdb.top098509","ISSN":"15596095","PMID":"33139503","abstract":"Immunoprecipitation, commonly referred to as IP, involves the binding of proteinaceous antigen in solution by an antigen-specific antibody followed by purification of the antigen–antibody complex via attachment to a solid-phase matrix such as Protein A or G agarose. This rather simplistic and rapid technique yields highly purified immune complexes from multifactorial solutions, including cell lysates or homogenized tissues, and is most commonly used to identify and determine the relative abundance of interacting proteins, referred to as coimmunoprecipitation or co-IP. Although methods encompassing immunoblotting or western blotting of cell lysate preparations can also be applied to determine the presence and quantity of a specific antigen, its relative molecular weight, rate of synthesis or degradation, and state of target-specific posttranslational modification, immunoprecipitation can significantly increase the sensitivity for these methodologies.","author":[{"dropping-particle":"","family":"DeCaprio","given":"James","non-dropping-particle":"","parse-names":false,"suffix":""},{"dropping-particle":"","family":"Kohl","given":"Thomas O.","non-dropping-particle":"","parse-names":false,"suffix":""}],"container-title":"Cold Spring Harbor Protocols","id":"ITEM-1","issue":"11","issued":{"date-parts":[["2020"]]},"page":"449-461","title":"Immunoprecipitation","type":"article-journal","volume":"2020"},"uris":["http://www.mendeley.com/documents/?uuid=18fe6b4d-8cda-436a-9786-d3898cc729c7"]}],"mendeley":{"formattedCitation":"&lt;sup&gt;17&lt;/sup&gt;","plainTextFormattedCitation":"17","previouslyFormattedCitation":"&lt;sup&gt;17&lt;/sup&gt;"},"properties":{"noteIndex":0},"schema":"https://github.com/citation-style-language/schema/raw/master/csl-citation.json"}</w:instrText>
      </w:r>
      <w:r w:rsidR="00FD7BAE">
        <w:rPr>
          <w:rFonts w:asciiTheme="minorHAnsi" w:hAnsiTheme="minorHAnsi" w:cstheme="minorHAnsi"/>
        </w:rPr>
        <w:fldChar w:fldCharType="separate"/>
      </w:r>
      <w:r w:rsidR="00FD7BAE">
        <w:rPr>
          <w:rFonts w:asciiTheme="minorHAnsi" w:hAnsiTheme="minorHAnsi" w:cstheme="minorHAnsi"/>
          <w:noProof/>
          <w:vertAlign w:val="superscript"/>
        </w:rPr>
        <w:t>17</w:t>
      </w:r>
      <w:r w:rsidR="00FD7BAE">
        <w:rPr>
          <w:rFonts w:asciiTheme="minorHAnsi" w:hAnsiTheme="minorHAnsi" w:cstheme="minorHAnsi"/>
        </w:rPr>
        <w:fldChar w:fldCharType="end"/>
      </w:r>
      <w:r>
        <w:rPr>
          <w:rFonts w:asciiTheme="minorHAnsi" w:hAnsiTheme="minorHAnsi" w:cstheme="minorHAnsi"/>
        </w:rPr>
        <w:t xml:space="preserve">. Barret </w:t>
      </w:r>
      <w:r w:rsidRPr="00BC459E">
        <w:rPr>
          <w:rFonts w:asciiTheme="minorHAnsi" w:hAnsiTheme="minorHAnsi" w:cstheme="minorHAnsi"/>
          <w:iCs/>
        </w:rPr>
        <w:t>et al.</w:t>
      </w:r>
      <w:r>
        <w:rPr>
          <w:rFonts w:asciiTheme="minorHAnsi" w:hAnsiTheme="minorHAnsi" w:cstheme="minorHAnsi"/>
        </w:rPr>
        <w:t xml:space="preserve"> first reported on the development of IP in </w:t>
      </w:r>
      <w:r>
        <w:rPr>
          <w:rFonts w:asciiTheme="minorHAnsi" w:hAnsiTheme="minorHAnsi" w:cstheme="minorHAnsi"/>
          <w:color w:val="auto"/>
        </w:rPr>
        <w:t>1960, yet, this method has been constantly further improved.</w:t>
      </w:r>
      <w:r>
        <w:rPr>
          <w:rFonts w:asciiTheme="minorHAnsi" w:hAnsiTheme="minorHAnsi" w:cstheme="minorHAnsi"/>
        </w:rPr>
        <w:t xml:space="preserve"> IP enables the capture and isolation of a target antigen (prey) from a solution </w:t>
      </w:r>
      <w:r>
        <w:rPr>
          <w:rFonts w:asciiTheme="minorHAnsi" w:hAnsiTheme="minorHAnsi" w:cstheme="minorHAnsi"/>
          <w:color w:val="auto"/>
        </w:rPr>
        <w:t>by</w:t>
      </w:r>
      <w:r>
        <w:rPr>
          <w:rFonts w:asciiTheme="minorHAnsi" w:hAnsiTheme="minorHAnsi" w:cstheme="minorHAnsi"/>
        </w:rPr>
        <w:t xml:space="preserve"> employing a</w:t>
      </w:r>
      <w:r w:rsidR="00FD7BAE">
        <w:rPr>
          <w:rFonts w:asciiTheme="minorHAnsi" w:hAnsiTheme="minorHAnsi" w:cstheme="minorHAnsi"/>
        </w:rPr>
        <w:t>n</w:t>
      </w:r>
      <w:r>
        <w:rPr>
          <w:rFonts w:asciiTheme="minorHAnsi" w:hAnsiTheme="minorHAnsi" w:cstheme="minorHAnsi"/>
        </w:rPr>
        <w:t xml:space="preserve"> </w:t>
      </w:r>
      <w:r w:rsidR="00FD7BAE">
        <w:rPr>
          <w:rFonts w:asciiTheme="minorHAnsi" w:hAnsiTheme="minorHAnsi" w:cstheme="minorHAnsi"/>
        </w:rPr>
        <w:t>antigen-</w:t>
      </w:r>
      <w:r>
        <w:rPr>
          <w:rFonts w:asciiTheme="minorHAnsi" w:hAnsiTheme="minorHAnsi" w:cstheme="minorHAnsi"/>
        </w:rPr>
        <w:t>specific antibody (bait)</w:t>
      </w:r>
      <w:r w:rsidR="000E28B9">
        <w:rPr>
          <w:rFonts w:asciiTheme="minorHAnsi" w:hAnsiTheme="minorHAnsi" w:cstheme="minorHAnsi"/>
        </w:rPr>
        <w:t xml:space="preserve"> immobilized by coupling to beads</w:t>
      </w:r>
      <w:r w:rsidR="00FD7BAE">
        <w:rPr>
          <w:rFonts w:asciiTheme="minorHAnsi" w:hAnsiTheme="minorHAnsi" w:cstheme="minorHAnsi"/>
        </w:rPr>
        <w:fldChar w:fldCharType="begin" w:fldLock="1"/>
      </w:r>
      <w:r w:rsidR="00FD7BAE">
        <w:rPr>
          <w:rFonts w:asciiTheme="minorHAnsi" w:hAnsiTheme="minorHAnsi" w:cstheme="minorHAnsi"/>
        </w:rPr>
        <w:instrText>ADDIN CSL_CITATION {"citationItems":[{"id":"ITEM-1","itemData":{"author":[{"dropping-particle":"","family":"Barret. B., Wood P.A.","given":"Volwiler W.","non-dropping-particle":"","parse-names":false,"suffix":""}],"container-title":"Journal of Laboratory and Clinical Medicine","id":"ITEM-1","issued":{"date-parts":[["1960"]]},"title":"Quantitation of gamma globulins in human serum by immunoprecipitation","type":"article-journal","volume":"55 (605-15"},"uris":["http://www.mendeley.com/documents/?uuid=09923395-20b6-4f11-a851-c962f4741e22"]}],"mendeley":{"formattedCitation":"&lt;sup&gt;18&lt;/sup&gt;","plainTextFormattedCitation":"18","previouslyFormattedCitation":"&lt;sup&gt;18&lt;/sup&gt;"},"properties":{"noteIndex":0},"schema":"https://github.com/citation-style-language/schema/raw/master/csl-citation.json"}</w:instrText>
      </w:r>
      <w:r w:rsidR="00FD7BAE">
        <w:rPr>
          <w:rFonts w:asciiTheme="minorHAnsi" w:hAnsiTheme="minorHAnsi" w:cstheme="minorHAnsi"/>
        </w:rPr>
        <w:fldChar w:fldCharType="separate"/>
      </w:r>
      <w:r w:rsidR="00FD7BAE">
        <w:rPr>
          <w:rFonts w:asciiTheme="minorHAnsi" w:hAnsiTheme="minorHAnsi" w:cstheme="minorHAnsi"/>
          <w:noProof/>
          <w:vertAlign w:val="superscript"/>
        </w:rPr>
        <w:t>18</w:t>
      </w:r>
      <w:r w:rsidR="00FD7BAE">
        <w:rPr>
          <w:rFonts w:asciiTheme="minorHAnsi" w:hAnsiTheme="minorHAnsi" w:cstheme="minorHAnsi"/>
        </w:rPr>
        <w:fldChar w:fldCharType="end"/>
      </w:r>
      <w:r w:rsidR="00FD7BAE" w:rsidRPr="008519E3">
        <w:rPr>
          <w:rFonts w:asciiTheme="minorHAnsi" w:hAnsiTheme="minorHAnsi" w:cstheme="minorHAnsi"/>
          <w:vertAlign w:val="superscript"/>
        </w:rPr>
        <w:t>,</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{"citationItems":[{"id":"ITEM-1","itemData":{"DOI":"10.1007/978-1-60327-064-9_27","ISSN":"10643745","PMID":"18369874","abstract":"Immunoprecipitation (IP) uses the specificity of antibodies to isolate target proteins (antigens) out of complex sample mixtures. Three different approaches for performing IP will be discussed; traditional (classical) method, oriented affinity method and direct affinity method. The traditional method of incubating the IP antibody with the sample and sequentially binding to Protein A or G agarose beads (resin) facilitates the most efficient target antigen recovery. However, this approach results in the target protein becoming contaminated with the IP antibody that can interfere with downstream analyses. The orientated affinity method uses Protein A or G beads to serve as an anchor to which the IP antibody is crosslinked thereby preventing the antibody from co-eluting with the target protein. Similarly, the direct affinity method also immobilizes the IP antibody except in this case it is directly attached to a chemically activated support. Both methods prevent co-elution of the IP antibody enabling reuse of the immunomatrix. All three approaches have unique advantages and can also be used for co-immunoprecipitation to study protein:protein interactions and investigate the functional proteome.","author":[{"dropping-particle":"","family":"Kaboord","given":"Barbara","non-dropping-particle":"","parse-names":false,"suffix":""},{"dropping-particle":"","family":"Perr","given":"Maria","non-dropping-particle":"","parse-names":false,"suffix":""}],"container-title":"Methods in molecular biology (Clifton, N.J.)","id":"ITEM-1","issued":{"date-parts":[["2008"]]},"page":"349-364","title":"Isolation of proteins and protein complexes by immunoprecipitation.","type":"article-journal","volume":"424"},"uris":["http://www.mendeley.com/documents/?uuid=fee281cd-173a-40d0-9f4d-2e4a1067f3b8"]}],"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19</w:t>
      </w:r>
      <w:r>
        <w:rPr>
          <w:rFonts w:asciiTheme="minorHAnsi" w:hAnsiTheme="minorHAnsi" w:cstheme="minorHAnsi"/>
        </w:rPr>
        <w:fldChar w:fldCharType="end"/>
      </w:r>
      <w:r>
        <w:rPr>
          <w:rFonts w:asciiTheme="minorHAnsi" w:hAnsiTheme="minorHAnsi" w:cstheme="minorHAnsi"/>
        </w:rPr>
        <w:t xml:space="preserve">. In this </w:t>
      </w:r>
      <w:r>
        <w:rPr>
          <w:rFonts w:asciiTheme="minorHAnsi" w:hAnsiTheme="minorHAnsi" w:cstheme="minorHAnsi"/>
        </w:rPr>
        <w:lastRenderedPageBreak/>
        <w:t xml:space="preserve">protocol, we demonstrate a variation of the classical IP application using membrane-enveloped p55 </w:t>
      </w:r>
      <w:r w:rsidR="00BA6FA6">
        <w:rPr>
          <w:rFonts w:asciiTheme="minorHAnsi" w:hAnsiTheme="minorHAnsi" w:cstheme="minorHAnsi"/>
        </w:rPr>
        <w:t>Gag-formed</w:t>
      </w:r>
      <w:r w:rsidR="00FD7BAE">
        <w:rPr>
          <w:rFonts w:asciiTheme="minorHAnsi" w:hAnsiTheme="minorHAnsi" w:cstheme="minorHAnsi"/>
        </w:rPr>
        <w:t xml:space="preserve"> </w:t>
      </w:r>
      <w:r>
        <w:rPr>
          <w:rFonts w:asciiTheme="minorHAnsi" w:hAnsiTheme="minorHAnsi" w:cstheme="minorHAnsi"/>
        </w:rPr>
        <w:t>VLPs as prey and bNAbs that recognize neutralization epitopes in the envelope proteins displayed on the surface of the VLPs as bait proteins. The successful application of this VLP capture assay facilitates the prediction of whether the tested antigen-positive VLPs will be able to elicit a neutralizing B cell</w:t>
      </w:r>
      <w:r w:rsidR="00D25F42">
        <w:rPr>
          <w:rFonts w:asciiTheme="minorHAnsi" w:hAnsiTheme="minorHAnsi" w:cstheme="minorHAnsi"/>
        </w:rPr>
        <w:t xml:space="preserve"> </w:t>
      </w:r>
      <w:r>
        <w:rPr>
          <w:rFonts w:asciiTheme="minorHAnsi" w:hAnsiTheme="minorHAnsi" w:cstheme="minorHAnsi"/>
        </w:rPr>
        <w:t xml:space="preserve">response in vaccinated people. Such immunogenic properties of VLP-based vaccine candidates are frequently demonstrated in </w:t>
      </w:r>
      <w:r w:rsidR="000E28B9">
        <w:rPr>
          <w:rFonts w:asciiTheme="minorHAnsi" w:hAnsiTheme="minorHAnsi" w:cstheme="minorHAnsi"/>
        </w:rPr>
        <w:t xml:space="preserve">small animal </w:t>
      </w:r>
      <w:r>
        <w:rPr>
          <w:rFonts w:asciiTheme="minorHAnsi" w:hAnsiTheme="minorHAnsi" w:cstheme="minorHAnsi"/>
        </w:rPr>
        <w:t>models</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{"citationItems":[{"id":"ITEM-1","itemData":{"DOI":"10.1371/journal.pone.0220865","ISBN":"1111111111","ISSN":"19326203","PMID":"31465461","abstract":"Although the efforts to develop vaccine against Toxoplasma gondii infection were made for decades, there is currently no licensed vaccine available for humans. Upon discovering a number of T or B cell epitope regions from T. gondii IMC, ROP18 and MIC8, multi-antigen VLPs or combination VLPs were generated. Mice immunized with multi-antigen VLPs or combination VLPs were challenge infected with T. gondii (ME49). T. gondii-specific IgG, IgG isotypes and IgA antibody responses, memory T and B cell responses and protection were evaluated. All the mice survived upon T. gondii challenge infection by multi-antigen VLPs vaccination. Vaccinated mice elicited higher levels of parasite-specific IgG and IgG2a antibody responses in sera, IgA antibody responses in feces, CD4+ and CD8+ T cell responses, and cytokines (IFN-γ, IL-10) responses compared to combination VLPs. In particular, the multi-antigen VLPs vaccination showed significantly higher levels of antibody secreting cell (ASC) responses, CD4+ and CD8+ effector memory T cells, and memory B cells than combination VLPs. Multi-antigen VLPs vaccination showed significant reduction of brain cyst counts and size, and all mice survived. Prediction and analysis of epitopes have indicated that IMC, ROP18 and MIC8 showed partially overlapping epitopes for T and B cells. Our results indicated that antibody responses, memory T and B cells induced by multi-antigen VLPs vaccination might contribute to the complete protection upon T. gondii (ME49) challenge infection.","author":[{"dropping-particle":"","family":"Lee","given":"Su Hwa","non-dropping-particle":"","parse-names":false,"suffix":""},{"dropping-particle":"","family":"Chu","given":"Ki Back","non-dropping-particle":"","parse-names":false,"suffix":""},{"dropping-particle":"","family":"Kang","given":"Hae Ji","non-dropping-particle":"","parse-names":false,"suffix":""},{"dropping-particle":"","family":"Quan","given":"Fu Shi","non-dropping-particle":"","parse-names":false,"suffix":""}],"container-title":"PLoS ONE","id":"ITEM-1","issue":"8","issued":{"date-parts":[["2019"]]},"page":"1-15","title":"Virus-like particles containing multiple antigenic proteins of Toxoplasma gondii induce memory T cell and B cell responses","type":"article-journal","volume":"14"},"uris":["http://www.mendeley.com/documents/?uuid=5e5e406e-3e19-431b-9ef1-96c597166f11"]}],"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20</w:t>
      </w:r>
      <w:r>
        <w:rPr>
          <w:rFonts w:asciiTheme="minorHAnsi" w:hAnsiTheme="minorHAnsi" w:cstheme="minorHAnsi"/>
        </w:rPr>
        <w:fldChar w:fldCharType="end"/>
      </w:r>
      <w:r w:rsidR="00D25F42">
        <w:rPr>
          <w:rFonts w:asciiTheme="minorHAnsi" w:hAnsiTheme="minorHAnsi" w:cstheme="minorHAnsi"/>
          <w:vertAlign w:val="superscript"/>
        </w:rPr>
        <w:t>–</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{"citationItems":[{"id":"ITEM-1","itemData":{"DOI":"10.1007/s00253-020-10483-5","ISSN":"14320614","PMID":"32130468","abstract":"Porcine parvovirus (PPV) virus-like particles (VLPs) are a potential vaccine candidate for the prevention of parvovirus-induced reproductive failure in pregnant sows. Currently, the Escherichia coli (E. coli) expression system is the most cost-efficient to express recombinant proteins. To overcome the limitations of protein misfolding and to prepare soluble highly bioactive antigen and high yields of protein, we optimized the PPV-VP2 gene, subcloned it into pET24a, pET26b, pET28a, and pET30a, and transformed it into E. coli BL21(DE3)-Tf16 competent cells. The pET28a plasmid was selected for further manipulations because it expressed high levels of the bioactive PPV-VP2 protein. Under optimal high-density fermenting conditions in a 70-L fermenter, the total yield of wet weight E. coli cells was 124.86 g/L, and PPV-VP2 protein was 2.5 g/L. After large-scale purification with Triton X-114 two-phase extraction as well as activated carbon powder adsorption, hemagglutination (HA) titers in the purified PPV-VP2 protein reached 219 and endotoxin was reduced to 2500 EU/mL. Dynamic light scattering (DLS) and transmission electron microscopy (TEM) results indicated that the purified PPV-VP2 protein self-assembled into VLPs. Immunogenicity assays in guinea pigs and pigs indicated that the ISA-201 VG adjuvanted PPV-VP2 VLP vaccine elicited hemagglutination inhibition (HI) and virus neutralization (VN) antibody titers comparable with PPV commercial inactivated vaccines, whereas viral loads in the spleen and liver of challenged guinea pigs were significantly reduced. In conclusion, our study provides a method for producing the PPV-VLP vaccine against PPV infection in E. coli and may offer a novel strategy for the soluble expression of other vaccine antigens.","author":[{"dropping-particle":"","family":"Wang","given":"Jucai","non-dropping-particle":"","parse-names":false,"suffix":""},{"dropping-particle":"","family":"Liu","given":"Yunchao","non-dropping-particle":"","parse-names":false,"suffix":""},{"dropping-particle":"","family":"Chen","given":"Yumei","non-dropping-particle":"","parse-names":false,"suffix":""},{"dropping-particle":"","family":"Wang","given":"Aiping","non-dropping-particle":"","parse-names":false,"suffix":""},{"dropping-particle":"","family":"Wei","given":"Qiang","non-dropping-particle":"","parse-names":false,"suffix":""},{"dropping-particle":"","family":"Liu","given":"Dongmin","non-dropping-particle":"","parse-names":false,"suffix":""},{"dropping-particle":"","family":"Zhang","given":"Gaiping","non-dropping-particle":"","parse-names":false,"suffix":""}],"container-title":"Applied Microbiology and Biotechnology","id":"ITEM-1","issue":"9","issued":{"date-parts":[["2020"]]},"page":"3847-3857","publisher":"Applied Microbiology and Biotechnology","title":"Large-scale manufacture of VP2 VLP vaccine against porcine parvovirus in Escherichia coli with high-density fermentation","type":"article-journal","volume":"104"},"uris":["http://www.mendeley.com/documents/?uuid=535c60aa-7bb4-4436-9511-01204097f678"]}],"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22</w:t>
      </w:r>
      <w:r>
        <w:rPr>
          <w:rFonts w:asciiTheme="minorHAnsi" w:hAnsiTheme="minorHAnsi" w:cstheme="minorHAnsi"/>
        </w:rPr>
        <w:fldChar w:fldCharType="end"/>
      </w:r>
      <w:r>
        <w:rPr>
          <w:rFonts w:asciiTheme="minorHAnsi" w:hAnsiTheme="minorHAnsi" w:cstheme="minorHAnsi"/>
        </w:rPr>
        <w:t xml:space="preserve">. </w:t>
      </w:r>
    </w:p>
    <w:p w14:paraId="0B52558E" w14:textId="77777777" w:rsidR="009001EE" w:rsidRDefault="009001EE"/>
    <w:p w14:paraId="70A8D0D2" w14:textId="78CE2B56" w:rsidR="009001EE" w:rsidRDefault="00E01D80">
      <w:pPr>
        <w:rPr>
          <w:rFonts w:asciiTheme="minorHAnsi" w:hAnsiTheme="minorHAnsi" w:cstheme="minorHAnsi"/>
          <w:color w:val="auto"/>
        </w:rPr>
      </w:pPr>
      <w:r>
        <w:rPr>
          <w:rFonts w:asciiTheme="minorHAnsi" w:hAnsiTheme="minorHAnsi" w:cstheme="minorHAnsi"/>
        </w:rPr>
        <w:t>In order to assess the quality of the newly developed VLP vaccine candidat</w:t>
      </w:r>
      <w:r>
        <w:rPr>
          <w:rFonts w:asciiTheme="minorHAnsi" w:hAnsiTheme="minorHAnsi" w:cstheme="minorHAnsi"/>
          <w:color w:val="auto"/>
        </w:rPr>
        <w:t xml:space="preserve">e, </w:t>
      </w:r>
      <w:r>
        <w:rPr>
          <w:rFonts w:asciiTheme="minorHAnsi" w:hAnsiTheme="minorHAnsi" w:cstheme="minorHAnsi"/>
        </w:rPr>
        <w:t>VLP capture assays have been successfully used</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{"citationItems":[{"id":"ITEM-1","itemData":{"DOI":"10.1038/s41598-020-61103-1","ISSN":"20452322","PMID":"32132648","abstract":"Mosquito borne viral diseases are an emerging threat as evident from the recent outbreak of Zika virus (ZIKV) as well as repeated outbreaks of Chikungunya (CHIKV), Yellow fever (YFV) and Japanese encephalitis (JEV) virus in different geographical regions. These four arboviruses are endemic in overlapping regions due to the co-prevalence of the transmitting mosquito vector species Aedes and Culex. Thus, a multivalent vaccine that targets all four viruses would be of benefit to regions of the world where these diseases are endemic. We developed a potential Virus Like Particle (VLP) based multivalent vaccine candidate to target these diseases by using stable cell lines that continuously secrete VLPs in the culture supernatants. Moreover, inclusion of Capsid in the VLPs provides an additional viral protein leading to an enhanced immune response as evident from our previous studies with ZIKV. Immunization of Balb/c mice with different combinations of Capsid protein containing VLPs either as monovalent, bivalent or tetravalent formulation resulted in generation of high levels of neutralizing antibodies. Interestingly, the potential tetravalent VLP vaccine candidate provided strong neutralizing antibody titers against all four viruses. The 293 T stable cell lines secreting VLPs were adapted to grow in suspension cultures to facilitate vaccine scale up. Our stable cell lines secreting individual VLPs provide a flexible yet scalable platform conveniently adaptable to different geographical regions as per the need. Further studies in appropriate animal models will be needed to define the efficacy of the multivalent vaccine candidate to protect against lethal virus challenge.","author":[{"dropping-particle":"","family":"Garg","given":"Himanshu","non-dropping-particle":"","parse-names":false,"suffix":""},{"dropping-particle":"","family":"Mehmetoglu-Gurbuz","given":"Tugba","non-dropping-particle":"","parse-names":false,"suffix":""},{"dropping-particle":"","family":"Joshi","given":"Anjali","non-dropping-particle":"","parse-names":false,"suffix":""}],"container-title":"Scientific Reports","id":"ITEM-1","issue":"1","issued":{"date-parts":[["2020"]]},"page":"1-14","publisher":"Springer US","title":"Virus Like Particles (VLP) as multivalent vaccine candidate against Chikungunya, Japanese Encephalitis, Yellow Fever and Zika Virus","type":"article-journal","volume":"10"},"uris":["http://www.mendeley.com/documents/?uuid=037710f3-b2fc-40ec-8e17-522fe9f3a749"]}],"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5</w:t>
      </w:r>
      <w:r>
        <w:rPr>
          <w:rFonts w:asciiTheme="minorHAnsi" w:hAnsiTheme="minorHAnsi" w:cstheme="minorHAnsi"/>
        </w:rPr>
        <w:fldChar w:fldCharType="end"/>
      </w:r>
      <w:r>
        <w:rPr>
          <w:rFonts w:asciiTheme="minorHAnsi" w:hAnsiTheme="minorHAnsi" w:cstheme="minorHAnsi"/>
          <w:vertAlign w:val="superscript"/>
        </w:rPr>
        <w:t>,</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{"citationItems":[{"id":"ITEM-1","itemData":{"DOI":"10.1016/S0928-8244(03)00273-6","ISSN":"09288244","PMID":"14734183","abstract":"Marburg virus (MARV), the causative agent of a severe hemorrhagic fever, has a characteristic filamentous morphology. Here we report that co-expression of MARV glycoprotein and matrix protein (VP40) in mammalian cells leads to spontaneous budding of filamentous particles strikingly similar to wild-type MARV. In addition, these particles elicit an immune response in BALB/c mice. The generation of non-replicating Marburg virus-like particles (VLPs) should significantly facilitate the research on molecular mechanisms of MARV assembly and release. Furthermore, VLPs may be an excellent vaccine candidate against Marburg infection. © 2003 Federation of European Microbiological Societies. Published by Elsevier B.V. All rights reserved.","author":[{"dropping-particle":"","family":"Swenson","given":"Dana L.","non-dropping-particle":"","parse-names":false,"suffix":""},{"dropping-particle":"","family":"Warfield","given":"Kelly L.","non-dropping-particle":"","parse-names":false,"suffix":""},{"dropping-particle":"","family":"Kuehl","given":"Kathleen","non-dropping-particle":"","parse-names":false,"suffix":""},{"dropping-particle":"","family":"Larsen","given":"Thomas","non-dropping-particle":"","parse-names":false,"suffix":""},{"dropping-particle":"","family":"Hevey","given":"Michael C.","non-dropping-particle":"","parse-names":false,"suffix":""},{"dropping-particle":"","family":"Schmaljohn","given":"Alan","non-dropping-particle":"","parse-names":false,"suffix":""},{"dropping-particle":"","family":"Bavari","given":"Sina","non-dropping-particle":"","parse-names":false,"suffix":""},{"dropping-particle":"","family":"Aman","given":"M. Javad","non-dropping-particle":"","parse-names":false,"suffix":""}],"container-title":"FEMS Immunology and Medical Microbiology","id":"ITEM-1","issue":"1","issued":{"date-parts":[["2004"]]},"page":"27-31","title":"Generation of Marburg virus-like particles by co-expression of glycoprotein and matrix protein","type":"article-journal","volume":"40"},"uris":["http://www.mendeley.com/documents/?uuid=9061e232-9c76-4b65-b74f-dec06ce8ff67"]}],"mendeley":{"formattedCitation":"&lt;sup&gt;23&lt;/sup&gt;","plainTextFormattedCitation":"23","previouslyFormattedCitation":"&lt;sup&gt;23&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23</w:t>
      </w:r>
      <w:r>
        <w:rPr>
          <w:rFonts w:asciiTheme="minorHAnsi" w:hAnsiTheme="minorHAnsi" w:cstheme="minorHAnsi"/>
        </w:rPr>
        <w:fldChar w:fldCharType="end"/>
      </w:r>
      <w:r>
        <w:rPr>
          <w:rFonts w:asciiTheme="minorHAnsi" w:hAnsiTheme="minorHAnsi" w:cstheme="minorHAnsi"/>
          <w:vertAlign w:val="superscript"/>
        </w:rPr>
        <w:t>,</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{"citationItems":[{"id":"ITEM-1","itemData":{"DOI":"10.1128/jvi.75.13.6154-6165.2001","ISSN":"0022-538X","PMID":"11390617","abstract":"We are studying the structural proteins and molecular interactions required for formation and release of influenza virus-like particles (VLPs) from the cell surface. To investigate these events, we generated a quadruple baculovirus recombinant that simultaneously expresses in Sf9 cells the hemagglutinin (HA), neuraminidase (NA), matrix (M1), and M2 proteins of influenza virus A/Udorn/72 (H3N2). Using this quadruple recombinant, we have been able to demonstrate by double-labeling immunofluorescence that matrix protein (M1) localizes in nuclei as well as at discrete areas of the plasma membrane where HA and NA colocalize at the cell surface. Western blot analysis of cell supernatant showed that M1, HA, and NA were secreted into the culture medium. Furthermore, these proteins comigrated in similar fractions when concentrated supernatant was subjected to differential centrifugation. Electron microscopic examination (EM) of these fractions revealed influenza VLPs bearing surface projections that closely resemble those of wild-type influenza virus. Immunogold labeling and EM demonstrated that the HA and NA were present on the surface of the VLPs. We further investigated the minimal number of structural proteins necessary for VLP assembly and release using single-gene baculovirus recombinants. Expression of M1 protein alone led to the release of vesicular particles, which in gradient centrifugation analysis migrated in a similar pattern to that of the VLPs. Immunoprecipitation of M1 protein from purified M1 vesicles, VLPs, or influenza virus showed that the relative amount of M1 protein associated with M1 vesicles or VLPs was higher than that associated with virions, suggesting that particle formation and budding is a very frequent event. Finally, the HA gene within the quadruple recombinant was replaced either by a gene encoding the G protein of vesicular stomatitis virus or by a hybrid gene containing the cytoplasmic tail and transmembrane domain of the HA and the ectodomain of the G protein. Each of these constructs was able to drive the assembly and release of VLPs, although enhanced recruitment of the G glycoprotein onto the surface of the particle was observed with the recombinant carrying a G/HA chimeric gene. The described approach to assembly of wild-type and chimeric influenza VLPs may provide a valuable tool for further investigation of viral morphogenesis and genome packaging as well as for the development of novel vaccines.","author":[{"dropping-particle":"","family":"Latham","given":"Theresa","non-dropping-particle":"","parse-names":false,"suffix":""},{"dropping-particle":"","family":"Galarza","given":"Jose M.","non-dropping-particle":"","parse-names":false,"suffix":""}],"container-title":"Journal of Virology","id":"ITEM-1","issue":"13","issued":{"date-parts":[["2001"]]},"page":"6154-6165","title":"Formation of Wild-Type and Chimeric Influenza Virus-Like Particles following Simultaneous Expression of Only Four Structural Proteins","type":"article-journal","volume":"75"},"uris":["http://www.mendeley.com/documents/?uuid=d3c708ce-89ed-4835-9a6b-c76d6dc956a8"]}],"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24</w:t>
      </w:r>
      <w:r>
        <w:rPr>
          <w:rFonts w:asciiTheme="minorHAnsi" w:hAnsiTheme="minorHAnsi" w:cstheme="minorHAnsi"/>
        </w:rPr>
        <w:fldChar w:fldCharType="end"/>
      </w:r>
      <w:r>
        <w:rPr>
          <w:rFonts w:asciiTheme="minorHAnsi" w:hAnsiTheme="minorHAnsi" w:cstheme="minorHAnsi"/>
        </w:rPr>
        <w:t xml:space="preserve">. However, the number of published methods is limited. The VLP capture assay presented here starts with the immobilization of </w:t>
      </w:r>
      <w:r w:rsidR="00A56E66">
        <w:rPr>
          <w:rFonts w:asciiTheme="minorHAnsi" w:hAnsiTheme="minorHAnsi" w:cstheme="minorHAnsi"/>
        </w:rPr>
        <w:t>Env</w:t>
      </w:r>
      <w:r>
        <w:rPr>
          <w:rFonts w:asciiTheme="minorHAnsi" w:hAnsiTheme="minorHAnsi" w:cstheme="minorHAnsi"/>
        </w:rPr>
        <w:t>-specific bNAbs on protein G</w:t>
      </w:r>
      <w:r w:rsidR="000E28B9">
        <w:rPr>
          <w:rFonts w:asciiTheme="minorHAnsi" w:hAnsiTheme="minorHAnsi" w:cstheme="minorHAnsi"/>
        </w:rPr>
        <w:t>-conjugated beads</w:t>
      </w:r>
      <w:r>
        <w:rPr>
          <w:rFonts w:asciiTheme="minorHAnsi" w:hAnsiTheme="minorHAnsi" w:cstheme="minorHAnsi"/>
        </w:rPr>
        <w:t xml:space="preserve">, which bind </w:t>
      </w:r>
      <w:r>
        <w:rPr>
          <w:rFonts w:asciiTheme="minorHAnsi" w:hAnsiTheme="minorHAnsi" w:cstheme="minorHAnsi"/>
          <w:color w:val="auto"/>
        </w:rPr>
        <w:t xml:space="preserve">to </w:t>
      </w:r>
      <w:r>
        <w:rPr>
          <w:rFonts w:asciiTheme="minorHAnsi" w:hAnsiTheme="minorHAnsi" w:cstheme="minorHAnsi"/>
        </w:rPr>
        <w:t>the Fc region of mammalian-derived antibodies.</w:t>
      </w:r>
      <w:r>
        <w:rPr>
          <w:rFonts w:asciiTheme="minorHAnsi" w:hAnsiTheme="minorHAnsi" w:cstheme="minorHAnsi"/>
          <w:color w:val="auto"/>
        </w:rPr>
        <w:t xml:space="preserve"> Typical matrices for the immobilization of the antibody of choice are agarose or magnetic beads. However, magnetic </w:t>
      </w:r>
      <w:r>
        <w:rPr>
          <w:rFonts w:asciiTheme="minorHAnsi" w:hAnsiTheme="minorHAnsi" w:cstheme="minorHAnsi"/>
        </w:rPr>
        <w:t xml:space="preserve">beads </w:t>
      </w:r>
      <w:r w:rsidR="000E28B9">
        <w:rPr>
          <w:rFonts w:asciiTheme="minorHAnsi" w:hAnsiTheme="minorHAnsi" w:cstheme="minorHAnsi"/>
        </w:rPr>
        <w:t>are favorable for</w:t>
      </w:r>
      <w:r>
        <w:rPr>
          <w:rFonts w:asciiTheme="minorHAnsi" w:hAnsiTheme="minorHAnsi" w:cstheme="minorHAnsi"/>
        </w:rPr>
        <w:t xml:space="preserve"> high-throughput applications</w:t>
      </w:r>
      <w:r>
        <w:rPr>
          <w:rFonts w:asciiTheme="minorHAnsi" w:hAnsiTheme="minorHAnsi" w:cstheme="minorHAnsi"/>
        </w:rPr>
        <w:fldChar w:fldCharType="begin" w:fldLock="1"/>
      </w:r>
      <w:r w:rsidR="009B4D7A">
        <w:rPr>
          <w:rFonts w:asciiTheme="minorHAnsi" w:hAnsiTheme="minorHAnsi" w:cstheme="minorHAnsi"/>
        </w:rPr>
        <w:instrText>ADDIN CSL_CITATION {"citationItems":[{"id":"ITEM-1","itemData":{"DOI":"10.1158/1538-7445.am2011-4877","ISSN":"0008-5472","abstract":"Speed and sample purity are key issues for proteomics researchers. Sample and data-processing throughputs are current bottlenecks in proteomic analysis. Magnetic separations can provide greater consistency and automation of proteomic sample preparation. We report here the development of a novel 1mum protein A/G magnetic bead that enables fast and convenient isolation of proteins via immunoenrichment. Thermo Scientific Pierce Protein A/G Magnetic Beads use a recombinant protein A/G that combines the IgG binding domains of both protein A and protein G. Protein A/G contains four Fc-binding domains from protein A and two from protein G, making it a convenient tool for capture of immunoglobulins from a variety of species and isotypes. Recombinant protein A/G was covalently coupled to 1 mum, blocked double-shelled magnetic particles with a polymeric core. The beads had a binding capacity of &gt;60 mug rabbit IgG per mg bead along with low non-specific binding. Using a Thermo Scientific KingFisher Flex Magnetic Particle Processor, antibodies were purified from serum or ascites with high yield using the Pierce Protein A/G Magnetic Beads. The beads were also used to immunoprecipitate and co-immunoprecipitate multiple proteins significant to different phases of the cell cycle, including cyclin B, Cdk1, cyclin E, and cyclin D. U2OS and HeLa cell lines were first synchronized in serum starved media. The media was replaced with enriched media and cells were harvested at 4 hours (beginning of G1 phase), 6 hours (end of G1 phase), and 18 hours (end of G2 phase). Proteins were effectively isolated from the cell lysates using Pierce Protein A/G Magnetic Beads and identified by Western blot. In addition, these beads were successfully used in a chromatin-immunoprecipitation (ChIP) assay to measure binding of RNA Polymerase II to the proximal myc promoter in A431 lung carcinoma cells treated with and without EGF. In Conclusion, the results indicate that Pierce Protein A/G Magnetic Beads can effectively isolate protein targets in a variety of proteomic applications.","author":[{"dropping-particle":"","family":"Doyle","given":"Joanna","non-dropping-particle":"","parse-names":false,"suffix":""},{"dropping-particle":"","family":"Ray","given":"Matthew","non-dropping-particle":"","parse-names":false,"suffix":""},{"dropping-particle":"","family":"Ouyang","given":"Anlong","non-dropping-particle":"","parse-names":false,"suffix":""},{"dropping-particle":"","family":"Benton","given":"Betsy","non-dropping-particle":"","parse-names":false,"suffix":""},{"dropping-particle":"","family":"Bell","given":"Peter A.","non-dropping-particle":"","parse-names":false,"suffix":""}],"id":"ITEM-1","issued":{"date-parts":[["2011"]]},"page":"4877-4877","title":"Abstract 4877: High throughput proteomic applications using protein A/G magnetic beads","type":"article-journal","volume":"20"},"uris":["http://www.mendeley.com/documents/?uuid=8dd82543-1d1d-400a-bbb7-88653d62c7d7"]}],"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rPr>
        <w:fldChar w:fldCharType="separate"/>
      </w:r>
      <w:r>
        <w:rPr>
          <w:rFonts w:asciiTheme="minorHAnsi" w:hAnsiTheme="minorHAnsi" w:cstheme="minorHAnsi"/>
          <w:noProof/>
          <w:vertAlign w:val="superscript"/>
        </w:rPr>
        <w:t>25</w:t>
      </w:r>
      <w:r>
        <w:rPr>
          <w:rFonts w:asciiTheme="minorHAnsi" w:hAnsiTheme="minorHAnsi" w:cstheme="minorHAnsi"/>
        </w:rPr>
        <w:fldChar w:fldCharType="end"/>
      </w:r>
      <w:r>
        <w:rPr>
          <w:rFonts w:asciiTheme="minorHAnsi" w:hAnsiTheme="minorHAnsi" w:cstheme="minorHAnsi"/>
        </w:rPr>
        <w:t>. In the next step, VLPs display</w:t>
      </w:r>
      <w:r w:rsidR="000E28B9">
        <w:rPr>
          <w:rFonts w:asciiTheme="minorHAnsi" w:hAnsiTheme="minorHAnsi" w:cstheme="minorHAnsi"/>
        </w:rPr>
        <w:t>ing</w:t>
      </w:r>
      <w:r>
        <w:rPr>
          <w:rFonts w:asciiTheme="minorHAnsi" w:hAnsiTheme="minorHAnsi" w:cstheme="minorHAnsi"/>
        </w:rPr>
        <w:t xml:space="preserve"> the target antigen are captured by </w:t>
      </w:r>
      <w:r w:rsidR="000E28B9">
        <w:rPr>
          <w:rFonts w:asciiTheme="minorHAnsi" w:hAnsiTheme="minorHAnsi" w:cstheme="minorHAnsi"/>
        </w:rPr>
        <w:t>bNAb</w:t>
      </w:r>
      <w:r>
        <w:rPr>
          <w:rFonts w:asciiTheme="minorHAnsi" w:hAnsiTheme="minorHAnsi" w:cstheme="minorHAnsi"/>
        </w:rPr>
        <w:t xml:space="preserve">-coated beads. The formed immune complexes consisting of </w:t>
      </w:r>
      <w:r w:rsidR="00A56E66">
        <w:rPr>
          <w:rFonts w:asciiTheme="minorHAnsi" w:hAnsiTheme="minorHAnsi" w:cstheme="minorHAnsi"/>
        </w:rPr>
        <w:t>Env</w:t>
      </w:r>
      <w:r>
        <w:rPr>
          <w:rFonts w:asciiTheme="minorHAnsi" w:hAnsiTheme="minorHAnsi" w:cstheme="minorHAnsi"/>
        </w:rPr>
        <w:t xml:space="preserve">-positive VLPs and immobilized </w:t>
      </w:r>
      <w:r w:rsidR="000E28B9">
        <w:rPr>
          <w:rFonts w:asciiTheme="minorHAnsi" w:hAnsiTheme="minorHAnsi" w:cstheme="minorHAnsi"/>
        </w:rPr>
        <w:t xml:space="preserve">bNAbs </w:t>
      </w:r>
      <w:r>
        <w:rPr>
          <w:rFonts w:asciiTheme="minorHAnsi" w:hAnsiTheme="minorHAnsi" w:cstheme="minorHAnsi"/>
        </w:rPr>
        <w:t>are easily enriched using a magnet. The isolated immune complexes are eluted in the final step. Subsequently, the VLPs</w:t>
      </w:r>
      <w:r w:rsidR="000E28B9">
        <w:rPr>
          <w:rFonts w:asciiTheme="minorHAnsi" w:hAnsiTheme="minorHAnsi" w:cstheme="minorHAnsi"/>
        </w:rPr>
        <w:t xml:space="preserve"> </w:t>
      </w:r>
      <w:r>
        <w:rPr>
          <w:rFonts w:asciiTheme="minorHAnsi" w:hAnsiTheme="minorHAnsi" w:cstheme="minorHAnsi"/>
        </w:rPr>
        <w:t xml:space="preserve">can be biochemically characterized. Here, we </w:t>
      </w:r>
      <w:r w:rsidR="000E28B9">
        <w:rPr>
          <w:rFonts w:asciiTheme="minorHAnsi" w:hAnsiTheme="minorHAnsi" w:cstheme="minorHAnsi"/>
        </w:rPr>
        <w:t xml:space="preserve">performed </w:t>
      </w:r>
      <w:r>
        <w:rPr>
          <w:rFonts w:asciiTheme="minorHAnsi" w:hAnsiTheme="minorHAnsi" w:cstheme="minorHAnsi"/>
        </w:rPr>
        <w:t xml:space="preserve">Western blot-analysis </w:t>
      </w:r>
      <w:r w:rsidR="000E28B9">
        <w:rPr>
          <w:rFonts w:asciiTheme="minorHAnsi" w:hAnsiTheme="minorHAnsi" w:cstheme="minorHAnsi"/>
        </w:rPr>
        <w:t xml:space="preserve">employing </w:t>
      </w:r>
      <w:r>
        <w:rPr>
          <w:rFonts w:asciiTheme="minorHAnsi" w:hAnsiTheme="minorHAnsi" w:cstheme="minorHAnsi"/>
        </w:rPr>
        <w:t>p55 Gag viral core protein</w:t>
      </w:r>
      <w:r w:rsidR="000E28B9">
        <w:rPr>
          <w:rFonts w:asciiTheme="minorHAnsi" w:hAnsiTheme="minorHAnsi" w:cstheme="minorHAnsi"/>
        </w:rPr>
        <w:t>-specific antibodies</w:t>
      </w:r>
      <w:r>
        <w:rPr>
          <w:rFonts w:asciiTheme="minorHAnsi" w:hAnsiTheme="minorHAnsi" w:cstheme="minorHAnsi"/>
        </w:rPr>
        <w:t xml:space="preserve"> to demonstrate that the precipitated target </w:t>
      </w:r>
      <w:r w:rsidR="00A56E66">
        <w:rPr>
          <w:rFonts w:asciiTheme="minorHAnsi" w:hAnsiTheme="minorHAnsi" w:cstheme="minorHAnsi"/>
        </w:rPr>
        <w:t xml:space="preserve">Env </w:t>
      </w:r>
      <w:r>
        <w:rPr>
          <w:rFonts w:asciiTheme="minorHAnsi" w:hAnsiTheme="minorHAnsi" w:cstheme="minorHAnsi"/>
        </w:rPr>
        <w:t>antigen</w:t>
      </w:r>
      <w:r w:rsidR="00BA6FA6">
        <w:rPr>
          <w:rFonts w:asciiTheme="minorHAnsi" w:hAnsiTheme="minorHAnsi" w:cstheme="minorHAnsi"/>
        </w:rPr>
        <w:t>s</w:t>
      </w:r>
      <w:r>
        <w:rPr>
          <w:rFonts w:asciiTheme="minorHAnsi" w:hAnsiTheme="minorHAnsi" w:cstheme="minorHAnsi"/>
        </w:rPr>
        <w:t xml:space="preserve"> </w:t>
      </w:r>
      <w:r w:rsidR="00BA6FA6">
        <w:rPr>
          <w:rFonts w:asciiTheme="minorHAnsi" w:hAnsiTheme="minorHAnsi" w:cstheme="minorHAnsi"/>
        </w:rPr>
        <w:t xml:space="preserve">were </w:t>
      </w:r>
      <w:r>
        <w:rPr>
          <w:rFonts w:asciiTheme="minorHAnsi" w:hAnsiTheme="minorHAnsi" w:cstheme="minorHAnsi"/>
        </w:rPr>
        <w:t xml:space="preserve">not only harboring the neutralization epitopes but </w:t>
      </w:r>
      <w:r w:rsidR="00BA6FA6">
        <w:rPr>
          <w:rFonts w:asciiTheme="minorHAnsi" w:hAnsiTheme="minorHAnsi" w:cstheme="minorHAnsi"/>
        </w:rPr>
        <w:t xml:space="preserve">were </w:t>
      </w:r>
      <w:r>
        <w:rPr>
          <w:rFonts w:asciiTheme="minorHAnsi" w:hAnsiTheme="minorHAnsi" w:cstheme="minorHAnsi"/>
        </w:rPr>
        <w:t xml:space="preserve">also </w:t>
      </w:r>
      <w:r w:rsidR="00BA6FA6">
        <w:rPr>
          <w:rFonts w:asciiTheme="minorHAnsi" w:hAnsiTheme="minorHAnsi" w:cstheme="minorHAnsi"/>
        </w:rPr>
        <w:t xml:space="preserve">displayed </w:t>
      </w:r>
      <w:r>
        <w:rPr>
          <w:rFonts w:asciiTheme="minorHAnsi" w:hAnsiTheme="minorHAnsi" w:cstheme="minorHAnsi"/>
        </w:rPr>
        <w:t>on Gag-formed VLPs. Furthermore, t</w:t>
      </w:r>
      <w:r>
        <w:rPr>
          <w:rFonts w:asciiTheme="minorHAnsi" w:hAnsiTheme="minorHAnsi" w:cstheme="minorHAnsi"/>
          <w:color w:val="auto"/>
        </w:rPr>
        <w:t xml:space="preserve">he detection of the viral core </w:t>
      </w:r>
      <w:r w:rsidR="00A56E66">
        <w:rPr>
          <w:rFonts w:asciiTheme="minorHAnsi" w:hAnsiTheme="minorHAnsi" w:cstheme="minorHAnsi"/>
          <w:color w:val="auto"/>
        </w:rPr>
        <w:t xml:space="preserve">Gag </w:t>
      </w:r>
      <w:r>
        <w:rPr>
          <w:rFonts w:asciiTheme="minorHAnsi" w:hAnsiTheme="minorHAnsi" w:cstheme="minorHAnsi"/>
          <w:color w:val="auto"/>
        </w:rPr>
        <w:t xml:space="preserve">proteins increases the sensitivity of the capture assay since Gag proteins are more abundant than </w:t>
      </w:r>
      <w:r w:rsidR="00A56E66">
        <w:rPr>
          <w:rFonts w:asciiTheme="minorHAnsi" w:hAnsiTheme="minorHAnsi" w:cstheme="minorHAnsi"/>
          <w:color w:val="auto"/>
        </w:rPr>
        <w:t>Env in a VLP</w:t>
      </w:r>
      <w:r>
        <w:rPr>
          <w:rFonts w:asciiTheme="minorHAnsi" w:hAnsiTheme="minorHAnsi" w:cstheme="minorHAnsi"/>
          <w:color w:val="auto"/>
        </w:rPr>
        <w:t>. In HIV-1, Env proteins are only present at a single- or double-digit number</w:t>
      </w:r>
      <w:r>
        <w:rPr>
          <w:rFonts w:asciiTheme="minorHAnsi" w:hAnsiTheme="minorHAnsi" w:cstheme="minorHAnsi"/>
          <w:b/>
          <w:color w:val="auto"/>
        </w:rPr>
        <w:fldChar w:fldCharType="begin" w:fldLock="1"/>
      </w:r>
      <w:r w:rsidR="009B4D7A">
        <w:rPr>
          <w:rFonts w:asciiTheme="minorHAnsi" w:hAnsiTheme="minorHAnsi" w:cstheme="minorHAnsi"/>
          <w:b/>
          <w:color w:val="auto"/>
        </w:rPr>
        <w:instrText xml:space="preserve">ADDIN CSL_CITATION {"citationItems":[{"id":"ITEM-1","itemData":{"DOI":"10.1073/pnas.2634931100","ISSN":"00278424","PMID":"14668432","abstract":"We used electron tomography to directly visualize trilobed presumptive envelope (env) glycoprotein structures on the surface of negatively stained HIV type 1 (HIV-1) and simian immunodeficiency virus (SIV) virions. Wild-type HIV-1 and SIV virions had an average of 8-10 trimers per virion, consistent with predictions based on biochemical evidence. Mutant SIVs, biochemically demonstrated to contain high levels of the viral env proteins, averaged 70-79 trimers per virion in tomograms. These correlations strongly indicate that the visualized trimers represent env spikes. The env trimers were without obvious geometric distribution pattern or preferred rotational orientation. Combined with biochemical analysis of gag/env ratios in virions, these trimer counts allow calculation of the number of gag molecules per virion, yielding an average value of </w:instrText>
      </w:r>
      <w:r w:rsidR="009B4D7A">
        <w:rPr>
          <w:rFonts w:ascii="Cambria Math" w:hAnsi="Cambria Math" w:cs="Cambria Math"/>
          <w:b/>
          <w:color w:val="auto"/>
        </w:rPr>
        <w:instrText>∼</w:instrText>
      </w:r>
      <w:r w:rsidR="009B4D7A">
        <w:rPr>
          <w:rFonts w:asciiTheme="minorHAnsi" w:hAnsiTheme="minorHAnsi" w:cstheme="minorHAnsi"/>
          <w:b/>
          <w:color w:val="auto"/>
        </w:rPr>
        <w:instrText>1,400. Virion and env dimensions were also determined. Image-averaging analysis of SIV env trimers revealed a distinct chirality and strong concordance with recent molecular models. The results directly demonstrate the presence of env trimers on the surface of AIDS virus virions, albeit at numbers much lower than generally appreciated, and have important implications for understanding virion formation, virus interactions with host cells, and virus neutralization.","author":[{"dropping-particle":"","family":"Zhu","given":"Ping","non-dropping-particle":"","parse-names":false,"suffix":""},{"dropping-particle":"","family":"Chertova","given":"Elena","non-dropping-particle":"","parse-names":false,"suffix":""},{"dropping-particle":"","family":"Bess","given":"Julian","non-dropping-particle":"","parse-names":false,"suffix":""},{"dropping-particle":"","family":"Lifson","given":"Jeffrey D.","non-dropping-particle":"","parse-names":false,"suffix":""},{"dropping-particle":"","family":"Arthur","given":"Larry O.","non-dropping-particle":"","parse-names":false,"suffix":""},{"dropping-particle":"","family":"Liu","given":"Jun","non-dropping-particle":"","parse-names":false,"suffix":""},{"dropping-particle":"","family":"Taylor","given":"Kenneth A.","non-dropping-particle":"","parse-names":false,"suffix":""},{"dropping-particle":"","family":"Roux","given":"Kenneth H.","non-dropping-particle":"","parse-names":false,"suffix":""}],"container-title":"Proceedings of the National Academy of Sciences of the United States of America","id":"ITEM-1","issue":"26","issued":{"date-parts":[["2003"]]},"page":"15812-15817","title":"Electron tomography analysis of envelope glycoprotein trimers on HIV and simian immunodeficiency virus virions","type":"article-journal","volume":"100"},"uris":["http://www.mendeley.com/documents/?uuid=6bc6ba6e-722e-44d8-8a1e-26bdb3a200d9"]}],"mendeley":{"formattedCitation":"&lt;sup&gt;26&lt;/sup&gt;","plainTextFormattedCitation":"26","previouslyFormattedCitation":"&lt;sup&gt;26&lt;/sup&gt;"},"properties":{"noteIndex":0},"schema":"https://github.com/citation-style-language/schema/raw/master/csl-citation.json"}</w:instrText>
      </w:r>
      <w:r>
        <w:rPr>
          <w:rFonts w:asciiTheme="minorHAnsi" w:hAnsiTheme="minorHAnsi" w:cstheme="minorHAnsi"/>
          <w:b/>
          <w:color w:val="auto"/>
        </w:rPr>
        <w:fldChar w:fldCharType="separate"/>
      </w:r>
      <w:r>
        <w:rPr>
          <w:rFonts w:asciiTheme="minorHAnsi" w:hAnsiTheme="minorHAnsi" w:cstheme="minorHAnsi"/>
          <w:noProof/>
          <w:color w:val="auto"/>
          <w:vertAlign w:val="superscript"/>
        </w:rPr>
        <w:t>26</w:t>
      </w:r>
      <w:r>
        <w:rPr>
          <w:rFonts w:asciiTheme="minorHAnsi" w:hAnsiTheme="minorHAnsi" w:cstheme="minorHAnsi"/>
          <w:b/>
          <w:color w:val="auto"/>
        </w:rPr>
        <w:fldChar w:fldCharType="end"/>
      </w:r>
      <w:r w:rsidR="00D25F42">
        <w:rPr>
          <w:rFonts w:asciiTheme="minorHAnsi" w:hAnsiTheme="minorHAnsi" w:cstheme="minorHAnsi"/>
          <w:b/>
          <w:color w:val="auto"/>
        </w:rPr>
        <w:t>,</w:t>
      </w:r>
      <w:r>
        <w:rPr>
          <w:rFonts w:asciiTheme="minorHAnsi" w:hAnsiTheme="minorHAnsi" w:cstheme="minorHAnsi"/>
          <w:color w:val="auto"/>
        </w:rPr>
        <w:t xml:space="preserve"> whereas more than 3,500 Gag molecules form the core of a particle</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{"citationItems":[{"id":"ITEM-1","itemData":{"DOI":"10.1002/bit.27786","ISSN":"1097-0290","PMID":"33844274","abstract":"The importance of developing new vaccine technologies towards versatile platforms that can cope with global virus outbreaks has been evidenced with the most recent SARS-CoV-2 pandemic. Virus-like particles (VLPs) are a highly immunogenic, safe and robust approach that can be used to base several vaccine candidates on. Particularly, HIV-1 Gag VLPs are a flexible system comprising a Gag core surrounded by a lipid bilayer that can be modified to present diverse types of membrane proteins or antigens against several diseases, like Influenza, dengue, west Nile virus or HPV, where it has been proven successful. The size distribution, and structural characteristics of produced VLPs vary depending on the cell line used to produce them. In this work we established an analytical method of characterization for the Gag protein core and clarify the current variability of Gag stoichiometry in HIV-1 VLPs depending on the cell-based production platform, directly determining the number of Gag molecules per VLP in each case. Three Gag peptides have been validated to quantify the number of monomers using parallel reaction monitoring (PRM), an accurate and fast, mass-spectrometry-based method that can be used to assess the quality of the produced Gag VLPs regardless of the cell line used. An average of 3617 ± 17 monomers per VLP was obtained for HEK293, substantially varying between platforms, including mammalian and insect cells. This offers a key advantage in quantification and quality control methods to characterize VLP production at large scale to accelerate new recombinant vaccine production technologies. This article is protected by copyright. All rights reserved.","author":[{"dropping-particle":"","family":"Lavado-García","given":"Jesús","non-dropping-particle":"","parse-names":false,"suffix":""},{"dropping-particle":"","family":"Jorge","given":"Inmaculada","non-dropping-particle":"","parse-names":false,"suffix":""},{"dropping-particle":"","family":"Boix-Besora","given":"Arnau","non-dropping-particle":"","parse-names":false,"suffix":""},{"dropping-particle":"","family":"Vázquez","given":"Jesús","non-dropping-particle":"","parse-names":false,"suffix":""},{"dropping-particle":"","family":"Gòdia","given":"Francesc","non-dropping-particle":"","parse-names":false,"suffix":""},{"dropping-particle":"","family":"Cervera","given":"Laura","non-dropping-particle":"","parse-names":false,"suffix":""}],"container-title":"Biotechnology and bioengineering","id":"ITEM-1","issued":{"date-parts":[["2021"]]},"page":"0-2","title":"Characterization of HIV-1 virus-like particles and determination of Gag stoichiometry for different production platforms.","type":"article-journal"},"uris":["http://www.mendeley.com/documents/?uuid=db837bea-4ec2-4a7a-bc7e-f82c9f218ef2"]}],"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b/>
          <w:color w:val="auto"/>
        </w:rPr>
        <w:fldChar w:fldCharType="separate"/>
      </w:r>
      <w:r>
        <w:rPr>
          <w:rFonts w:asciiTheme="minorHAnsi" w:hAnsiTheme="minorHAnsi" w:cstheme="minorHAnsi"/>
          <w:noProof/>
          <w:color w:val="auto"/>
          <w:vertAlign w:val="superscript"/>
        </w:rPr>
        <w:t>27</w:t>
      </w:r>
      <w:r>
        <w:rPr>
          <w:rFonts w:asciiTheme="minorHAnsi" w:hAnsiTheme="minorHAnsi" w:cstheme="minorHAnsi"/>
          <w:b/>
          <w:color w:val="auto"/>
        </w:rPr>
        <w:fldChar w:fldCharType="end"/>
      </w:r>
      <w:r>
        <w:rPr>
          <w:rFonts w:asciiTheme="minorHAnsi" w:hAnsiTheme="minorHAnsi" w:cstheme="minorHAnsi"/>
          <w:color w:val="auto"/>
        </w:rPr>
        <w:t>.</w:t>
      </w:r>
    </w:p>
    <w:p w14:paraId="175FF6E3" w14:textId="77777777" w:rsidR="009001EE" w:rsidRDefault="009001EE">
      <w:pPr>
        <w:rPr>
          <w:rFonts w:asciiTheme="minorHAnsi" w:hAnsiTheme="minorHAnsi" w:cstheme="minorHAnsi"/>
          <w:color w:val="auto"/>
        </w:rPr>
      </w:pPr>
    </w:p>
    <w:p w14:paraId="578F19D6" w14:textId="011705BD" w:rsidR="009001EE" w:rsidRDefault="00E01D80">
      <w:r>
        <w:rPr>
          <w:rFonts w:asciiTheme="minorHAnsi" w:hAnsiTheme="minorHAnsi" w:cstheme="minorHAnsi"/>
        </w:rPr>
        <w:t>Compared to other techniques for the examination of protein-protein interactions</w:t>
      </w:r>
      <w:r>
        <w:rPr>
          <w:rFonts w:asciiTheme="minorHAnsi" w:hAnsiTheme="minorHAnsi" w:cstheme="minorHAnsi"/>
          <w:b/>
        </w:rPr>
        <w:fldChar w:fldCharType="begin" w:fldLock="1"/>
      </w:r>
      <w:r w:rsidR="009B4D7A">
        <w:rPr>
          <w:rFonts w:asciiTheme="minorHAnsi" w:hAnsiTheme="minorHAnsi" w:cstheme="minorHAnsi"/>
          <w:b/>
        </w:rPr>
        <w:instrText>ADDIN CSL_CITATION {"citationItems":[{"id":"ITEM-1","itemData":{"DOI":"10.2174/0929866525666180821122240","ISBN":"0929866525666","ISSN":"09298665","PMID":"30129399","abstract":"BACKGROUND The research field of protein-protein interactions is interdisciplinary and specialized field that spans all aspects of biology, physics and chemistry. Therefore, in order to discuss the protein-protein interaction in detail and rigorously, it is desirable to integrate knowledge and methods of many related fields including boundary areas such as biochemistry, biophysics and physical chemistry in addition to biology, physics and chemistry. OBJECTIVE The purpose of this review is to overview current methods to confirm protein-protein interactions. Furthermore, I discuss future prospects of methodology based on current status. RESULTS It is often necessary to integrate, combine and validate multiple results from various methods to understand protein-protein interactions in detail. CONCLUSION It might be desirable for the addition of tags, labeling, and immobilization to solid phases to be unnecessary, and to obtain information on affinity, kinetics, and structure via the analytical method for protein-protein interactions. Therefore, I argue that novel methods based on principles that have already been sufficiently studied in physics or chemistry, but insufficiently applied to the life sciences, should be established to further develop the study of protein-protein interactions.","author":[{"dropping-particle":"","family":"Miura","given":"Kenji","non-dropping-particle":"","parse-names":false,"suffix":""}],"container-title":"Protein &amp; Peptide Letters","id":"ITEM-1","issue":"8","issued":{"date-parts":[["2018"]]},"page":"728-733","title":"An Overview of Current Methods to Confirm Protein-Protein Interactions","type":"article-journal","volume":"25"},"uris":["http://www.mendeley.com/documents/?uuid=818b8666-ea36-44a2-8859-32c82826d598"]}],"mendeley":{"formattedCitation":"&lt;sup&gt;28&lt;/sup&gt;","plainTextFormattedCitation":"28","previouslyFormattedCitation":"&lt;sup&gt;28&lt;/sup&gt;"},"properties":{"noteIndex":0},"schema":"https://github.com/citation-style-language/schema/raw/master/csl-citation.json"}</w:instrText>
      </w:r>
      <w:r>
        <w:rPr>
          <w:rFonts w:asciiTheme="minorHAnsi" w:hAnsiTheme="minorHAnsi" w:cstheme="minorHAnsi"/>
          <w:b/>
        </w:rPr>
        <w:fldChar w:fldCharType="separate"/>
      </w:r>
      <w:r>
        <w:rPr>
          <w:rFonts w:asciiTheme="minorHAnsi" w:hAnsiTheme="minorHAnsi" w:cstheme="minorHAnsi"/>
          <w:noProof/>
          <w:vertAlign w:val="superscript"/>
        </w:rPr>
        <w:t>28</w:t>
      </w:r>
      <w:r>
        <w:rPr>
          <w:rFonts w:asciiTheme="minorHAnsi" w:hAnsiTheme="minorHAnsi" w:cstheme="minorHAnsi"/>
          <w:b/>
        </w:rPr>
        <w:fldChar w:fldCharType="end"/>
      </w:r>
      <w:r>
        <w:rPr>
          <w:rFonts w:asciiTheme="minorHAnsi" w:hAnsiTheme="minorHAnsi" w:cstheme="minorHAnsi"/>
          <w:vertAlign w:val="superscript"/>
        </w:rPr>
        <w:t>,</w:t>
      </w:r>
      <w:r>
        <w:rPr>
          <w:rFonts w:asciiTheme="minorHAnsi" w:hAnsiTheme="minorHAnsi" w:cstheme="minorHAnsi"/>
          <w:b/>
        </w:rPr>
        <w:fldChar w:fldCharType="begin" w:fldLock="1"/>
      </w:r>
      <w:r w:rsidR="009B4D7A">
        <w:rPr>
          <w:rFonts w:asciiTheme="minorHAnsi" w:hAnsiTheme="minorHAnsi" w:cstheme="minorHAnsi"/>
          <w:b/>
        </w:rPr>
        <w:instrText>ADDIN CSL_CITATION {"citationItems":[{"id":"ITEM-1","itemData":{"DOI":"10.1201/9781315213743","ISBN":"9781351819510","abstract":"The existing genetic diversity in plant population is of fundamental interest for basic science and applied aspects like the efficient management of crop genetic resources. The processes dealing with improvement of crop genetic resources require an assessment of diversity at some level, to select resistant, highly productive varieties. With recent advances in genomics and sequencing technologies, molecular techniques have initiated a new era of molecular diversity in plants. Molecular techniques have had critical roles in studies of phylogeny and species evolution as well, and have been applied to increase our understanding of the distribution and extent of genetic variation within and between the species. This chapter summarizes recent progress in the area of advancement of molecular techniques with an emphasis on novel techniques and approaches that offer new insights into the molecular diversity in plants and plant-associated microbes present in the rhizosphere. The advantages and pitfalls of commonly used molecular methods to investigate molecular diversity in plants are also discussed. In addition, the potential applications of such molecular techniques and how they can be combined for a greater comprehensive assessment of molecular diversity in plants have been discussed here.","author":[{"dropping-particle":"","family":"Rao V.S, Srinivas K., Sujini G.N., Kumar","given":"G.N.","non-dropping-particle":"","parse-names":false,"suffix":""}],"container-title":"Plant Biotechnology, Volume 1: Principles, Techniques, and Applications","id":"ITEM-1","issue":"ii","issued":{"date-parts":[["2017"]]},"page":"341-365","title":"Advances in molecular techniques to study diversity","type":"article-journal","volume":"2014"},"uris":["http://www.mendeley.com/documents/?uuid=ca7bec86-2fbd-4daf-a4ef-81e51a2977b1"]}],"mendeley":{"formattedCitation":"&lt;sup&gt;29&lt;/sup&gt;","plainTextFormattedCitation":"29","previouslyFormattedCitation":"&lt;sup&gt;29&lt;/sup&gt;"},"properties":{"noteIndex":0},"schema":"https://github.com/citation-style-language/schema/raw/master/csl-citation.json"}</w:instrText>
      </w:r>
      <w:r>
        <w:rPr>
          <w:rFonts w:asciiTheme="minorHAnsi" w:hAnsiTheme="minorHAnsi" w:cstheme="minorHAnsi"/>
          <w:b/>
        </w:rPr>
        <w:fldChar w:fldCharType="separate"/>
      </w:r>
      <w:r>
        <w:rPr>
          <w:rFonts w:asciiTheme="minorHAnsi" w:hAnsiTheme="minorHAnsi" w:cstheme="minorHAnsi"/>
          <w:noProof/>
          <w:vertAlign w:val="superscript"/>
        </w:rPr>
        <w:t>29</w:t>
      </w:r>
      <w:r>
        <w:rPr>
          <w:rFonts w:asciiTheme="minorHAnsi" w:hAnsiTheme="minorHAnsi" w:cstheme="minorHAnsi"/>
          <w:b/>
        </w:rPr>
        <w:fldChar w:fldCharType="end"/>
      </w:r>
      <w:r w:rsidR="00D25F42">
        <w:rPr>
          <w:rFonts w:asciiTheme="minorHAnsi" w:hAnsiTheme="minorHAnsi" w:cstheme="minorHAnsi"/>
          <w:b/>
        </w:rPr>
        <w:t>,</w:t>
      </w:r>
      <w:r>
        <w:rPr>
          <w:rFonts w:asciiTheme="minorHAnsi" w:hAnsiTheme="minorHAnsi" w:cstheme="minorHAnsi"/>
        </w:rPr>
        <w:t xml:space="preserve"> the VLP capture assay provides an alternative method for research laboratories </w:t>
      </w:r>
      <w:r w:rsidR="008C00AE">
        <w:rPr>
          <w:rFonts w:asciiTheme="minorHAnsi" w:hAnsiTheme="minorHAnsi" w:cstheme="minorHAnsi"/>
        </w:rPr>
        <w:t>not having access to</w:t>
      </w:r>
      <w:r>
        <w:rPr>
          <w:rFonts w:asciiTheme="minorHAnsi" w:hAnsiTheme="minorHAnsi" w:cstheme="minorHAnsi"/>
        </w:rPr>
        <w:t xml:space="preserve"> expensive analytical instruments. For example, </w:t>
      </w:r>
      <w:r w:rsidR="00A56E66">
        <w:rPr>
          <w:rFonts w:asciiTheme="minorHAnsi" w:hAnsiTheme="minorHAnsi" w:cstheme="minorHAnsi"/>
        </w:rPr>
        <w:t xml:space="preserve">transmission </w:t>
      </w:r>
      <w:r>
        <w:rPr>
          <w:rFonts w:asciiTheme="minorHAnsi" w:hAnsiTheme="minorHAnsi" w:cstheme="minorHAnsi"/>
        </w:rPr>
        <w:t>electron microscopic</w:t>
      </w:r>
      <w:r w:rsidR="00D25F42">
        <w:rPr>
          <w:rFonts w:asciiTheme="minorHAnsi" w:hAnsiTheme="minorHAnsi" w:cstheme="minorHAnsi"/>
        </w:rPr>
        <w:t xml:space="preserve"> </w:t>
      </w:r>
      <w:r>
        <w:rPr>
          <w:rFonts w:asciiTheme="minorHAnsi" w:hAnsiTheme="minorHAnsi" w:cstheme="minorHAnsi"/>
        </w:rPr>
        <w:t>analysis (</w:t>
      </w:r>
      <w:r w:rsidR="00A56E66">
        <w:rPr>
          <w:rFonts w:asciiTheme="minorHAnsi" w:hAnsiTheme="minorHAnsi" w:cstheme="minorHAnsi"/>
        </w:rPr>
        <w:t>T</w:t>
      </w:r>
      <w:r>
        <w:rPr>
          <w:rFonts w:asciiTheme="minorHAnsi" w:hAnsiTheme="minorHAnsi" w:cstheme="minorHAnsi"/>
        </w:rPr>
        <w:t xml:space="preserve">EM), surface plasmon resonance </w:t>
      </w:r>
      <w:r>
        <w:rPr>
          <w:rFonts w:asciiTheme="minorHAnsi" w:hAnsiTheme="minorHAnsi" w:cstheme="minorHAnsi"/>
          <w:color w:val="auto"/>
        </w:rPr>
        <w:t>spectroscopy</w:t>
      </w:r>
      <w:r w:rsidR="00A56E66">
        <w:rPr>
          <w:rFonts w:asciiTheme="minorHAnsi" w:hAnsiTheme="minorHAnsi" w:cstheme="minorHAnsi"/>
          <w:color w:val="auto"/>
        </w:rPr>
        <w:t xml:space="preserve"> </w:t>
      </w:r>
      <w:r w:rsidR="00A56E66">
        <w:rPr>
          <w:rFonts w:asciiTheme="minorHAnsi" w:hAnsiTheme="minorHAnsi" w:cstheme="minorHAnsi"/>
        </w:rPr>
        <w:t>(SPR)</w:t>
      </w:r>
      <w:r w:rsidR="00D25F42">
        <w:rPr>
          <w:rFonts w:asciiTheme="minorHAnsi" w:hAnsiTheme="minorHAnsi" w:cstheme="minorHAnsi"/>
        </w:rPr>
        <w:t>,</w:t>
      </w:r>
      <w:r>
        <w:rPr>
          <w:rFonts w:asciiTheme="minorHAnsi" w:hAnsiTheme="minorHAnsi" w:cstheme="minorHAnsi"/>
          <w:color w:val="auto"/>
        </w:rPr>
        <w:t xml:space="preserve"> and nanoparticle tracking</w:t>
      </w:r>
      <w:r w:rsidR="00EC5D69">
        <w:rPr>
          <w:rFonts w:asciiTheme="minorHAnsi" w:hAnsiTheme="minorHAnsi" w:cstheme="minorHAnsi"/>
          <w:color w:val="auto"/>
        </w:rPr>
        <w:t>-analysis (NTA)</w:t>
      </w:r>
      <w:r>
        <w:rPr>
          <w:rFonts w:asciiTheme="minorHAnsi" w:hAnsiTheme="minorHAnsi" w:cstheme="minorHAnsi"/>
          <w:color w:val="auto"/>
        </w:rPr>
        <w:t xml:space="preserve"> can be </w:t>
      </w:r>
      <w:r>
        <w:rPr>
          <w:rFonts w:asciiTheme="minorHAnsi" w:hAnsiTheme="minorHAnsi" w:cstheme="minorHAnsi"/>
        </w:rPr>
        <w:t>cost-intensive. The capture assay presented here al</w:t>
      </w:r>
      <w:r w:rsidR="00D25F42">
        <w:rPr>
          <w:rFonts w:asciiTheme="minorHAnsi" w:hAnsiTheme="minorHAnsi" w:cstheme="minorHAnsi"/>
        </w:rPr>
        <w:t>so allows</w:t>
      </w:r>
      <w:r>
        <w:rPr>
          <w:rFonts w:asciiTheme="minorHAnsi" w:hAnsiTheme="minorHAnsi" w:cstheme="minorHAnsi"/>
        </w:rPr>
        <w:t xml:space="preserve"> later subjection of captured antigen-positive VLP samples to further protein characterization, </w:t>
      </w:r>
      <w:r w:rsidRPr="00BC459E">
        <w:rPr>
          <w:rFonts w:asciiTheme="minorHAnsi" w:hAnsiTheme="minorHAnsi" w:cstheme="minorHAnsi"/>
          <w:iCs/>
        </w:rPr>
        <w:t>e.g.</w:t>
      </w:r>
      <w:r w:rsidR="00D25F42">
        <w:rPr>
          <w:rFonts w:asciiTheme="minorHAnsi" w:hAnsiTheme="minorHAnsi" w:cstheme="minorHAnsi"/>
          <w:iCs/>
        </w:rPr>
        <w:t>,</w:t>
      </w:r>
      <w:r>
        <w:rPr>
          <w:rFonts w:asciiTheme="minorHAnsi" w:hAnsiTheme="minorHAnsi" w:cstheme="minorHAnsi"/>
        </w:rPr>
        <w:t xml:space="preserve"> employing gel electrophoresis, immunoblotting, electron microscopy, and mass spectrometry (MS), respectively. Considering that the native structure of the target antigen is preserved during the VLP capture assay, also the performance of a native PAGE and subsequent immunoblotting techniques </w:t>
      </w:r>
      <w:r w:rsidR="008C00AE">
        <w:rPr>
          <w:rFonts w:asciiTheme="minorHAnsi" w:hAnsiTheme="minorHAnsi" w:cstheme="minorHAnsi"/>
        </w:rPr>
        <w:t>can be utilized</w:t>
      </w:r>
      <w:r>
        <w:rPr>
          <w:rFonts w:asciiTheme="minorHAnsi" w:hAnsiTheme="minorHAnsi" w:cstheme="minorHAnsi"/>
        </w:rPr>
        <w:t>.</w:t>
      </w:r>
    </w:p>
    <w:p w14:paraId="27DF0980" w14:textId="77777777" w:rsidR="009001EE" w:rsidRDefault="009001EE">
      <w:pPr>
        <w:rPr>
          <w:color w:val="auto"/>
        </w:rPr>
      </w:pPr>
    </w:p>
    <w:p w14:paraId="327C366A" w14:textId="37C04DF0" w:rsidR="009001EE" w:rsidRDefault="00E01D80">
      <w:r>
        <w:rPr>
          <w:rFonts w:asciiTheme="minorHAnsi" w:hAnsiTheme="minorHAnsi" w:cstheme="minorHAnsi"/>
        </w:rPr>
        <w:t>The VLP capture assay represents an easy-to-use and sensitive method to examine the decoration of VLPs with target antigens exposing neutralization epitopes, and thus their utility as future vaccine candidates.</w:t>
      </w:r>
    </w:p>
    <w:p w14:paraId="62403BD9" w14:textId="77777777" w:rsidR="009001EE" w:rsidRDefault="009001EE">
      <w:pPr>
        <w:rPr>
          <w:rFonts w:asciiTheme="minorHAnsi" w:hAnsiTheme="minorHAnsi" w:cstheme="minorHAnsi"/>
          <w:b/>
        </w:rPr>
      </w:pPr>
    </w:p>
    <w:p w14:paraId="5544EEA3" w14:textId="62E9917B" w:rsidR="009001EE" w:rsidRDefault="00E01D80">
      <w:pPr>
        <w:rPr>
          <w:rFonts w:asciiTheme="minorHAnsi" w:hAnsiTheme="minorHAnsi" w:cstheme="minorHAnsi"/>
          <w:b/>
        </w:rPr>
      </w:pPr>
      <w:r>
        <w:rPr>
          <w:rFonts w:asciiTheme="minorHAnsi" w:hAnsiTheme="minorHAnsi" w:cstheme="minorHAnsi"/>
          <w:b/>
        </w:rPr>
        <w:t>PROTOCOL</w:t>
      </w:r>
    </w:p>
    <w:p w14:paraId="357F1824" w14:textId="77777777" w:rsidR="008519E3" w:rsidRDefault="008519E3">
      <w:pPr>
        <w:rPr>
          <w:rFonts w:asciiTheme="minorHAnsi" w:hAnsiTheme="minorHAnsi" w:cstheme="minorHAnsi"/>
          <w:color w:val="808080"/>
        </w:rPr>
      </w:pPr>
    </w:p>
    <w:p w14:paraId="5083D841" w14:textId="266A36D4" w:rsidR="009001EE" w:rsidRPr="00BC459E" w:rsidRDefault="00E01D80" w:rsidP="00BC459E">
      <w:pPr>
        <w:pStyle w:val="ListParagraph"/>
        <w:numPr>
          <w:ilvl w:val="0"/>
          <w:numId w:val="6"/>
        </w:numPr>
        <w:ind w:left="0" w:firstLine="0"/>
        <w:rPr>
          <w:b/>
        </w:rPr>
      </w:pPr>
      <w:r w:rsidRPr="00BC459E">
        <w:rPr>
          <w:rFonts w:asciiTheme="minorHAnsi" w:hAnsiTheme="minorHAnsi" w:cstheme="minorHAnsi"/>
          <w:b/>
        </w:rPr>
        <w:t xml:space="preserve"> Sample preparation</w:t>
      </w:r>
    </w:p>
    <w:p w14:paraId="6D0C04CF" w14:textId="77777777" w:rsidR="009001EE" w:rsidRDefault="009001EE" w:rsidP="00BC459E"/>
    <w:p w14:paraId="30108531" w14:textId="7290237A" w:rsidR="00D25F42" w:rsidRPr="00BC459E" w:rsidRDefault="00E01D80" w:rsidP="00BC459E">
      <w:pPr>
        <w:pStyle w:val="ListParagraph"/>
        <w:numPr>
          <w:ilvl w:val="1"/>
          <w:numId w:val="6"/>
        </w:numPr>
        <w:ind w:left="0" w:firstLine="0"/>
        <w:rPr>
          <w:rFonts w:asciiTheme="minorHAnsi" w:hAnsiTheme="minorHAnsi" w:cstheme="minorHAnsi"/>
        </w:rPr>
      </w:pPr>
      <w:r w:rsidRPr="00BC459E">
        <w:rPr>
          <w:rFonts w:asciiTheme="minorHAnsi" w:hAnsiTheme="minorHAnsi" w:cstheme="minorHAnsi"/>
        </w:rPr>
        <w:t>Seed the VLP producer suspension cell line</w:t>
      </w:r>
      <w:r w:rsidR="008C00AE" w:rsidRPr="00BC459E">
        <w:rPr>
          <w:rFonts w:asciiTheme="minorHAnsi" w:hAnsiTheme="minorHAnsi" w:cstheme="minorHAnsi"/>
        </w:rPr>
        <w:t>s derived from</w:t>
      </w:r>
      <w:r w:rsidRPr="00BC459E">
        <w:rPr>
          <w:rFonts w:asciiTheme="minorHAnsi" w:hAnsiTheme="minorHAnsi" w:cstheme="minorHAnsi"/>
        </w:rPr>
        <w:t xml:space="preserve"> 293-F </w:t>
      </w:r>
      <w:r w:rsidR="008C00AE" w:rsidRPr="00BC459E">
        <w:rPr>
          <w:rFonts w:asciiTheme="minorHAnsi" w:hAnsiTheme="minorHAnsi" w:cstheme="minorHAnsi"/>
        </w:rPr>
        <w:t>cells</w:t>
      </w:r>
      <w:r w:rsidRPr="00BC459E">
        <w:rPr>
          <w:rFonts w:asciiTheme="minorHAnsi" w:hAnsiTheme="minorHAnsi" w:cstheme="minorHAnsi"/>
        </w:rPr>
        <w:t xml:space="preserve"> expressing HIV structural genes </w:t>
      </w:r>
      <w:r w:rsidRPr="00BC459E">
        <w:rPr>
          <w:rFonts w:asciiTheme="minorHAnsi" w:hAnsiTheme="minorHAnsi" w:cstheme="minorHAnsi"/>
          <w:i/>
          <w:iCs/>
        </w:rPr>
        <w:t>gag</w:t>
      </w:r>
      <w:r w:rsidRPr="00BC459E">
        <w:rPr>
          <w:rFonts w:asciiTheme="minorHAnsi" w:hAnsiTheme="minorHAnsi" w:cstheme="minorHAnsi"/>
        </w:rPr>
        <w:t xml:space="preserve"> alone or in concert with </w:t>
      </w:r>
      <w:r w:rsidRPr="00BC459E">
        <w:rPr>
          <w:rFonts w:asciiTheme="minorHAnsi" w:hAnsiTheme="minorHAnsi" w:cstheme="minorHAnsi"/>
          <w:i/>
          <w:iCs/>
        </w:rPr>
        <w:t>env</w:t>
      </w:r>
      <w:r w:rsidRPr="00BC459E">
        <w:rPr>
          <w:rFonts w:asciiTheme="minorHAnsi" w:hAnsiTheme="minorHAnsi" w:cstheme="minorHAnsi"/>
        </w:rPr>
        <w:t xml:space="preserve"> </w:t>
      </w:r>
      <w:r w:rsidR="008C00AE" w:rsidRPr="00BC459E">
        <w:rPr>
          <w:rFonts w:asciiTheme="minorHAnsi" w:hAnsiTheme="minorHAnsi" w:cstheme="minorHAnsi"/>
        </w:rPr>
        <w:t xml:space="preserve">(unpublished data) </w:t>
      </w:r>
      <w:r w:rsidRPr="00BC459E">
        <w:rPr>
          <w:rFonts w:asciiTheme="minorHAnsi" w:hAnsiTheme="minorHAnsi" w:cstheme="minorHAnsi"/>
        </w:rPr>
        <w:t xml:space="preserve">at a low cell density of 0.5 x </w:t>
      </w:r>
      <w:r w:rsidRPr="00BC459E">
        <w:rPr>
          <w:rFonts w:asciiTheme="minorHAnsi" w:hAnsiTheme="minorHAnsi" w:cstheme="minorHAnsi"/>
        </w:rPr>
        <w:lastRenderedPageBreak/>
        <w:t>10</w:t>
      </w:r>
      <w:r w:rsidRPr="00BC459E">
        <w:rPr>
          <w:rFonts w:asciiTheme="minorHAnsi" w:hAnsiTheme="minorHAnsi" w:cstheme="minorHAnsi"/>
          <w:vertAlign w:val="superscript"/>
        </w:rPr>
        <w:t>6</w:t>
      </w:r>
      <w:r w:rsidRPr="00BC459E">
        <w:rPr>
          <w:rFonts w:asciiTheme="minorHAnsi" w:hAnsiTheme="minorHAnsi" w:cstheme="minorHAnsi"/>
        </w:rPr>
        <w:t xml:space="preserve"> cells per mL in </w:t>
      </w:r>
      <w:r w:rsidR="00186B26" w:rsidRPr="00BC459E">
        <w:rPr>
          <w:rFonts w:asciiTheme="minorHAnsi" w:hAnsiTheme="minorHAnsi" w:cstheme="minorHAnsi"/>
        </w:rPr>
        <w:t>293</w:t>
      </w:r>
      <w:r w:rsidR="00D25F42" w:rsidRPr="00BC459E">
        <w:rPr>
          <w:rFonts w:asciiTheme="minorHAnsi" w:hAnsiTheme="minorHAnsi" w:cstheme="minorHAnsi"/>
        </w:rPr>
        <w:t>-F</w:t>
      </w:r>
      <w:r w:rsidR="00186B26" w:rsidRPr="00BC459E">
        <w:rPr>
          <w:rFonts w:asciiTheme="minorHAnsi" w:hAnsiTheme="minorHAnsi" w:cstheme="minorHAnsi"/>
        </w:rPr>
        <w:t xml:space="preserve"> </w:t>
      </w:r>
      <w:r w:rsidRPr="00BC459E">
        <w:rPr>
          <w:rFonts w:asciiTheme="minorHAnsi" w:hAnsiTheme="minorHAnsi" w:cstheme="minorHAnsi"/>
        </w:rPr>
        <w:t>Expression Medium</w:t>
      </w:r>
      <w:r w:rsidR="00D25F42" w:rsidRPr="00BC459E">
        <w:rPr>
          <w:rFonts w:asciiTheme="minorHAnsi" w:hAnsiTheme="minorHAnsi" w:cstheme="minorHAnsi"/>
        </w:rPr>
        <w:t>.</w:t>
      </w:r>
      <w:r w:rsidRPr="00BC459E">
        <w:rPr>
          <w:rFonts w:asciiTheme="minorHAnsi" w:hAnsiTheme="minorHAnsi" w:cstheme="minorHAnsi"/>
        </w:rPr>
        <w:t xml:space="preserve"> </w:t>
      </w:r>
    </w:p>
    <w:p w14:paraId="18FE94B0" w14:textId="77777777" w:rsidR="00D25F42" w:rsidRPr="00BC459E" w:rsidRDefault="00D25F42" w:rsidP="00BC459E">
      <w:pPr>
        <w:pStyle w:val="ListParagraph"/>
        <w:ind w:left="0"/>
      </w:pPr>
    </w:p>
    <w:p w14:paraId="0121792E" w14:textId="62B71949" w:rsidR="009001EE" w:rsidRDefault="00D25F42" w:rsidP="00BC459E">
      <w:pPr>
        <w:pStyle w:val="ListParagraph"/>
        <w:numPr>
          <w:ilvl w:val="1"/>
          <w:numId w:val="6"/>
        </w:numPr>
        <w:ind w:left="0" w:firstLine="0"/>
      </w:pPr>
      <w:r w:rsidRPr="00BC459E">
        <w:rPr>
          <w:rFonts w:asciiTheme="minorHAnsi" w:hAnsiTheme="minorHAnsi" w:cstheme="minorHAnsi"/>
        </w:rPr>
        <w:t>L</w:t>
      </w:r>
      <w:r w:rsidR="00E01D80" w:rsidRPr="00BC459E">
        <w:rPr>
          <w:rFonts w:asciiTheme="minorHAnsi" w:hAnsiTheme="minorHAnsi" w:cstheme="minorHAnsi"/>
        </w:rPr>
        <w:t>et them expand for 3</w:t>
      </w:r>
      <w:r w:rsidRPr="00BC459E">
        <w:rPr>
          <w:rFonts w:asciiTheme="minorHAnsi" w:hAnsiTheme="minorHAnsi" w:cstheme="minorHAnsi"/>
        </w:rPr>
        <w:t>–</w:t>
      </w:r>
      <w:r w:rsidR="00E01D80" w:rsidRPr="00BC459E">
        <w:rPr>
          <w:rFonts w:asciiTheme="minorHAnsi" w:hAnsiTheme="minorHAnsi" w:cstheme="minorHAnsi"/>
        </w:rPr>
        <w:t>4 days</w:t>
      </w:r>
      <w:r w:rsidR="008C00AE" w:rsidRPr="00BC459E">
        <w:rPr>
          <w:rFonts w:asciiTheme="minorHAnsi" w:hAnsiTheme="minorHAnsi" w:cstheme="minorHAnsi"/>
        </w:rPr>
        <w:t xml:space="preserve"> at 37 °C and 8% CO</w:t>
      </w:r>
      <w:r w:rsidR="008C00AE" w:rsidRPr="00BC459E">
        <w:rPr>
          <w:rFonts w:asciiTheme="minorHAnsi" w:hAnsiTheme="minorHAnsi" w:cstheme="minorHAnsi"/>
          <w:vertAlign w:val="subscript"/>
        </w:rPr>
        <w:t>2</w:t>
      </w:r>
      <w:r w:rsidR="008C00AE" w:rsidRPr="00BC459E">
        <w:rPr>
          <w:rFonts w:asciiTheme="minorHAnsi" w:hAnsiTheme="minorHAnsi" w:cstheme="minorHAnsi"/>
        </w:rPr>
        <w:t xml:space="preserve"> in a shaker incubator rotation with</w:t>
      </w:r>
      <w:r w:rsidR="00186B26" w:rsidRPr="00BC459E">
        <w:rPr>
          <w:rFonts w:asciiTheme="minorHAnsi" w:hAnsiTheme="minorHAnsi" w:cstheme="minorHAnsi"/>
        </w:rPr>
        <w:t xml:space="preserve"> an orbit of 5 cm and</w:t>
      </w:r>
      <w:r w:rsidR="008C00AE" w:rsidRPr="00BC459E">
        <w:rPr>
          <w:rFonts w:asciiTheme="minorHAnsi" w:hAnsiTheme="minorHAnsi" w:cstheme="minorHAnsi"/>
        </w:rPr>
        <w:t xml:space="preserve"> 135 rounds per minute (rpm)</w:t>
      </w:r>
      <w:r w:rsidR="00E01D80" w:rsidRPr="00BC459E">
        <w:rPr>
          <w:rFonts w:asciiTheme="minorHAnsi" w:hAnsiTheme="minorHAnsi" w:cstheme="minorHAnsi"/>
        </w:rPr>
        <w:t xml:space="preserve">. </w:t>
      </w:r>
    </w:p>
    <w:p w14:paraId="3BC3AC13" w14:textId="77777777" w:rsidR="009001EE" w:rsidRDefault="009001EE" w:rsidP="00BC459E"/>
    <w:p w14:paraId="68FAC502" w14:textId="2551F371" w:rsidR="008C00AE" w:rsidRDefault="00E01D80" w:rsidP="00BC459E">
      <w:pPr>
        <w:pStyle w:val="ListParagraph"/>
        <w:numPr>
          <w:ilvl w:val="1"/>
          <w:numId w:val="6"/>
        </w:numPr>
        <w:ind w:left="0" w:firstLine="0"/>
        <w:rPr>
          <w:rFonts w:asciiTheme="minorHAnsi" w:hAnsiTheme="minorHAnsi" w:cstheme="minorHAnsi"/>
        </w:rPr>
      </w:pPr>
      <w:r>
        <w:rPr>
          <w:rFonts w:asciiTheme="minorHAnsi" w:hAnsiTheme="minorHAnsi" w:cstheme="minorHAnsi"/>
        </w:rPr>
        <w:t xml:space="preserve">Pellet </w:t>
      </w:r>
      <w:r w:rsidR="00D25F42">
        <w:rPr>
          <w:rFonts w:asciiTheme="minorHAnsi" w:hAnsiTheme="minorHAnsi" w:cstheme="minorHAnsi"/>
        </w:rPr>
        <w:t xml:space="preserve">the </w:t>
      </w:r>
      <w:r>
        <w:rPr>
          <w:rFonts w:asciiTheme="minorHAnsi" w:hAnsiTheme="minorHAnsi" w:cstheme="minorHAnsi"/>
        </w:rPr>
        <w:t>producer cells by centrifugation at 100 x </w:t>
      </w:r>
      <w:r w:rsidRPr="00BC459E">
        <w:rPr>
          <w:rFonts w:asciiTheme="minorHAnsi" w:hAnsiTheme="minorHAnsi" w:cstheme="minorHAnsi"/>
          <w:i/>
          <w:iCs/>
        </w:rPr>
        <w:t>g</w:t>
      </w:r>
      <w:r>
        <w:rPr>
          <w:rFonts w:asciiTheme="minorHAnsi" w:hAnsiTheme="minorHAnsi" w:cstheme="minorHAnsi"/>
        </w:rPr>
        <w:t xml:space="preserve"> for 5 min. Filter the clarified supernatant to remove residual cells and cell debris using 0.45 µm polyvinylidene fluoride (PVDF) membrane syringe filters to obtain cell-free cell culture supernatant (CFSN). </w:t>
      </w:r>
    </w:p>
    <w:p w14:paraId="1A33D6A2" w14:textId="77777777" w:rsidR="008C00AE" w:rsidRDefault="008C00AE" w:rsidP="00BC459E">
      <w:pPr>
        <w:rPr>
          <w:rFonts w:asciiTheme="minorHAnsi" w:hAnsiTheme="minorHAnsi" w:cstheme="minorHAnsi"/>
        </w:rPr>
      </w:pPr>
    </w:p>
    <w:p w14:paraId="5CAD2D8B" w14:textId="53F4FB6F" w:rsidR="009001EE" w:rsidRDefault="00D25F42" w:rsidP="00BC459E">
      <w:r>
        <w:rPr>
          <w:rFonts w:asciiTheme="minorHAnsi" w:hAnsiTheme="minorHAnsi" w:cstheme="minorHAnsi"/>
        </w:rPr>
        <w:t>NOTE</w:t>
      </w:r>
      <w:r w:rsidR="008C00AE">
        <w:rPr>
          <w:rFonts w:asciiTheme="minorHAnsi" w:hAnsiTheme="minorHAnsi" w:cstheme="minorHAnsi"/>
        </w:rPr>
        <w:t xml:space="preserve">: </w:t>
      </w:r>
      <w:r w:rsidR="00186B26">
        <w:rPr>
          <w:rFonts w:asciiTheme="minorHAnsi" w:hAnsiTheme="minorHAnsi" w:cstheme="minorHAnsi"/>
        </w:rPr>
        <w:t xml:space="preserve">The protocol can be paused here. </w:t>
      </w:r>
      <w:r w:rsidR="00E01D80">
        <w:rPr>
          <w:rFonts w:asciiTheme="minorHAnsi" w:hAnsiTheme="minorHAnsi" w:cstheme="minorHAnsi"/>
        </w:rPr>
        <w:t>CFSN can be stored overnight at 4 °C.</w:t>
      </w:r>
    </w:p>
    <w:p w14:paraId="7AB902C3" w14:textId="77777777" w:rsidR="009001EE" w:rsidRDefault="009001EE" w:rsidP="00BC459E">
      <w:pPr>
        <w:widowControl/>
        <w:spacing w:line="259" w:lineRule="auto"/>
        <w:jc w:val="left"/>
        <w:rPr>
          <w:rFonts w:eastAsia="Calibri" w:cs="Times New Roman"/>
          <w:color w:val="auto"/>
        </w:rPr>
      </w:pPr>
    </w:p>
    <w:p w14:paraId="01596A28" w14:textId="32EB23B3" w:rsidR="00D25F42" w:rsidRDefault="00E01D80" w:rsidP="00BC459E">
      <w:pPr>
        <w:pStyle w:val="ListParagraph"/>
        <w:numPr>
          <w:ilvl w:val="1"/>
          <w:numId w:val="6"/>
        </w:numPr>
        <w:ind w:left="0" w:firstLine="0"/>
        <w:rPr>
          <w:rFonts w:asciiTheme="minorHAnsi" w:hAnsiTheme="minorHAnsi" w:cstheme="minorHAnsi"/>
        </w:rPr>
      </w:pPr>
      <w:r>
        <w:rPr>
          <w:rFonts w:asciiTheme="minorHAnsi" w:hAnsiTheme="minorHAnsi" w:cstheme="minorHAnsi"/>
        </w:rPr>
        <w:t xml:space="preserve">Either use the CFSN directly for the experiment or pellet VLPs </w:t>
      </w:r>
      <w:r w:rsidR="00186B26">
        <w:rPr>
          <w:rFonts w:asciiTheme="minorHAnsi" w:hAnsiTheme="minorHAnsi" w:cstheme="minorHAnsi"/>
        </w:rPr>
        <w:t xml:space="preserve">from 35 mL </w:t>
      </w:r>
      <w:r w:rsidR="00D25F42">
        <w:rPr>
          <w:rFonts w:asciiTheme="minorHAnsi" w:hAnsiTheme="minorHAnsi" w:cstheme="minorHAnsi"/>
        </w:rPr>
        <w:t xml:space="preserve">of </w:t>
      </w:r>
      <w:r w:rsidR="00186B26">
        <w:rPr>
          <w:rFonts w:asciiTheme="minorHAnsi" w:hAnsiTheme="minorHAnsi" w:cstheme="minorHAnsi"/>
        </w:rPr>
        <w:t xml:space="preserve">CFSN employing </w:t>
      </w:r>
      <w:r>
        <w:rPr>
          <w:rFonts w:asciiTheme="minorHAnsi" w:hAnsiTheme="minorHAnsi" w:cstheme="minorHAnsi"/>
        </w:rPr>
        <w:t>ultracentrifugation (112</w:t>
      </w:r>
      <w:r w:rsidR="00D25F42">
        <w:rPr>
          <w:rFonts w:asciiTheme="minorHAnsi" w:hAnsiTheme="minorHAnsi" w:cstheme="minorHAnsi"/>
        </w:rPr>
        <w:t>,</w:t>
      </w:r>
      <w:r>
        <w:rPr>
          <w:rFonts w:asciiTheme="minorHAnsi" w:hAnsiTheme="minorHAnsi" w:cstheme="minorHAnsi"/>
        </w:rPr>
        <w:t>700 x </w:t>
      </w:r>
      <w:r w:rsidRPr="00BC459E">
        <w:rPr>
          <w:rFonts w:asciiTheme="minorHAnsi" w:hAnsiTheme="minorHAnsi" w:cstheme="minorHAnsi"/>
          <w:i/>
          <w:iCs/>
        </w:rPr>
        <w:t>g</w:t>
      </w:r>
      <w:r>
        <w:rPr>
          <w:rFonts w:asciiTheme="minorHAnsi" w:hAnsiTheme="minorHAnsi" w:cstheme="minorHAnsi"/>
        </w:rPr>
        <w:t>, 4 °C, 1.</w:t>
      </w:r>
      <w:r w:rsidR="00467AC7">
        <w:rPr>
          <w:rFonts w:asciiTheme="minorHAnsi" w:hAnsiTheme="minorHAnsi" w:cstheme="minorHAnsi"/>
        </w:rPr>
        <w:t>5 </w:t>
      </w:r>
      <w:r>
        <w:rPr>
          <w:rFonts w:asciiTheme="minorHAnsi" w:hAnsiTheme="minorHAnsi" w:cstheme="minorHAnsi"/>
        </w:rPr>
        <w:t xml:space="preserve">h). </w:t>
      </w:r>
    </w:p>
    <w:p w14:paraId="009F3748" w14:textId="77777777" w:rsidR="00D25F42" w:rsidRDefault="00D25F42" w:rsidP="00BC459E">
      <w:pPr>
        <w:pStyle w:val="ListParagraph"/>
        <w:ind w:left="0"/>
        <w:rPr>
          <w:rFonts w:asciiTheme="minorHAnsi" w:hAnsiTheme="minorHAnsi" w:cstheme="minorHAnsi"/>
        </w:rPr>
      </w:pPr>
    </w:p>
    <w:p w14:paraId="27E816EA" w14:textId="01C5581B" w:rsidR="00186B26" w:rsidRDefault="00186B26" w:rsidP="00BC459E">
      <w:pPr>
        <w:pStyle w:val="ListParagraph"/>
        <w:numPr>
          <w:ilvl w:val="1"/>
          <w:numId w:val="6"/>
        </w:numPr>
        <w:ind w:left="0" w:firstLine="0"/>
        <w:rPr>
          <w:rFonts w:asciiTheme="minorHAnsi" w:hAnsiTheme="minorHAnsi" w:cstheme="minorHAnsi"/>
        </w:rPr>
      </w:pPr>
      <w:r>
        <w:rPr>
          <w:rFonts w:asciiTheme="minorHAnsi" w:hAnsiTheme="minorHAnsi" w:cstheme="minorHAnsi"/>
        </w:rPr>
        <w:t>Upon ultracentrifugation, d</w:t>
      </w:r>
      <w:r w:rsidR="00E01D80">
        <w:rPr>
          <w:rFonts w:asciiTheme="minorHAnsi" w:hAnsiTheme="minorHAnsi" w:cstheme="minorHAnsi"/>
        </w:rPr>
        <w:t xml:space="preserve">iscard the supernatant and suspend the VLP pellets in 200 µL </w:t>
      </w:r>
      <w:r w:rsidR="00D25F42">
        <w:rPr>
          <w:rFonts w:asciiTheme="minorHAnsi" w:hAnsiTheme="minorHAnsi" w:cstheme="minorHAnsi"/>
        </w:rPr>
        <w:t xml:space="preserve">of </w:t>
      </w:r>
      <w:r w:rsidR="00E01D80">
        <w:rPr>
          <w:rFonts w:asciiTheme="minorHAnsi" w:hAnsiTheme="minorHAnsi" w:cstheme="minorHAnsi"/>
        </w:rPr>
        <w:t xml:space="preserve">15% (w/v) trehalose solution per centrifuge tube. </w:t>
      </w:r>
    </w:p>
    <w:p w14:paraId="67062708" w14:textId="77777777" w:rsidR="00186B26" w:rsidRDefault="00186B26" w:rsidP="00BC459E">
      <w:pPr>
        <w:widowControl/>
        <w:spacing w:line="259" w:lineRule="auto"/>
        <w:jc w:val="left"/>
        <w:rPr>
          <w:rFonts w:asciiTheme="minorHAnsi" w:eastAsia="Calibri" w:hAnsiTheme="minorHAnsi" w:cstheme="minorHAnsi"/>
          <w:color w:val="auto"/>
        </w:rPr>
      </w:pPr>
    </w:p>
    <w:p w14:paraId="26ABE7CE" w14:textId="7F45F45B" w:rsidR="009001EE" w:rsidRDefault="00D25F42" w:rsidP="00BC459E">
      <w:pPr>
        <w:widowControl/>
        <w:spacing w:line="259" w:lineRule="auto"/>
        <w:jc w:val="left"/>
      </w:pPr>
      <w:r>
        <w:rPr>
          <w:rFonts w:asciiTheme="minorHAnsi" w:hAnsiTheme="minorHAnsi" w:cstheme="minorHAnsi"/>
        </w:rPr>
        <w:t>NOTE</w:t>
      </w:r>
      <w:r w:rsidR="00186B26">
        <w:rPr>
          <w:rFonts w:asciiTheme="minorHAnsi" w:eastAsia="Calibri" w:hAnsiTheme="minorHAnsi" w:cstheme="minorHAnsi"/>
          <w:color w:val="auto"/>
        </w:rPr>
        <w:t xml:space="preserve">: The VLP pellet is often not visible </w:t>
      </w:r>
      <w:r>
        <w:rPr>
          <w:rFonts w:asciiTheme="minorHAnsi" w:eastAsia="Calibri" w:hAnsiTheme="minorHAnsi" w:cstheme="minorHAnsi"/>
          <w:color w:val="auto"/>
        </w:rPr>
        <w:t xml:space="preserve">to </w:t>
      </w:r>
      <w:r w:rsidR="00186B26">
        <w:rPr>
          <w:rFonts w:asciiTheme="minorHAnsi" w:eastAsia="Calibri" w:hAnsiTheme="minorHAnsi" w:cstheme="minorHAnsi"/>
          <w:color w:val="auto"/>
        </w:rPr>
        <w:t xml:space="preserve">the naked eye. </w:t>
      </w:r>
      <w:r w:rsidR="00186B26">
        <w:rPr>
          <w:rFonts w:asciiTheme="minorHAnsi" w:hAnsiTheme="minorHAnsi" w:cstheme="minorHAnsi"/>
        </w:rPr>
        <w:t xml:space="preserve">The protocol can be paused here. </w:t>
      </w:r>
      <w:r w:rsidR="00E01D80">
        <w:rPr>
          <w:rFonts w:asciiTheme="minorHAnsi" w:hAnsiTheme="minorHAnsi" w:cstheme="minorHAnsi"/>
        </w:rPr>
        <w:t xml:space="preserve">VLPs </w:t>
      </w:r>
      <w:r w:rsidR="00186B26">
        <w:rPr>
          <w:rFonts w:asciiTheme="minorHAnsi" w:hAnsiTheme="minorHAnsi" w:cstheme="minorHAnsi"/>
        </w:rPr>
        <w:t>can be stored</w:t>
      </w:r>
      <w:r w:rsidR="00E01D80">
        <w:rPr>
          <w:rFonts w:asciiTheme="minorHAnsi" w:hAnsiTheme="minorHAnsi" w:cstheme="minorHAnsi"/>
        </w:rPr>
        <w:t xml:space="preserve"> at -80 °C.</w:t>
      </w:r>
    </w:p>
    <w:p w14:paraId="4309FE4A" w14:textId="77777777" w:rsidR="009001EE" w:rsidRDefault="009001EE" w:rsidP="00BC459E">
      <w:pPr>
        <w:widowControl/>
        <w:spacing w:line="259" w:lineRule="auto"/>
        <w:jc w:val="left"/>
        <w:rPr>
          <w:rFonts w:eastAsia="Calibri" w:cs="Times New Roman"/>
          <w:color w:val="auto"/>
        </w:rPr>
      </w:pPr>
    </w:p>
    <w:p w14:paraId="716D4687" w14:textId="08AA5435" w:rsidR="009001EE" w:rsidRDefault="00E01D80" w:rsidP="00BC459E">
      <w:pPr>
        <w:pStyle w:val="ListParagraph"/>
        <w:numPr>
          <w:ilvl w:val="1"/>
          <w:numId w:val="6"/>
        </w:numPr>
        <w:ind w:left="0" w:firstLine="0"/>
      </w:pPr>
      <w:r>
        <w:rPr>
          <w:rFonts w:asciiTheme="minorHAnsi" w:hAnsiTheme="minorHAnsi" w:cstheme="minorHAnsi"/>
        </w:rPr>
        <w:t xml:space="preserve">Prior to the VLP capture assay, determine </w:t>
      </w:r>
      <w:r w:rsidR="00D25F42">
        <w:rPr>
          <w:rFonts w:asciiTheme="minorHAnsi" w:hAnsiTheme="minorHAnsi" w:cstheme="minorHAnsi"/>
        </w:rPr>
        <w:t xml:space="preserve">the </w:t>
      </w:r>
      <w:r>
        <w:rPr>
          <w:rFonts w:asciiTheme="minorHAnsi" w:hAnsiTheme="minorHAnsi" w:cstheme="minorHAnsi"/>
        </w:rPr>
        <w:t>viral core protein concentrations in the VLP containing samples using an ELISA. This step is important to standardize the capture assay input.</w:t>
      </w:r>
    </w:p>
    <w:p w14:paraId="0837AD98" w14:textId="77777777" w:rsidR="009001EE" w:rsidRDefault="009001EE">
      <w:pPr>
        <w:widowControl/>
        <w:jc w:val="left"/>
        <w:rPr>
          <w:rFonts w:eastAsia="Calibri"/>
          <w:color w:val="auto"/>
        </w:rPr>
      </w:pPr>
    </w:p>
    <w:p w14:paraId="5B0B6022" w14:textId="096D3B64" w:rsidR="009001EE" w:rsidRDefault="00E01D80" w:rsidP="00BC459E">
      <w:pPr>
        <w:pStyle w:val="ListParagraph"/>
        <w:numPr>
          <w:ilvl w:val="0"/>
          <w:numId w:val="6"/>
        </w:numPr>
        <w:ind w:left="0" w:firstLine="0"/>
        <w:rPr>
          <w:rFonts w:asciiTheme="minorHAnsi" w:hAnsiTheme="minorHAnsi" w:cstheme="minorHAnsi"/>
          <w:b/>
        </w:rPr>
      </w:pPr>
      <w:r>
        <w:rPr>
          <w:rFonts w:asciiTheme="minorHAnsi" w:hAnsiTheme="minorHAnsi" w:cstheme="minorHAnsi"/>
          <w:b/>
        </w:rPr>
        <w:t>VLP capture assay</w:t>
      </w:r>
    </w:p>
    <w:p w14:paraId="5E73CFDE" w14:textId="77777777" w:rsidR="009001EE" w:rsidRDefault="009001EE">
      <w:pPr>
        <w:rPr>
          <w:b/>
        </w:rPr>
      </w:pPr>
    </w:p>
    <w:p w14:paraId="1BFA577C" w14:textId="3E8C1F67" w:rsidR="009001EE" w:rsidRDefault="00D25F42">
      <w:r>
        <w:rPr>
          <w:rFonts w:asciiTheme="minorHAnsi" w:hAnsiTheme="minorHAnsi" w:cstheme="minorHAnsi"/>
        </w:rPr>
        <w:t xml:space="preserve">NOTE: </w:t>
      </w:r>
      <w:r w:rsidR="00E01D80">
        <w:rPr>
          <w:rFonts w:asciiTheme="minorHAnsi" w:hAnsiTheme="minorHAnsi" w:cstheme="minorHAnsi"/>
        </w:rPr>
        <w:t xml:space="preserve">An overview of the workflow is depicted in </w:t>
      </w:r>
      <w:r w:rsidRPr="00BC459E">
        <w:rPr>
          <w:rFonts w:asciiTheme="minorHAnsi" w:hAnsiTheme="minorHAnsi" w:cstheme="minorHAnsi"/>
          <w:b/>
          <w:bCs/>
        </w:rPr>
        <w:t>F</w:t>
      </w:r>
      <w:r w:rsidR="00E01D80" w:rsidRPr="00BC459E">
        <w:rPr>
          <w:rFonts w:asciiTheme="minorHAnsi" w:hAnsiTheme="minorHAnsi" w:cstheme="minorHAnsi"/>
          <w:b/>
          <w:bCs/>
        </w:rPr>
        <w:t>igure 2</w:t>
      </w:r>
      <w:r w:rsidR="00E01D80">
        <w:rPr>
          <w:rFonts w:asciiTheme="minorHAnsi" w:hAnsiTheme="minorHAnsi" w:cstheme="minorHAnsi"/>
        </w:rPr>
        <w:t>.</w:t>
      </w:r>
    </w:p>
    <w:p w14:paraId="6DFAEFBC" w14:textId="77777777" w:rsidR="009001EE" w:rsidRDefault="009001EE"/>
    <w:p w14:paraId="4ECBE845" w14:textId="2D27473F" w:rsidR="009001EE" w:rsidRPr="00BC459E" w:rsidRDefault="00E01D80" w:rsidP="00BC459E">
      <w:pPr>
        <w:pStyle w:val="ListParagraph"/>
        <w:numPr>
          <w:ilvl w:val="1"/>
          <w:numId w:val="6"/>
        </w:numPr>
        <w:ind w:left="0" w:firstLine="0"/>
        <w:rPr>
          <w:rFonts w:asciiTheme="minorHAnsi" w:hAnsiTheme="minorHAnsi" w:cstheme="minorHAnsi"/>
        </w:rPr>
      </w:pPr>
      <w:bookmarkStart w:id="0" w:name="_Ref75953280"/>
      <w:r w:rsidRPr="00BC459E">
        <w:rPr>
          <w:rFonts w:asciiTheme="minorHAnsi" w:hAnsiTheme="minorHAnsi" w:cstheme="minorHAnsi"/>
        </w:rPr>
        <w:t xml:space="preserve"> </w:t>
      </w:r>
      <w:r w:rsidRPr="00BC459E">
        <w:rPr>
          <w:rFonts w:asciiTheme="minorHAnsi" w:hAnsiTheme="minorHAnsi" w:cstheme="minorHAnsi"/>
          <w:highlight w:val="yellow"/>
        </w:rPr>
        <w:t>Suspend the magnetic beads by either pipetting up and down or mixing on a rotator at 50 rpm for at least 5 min</w:t>
      </w:r>
      <w:r w:rsidRPr="00BC459E">
        <w:rPr>
          <w:rFonts w:asciiTheme="minorHAnsi" w:hAnsiTheme="minorHAnsi" w:cstheme="minorHAnsi"/>
        </w:rPr>
        <w:t xml:space="preserve">. </w:t>
      </w:r>
    </w:p>
    <w:p w14:paraId="66E04E23" w14:textId="77777777" w:rsidR="009001EE" w:rsidRDefault="009001EE" w:rsidP="00BC459E">
      <w:pPr>
        <w:rPr>
          <w:rFonts w:asciiTheme="minorHAnsi" w:hAnsiTheme="minorHAnsi" w:cstheme="minorHAnsi"/>
        </w:rPr>
      </w:pPr>
    </w:p>
    <w:p w14:paraId="46228422" w14:textId="5E86C43E" w:rsidR="009001EE" w:rsidRDefault="00E01D80" w:rsidP="00BC459E">
      <w:pPr>
        <w:pStyle w:val="ListParagraph"/>
        <w:numPr>
          <w:ilvl w:val="1"/>
          <w:numId w:val="6"/>
        </w:numPr>
        <w:ind w:left="0" w:firstLine="0"/>
        <w:rPr>
          <w:rFonts w:asciiTheme="minorHAnsi" w:hAnsiTheme="minorHAnsi" w:cstheme="minorHAnsi"/>
          <w:highlight w:val="yellow"/>
        </w:rPr>
      </w:pPr>
      <w:r>
        <w:rPr>
          <w:rFonts w:asciiTheme="minorHAnsi" w:hAnsiTheme="minorHAnsi" w:cstheme="minorHAnsi"/>
          <w:highlight w:val="yellow"/>
        </w:rPr>
        <w:t>Meanwhile</w:t>
      </w:r>
      <w:r w:rsidR="00D25F42">
        <w:rPr>
          <w:rFonts w:asciiTheme="minorHAnsi" w:hAnsiTheme="minorHAnsi" w:cstheme="minorHAnsi"/>
          <w:highlight w:val="yellow"/>
        </w:rPr>
        <w:t>,</w:t>
      </w:r>
      <w:r>
        <w:rPr>
          <w:rFonts w:asciiTheme="minorHAnsi" w:hAnsiTheme="minorHAnsi" w:cstheme="minorHAnsi"/>
          <w:highlight w:val="yellow"/>
        </w:rPr>
        <w:t xml:space="preserve"> prepare the antibody solution containing the bNAbs. Use 10 µg of each bNAb in 200 µL</w:t>
      </w:r>
      <w:r w:rsidR="00D25F42">
        <w:rPr>
          <w:rFonts w:asciiTheme="minorHAnsi" w:hAnsiTheme="minorHAnsi" w:cstheme="minorHAnsi"/>
          <w:highlight w:val="yellow"/>
        </w:rPr>
        <w:t xml:space="preserve"> of</w:t>
      </w:r>
      <w:r>
        <w:rPr>
          <w:rFonts w:asciiTheme="minorHAnsi" w:hAnsiTheme="minorHAnsi" w:cstheme="minorHAnsi"/>
          <w:highlight w:val="yellow"/>
        </w:rPr>
        <w:t xml:space="preserve"> antibody binding and washing buffer </w:t>
      </w:r>
      <w:r w:rsidR="009B23C4">
        <w:rPr>
          <w:rFonts w:asciiTheme="minorHAnsi" w:hAnsiTheme="minorHAnsi" w:cstheme="minorHAnsi"/>
          <w:highlight w:val="yellow"/>
        </w:rPr>
        <w:t>(</w:t>
      </w:r>
      <w:r w:rsidR="00816D06">
        <w:rPr>
          <w:rFonts w:asciiTheme="minorHAnsi" w:hAnsiTheme="minorHAnsi" w:cstheme="minorHAnsi"/>
          <w:highlight w:val="yellow"/>
        </w:rPr>
        <w:t xml:space="preserve">see </w:t>
      </w:r>
      <w:r w:rsidR="00816D06" w:rsidRPr="00F21D5F">
        <w:rPr>
          <w:rFonts w:asciiTheme="minorHAnsi" w:hAnsiTheme="minorHAnsi" w:cstheme="minorHAnsi"/>
          <w:b/>
          <w:bCs/>
          <w:highlight w:val="yellow"/>
        </w:rPr>
        <w:t>Table of Materials</w:t>
      </w:r>
      <w:r w:rsidR="009B23C4">
        <w:rPr>
          <w:rFonts w:asciiTheme="minorHAnsi" w:hAnsiTheme="minorHAnsi" w:cstheme="minorHAnsi"/>
          <w:highlight w:val="yellow"/>
        </w:rPr>
        <w:t xml:space="preserve">) </w:t>
      </w:r>
      <w:r>
        <w:rPr>
          <w:rFonts w:asciiTheme="minorHAnsi" w:hAnsiTheme="minorHAnsi" w:cstheme="minorHAnsi"/>
          <w:highlight w:val="yellow"/>
        </w:rPr>
        <w:t>per reaction.</w:t>
      </w:r>
      <w:bookmarkEnd w:id="0"/>
      <w:r>
        <w:rPr>
          <w:rFonts w:asciiTheme="minorHAnsi" w:hAnsiTheme="minorHAnsi" w:cstheme="minorHAnsi"/>
          <w:highlight w:val="yellow"/>
        </w:rPr>
        <w:t xml:space="preserve"> </w:t>
      </w:r>
    </w:p>
    <w:p w14:paraId="3533EA03" w14:textId="77777777" w:rsidR="009001EE" w:rsidRDefault="009001EE" w:rsidP="00BC459E">
      <w:pPr>
        <w:rPr>
          <w:rFonts w:asciiTheme="minorHAnsi" w:hAnsiTheme="minorHAnsi" w:cstheme="minorHAnsi"/>
          <w:highlight w:val="yellow"/>
        </w:rPr>
      </w:pPr>
    </w:p>
    <w:p w14:paraId="23A550E1" w14:textId="4B471F40" w:rsidR="009001EE" w:rsidRDefault="00D25F42" w:rsidP="00BC459E">
      <w:r>
        <w:rPr>
          <w:rFonts w:asciiTheme="minorHAnsi" w:hAnsiTheme="minorHAnsi" w:cstheme="minorHAnsi"/>
        </w:rPr>
        <w:t>NOTE</w:t>
      </w:r>
      <w:r w:rsidR="00E01D80" w:rsidRPr="008519E3">
        <w:rPr>
          <w:rFonts w:asciiTheme="minorHAnsi" w:hAnsiTheme="minorHAnsi" w:cstheme="minorHAnsi"/>
        </w:rPr>
        <w:t>: Antibody amounts may vary depending on the affinity of the bNAb and antigen decoration density on the VLPs used</w:t>
      </w:r>
      <w:r w:rsidR="00E01D80">
        <w:rPr>
          <w:rFonts w:asciiTheme="minorHAnsi" w:hAnsiTheme="minorHAnsi" w:cstheme="minorHAnsi"/>
        </w:rPr>
        <w:t>.</w:t>
      </w:r>
    </w:p>
    <w:p w14:paraId="181C8EC6" w14:textId="77777777" w:rsidR="009001EE" w:rsidRDefault="009001EE" w:rsidP="00BC459E">
      <w:pPr>
        <w:widowControl/>
        <w:spacing w:line="259" w:lineRule="auto"/>
        <w:jc w:val="left"/>
        <w:rPr>
          <w:rFonts w:eastAsia="Calibri" w:cs="Times New Roman"/>
          <w:color w:val="auto"/>
        </w:rPr>
      </w:pPr>
    </w:p>
    <w:p w14:paraId="1A9DFCE7" w14:textId="753BA53C" w:rsidR="009001EE" w:rsidRDefault="00E01D80" w:rsidP="00BC459E">
      <w:pPr>
        <w:pStyle w:val="ListParagraph"/>
        <w:numPr>
          <w:ilvl w:val="1"/>
          <w:numId w:val="6"/>
        </w:numPr>
        <w:ind w:left="0" w:firstLine="0"/>
        <w:rPr>
          <w:rFonts w:asciiTheme="minorHAnsi" w:hAnsiTheme="minorHAnsi" w:cstheme="minorHAnsi"/>
          <w:highlight w:val="yellow"/>
        </w:rPr>
      </w:pPr>
      <w:r>
        <w:rPr>
          <w:rFonts w:asciiTheme="minorHAnsi" w:hAnsiTheme="minorHAnsi" w:cstheme="minorHAnsi"/>
          <w:highlight w:val="yellow"/>
        </w:rPr>
        <w:t>Use 50 µL of the magnetic bead solution</w:t>
      </w:r>
      <w:r w:rsidR="009B23C4">
        <w:rPr>
          <w:rFonts w:asciiTheme="minorHAnsi" w:hAnsiTheme="minorHAnsi" w:cstheme="minorHAnsi"/>
          <w:highlight w:val="yellow"/>
        </w:rPr>
        <w:t xml:space="preserve"> (</w:t>
      </w:r>
      <w:r w:rsidR="00816D06">
        <w:rPr>
          <w:rFonts w:asciiTheme="minorHAnsi" w:hAnsiTheme="minorHAnsi" w:cstheme="minorHAnsi"/>
          <w:highlight w:val="yellow"/>
        </w:rPr>
        <w:t xml:space="preserve">see </w:t>
      </w:r>
      <w:r w:rsidR="00816D06" w:rsidRPr="000E7A39">
        <w:rPr>
          <w:rFonts w:asciiTheme="minorHAnsi" w:hAnsiTheme="minorHAnsi" w:cstheme="minorHAnsi"/>
          <w:b/>
          <w:bCs/>
          <w:highlight w:val="yellow"/>
        </w:rPr>
        <w:t>Table of Materials</w:t>
      </w:r>
      <w:r w:rsidR="009B23C4">
        <w:rPr>
          <w:rFonts w:asciiTheme="minorHAnsi" w:hAnsiTheme="minorHAnsi" w:cstheme="minorHAnsi"/>
          <w:highlight w:val="yellow"/>
        </w:rPr>
        <w:t>)</w:t>
      </w:r>
      <w:r>
        <w:rPr>
          <w:rFonts w:asciiTheme="minorHAnsi" w:hAnsiTheme="minorHAnsi" w:cstheme="minorHAnsi"/>
          <w:highlight w:val="yellow"/>
        </w:rPr>
        <w:t xml:space="preserve"> per reaction and transfer the beads into a 1.5 mL reaction tube. Place the tube</w:t>
      </w:r>
      <w:r w:rsidR="00E711B3">
        <w:rPr>
          <w:rFonts w:asciiTheme="minorHAnsi" w:hAnsiTheme="minorHAnsi" w:cstheme="minorHAnsi"/>
          <w:highlight w:val="yellow"/>
        </w:rPr>
        <w:t>s</w:t>
      </w:r>
      <w:r>
        <w:rPr>
          <w:rFonts w:asciiTheme="minorHAnsi" w:hAnsiTheme="minorHAnsi" w:cstheme="minorHAnsi"/>
          <w:highlight w:val="yellow"/>
        </w:rPr>
        <w:t xml:space="preserve"> on the magnetic separation rack. </w:t>
      </w:r>
    </w:p>
    <w:p w14:paraId="39FBDB85" w14:textId="77777777" w:rsidR="009001EE" w:rsidRDefault="009001EE" w:rsidP="00BC459E">
      <w:pPr>
        <w:rPr>
          <w:rFonts w:asciiTheme="minorHAnsi" w:hAnsiTheme="minorHAnsi" w:cstheme="minorHAnsi"/>
          <w:highlight w:val="yellow"/>
        </w:rPr>
      </w:pPr>
    </w:p>
    <w:p w14:paraId="0E21609A" w14:textId="0359AF26" w:rsidR="009001EE" w:rsidRDefault="00D25F42" w:rsidP="00BC459E">
      <w:r>
        <w:rPr>
          <w:rFonts w:asciiTheme="minorHAnsi" w:hAnsiTheme="minorHAnsi" w:cstheme="minorHAnsi"/>
        </w:rPr>
        <w:t>NOTE</w:t>
      </w:r>
      <w:r w:rsidR="00E01D80">
        <w:rPr>
          <w:rFonts w:asciiTheme="minorHAnsi" w:hAnsiTheme="minorHAnsi" w:cstheme="minorHAnsi"/>
        </w:rPr>
        <w:t xml:space="preserve">: Alternatively, a strong </w:t>
      </w:r>
      <w:r w:rsidR="00E711B3">
        <w:rPr>
          <w:rFonts w:asciiTheme="minorHAnsi" w:hAnsiTheme="minorHAnsi" w:cstheme="minorHAnsi"/>
        </w:rPr>
        <w:t xml:space="preserve">single </w:t>
      </w:r>
      <w:r w:rsidR="00E01D80">
        <w:rPr>
          <w:rFonts w:asciiTheme="minorHAnsi" w:hAnsiTheme="minorHAnsi" w:cstheme="minorHAnsi"/>
        </w:rPr>
        <w:t xml:space="preserve">magnet </w:t>
      </w:r>
      <w:r w:rsidR="00E711B3">
        <w:rPr>
          <w:rFonts w:asciiTheme="minorHAnsi" w:hAnsiTheme="minorHAnsi" w:cstheme="minorHAnsi"/>
        </w:rPr>
        <w:t>can be used for</w:t>
      </w:r>
      <w:r w:rsidR="00E01D80">
        <w:rPr>
          <w:rFonts w:asciiTheme="minorHAnsi" w:hAnsiTheme="minorHAnsi" w:cstheme="minorHAnsi"/>
        </w:rPr>
        <w:t xml:space="preserve"> each tube to separate the beads from the supernatant.</w:t>
      </w:r>
    </w:p>
    <w:p w14:paraId="31839AE9" w14:textId="77777777" w:rsidR="009001EE" w:rsidRPr="00B20A6C" w:rsidRDefault="009001EE" w:rsidP="00BC459E">
      <w:pPr>
        <w:rPr>
          <w:rFonts w:asciiTheme="minorHAnsi" w:hAnsiTheme="minorHAnsi" w:cstheme="minorHAnsi"/>
          <w:highlight w:val="yellow"/>
        </w:rPr>
      </w:pPr>
    </w:p>
    <w:p w14:paraId="20DAA182" w14:textId="07D647C2" w:rsidR="009001EE" w:rsidRPr="00F21D5F" w:rsidRDefault="00E01D80" w:rsidP="00BC459E">
      <w:pPr>
        <w:pStyle w:val="ListParagraph"/>
        <w:numPr>
          <w:ilvl w:val="1"/>
          <w:numId w:val="6"/>
        </w:numPr>
        <w:ind w:left="0" w:firstLine="0"/>
        <w:rPr>
          <w:highlight w:val="yellow"/>
        </w:rPr>
      </w:pPr>
      <w:r w:rsidRPr="00B20A6C">
        <w:rPr>
          <w:rFonts w:asciiTheme="minorHAnsi" w:hAnsiTheme="minorHAnsi" w:cstheme="minorHAnsi"/>
          <w:highlight w:val="yellow"/>
        </w:rPr>
        <w:t xml:space="preserve">Wait </w:t>
      </w:r>
      <w:r w:rsidR="00E711B3" w:rsidRPr="00B20A6C">
        <w:rPr>
          <w:rFonts w:asciiTheme="minorHAnsi" w:hAnsiTheme="minorHAnsi" w:cstheme="minorHAnsi"/>
          <w:highlight w:val="yellow"/>
        </w:rPr>
        <w:t xml:space="preserve">a few minutes </w:t>
      </w:r>
      <w:r w:rsidRPr="00F21D5F">
        <w:rPr>
          <w:rFonts w:asciiTheme="minorHAnsi" w:hAnsiTheme="minorHAnsi" w:cstheme="minorHAnsi"/>
          <w:highlight w:val="yellow"/>
        </w:rPr>
        <w:t xml:space="preserve">until the beads gather at the </w:t>
      </w:r>
      <w:r w:rsidR="00D25F42" w:rsidRPr="00F21D5F">
        <w:rPr>
          <w:rFonts w:asciiTheme="minorHAnsi" w:hAnsiTheme="minorHAnsi" w:cstheme="minorHAnsi"/>
          <w:highlight w:val="yellow"/>
        </w:rPr>
        <w:t>tube wall</w:t>
      </w:r>
      <w:r w:rsidRPr="00F21D5F">
        <w:rPr>
          <w:rFonts w:asciiTheme="minorHAnsi" w:hAnsiTheme="minorHAnsi" w:cstheme="minorHAnsi"/>
          <w:highlight w:val="yellow"/>
        </w:rPr>
        <w:t xml:space="preserve"> to ensure that all beads are </w:t>
      </w:r>
      <w:r w:rsidRPr="00F21D5F">
        <w:rPr>
          <w:rFonts w:asciiTheme="minorHAnsi" w:hAnsiTheme="minorHAnsi" w:cstheme="minorHAnsi"/>
          <w:highlight w:val="yellow"/>
        </w:rPr>
        <w:lastRenderedPageBreak/>
        <w:t>collected</w:t>
      </w:r>
      <w:r w:rsidR="00D25F42" w:rsidRPr="00F21D5F">
        <w:rPr>
          <w:rFonts w:asciiTheme="minorHAnsi" w:hAnsiTheme="minorHAnsi" w:cstheme="minorHAnsi"/>
          <w:highlight w:val="yellow"/>
        </w:rPr>
        <w:t>.</w:t>
      </w:r>
      <w:r w:rsidRPr="00F21D5F">
        <w:rPr>
          <w:rFonts w:asciiTheme="minorHAnsi" w:hAnsiTheme="minorHAnsi" w:cstheme="minorHAnsi"/>
          <w:highlight w:val="yellow"/>
        </w:rPr>
        <w:t xml:space="preserve"> </w:t>
      </w:r>
      <w:r w:rsidR="00D25F42" w:rsidRPr="00F21D5F">
        <w:rPr>
          <w:rFonts w:asciiTheme="minorHAnsi" w:hAnsiTheme="minorHAnsi" w:cstheme="minorHAnsi"/>
          <w:highlight w:val="yellow"/>
        </w:rPr>
        <w:t>R</w:t>
      </w:r>
      <w:r w:rsidRPr="00F21D5F">
        <w:rPr>
          <w:rFonts w:asciiTheme="minorHAnsi" w:hAnsiTheme="minorHAnsi" w:cstheme="minorHAnsi"/>
          <w:highlight w:val="yellow"/>
        </w:rPr>
        <w:t xml:space="preserve">emove the supernatant. </w:t>
      </w:r>
    </w:p>
    <w:p w14:paraId="75BFF352" w14:textId="77777777" w:rsidR="009001EE" w:rsidRDefault="009001EE" w:rsidP="00BC459E">
      <w:pPr>
        <w:widowControl/>
        <w:spacing w:line="259" w:lineRule="auto"/>
        <w:jc w:val="left"/>
        <w:rPr>
          <w:rFonts w:eastAsia="Calibri" w:cs="Times New Roman"/>
          <w:color w:val="auto"/>
        </w:rPr>
      </w:pPr>
    </w:p>
    <w:p w14:paraId="5FE67E7C" w14:textId="428BA09D" w:rsidR="009001EE" w:rsidRDefault="00E01D80" w:rsidP="00BC459E">
      <w:pPr>
        <w:pStyle w:val="ListParagraph"/>
        <w:numPr>
          <w:ilvl w:val="1"/>
          <w:numId w:val="6"/>
        </w:numPr>
        <w:ind w:left="0" w:firstLine="0"/>
        <w:rPr>
          <w:highlight w:val="yellow"/>
        </w:rPr>
      </w:pPr>
      <w:r>
        <w:rPr>
          <w:rFonts w:asciiTheme="minorHAnsi" w:hAnsiTheme="minorHAnsi" w:cstheme="minorHAnsi"/>
          <w:highlight w:val="yellow"/>
        </w:rPr>
        <w:t xml:space="preserve">Remove the magnet and suspend the beads in 200 µL of the bNAb solution prepared in step 2.2. Incubate for 30 min to 3 h mixing on a rotator at </w:t>
      </w:r>
      <w:r w:rsidR="00E711B3">
        <w:rPr>
          <w:rFonts w:asciiTheme="minorHAnsi" w:hAnsiTheme="minorHAnsi" w:cstheme="minorHAnsi"/>
          <w:highlight w:val="yellow"/>
        </w:rPr>
        <w:t xml:space="preserve">50 rpm at </w:t>
      </w:r>
      <w:r>
        <w:rPr>
          <w:rFonts w:asciiTheme="minorHAnsi" w:hAnsiTheme="minorHAnsi" w:cstheme="minorHAnsi"/>
          <w:highlight w:val="yellow"/>
        </w:rPr>
        <w:t xml:space="preserve">room temperature. </w:t>
      </w:r>
    </w:p>
    <w:p w14:paraId="1879BF50" w14:textId="77777777" w:rsidR="009001EE" w:rsidRDefault="009001EE" w:rsidP="00BC459E">
      <w:pPr>
        <w:widowControl/>
        <w:spacing w:line="259" w:lineRule="auto"/>
        <w:jc w:val="left"/>
        <w:rPr>
          <w:rFonts w:eastAsia="Calibri" w:cs="Times New Roman"/>
          <w:color w:val="auto"/>
          <w:highlight w:val="yellow"/>
        </w:rPr>
      </w:pPr>
    </w:p>
    <w:p w14:paraId="11AD1E7B" w14:textId="3A0F2C45" w:rsidR="009001EE" w:rsidRDefault="00E01D80" w:rsidP="00BC459E">
      <w:pPr>
        <w:pStyle w:val="ListParagraph"/>
        <w:numPr>
          <w:ilvl w:val="1"/>
          <w:numId w:val="6"/>
        </w:numPr>
        <w:ind w:left="0" w:firstLine="0"/>
        <w:rPr>
          <w:highlight w:val="yellow"/>
        </w:rPr>
      </w:pPr>
      <w:bookmarkStart w:id="1" w:name="_Ref75953358"/>
      <w:r>
        <w:rPr>
          <w:rFonts w:asciiTheme="minorHAnsi" w:hAnsiTheme="minorHAnsi" w:cstheme="minorHAnsi"/>
          <w:highlight w:val="yellow"/>
        </w:rPr>
        <w:t>Place the reaction tubes in the magnetic separation rack again, wait and remove the supernatant.</w:t>
      </w:r>
      <w:bookmarkEnd w:id="1"/>
    </w:p>
    <w:p w14:paraId="397713EC" w14:textId="77777777" w:rsidR="009001EE" w:rsidRDefault="009001EE" w:rsidP="00BC459E">
      <w:pPr>
        <w:widowControl/>
        <w:spacing w:line="259" w:lineRule="auto"/>
        <w:jc w:val="left"/>
        <w:rPr>
          <w:rFonts w:eastAsia="Calibri" w:cs="Times New Roman"/>
          <w:color w:val="auto"/>
          <w:highlight w:val="yellow"/>
        </w:rPr>
      </w:pPr>
    </w:p>
    <w:p w14:paraId="630186FA" w14:textId="02E1FDC8" w:rsidR="00D25F42" w:rsidRPr="00BC459E" w:rsidRDefault="00E01D80" w:rsidP="00D25F42">
      <w:pPr>
        <w:pStyle w:val="ListParagraph"/>
        <w:numPr>
          <w:ilvl w:val="1"/>
          <w:numId w:val="6"/>
        </w:numPr>
        <w:ind w:left="0" w:firstLine="0"/>
        <w:rPr>
          <w:highlight w:val="yellow"/>
        </w:rPr>
      </w:pPr>
      <w:r>
        <w:rPr>
          <w:rFonts w:asciiTheme="minorHAnsi" w:hAnsiTheme="minorHAnsi" w:cstheme="minorHAnsi"/>
          <w:highlight w:val="yellow"/>
        </w:rPr>
        <w:t xml:space="preserve">Remove the tubes from the magnet and wash the beads by </w:t>
      </w:r>
      <w:r w:rsidR="00D25F42">
        <w:rPr>
          <w:rFonts w:asciiTheme="minorHAnsi" w:hAnsiTheme="minorHAnsi" w:cstheme="minorHAnsi"/>
          <w:highlight w:val="yellow"/>
        </w:rPr>
        <w:t xml:space="preserve">resuspending </w:t>
      </w:r>
      <w:r>
        <w:rPr>
          <w:rFonts w:asciiTheme="minorHAnsi" w:hAnsiTheme="minorHAnsi" w:cstheme="minorHAnsi"/>
          <w:highlight w:val="yellow"/>
        </w:rPr>
        <w:t xml:space="preserve">in 200 µL </w:t>
      </w:r>
      <w:r w:rsidR="00D25F42">
        <w:rPr>
          <w:rFonts w:asciiTheme="minorHAnsi" w:hAnsiTheme="minorHAnsi" w:cstheme="minorHAnsi"/>
          <w:highlight w:val="yellow"/>
        </w:rPr>
        <w:t xml:space="preserve">of </w:t>
      </w:r>
      <w:r>
        <w:rPr>
          <w:rFonts w:asciiTheme="minorHAnsi" w:hAnsiTheme="minorHAnsi" w:cstheme="minorHAnsi"/>
          <w:highlight w:val="yellow"/>
        </w:rPr>
        <w:t xml:space="preserve">antibody binding and washing buffer. </w:t>
      </w:r>
    </w:p>
    <w:p w14:paraId="6C781CF7" w14:textId="77777777" w:rsidR="00D25F42" w:rsidRPr="00BC459E" w:rsidRDefault="00D25F42" w:rsidP="00BC459E">
      <w:pPr>
        <w:pStyle w:val="ListParagraph"/>
        <w:rPr>
          <w:rFonts w:asciiTheme="minorHAnsi" w:hAnsiTheme="minorHAnsi" w:cstheme="minorHAnsi"/>
          <w:highlight w:val="yellow"/>
        </w:rPr>
      </w:pPr>
    </w:p>
    <w:p w14:paraId="28442A44" w14:textId="0C3EE20A" w:rsidR="009001EE" w:rsidRDefault="00E01D80" w:rsidP="00BC459E">
      <w:pPr>
        <w:pStyle w:val="ListParagraph"/>
        <w:numPr>
          <w:ilvl w:val="1"/>
          <w:numId w:val="6"/>
        </w:numPr>
        <w:ind w:left="0" w:firstLine="0"/>
        <w:rPr>
          <w:highlight w:val="yellow"/>
        </w:rPr>
      </w:pPr>
      <w:r>
        <w:rPr>
          <w:rFonts w:asciiTheme="minorHAnsi" w:hAnsiTheme="minorHAnsi" w:cstheme="minorHAnsi"/>
          <w:highlight w:val="yellow"/>
        </w:rPr>
        <w:t xml:space="preserve">Repeat step 2.4. Remove as much washing buffer </w:t>
      </w:r>
      <w:r w:rsidR="009B23C4">
        <w:rPr>
          <w:rFonts w:asciiTheme="minorHAnsi" w:hAnsiTheme="minorHAnsi" w:cstheme="minorHAnsi"/>
          <w:highlight w:val="yellow"/>
        </w:rPr>
        <w:t>(</w:t>
      </w:r>
      <w:r w:rsidR="00816D06">
        <w:rPr>
          <w:rFonts w:asciiTheme="minorHAnsi" w:hAnsiTheme="minorHAnsi" w:cstheme="minorHAnsi"/>
          <w:highlight w:val="yellow"/>
        </w:rPr>
        <w:t xml:space="preserve">see </w:t>
      </w:r>
      <w:r w:rsidR="00816D06" w:rsidRPr="000E7A39">
        <w:rPr>
          <w:rFonts w:asciiTheme="minorHAnsi" w:hAnsiTheme="minorHAnsi" w:cstheme="minorHAnsi"/>
          <w:b/>
          <w:bCs/>
          <w:highlight w:val="yellow"/>
        </w:rPr>
        <w:t>Table of Materials</w:t>
      </w:r>
      <w:r w:rsidR="009B23C4">
        <w:rPr>
          <w:rFonts w:asciiTheme="minorHAnsi" w:hAnsiTheme="minorHAnsi" w:cstheme="minorHAnsi"/>
          <w:highlight w:val="yellow"/>
        </w:rPr>
        <w:t xml:space="preserve">) </w:t>
      </w:r>
      <w:r>
        <w:rPr>
          <w:rFonts w:asciiTheme="minorHAnsi" w:hAnsiTheme="minorHAnsi" w:cstheme="minorHAnsi"/>
          <w:highlight w:val="yellow"/>
        </w:rPr>
        <w:t>as possible.</w:t>
      </w:r>
    </w:p>
    <w:p w14:paraId="5A162AE6" w14:textId="77777777" w:rsidR="009001EE" w:rsidRDefault="009001EE" w:rsidP="00BC459E">
      <w:pPr>
        <w:widowControl/>
        <w:jc w:val="left"/>
        <w:rPr>
          <w:rFonts w:eastAsia="Calibri"/>
          <w:color w:val="auto"/>
          <w:highlight w:val="yellow"/>
        </w:rPr>
      </w:pPr>
    </w:p>
    <w:p w14:paraId="1F789C3D" w14:textId="32D19E20" w:rsidR="009001EE" w:rsidRPr="00BC459E" w:rsidRDefault="00E01D80" w:rsidP="00BC459E">
      <w:pPr>
        <w:pStyle w:val="ListParagraph"/>
        <w:numPr>
          <w:ilvl w:val="1"/>
          <w:numId w:val="6"/>
        </w:numPr>
        <w:ind w:left="0" w:firstLine="0"/>
        <w:rPr>
          <w:rFonts w:asciiTheme="minorHAnsi" w:hAnsiTheme="minorHAnsi" w:cstheme="minorHAnsi"/>
          <w:highlight w:val="yellow"/>
        </w:rPr>
      </w:pPr>
      <w:r w:rsidRPr="00BC459E">
        <w:rPr>
          <w:rFonts w:asciiTheme="minorHAnsi" w:hAnsiTheme="minorHAnsi" w:cstheme="minorHAnsi"/>
          <w:highlight w:val="yellow"/>
        </w:rPr>
        <w:t xml:space="preserve">Add the samples to the bead-bound bNAbs. </w:t>
      </w:r>
    </w:p>
    <w:p w14:paraId="710E8C1A" w14:textId="77777777" w:rsidR="009001EE" w:rsidRDefault="009001EE" w:rsidP="00BC459E">
      <w:pPr>
        <w:rPr>
          <w:rFonts w:asciiTheme="minorHAnsi" w:hAnsiTheme="minorHAnsi" w:cstheme="minorHAnsi"/>
          <w:highlight w:val="yellow"/>
        </w:rPr>
      </w:pPr>
    </w:p>
    <w:p w14:paraId="5621A746" w14:textId="2EABFB82" w:rsidR="009001EE" w:rsidRPr="008519E3" w:rsidRDefault="00D25F42" w:rsidP="00BC459E">
      <w:pPr>
        <w:rPr>
          <w:rFonts w:asciiTheme="minorHAnsi" w:hAnsiTheme="minorHAnsi" w:cstheme="minorHAnsi"/>
        </w:rPr>
      </w:pPr>
      <w:r>
        <w:rPr>
          <w:rFonts w:asciiTheme="minorHAnsi" w:hAnsiTheme="minorHAnsi" w:cstheme="minorHAnsi"/>
        </w:rPr>
        <w:t>NOTE</w:t>
      </w:r>
      <w:r w:rsidR="00E01D80" w:rsidRPr="008519E3">
        <w:rPr>
          <w:rFonts w:asciiTheme="minorHAnsi" w:hAnsiTheme="minorHAnsi" w:cstheme="minorHAnsi"/>
        </w:rPr>
        <w:t xml:space="preserve">: </w:t>
      </w:r>
      <w:r w:rsidR="00E711B3" w:rsidRPr="008519E3">
        <w:rPr>
          <w:rFonts w:asciiTheme="minorHAnsi" w:hAnsiTheme="minorHAnsi" w:cstheme="minorHAnsi"/>
        </w:rPr>
        <w:t xml:space="preserve">The VLP input for the capture assay </w:t>
      </w:r>
      <w:r w:rsidR="00E711B3">
        <w:rPr>
          <w:rFonts w:asciiTheme="minorHAnsi" w:hAnsiTheme="minorHAnsi" w:cstheme="minorHAnsi"/>
        </w:rPr>
        <w:t xml:space="preserve">using HIV-derived particles </w:t>
      </w:r>
      <w:r w:rsidR="00E711B3" w:rsidRPr="008519E3">
        <w:rPr>
          <w:rFonts w:asciiTheme="minorHAnsi" w:hAnsiTheme="minorHAnsi" w:cstheme="minorHAnsi"/>
        </w:rPr>
        <w:t>should be at least 15 ng of viral core protein per reaction.</w:t>
      </w:r>
      <w:r w:rsidR="00E711B3">
        <w:rPr>
          <w:rFonts w:asciiTheme="minorHAnsi" w:hAnsiTheme="minorHAnsi" w:cstheme="minorHAnsi"/>
        </w:rPr>
        <w:t xml:space="preserve"> </w:t>
      </w:r>
      <w:r w:rsidR="00E01D80" w:rsidRPr="008519E3">
        <w:rPr>
          <w:rFonts w:asciiTheme="minorHAnsi" w:hAnsiTheme="minorHAnsi" w:cstheme="minorHAnsi"/>
        </w:rPr>
        <w:t>VLP amounts may vary depending on the affinity of the bNAb</w:t>
      </w:r>
      <w:r>
        <w:rPr>
          <w:rFonts w:asciiTheme="minorHAnsi" w:hAnsiTheme="minorHAnsi" w:cstheme="minorHAnsi"/>
        </w:rPr>
        <w:t>,</w:t>
      </w:r>
      <w:r w:rsidR="00E01D80" w:rsidRPr="008519E3">
        <w:rPr>
          <w:rFonts w:asciiTheme="minorHAnsi" w:hAnsiTheme="minorHAnsi" w:cstheme="minorHAnsi"/>
        </w:rPr>
        <w:t xml:space="preserve"> and </w:t>
      </w:r>
      <w:r w:rsidR="00E711B3">
        <w:rPr>
          <w:rFonts w:asciiTheme="minorHAnsi" w:hAnsiTheme="minorHAnsi" w:cstheme="minorHAnsi"/>
        </w:rPr>
        <w:t xml:space="preserve">the </w:t>
      </w:r>
      <w:r w:rsidR="00E01D80" w:rsidRPr="008519E3">
        <w:rPr>
          <w:rFonts w:asciiTheme="minorHAnsi" w:hAnsiTheme="minorHAnsi" w:cstheme="minorHAnsi"/>
        </w:rPr>
        <w:t xml:space="preserve">antigen decoration density on the VLPs used. </w:t>
      </w:r>
    </w:p>
    <w:p w14:paraId="641AFC93" w14:textId="77777777" w:rsidR="009001EE" w:rsidRDefault="009001EE" w:rsidP="00BC459E">
      <w:pPr>
        <w:rPr>
          <w:rFonts w:asciiTheme="minorHAnsi" w:hAnsiTheme="minorHAnsi" w:cstheme="minorHAnsi"/>
          <w:highlight w:val="yellow"/>
        </w:rPr>
      </w:pPr>
    </w:p>
    <w:p w14:paraId="7A586C90" w14:textId="2305C5E5" w:rsidR="009001EE" w:rsidRDefault="00E01D80" w:rsidP="00BC459E">
      <w:pPr>
        <w:pStyle w:val="ListParagraph"/>
        <w:numPr>
          <w:ilvl w:val="1"/>
          <w:numId w:val="6"/>
        </w:numPr>
        <w:ind w:left="0" w:firstLine="0"/>
        <w:rPr>
          <w:rFonts w:asciiTheme="minorHAnsi" w:hAnsiTheme="minorHAnsi" w:cstheme="minorHAnsi"/>
          <w:highlight w:val="yellow"/>
        </w:rPr>
      </w:pPr>
      <w:r>
        <w:rPr>
          <w:rFonts w:asciiTheme="minorHAnsi" w:hAnsiTheme="minorHAnsi" w:cstheme="minorHAnsi"/>
          <w:highlight w:val="yellow"/>
        </w:rPr>
        <w:t>If the sample volume added in step 2.</w:t>
      </w:r>
      <w:r w:rsidR="00D25F42">
        <w:rPr>
          <w:rFonts w:asciiTheme="minorHAnsi" w:hAnsiTheme="minorHAnsi" w:cstheme="minorHAnsi"/>
          <w:highlight w:val="yellow"/>
        </w:rPr>
        <w:t xml:space="preserve">9 </w:t>
      </w:r>
      <w:r>
        <w:rPr>
          <w:rFonts w:asciiTheme="minorHAnsi" w:hAnsiTheme="minorHAnsi" w:cstheme="minorHAnsi"/>
          <w:highlight w:val="yellow"/>
        </w:rPr>
        <w:t>is below 1 mL, add PBS to adjust the sample volume to 1 mL. Suspend the beads gently by pipetting.</w:t>
      </w:r>
    </w:p>
    <w:p w14:paraId="2D49D65C" w14:textId="77777777" w:rsidR="009001EE" w:rsidRDefault="009001EE" w:rsidP="00BC459E">
      <w:pPr>
        <w:rPr>
          <w:rFonts w:asciiTheme="minorHAnsi" w:hAnsiTheme="minorHAnsi" w:cstheme="minorHAnsi"/>
          <w:highlight w:val="yellow"/>
        </w:rPr>
      </w:pPr>
    </w:p>
    <w:p w14:paraId="5FD847E2" w14:textId="2F85AE2C" w:rsidR="009001EE" w:rsidRDefault="00E01D80" w:rsidP="00BC459E">
      <w:pPr>
        <w:pStyle w:val="ListParagraph"/>
        <w:numPr>
          <w:ilvl w:val="1"/>
          <w:numId w:val="6"/>
        </w:numPr>
        <w:ind w:left="0" w:firstLine="0"/>
        <w:rPr>
          <w:highlight w:val="yellow"/>
        </w:rPr>
      </w:pPr>
      <w:r>
        <w:rPr>
          <w:rFonts w:asciiTheme="minorHAnsi" w:hAnsiTheme="minorHAnsi" w:cstheme="minorHAnsi"/>
          <w:highlight w:val="yellow"/>
        </w:rPr>
        <w:t>Incubate the samples and beads for 2.5 h on a rotator at room temperature. Ensure that the beads stay in suspension and the solution is thoroughly mixed during incubation.</w:t>
      </w:r>
    </w:p>
    <w:p w14:paraId="53542947" w14:textId="77777777" w:rsidR="009001EE" w:rsidRDefault="009001EE" w:rsidP="00BC459E">
      <w:pPr>
        <w:widowControl/>
        <w:spacing w:line="259" w:lineRule="auto"/>
        <w:jc w:val="left"/>
        <w:rPr>
          <w:rFonts w:eastAsia="Calibri" w:cs="Times New Roman"/>
          <w:color w:val="auto"/>
          <w:highlight w:val="yellow"/>
        </w:rPr>
      </w:pPr>
    </w:p>
    <w:p w14:paraId="460EB160" w14:textId="22BC9162" w:rsidR="00D25F42" w:rsidRPr="00BC459E" w:rsidRDefault="00E01D80" w:rsidP="00D25F42">
      <w:pPr>
        <w:pStyle w:val="ListParagraph"/>
        <w:numPr>
          <w:ilvl w:val="1"/>
          <w:numId w:val="6"/>
        </w:numPr>
        <w:ind w:left="0" w:firstLine="0"/>
        <w:rPr>
          <w:highlight w:val="yellow"/>
        </w:rPr>
      </w:pPr>
      <w:r>
        <w:rPr>
          <w:rFonts w:asciiTheme="minorHAnsi" w:hAnsiTheme="minorHAnsi" w:cstheme="minorHAnsi"/>
          <w:highlight w:val="yellow"/>
        </w:rPr>
        <w:t xml:space="preserve">Place the tubes on the magnet and remove the supernatant. </w:t>
      </w:r>
    </w:p>
    <w:p w14:paraId="433EE0ED" w14:textId="77777777" w:rsidR="00D25F42" w:rsidRPr="00BC459E" w:rsidRDefault="00D25F42" w:rsidP="00BC459E">
      <w:pPr>
        <w:pStyle w:val="ListParagraph"/>
        <w:rPr>
          <w:rFonts w:asciiTheme="minorHAnsi" w:hAnsiTheme="minorHAnsi" w:cstheme="minorHAnsi"/>
          <w:highlight w:val="yellow"/>
        </w:rPr>
      </w:pPr>
    </w:p>
    <w:p w14:paraId="5EC07417" w14:textId="3C21381C" w:rsidR="009001EE" w:rsidRDefault="00E01D80" w:rsidP="00BC459E">
      <w:pPr>
        <w:pStyle w:val="ListParagraph"/>
        <w:numPr>
          <w:ilvl w:val="1"/>
          <w:numId w:val="6"/>
        </w:numPr>
        <w:ind w:left="0" w:firstLine="0"/>
        <w:rPr>
          <w:highlight w:val="yellow"/>
        </w:rPr>
      </w:pPr>
      <w:r>
        <w:rPr>
          <w:rFonts w:asciiTheme="minorHAnsi" w:hAnsiTheme="minorHAnsi" w:cstheme="minorHAnsi"/>
          <w:highlight w:val="yellow"/>
        </w:rPr>
        <w:t xml:space="preserve">Wash the magnetic beads by suspending them in 200 µL </w:t>
      </w:r>
      <w:r w:rsidR="00D25F42">
        <w:rPr>
          <w:rFonts w:asciiTheme="minorHAnsi" w:hAnsiTheme="minorHAnsi" w:cstheme="minorHAnsi"/>
          <w:highlight w:val="yellow"/>
        </w:rPr>
        <w:t xml:space="preserve">of </w:t>
      </w:r>
      <w:r>
        <w:rPr>
          <w:rFonts w:asciiTheme="minorHAnsi" w:hAnsiTheme="minorHAnsi" w:cstheme="minorHAnsi"/>
          <w:highlight w:val="yellow"/>
        </w:rPr>
        <w:t>washing buffer</w:t>
      </w:r>
      <w:r w:rsidR="00302E43">
        <w:rPr>
          <w:rFonts w:asciiTheme="minorHAnsi" w:hAnsiTheme="minorHAnsi" w:cstheme="minorHAnsi"/>
          <w:highlight w:val="yellow"/>
        </w:rPr>
        <w:t xml:space="preserve"> (see </w:t>
      </w:r>
      <w:r w:rsidR="00302E43" w:rsidRPr="000E7A39">
        <w:rPr>
          <w:rFonts w:asciiTheme="minorHAnsi" w:hAnsiTheme="minorHAnsi" w:cstheme="minorHAnsi"/>
          <w:b/>
          <w:bCs/>
          <w:highlight w:val="yellow"/>
        </w:rPr>
        <w:t>Table of Materials</w:t>
      </w:r>
      <w:r w:rsidR="00302E43">
        <w:rPr>
          <w:rFonts w:asciiTheme="minorHAnsi" w:hAnsiTheme="minorHAnsi" w:cstheme="minorHAnsi"/>
          <w:highlight w:val="yellow"/>
        </w:rPr>
        <w:t>)</w:t>
      </w:r>
      <w:r>
        <w:rPr>
          <w:rFonts w:asciiTheme="minorHAnsi" w:hAnsiTheme="minorHAnsi" w:cstheme="minorHAnsi"/>
          <w:highlight w:val="yellow"/>
        </w:rPr>
        <w:t>. Repeat the washing step three times.</w:t>
      </w:r>
    </w:p>
    <w:p w14:paraId="18327465" w14:textId="77777777" w:rsidR="009001EE" w:rsidRDefault="009001EE" w:rsidP="00BC459E">
      <w:pPr>
        <w:widowControl/>
        <w:spacing w:line="259" w:lineRule="auto"/>
        <w:jc w:val="left"/>
        <w:rPr>
          <w:rFonts w:eastAsia="Calibri" w:cs="Times New Roman"/>
          <w:color w:val="auto"/>
          <w:highlight w:val="yellow"/>
        </w:rPr>
      </w:pPr>
    </w:p>
    <w:p w14:paraId="36D0FB09" w14:textId="3722323F" w:rsidR="00D25F42" w:rsidRPr="00BC459E" w:rsidRDefault="00E01D80" w:rsidP="00D25F42">
      <w:pPr>
        <w:pStyle w:val="ListParagraph"/>
        <w:numPr>
          <w:ilvl w:val="1"/>
          <w:numId w:val="6"/>
        </w:numPr>
        <w:ind w:left="0" w:firstLine="0"/>
        <w:rPr>
          <w:highlight w:val="yellow"/>
        </w:rPr>
      </w:pPr>
      <w:r>
        <w:rPr>
          <w:rFonts w:asciiTheme="minorHAnsi" w:hAnsiTheme="minorHAnsi" w:cstheme="minorHAnsi"/>
          <w:highlight w:val="yellow"/>
        </w:rPr>
        <w:t xml:space="preserve">Suspend the beads in 100 µL </w:t>
      </w:r>
      <w:r w:rsidR="00D25F42">
        <w:rPr>
          <w:rFonts w:asciiTheme="minorHAnsi" w:hAnsiTheme="minorHAnsi" w:cstheme="minorHAnsi"/>
          <w:highlight w:val="yellow"/>
        </w:rPr>
        <w:t xml:space="preserve">of </w:t>
      </w:r>
      <w:r>
        <w:rPr>
          <w:rFonts w:asciiTheme="minorHAnsi" w:hAnsiTheme="minorHAnsi" w:cstheme="minorHAnsi"/>
          <w:highlight w:val="yellow"/>
        </w:rPr>
        <w:t xml:space="preserve">washing buffer and transfer the suspension to a clean (heat resistant) reaction tube. </w:t>
      </w:r>
    </w:p>
    <w:p w14:paraId="1552CA74" w14:textId="77777777" w:rsidR="00D25F42" w:rsidRPr="00BC459E" w:rsidRDefault="00D25F42" w:rsidP="00BC459E">
      <w:pPr>
        <w:pStyle w:val="ListParagraph"/>
        <w:rPr>
          <w:rFonts w:asciiTheme="minorHAnsi" w:hAnsiTheme="minorHAnsi" w:cstheme="minorHAnsi"/>
          <w:highlight w:val="yellow"/>
        </w:rPr>
      </w:pPr>
    </w:p>
    <w:p w14:paraId="62A7F898" w14:textId="682FB3D3" w:rsidR="009001EE" w:rsidRDefault="00E01D80" w:rsidP="00BC459E">
      <w:pPr>
        <w:pStyle w:val="ListParagraph"/>
        <w:numPr>
          <w:ilvl w:val="1"/>
          <w:numId w:val="6"/>
        </w:numPr>
        <w:ind w:left="0" w:firstLine="0"/>
        <w:rPr>
          <w:highlight w:val="yellow"/>
        </w:rPr>
      </w:pPr>
      <w:r>
        <w:rPr>
          <w:rFonts w:asciiTheme="minorHAnsi" w:hAnsiTheme="minorHAnsi" w:cstheme="minorHAnsi"/>
          <w:highlight w:val="yellow"/>
        </w:rPr>
        <w:t>Place the tube on the magnet</w:t>
      </w:r>
      <w:r w:rsidR="008A5616">
        <w:rPr>
          <w:rFonts w:asciiTheme="minorHAnsi" w:hAnsiTheme="minorHAnsi" w:cstheme="minorHAnsi"/>
          <w:highlight w:val="yellow"/>
        </w:rPr>
        <w:t>ic separation rack</w:t>
      </w:r>
      <w:r>
        <w:rPr>
          <w:rFonts w:asciiTheme="minorHAnsi" w:hAnsiTheme="minorHAnsi" w:cstheme="minorHAnsi"/>
          <w:highlight w:val="yellow"/>
        </w:rPr>
        <w:t xml:space="preserve"> </w:t>
      </w:r>
      <w:r w:rsidR="00302E43">
        <w:rPr>
          <w:rFonts w:asciiTheme="minorHAnsi" w:hAnsiTheme="minorHAnsi" w:cstheme="minorHAnsi"/>
          <w:highlight w:val="yellow"/>
        </w:rPr>
        <w:t xml:space="preserve">(see </w:t>
      </w:r>
      <w:r w:rsidR="00302E43" w:rsidRPr="000E7A39">
        <w:rPr>
          <w:rFonts w:asciiTheme="minorHAnsi" w:hAnsiTheme="minorHAnsi" w:cstheme="minorHAnsi"/>
          <w:b/>
          <w:bCs/>
          <w:highlight w:val="yellow"/>
        </w:rPr>
        <w:t>Table of Materials</w:t>
      </w:r>
      <w:r w:rsidR="00302E43">
        <w:rPr>
          <w:rFonts w:asciiTheme="minorHAnsi" w:hAnsiTheme="minorHAnsi" w:cstheme="minorHAnsi"/>
          <w:highlight w:val="yellow"/>
        </w:rPr>
        <w:t xml:space="preserve">) </w:t>
      </w:r>
      <w:r>
        <w:rPr>
          <w:rFonts w:asciiTheme="minorHAnsi" w:hAnsiTheme="minorHAnsi" w:cstheme="minorHAnsi"/>
          <w:highlight w:val="yellow"/>
        </w:rPr>
        <w:t>and remove the supernatant completely.</w:t>
      </w:r>
    </w:p>
    <w:p w14:paraId="60F8B802" w14:textId="77777777" w:rsidR="009001EE" w:rsidRPr="00F21D5F" w:rsidRDefault="009001EE" w:rsidP="00BC459E">
      <w:pPr>
        <w:widowControl/>
        <w:spacing w:line="259" w:lineRule="auto"/>
        <w:jc w:val="left"/>
        <w:rPr>
          <w:rFonts w:eastAsia="Calibri" w:cs="Times New Roman"/>
          <w:color w:val="auto"/>
        </w:rPr>
      </w:pPr>
    </w:p>
    <w:p w14:paraId="40B807EF" w14:textId="63725B31" w:rsidR="009001EE" w:rsidRPr="00F21D5F" w:rsidRDefault="00E01D80" w:rsidP="00BC459E">
      <w:pPr>
        <w:pStyle w:val="ListParagraph"/>
        <w:numPr>
          <w:ilvl w:val="1"/>
          <w:numId w:val="6"/>
        </w:numPr>
        <w:ind w:left="0" w:firstLine="0"/>
        <w:rPr>
          <w:rFonts w:eastAsia="Calibri" w:cs="Times New Roman"/>
          <w:color w:val="auto"/>
        </w:rPr>
      </w:pPr>
      <w:r w:rsidRPr="00B20A6C">
        <w:rPr>
          <w:rFonts w:asciiTheme="minorHAnsi" w:eastAsia="Calibri" w:hAnsiTheme="minorHAnsi" w:cstheme="minorHAnsi"/>
          <w:color w:val="auto"/>
        </w:rPr>
        <w:t xml:space="preserve">Prepare </w:t>
      </w:r>
      <w:r w:rsidRPr="00F21D5F">
        <w:rPr>
          <w:rFonts w:asciiTheme="minorHAnsi" w:eastAsia="Calibri" w:hAnsiTheme="minorHAnsi" w:cstheme="minorHAnsi"/>
          <w:color w:val="auto"/>
        </w:rPr>
        <w:t>denatured SDS-PAGE samples</w:t>
      </w:r>
      <w:r w:rsidR="00D25F42" w:rsidRPr="00F21D5F">
        <w:rPr>
          <w:rFonts w:asciiTheme="minorHAnsi" w:eastAsia="Calibri" w:hAnsiTheme="minorHAnsi" w:cstheme="minorHAnsi"/>
          <w:color w:val="auto"/>
        </w:rPr>
        <w:t xml:space="preserve"> following steps 2.16.1–2.16.2</w:t>
      </w:r>
      <w:r w:rsidRPr="00F21D5F">
        <w:rPr>
          <w:rFonts w:asciiTheme="minorHAnsi" w:eastAsia="Calibri" w:hAnsiTheme="minorHAnsi" w:cstheme="minorHAnsi"/>
          <w:color w:val="auto"/>
        </w:rPr>
        <w:t xml:space="preserve"> or non-denatured samples by eluti</w:t>
      </w:r>
      <w:r w:rsidR="00D25F42" w:rsidRPr="00F21D5F">
        <w:rPr>
          <w:rFonts w:asciiTheme="minorHAnsi" w:eastAsia="Calibri" w:hAnsiTheme="minorHAnsi" w:cstheme="minorHAnsi"/>
          <w:color w:val="auto"/>
        </w:rPr>
        <w:t>ng</w:t>
      </w:r>
      <w:r w:rsidRPr="00F21D5F">
        <w:rPr>
          <w:rFonts w:asciiTheme="minorHAnsi" w:eastAsia="Calibri" w:hAnsiTheme="minorHAnsi" w:cstheme="minorHAnsi"/>
          <w:color w:val="auto"/>
        </w:rPr>
        <w:t xml:space="preserve"> the VLPs from the magnetic beads</w:t>
      </w:r>
      <w:r w:rsidR="00D25F42" w:rsidRPr="00F21D5F">
        <w:rPr>
          <w:rFonts w:asciiTheme="minorHAnsi" w:eastAsia="Calibri" w:hAnsiTheme="minorHAnsi" w:cstheme="minorHAnsi"/>
          <w:color w:val="auto"/>
        </w:rPr>
        <w:t xml:space="preserve"> following steps 2.16.3–2.16.5</w:t>
      </w:r>
      <w:r w:rsidRPr="00F21D5F">
        <w:rPr>
          <w:rFonts w:asciiTheme="minorHAnsi" w:eastAsia="Calibri" w:hAnsiTheme="minorHAnsi" w:cstheme="minorHAnsi"/>
          <w:color w:val="auto"/>
        </w:rPr>
        <w:t>.</w:t>
      </w:r>
    </w:p>
    <w:p w14:paraId="6F15222E" w14:textId="77777777" w:rsidR="009001EE" w:rsidRPr="00BC459E" w:rsidRDefault="009001EE" w:rsidP="00BC459E">
      <w:pPr>
        <w:widowControl/>
        <w:spacing w:line="259" w:lineRule="auto"/>
        <w:jc w:val="left"/>
        <w:rPr>
          <w:rFonts w:eastAsia="Calibri" w:cs="Times New Roman"/>
          <w:color w:val="auto"/>
          <w:highlight w:val="yellow"/>
        </w:rPr>
      </w:pPr>
    </w:p>
    <w:p w14:paraId="6C645ED3" w14:textId="429120A2" w:rsidR="00D25F42" w:rsidRPr="00BC459E" w:rsidRDefault="00E01D80" w:rsidP="00D25F42">
      <w:pPr>
        <w:pStyle w:val="ListParagraph"/>
        <w:numPr>
          <w:ilvl w:val="2"/>
          <w:numId w:val="6"/>
        </w:numPr>
        <w:ind w:left="0" w:firstLine="0"/>
        <w:rPr>
          <w:highlight w:val="yellow"/>
        </w:rPr>
      </w:pPr>
      <w:bookmarkStart w:id="2" w:name="_Ref75955847"/>
      <w:bookmarkStart w:id="3" w:name="_Ref76733895"/>
      <w:r w:rsidRPr="00BC459E">
        <w:rPr>
          <w:rFonts w:asciiTheme="minorHAnsi" w:hAnsiTheme="minorHAnsi" w:cstheme="minorHAnsi"/>
          <w:highlight w:val="yellow"/>
        </w:rPr>
        <w:t xml:space="preserve"> To prepare denatured SDS-PAGE samples</w:t>
      </w:r>
      <w:r w:rsidR="00D25F42" w:rsidRPr="00BC459E">
        <w:rPr>
          <w:rFonts w:asciiTheme="minorHAnsi" w:hAnsiTheme="minorHAnsi" w:cstheme="minorHAnsi"/>
          <w:highlight w:val="yellow"/>
        </w:rPr>
        <w:t>,</w:t>
      </w:r>
      <w:r w:rsidRPr="00BC459E">
        <w:rPr>
          <w:rFonts w:asciiTheme="minorHAnsi" w:hAnsiTheme="minorHAnsi" w:cstheme="minorHAnsi"/>
          <w:highlight w:val="yellow"/>
        </w:rPr>
        <w:t xml:space="preserve"> suspend the beads in 20</w:t>
      </w:r>
      <w:r w:rsidR="00D25F42" w:rsidRPr="00BC459E">
        <w:rPr>
          <w:rFonts w:asciiTheme="minorHAnsi" w:hAnsiTheme="minorHAnsi" w:cstheme="minorHAnsi"/>
          <w:highlight w:val="yellow"/>
        </w:rPr>
        <w:t>–</w:t>
      </w:r>
      <w:r w:rsidRPr="00BC459E">
        <w:rPr>
          <w:rFonts w:asciiTheme="minorHAnsi" w:hAnsiTheme="minorHAnsi" w:cstheme="minorHAnsi"/>
          <w:highlight w:val="yellow"/>
        </w:rPr>
        <w:t xml:space="preserve">80 µL </w:t>
      </w:r>
      <w:r w:rsidR="00D25F42" w:rsidRPr="00BC459E">
        <w:rPr>
          <w:rFonts w:asciiTheme="minorHAnsi" w:hAnsiTheme="minorHAnsi" w:cstheme="minorHAnsi"/>
          <w:highlight w:val="yellow"/>
        </w:rPr>
        <w:t xml:space="preserve">of </w:t>
      </w:r>
      <w:r w:rsidRPr="00BC459E">
        <w:rPr>
          <w:rFonts w:asciiTheme="minorHAnsi" w:hAnsiTheme="minorHAnsi" w:cstheme="minorHAnsi"/>
          <w:highlight w:val="yellow"/>
        </w:rPr>
        <w:t xml:space="preserve">Laemmli buffer (0.8 µL </w:t>
      </w:r>
      <w:r w:rsidR="00D25F42" w:rsidRPr="00BC459E">
        <w:rPr>
          <w:rFonts w:asciiTheme="minorHAnsi" w:hAnsiTheme="minorHAnsi" w:cstheme="minorHAnsi"/>
          <w:highlight w:val="yellow"/>
        </w:rPr>
        <w:t xml:space="preserve">of </w:t>
      </w:r>
      <w:r w:rsidRPr="00BC459E">
        <w:rPr>
          <w:rFonts w:asciiTheme="minorHAnsi" w:hAnsiTheme="minorHAnsi" w:cstheme="minorHAnsi"/>
          <w:highlight w:val="yellow"/>
        </w:rPr>
        <w:t xml:space="preserve">Laemmli buffer per 1 ng </w:t>
      </w:r>
      <w:r w:rsidR="00D25F42" w:rsidRPr="00BC459E">
        <w:rPr>
          <w:rFonts w:asciiTheme="minorHAnsi" w:hAnsiTheme="minorHAnsi" w:cstheme="minorHAnsi"/>
          <w:highlight w:val="yellow"/>
        </w:rPr>
        <w:t xml:space="preserve">of </w:t>
      </w:r>
      <w:r w:rsidRPr="00BC459E">
        <w:rPr>
          <w:rFonts w:asciiTheme="minorHAnsi" w:hAnsiTheme="minorHAnsi" w:cstheme="minorHAnsi"/>
          <w:highlight w:val="yellow"/>
        </w:rPr>
        <w:t xml:space="preserve">p55 Gag assay input) and incubate at 95 °C for 5 min. </w:t>
      </w:r>
    </w:p>
    <w:p w14:paraId="645DC68D" w14:textId="77777777" w:rsidR="00D25F42" w:rsidRPr="00BC459E" w:rsidRDefault="00D25F42" w:rsidP="00BC459E">
      <w:pPr>
        <w:pStyle w:val="ListParagraph"/>
        <w:ind w:left="0"/>
        <w:rPr>
          <w:highlight w:val="yellow"/>
        </w:rPr>
      </w:pPr>
    </w:p>
    <w:p w14:paraId="18CD2E0F" w14:textId="137436BB" w:rsidR="009001EE" w:rsidRPr="00BC459E" w:rsidRDefault="00E01D80" w:rsidP="00BC459E">
      <w:pPr>
        <w:pStyle w:val="ListParagraph"/>
        <w:numPr>
          <w:ilvl w:val="2"/>
          <w:numId w:val="6"/>
        </w:numPr>
        <w:ind w:left="0" w:firstLine="0"/>
        <w:rPr>
          <w:highlight w:val="yellow"/>
        </w:rPr>
      </w:pPr>
      <w:r w:rsidRPr="00BC459E">
        <w:rPr>
          <w:rFonts w:asciiTheme="minorHAnsi" w:hAnsiTheme="minorHAnsi" w:cstheme="minorHAnsi"/>
          <w:highlight w:val="yellow"/>
        </w:rPr>
        <w:t>Proceed directly with SDS-PAGE or store the samples at -20 °C.</w:t>
      </w:r>
      <w:bookmarkEnd w:id="2"/>
      <w:bookmarkEnd w:id="3"/>
    </w:p>
    <w:p w14:paraId="126CA5EE" w14:textId="77777777" w:rsidR="009001EE" w:rsidRDefault="009001EE" w:rsidP="00BC459E">
      <w:pPr>
        <w:widowControl/>
        <w:spacing w:line="259" w:lineRule="auto"/>
        <w:jc w:val="left"/>
        <w:rPr>
          <w:rFonts w:eastAsia="Calibri" w:cs="Times New Roman"/>
          <w:color w:val="auto"/>
        </w:rPr>
      </w:pPr>
    </w:p>
    <w:p w14:paraId="6D2662F1" w14:textId="65230CBB" w:rsidR="009001EE" w:rsidRDefault="00E01D80" w:rsidP="00BC459E">
      <w:pPr>
        <w:widowControl/>
        <w:spacing w:line="259" w:lineRule="auto"/>
        <w:jc w:val="left"/>
        <w:rPr>
          <w:rFonts w:asciiTheme="minorHAnsi" w:eastAsia="Calibri" w:hAnsiTheme="minorHAnsi" w:cstheme="minorHAnsi"/>
          <w:color w:val="auto"/>
        </w:rPr>
      </w:pPr>
      <w:r>
        <w:rPr>
          <w:rFonts w:asciiTheme="minorHAnsi" w:eastAsia="Calibri" w:hAnsiTheme="minorHAnsi" w:cstheme="minorHAnsi"/>
          <w:color w:val="auto"/>
        </w:rPr>
        <w:t xml:space="preserve">CAUTION: Laemmli buffer contains 2-mercaptoethanol and sodium dodecyl </w:t>
      </w:r>
      <w:r w:rsidR="00D25F42">
        <w:rPr>
          <w:rFonts w:asciiTheme="minorHAnsi" w:eastAsia="Calibri" w:hAnsiTheme="minorHAnsi" w:cstheme="minorHAnsi"/>
          <w:color w:val="auto"/>
        </w:rPr>
        <w:t>sulfate</w:t>
      </w:r>
      <w:r>
        <w:rPr>
          <w:rFonts w:asciiTheme="minorHAnsi" w:eastAsia="Calibri" w:hAnsiTheme="minorHAnsi" w:cstheme="minorHAnsi"/>
          <w:color w:val="auto"/>
        </w:rPr>
        <w:t>. Wear protective gloves and eye protection. Avoid contact with skin, eyes</w:t>
      </w:r>
      <w:r w:rsidR="00D25F42">
        <w:rPr>
          <w:rFonts w:asciiTheme="minorHAnsi" w:eastAsia="Calibri" w:hAnsiTheme="minorHAnsi" w:cstheme="minorHAnsi"/>
          <w:color w:val="auto"/>
        </w:rPr>
        <w:t>,</w:t>
      </w:r>
      <w:r>
        <w:rPr>
          <w:rFonts w:asciiTheme="minorHAnsi" w:eastAsia="Calibri" w:hAnsiTheme="minorHAnsi" w:cstheme="minorHAnsi"/>
          <w:color w:val="auto"/>
        </w:rPr>
        <w:t xml:space="preserve"> and clothes. Do not inhale vapors. Work in a well-ventilated space, </w:t>
      </w:r>
      <w:r w:rsidRPr="00BC459E">
        <w:rPr>
          <w:rFonts w:asciiTheme="minorHAnsi" w:eastAsia="Calibri" w:hAnsiTheme="minorHAnsi" w:cstheme="minorHAnsi"/>
          <w:iCs/>
          <w:color w:val="auto"/>
        </w:rPr>
        <w:t>e.g.</w:t>
      </w:r>
      <w:r w:rsidR="00D25F42">
        <w:rPr>
          <w:rFonts w:asciiTheme="minorHAnsi" w:eastAsia="Calibri" w:hAnsiTheme="minorHAnsi" w:cstheme="minorHAnsi"/>
          <w:iCs/>
          <w:color w:val="auto"/>
        </w:rPr>
        <w:t>,</w:t>
      </w:r>
      <w:r>
        <w:rPr>
          <w:rFonts w:asciiTheme="minorHAnsi" w:eastAsia="Calibri" w:hAnsiTheme="minorHAnsi" w:cstheme="minorHAnsi"/>
          <w:i/>
          <w:color w:val="auto"/>
        </w:rPr>
        <w:t xml:space="preserve"> </w:t>
      </w:r>
      <w:r>
        <w:rPr>
          <w:rFonts w:asciiTheme="minorHAnsi" w:eastAsia="Calibri" w:hAnsiTheme="minorHAnsi" w:cstheme="minorHAnsi"/>
          <w:color w:val="auto"/>
        </w:rPr>
        <w:t>a fume hood.</w:t>
      </w:r>
    </w:p>
    <w:p w14:paraId="74AE9C54" w14:textId="77777777" w:rsidR="009001EE" w:rsidRDefault="009001EE" w:rsidP="00BC459E">
      <w:pPr>
        <w:widowControl/>
        <w:spacing w:line="259" w:lineRule="auto"/>
        <w:jc w:val="left"/>
        <w:rPr>
          <w:rFonts w:eastAsia="Calibri" w:cs="Times New Roman"/>
          <w:color w:val="auto"/>
        </w:rPr>
      </w:pPr>
    </w:p>
    <w:p w14:paraId="69B02831" w14:textId="0CAC472A" w:rsidR="009001EE" w:rsidRDefault="00D25F42" w:rsidP="00BC459E">
      <w:r>
        <w:rPr>
          <w:rFonts w:asciiTheme="minorHAnsi" w:hAnsiTheme="minorHAnsi" w:cstheme="minorHAnsi"/>
        </w:rPr>
        <w:t>NOTE</w:t>
      </w:r>
      <w:r w:rsidR="00E01D80">
        <w:rPr>
          <w:rFonts w:asciiTheme="minorHAnsi" w:hAnsiTheme="minorHAnsi" w:cstheme="minorHAnsi"/>
        </w:rPr>
        <w:t>: The protocol can be paused here.</w:t>
      </w:r>
    </w:p>
    <w:p w14:paraId="2602CC60" w14:textId="77777777" w:rsidR="009001EE" w:rsidRDefault="009001EE" w:rsidP="00BC459E">
      <w:pPr>
        <w:widowControl/>
        <w:spacing w:line="259" w:lineRule="auto"/>
        <w:jc w:val="left"/>
        <w:rPr>
          <w:rFonts w:eastAsia="Calibri" w:cs="Times New Roman"/>
          <w:color w:val="auto"/>
        </w:rPr>
      </w:pPr>
    </w:p>
    <w:p w14:paraId="54ADB07D" w14:textId="4832D8F2" w:rsidR="00D25F42" w:rsidRPr="00BC459E" w:rsidRDefault="00E01D80" w:rsidP="00D25F42">
      <w:pPr>
        <w:pStyle w:val="ListParagraph"/>
        <w:numPr>
          <w:ilvl w:val="2"/>
          <w:numId w:val="6"/>
        </w:numPr>
        <w:ind w:left="0" w:firstLine="0"/>
      </w:pPr>
      <w:r>
        <w:rPr>
          <w:rFonts w:asciiTheme="minorHAnsi" w:hAnsiTheme="minorHAnsi" w:cstheme="minorHAnsi"/>
          <w:iCs/>
        </w:rPr>
        <w:t>Alternatively, perform a non-denaturing elution step to obtain VLPs with preserved native protein structure</w:t>
      </w:r>
      <w:r>
        <w:rPr>
          <w:rFonts w:asciiTheme="minorHAnsi" w:hAnsiTheme="minorHAnsi" w:cstheme="minorHAnsi"/>
        </w:rPr>
        <w:t xml:space="preserve">. </w:t>
      </w:r>
    </w:p>
    <w:p w14:paraId="30474E65" w14:textId="77777777" w:rsidR="00D25F42" w:rsidRPr="00BC459E" w:rsidRDefault="00D25F42" w:rsidP="00BC459E">
      <w:pPr>
        <w:pStyle w:val="ListParagraph"/>
        <w:ind w:left="0"/>
      </w:pPr>
    </w:p>
    <w:p w14:paraId="70B00CEE" w14:textId="25BEB54A" w:rsidR="00D25F42" w:rsidRPr="00BC459E" w:rsidRDefault="00E01D80" w:rsidP="00D25F42">
      <w:pPr>
        <w:pStyle w:val="ListParagraph"/>
        <w:numPr>
          <w:ilvl w:val="2"/>
          <w:numId w:val="6"/>
        </w:numPr>
        <w:ind w:left="0" w:firstLine="0"/>
      </w:pPr>
      <w:r>
        <w:rPr>
          <w:rFonts w:asciiTheme="minorHAnsi" w:hAnsiTheme="minorHAnsi" w:cstheme="minorHAnsi"/>
        </w:rPr>
        <w:t>Add 25 µL of elution buffer (</w:t>
      </w:r>
      <w:r w:rsidR="008A5616">
        <w:rPr>
          <w:rFonts w:asciiTheme="minorHAnsi" w:hAnsiTheme="minorHAnsi" w:cstheme="minorHAnsi"/>
        </w:rPr>
        <w:t>frequently provided with the beads</w:t>
      </w:r>
      <w:r>
        <w:rPr>
          <w:rFonts w:asciiTheme="minorHAnsi" w:hAnsiTheme="minorHAnsi" w:cstheme="minorHAnsi"/>
        </w:rPr>
        <w:t>) to the magnetic beads and incubate for 2</w:t>
      </w:r>
      <w:r w:rsidR="00D25F42">
        <w:rPr>
          <w:rFonts w:asciiTheme="minorHAnsi" w:hAnsiTheme="minorHAnsi" w:cstheme="minorHAnsi"/>
        </w:rPr>
        <w:t>–</w:t>
      </w:r>
      <w:r>
        <w:rPr>
          <w:rFonts w:asciiTheme="minorHAnsi" w:hAnsiTheme="minorHAnsi" w:cstheme="minorHAnsi"/>
        </w:rPr>
        <w:t xml:space="preserve">5 min at room temperature. </w:t>
      </w:r>
    </w:p>
    <w:p w14:paraId="33268CB1" w14:textId="77777777" w:rsidR="00D25F42" w:rsidRPr="00BC459E" w:rsidRDefault="00D25F42" w:rsidP="00BC459E">
      <w:pPr>
        <w:pStyle w:val="ListParagraph"/>
        <w:rPr>
          <w:rFonts w:asciiTheme="minorHAnsi" w:hAnsiTheme="minorHAnsi" w:cstheme="minorHAnsi"/>
        </w:rPr>
      </w:pPr>
    </w:p>
    <w:p w14:paraId="546739EB" w14:textId="04529F25" w:rsidR="009001EE" w:rsidRDefault="00E01D80" w:rsidP="00BC459E">
      <w:pPr>
        <w:pStyle w:val="ListParagraph"/>
        <w:numPr>
          <w:ilvl w:val="2"/>
          <w:numId w:val="6"/>
        </w:numPr>
        <w:ind w:left="0" w:firstLine="0"/>
      </w:pPr>
      <w:r>
        <w:rPr>
          <w:rFonts w:asciiTheme="minorHAnsi" w:hAnsiTheme="minorHAnsi" w:cstheme="minorHAnsi"/>
        </w:rPr>
        <w:t xml:space="preserve">Remove the beads and transfer the eluate to a clean tube. Use the eluate for subsequent assays or store it at 4 °C. </w:t>
      </w:r>
    </w:p>
    <w:p w14:paraId="1FF54E7F" w14:textId="02FD9109" w:rsidR="009001EE" w:rsidRDefault="009001EE" w:rsidP="00BC459E">
      <w:pPr>
        <w:widowControl/>
        <w:jc w:val="left"/>
        <w:rPr>
          <w:rFonts w:eastAsia="Calibri" w:cs="Times New Roman"/>
          <w:color w:val="auto"/>
        </w:rPr>
      </w:pPr>
    </w:p>
    <w:p w14:paraId="54B1A5E3" w14:textId="203DA570" w:rsidR="008A5616" w:rsidRPr="008519E3" w:rsidRDefault="00D25F42" w:rsidP="00BC459E">
      <w:r>
        <w:rPr>
          <w:rFonts w:asciiTheme="minorHAnsi" w:hAnsiTheme="minorHAnsi" w:cstheme="minorHAnsi"/>
        </w:rPr>
        <w:t>NOTE</w:t>
      </w:r>
      <w:r w:rsidR="008A5616">
        <w:rPr>
          <w:rFonts w:asciiTheme="minorHAnsi" w:hAnsiTheme="minorHAnsi" w:cstheme="minorHAnsi"/>
        </w:rPr>
        <w:t>: The protocol can be paused here.</w:t>
      </w:r>
    </w:p>
    <w:p w14:paraId="4C8AFBB7" w14:textId="77777777" w:rsidR="008A5616" w:rsidRDefault="008A5616" w:rsidP="00BC459E">
      <w:pPr>
        <w:widowControl/>
        <w:jc w:val="left"/>
        <w:rPr>
          <w:rFonts w:eastAsia="Calibri" w:cs="Times New Roman"/>
          <w:color w:val="auto"/>
        </w:rPr>
      </w:pPr>
    </w:p>
    <w:p w14:paraId="2495473D" w14:textId="78006D16" w:rsidR="00926C48" w:rsidRDefault="00926C48" w:rsidP="00D25F42">
      <w:pPr>
        <w:pStyle w:val="ListParagraph"/>
        <w:numPr>
          <w:ilvl w:val="0"/>
          <w:numId w:val="6"/>
        </w:numPr>
        <w:ind w:left="0" w:firstLine="0"/>
        <w:rPr>
          <w:b/>
        </w:rPr>
      </w:pPr>
      <w:r w:rsidRPr="003E16D4">
        <w:rPr>
          <w:b/>
        </w:rPr>
        <w:t xml:space="preserve">Analysis of </w:t>
      </w:r>
      <w:r>
        <w:rPr>
          <w:b/>
        </w:rPr>
        <w:t>captured VLP</w:t>
      </w:r>
      <w:r w:rsidRPr="003E16D4">
        <w:rPr>
          <w:b/>
        </w:rPr>
        <w:t xml:space="preserve"> samples</w:t>
      </w:r>
    </w:p>
    <w:p w14:paraId="5067094E" w14:textId="77777777" w:rsidR="00D25F42" w:rsidRPr="003E16D4" w:rsidRDefault="00D25F42" w:rsidP="00BC459E">
      <w:pPr>
        <w:pStyle w:val="ListParagraph"/>
        <w:ind w:left="0"/>
        <w:rPr>
          <w:b/>
        </w:rPr>
      </w:pPr>
    </w:p>
    <w:p w14:paraId="3223883C" w14:textId="77777777" w:rsidR="00D25F42" w:rsidRDefault="00D25F42" w:rsidP="00D25F42">
      <w:r>
        <w:t xml:space="preserve">NOTE: </w:t>
      </w:r>
      <w:r w:rsidR="00926C48">
        <w:t>For analysis of the captured VLPs, conduct an SDS-PAGE and subsequently Western blot-analysis</w:t>
      </w:r>
      <w:r w:rsidR="008A5616" w:rsidRPr="00B57BA7">
        <w:rPr>
          <w:vertAlign w:val="superscript"/>
        </w:rPr>
        <w:fldChar w:fldCharType="begin" w:fldLock="1"/>
      </w:r>
      <w:r w:rsidR="008A5616" w:rsidRPr="00B57BA7">
        <w:rPr>
          <w:vertAlign w:val="superscript"/>
        </w:rPr>
        <w:instrText>ADDIN CSL_CITATION {"citationItems":[{"id":"ITEM-1","itemData":{"container-title":"JoVE, Cambridge, MA","id":"ITEM-1","issued":{"date-parts":[["2021"]]},"title":"JoVE Science Education Database. Grundlegende Methoden in der Zell- und Molekularbiologie. Separating Protein with SDS-PAGE.","type":"article-journal"},"uris":["http://www.mendeley.com/documents/?uuid=94e6e906-af66-4605-a636-ca546417bc59"]}],"mendeley":{"formattedCitation":"&lt;sup&gt;30&lt;/sup&gt;","plainTextFormattedCitation":"30","previouslyFormattedCitation":"&lt;sup&gt;30&lt;/sup&gt;"},"properties":{"noteIndex":0},"schema":"https://github.com/citation-style-language/schema/raw/master/csl-citation.json"}</w:instrText>
      </w:r>
      <w:r w:rsidR="008A5616" w:rsidRPr="00B57BA7">
        <w:rPr>
          <w:vertAlign w:val="superscript"/>
        </w:rPr>
        <w:fldChar w:fldCharType="separate"/>
      </w:r>
      <w:r w:rsidR="008A5616" w:rsidRPr="00B57BA7">
        <w:rPr>
          <w:noProof/>
          <w:vertAlign w:val="superscript"/>
        </w:rPr>
        <w:t>30</w:t>
      </w:r>
      <w:r w:rsidR="008A5616" w:rsidRPr="00B57BA7">
        <w:rPr>
          <w:vertAlign w:val="superscript"/>
        </w:rPr>
        <w:fldChar w:fldCharType="end"/>
      </w:r>
      <w:r w:rsidR="008A5616">
        <w:rPr>
          <w:vertAlign w:val="superscript"/>
        </w:rPr>
        <w:t>,</w:t>
      </w:r>
      <w:r w:rsidR="009B4D7A" w:rsidRPr="008519E3">
        <w:rPr>
          <w:vertAlign w:val="superscript"/>
        </w:rPr>
        <w:fldChar w:fldCharType="begin" w:fldLock="1"/>
      </w:r>
      <w:r w:rsidR="009B4D7A" w:rsidRPr="008519E3">
        <w:rPr>
          <w:vertAlign w:val="superscript"/>
        </w:rPr>
        <w:instrText>ADDIN CSL_CITATION {"citationItems":[{"id":"ITEM-1","itemData":{"DOI":"10.3791/2359","ISSN":"1940-087X","author":[{"dropping-particle":"","family":"Eslami","given":"Anna","non-dropping-particle":"","parse-names":false,"suffix":""},{"dropping-particle":"","family":"Lujan","given":"Jesse","non-dropping-particle":"","parse-names":false,"suffix":""}],"container-title":"Journal of Visualized Experiments","id":"ITEM-1","issue":"44","issued":{"date-parts":[["2010","10","14"]]},"title":"Western Blotting: Sample Preparation to Detection","type":"article-journal"},"uris":["http://www.mendeley.com/documents/?uuid=844d8e4a-e788-4da7-b891-e11f753f1e3a"]}],"mendeley":{"formattedCitation":"&lt;sup&gt;31&lt;/sup&gt;","plainTextFormattedCitation":"31","previouslyFormattedCitation":"&lt;sup&gt;31&lt;/sup&gt;"},"properties":{"noteIndex":0},"schema":"https://github.com/citation-style-language/schema/raw/master/csl-citation.json"}</w:instrText>
      </w:r>
      <w:r w:rsidR="009B4D7A" w:rsidRPr="008519E3">
        <w:rPr>
          <w:vertAlign w:val="superscript"/>
        </w:rPr>
        <w:fldChar w:fldCharType="separate"/>
      </w:r>
      <w:r w:rsidR="009B4D7A" w:rsidRPr="008519E3">
        <w:rPr>
          <w:noProof/>
          <w:vertAlign w:val="superscript"/>
        </w:rPr>
        <w:t>31</w:t>
      </w:r>
      <w:r w:rsidR="009B4D7A" w:rsidRPr="008519E3">
        <w:rPr>
          <w:vertAlign w:val="superscript"/>
        </w:rPr>
        <w:fldChar w:fldCharType="end"/>
      </w:r>
      <w:r w:rsidR="00926C48">
        <w:t xml:space="preserve">. </w:t>
      </w:r>
    </w:p>
    <w:p w14:paraId="125E94C4" w14:textId="77777777" w:rsidR="00D25F42" w:rsidRDefault="00D25F42" w:rsidP="00D25F42"/>
    <w:p w14:paraId="13544D60" w14:textId="34D1DB09" w:rsidR="00D25F42" w:rsidRDefault="00D25F42" w:rsidP="00BC459E">
      <w:pPr>
        <w:pStyle w:val="ListParagraph"/>
        <w:numPr>
          <w:ilvl w:val="1"/>
          <w:numId w:val="6"/>
        </w:numPr>
        <w:ind w:left="0" w:firstLine="0"/>
        <w:rPr>
          <w:rFonts w:cstheme="minorHAnsi"/>
        </w:rPr>
      </w:pPr>
      <w:r>
        <w:rPr>
          <w:rFonts w:cstheme="minorHAnsi"/>
        </w:rPr>
        <w:t>P</w:t>
      </w:r>
      <w:r w:rsidR="00926C48" w:rsidRPr="00BC459E">
        <w:rPr>
          <w:rFonts w:cstheme="minorHAnsi"/>
        </w:rPr>
        <w:t xml:space="preserve">lace the sample tubes on the magnetic rack to separate the beads from the solution. </w:t>
      </w:r>
    </w:p>
    <w:p w14:paraId="4112256C" w14:textId="77777777" w:rsidR="00D25F42" w:rsidRDefault="00D25F42" w:rsidP="00BC459E">
      <w:pPr>
        <w:pStyle w:val="ListParagraph"/>
        <w:ind w:left="0"/>
        <w:rPr>
          <w:rFonts w:cstheme="minorHAnsi"/>
        </w:rPr>
      </w:pPr>
    </w:p>
    <w:p w14:paraId="47D7F4D6" w14:textId="77777777" w:rsidR="00D25F42" w:rsidRDefault="00926C48" w:rsidP="00BC459E">
      <w:pPr>
        <w:pStyle w:val="ListParagraph"/>
        <w:numPr>
          <w:ilvl w:val="1"/>
          <w:numId w:val="6"/>
        </w:numPr>
        <w:ind w:left="0" w:firstLine="0"/>
        <w:rPr>
          <w:rFonts w:cstheme="minorHAnsi"/>
        </w:rPr>
      </w:pPr>
      <w:r w:rsidRPr="00BC459E">
        <w:rPr>
          <w:rFonts w:cstheme="minorHAnsi"/>
        </w:rPr>
        <w:t xml:space="preserve">Load 10 µL of each sample into individual wells of the gel. </w:t>
      </w:r>
    </w:p>
    <w:p w14:paraId="4D15F671" w14:textId="77777777" w:rsidR="00D25F42" w:rsidRPr="00BC459E" w:rsidRDefault="00D25F42" w:rsidP="00BC459E">
      <w:pPr>
        <w:pStyle w:val="ListParagraph"/>
        <w:ind w:left="0"/>
        <w:rPr>
          <w:rFonts w:cstheme="minorHAnsi"/>
        </w:rPr>
      </w:pPr>
    </w:p>
    <w:p w14:paraId="0DDAB020" w14:textId="236EC314" w:rsidR="00926C48" w:rsidRPr="00BC459E" w:rsidRDefault="00D25F42" w:rsidP="00BC459E">
      <w:pPr>
        <w:pStyle w:val="ListParagraph"/>
        <w:ind w:left="0"/>
        <w:rPr>
          <w:rFonts w:cstheme="minorHAnsi"/>
        </w:rPr>
      </w:pPr>
      <w:r>
        <w:rPr>
          <w:rFonts w:cstheme="minorHAnsi"/>
        </w:rPr>
        <w:t xml:space="preserve">NOTE: </w:t>
      </w:r>
      <w:r w:rsidR="00926C48" w:rsidRPr="00BC459E">
        <w:rPr>
          <w:rFonts w:cstheme="minorHAnsi"/>
        </w:rPr>
        <w:t xml:space="preserve">In this protocol, viral p55 Gag core proteins were detected </w:t>
      </w:r>
      <w:r w:rsidR="00267601">
        <w:rPr>
          <w:rFonts w:cstheme="minorHAnsi"/>
        </w:rPr>
        <w:t xml:space="preserve">by </w:t>
      </w:r>
      <w:r w:rsidR="00926C48" w:rsidRPr="00BC459E">
        <w:rPr>
          <w:rFonts w:cstheme="minorHAnsi"/>
        </w:rPr>
        <w:t>employing polyclonal rabbit antibodies directed against HIV Gag and secondary polyclonal chicken anti-rabbit IgG</w:t>
      </w:r>
      <w:r w:rsidR="008A5616" w:rsidRPr="00BC459E">
        <w:rPr>
          <w:rFonts w:cstheme="minorHAnsi"/>
        </w:rPr>
        <w:t xml:space="preserve"> coupled to horseradish peroxidase (</w:t>
      </w:r>
      <w:r w:rsidR="00926C48" w:rsidRPr="00BC459E">
        <w:rPr>
          <w:rFonts w:cstheme="minorHAnsi"/>
        </w:rPr>
        <w:t>HRP</w:t>
      </w:r>
      <w:r w:rsidR="008A5616" w:rsidRPr="00BC459E">
        <w:rPr>
          <w:rFonts w:cstheme="minorHAnsi"/>
        </w:rPr>
        <w:t>)</w:t>
      </w:r>
      <w:r w:rsidR="00926C48" w:rsidRPr="00BC459E">
        <w:rPr>
          <w:rFonts w:cstheme="minorHAnsi"/>
        </w:rPr>
        <w:t xml:space="preserve"> antibodies. Viral core proteins were visualized </w:t>
      </w:r>
      <w:r w:rsidR="00250C63" w:rsidRPr="00BC459E">
        <w:rPr>
          <w:rFonts w:cstheme="minorHAnsi"/>
        </w:rPr>
        <w:t>using</w:t>
      </w:r>
      <w:r w:rsidR="00926C48" w:rsidRPr="00BC459E">
        <w:rPr>
          <w:rFonts w:cstheme="minorHAnsi"/>
        </w:rPr>
        <w:t xml:space="preserve"> chemiluminescence detection.</w:t>
      </w:r>
      <w:r w:rsidR="00267601">
        <w:rPr>
          <w:rFonts w:cstheme="minorHAnsi"/>
        </w:rPr>
        <w:t xml:space="preserve"> Schematic illustration of capture assay is shown in </w:t>
      </w:r>
      <w:r w:rsidR="00267601" w:rsidRPr="00267601">
        <w:rPr>
          <w:rFonts w:cstheme="minorHAnsi"/>
          <w:b/>
          <w:bCs/>
        </w:rPr>
        <w:t>Figure 2.</w:t>
      </w:r>
    </w:p>
    <w:p w14:paraId="4D5B80B6" w14:textId="77777777" w:rsidR="009001EE" w:rsidRDefault="009001EE" w:rsidP="00BC459E">
      <w:pPr>
        <w:pStyle w:val="NormalWeb"/>
        <w:spacing w:beforeAutospacing="0" w:afterAutospacing="0"/>
        <w:rPr>
          <w:rFonts w:asciiTheme="minorHAnsi" w:hAnsiTheme="minorHAnsi" w:cstheme="minorHAnsi"/>
          <w:color w:val="808080"/>
        </w:rPr>
      </w:pPr>
    </w:p>
    <w:p w14:paraId="4A65B5D6" w14:textId="77777777" w:rsidR="009001EE" w:rsidRDefault="00E01D80" w:rsidP="00BC459E">
      <w:r>
        <w:rPr>
          <w:rFonts w:asciiTheme="minorHAnsi" w:hAnsiTheme="minorHAnsi" w:cstheme="minorHAnsi"/>
        </w:rPr>
        <w:t xml:space="preserve">[Place </w:t>
      </w:r>
      <w:r w:rsidRPr="00BC459E">
        <w:rPr>
          <w:rFonts w:asciiTheme="minorHAnsi" w:hAnsiTheme="minorHAnsi" w:cstheme="minorHAnsi"/>
          <w:b/>
          <w:bCs/>
        </w:rPr>
        <w:t>Figure 2</w:t>
      </w:r>
      <w:r>
        <w:rPr>
          <w:rFonts w:asciiTheme="minorHAnsi" w:hAnsiTheme="minorHAnsi" w:cstheme="minorHAnsi"/>
        </w:rPr>
        <w:t xml:space="preserve"> here]</w:t>
      </w:r>
    </w:p>
    <w:p w14:paraId="3AFDA5EA" w14:textId="77777777" w:rsidR="009001EE" w:rsidRDefault="009001EE">
      <w:pPr>
        <w:pStyle w:val="NormalWeb"/>
        <w:spacing w:beforeAutospacing="0" w:afterAutospacing="0"/>
        <w:rPr>
          <w:rFonts w:asciiTheme="minorHAnsi" w:hAnsiTheme="minorHAnsi" w:cstheme="minorHAnsi"/>
          <w:b/>
        </w:rPr>
      </w:pPr>
    </w:p>
    <w:p w14:paraId="2FD2CD50" w14:textId="77777777" w:rsidR="009001EE" w:rsidRDefault="00E01D80">
      <w:pPr>
        <w:pStyle w:val="NormalWeb"/>
        <w:spacing w:beforeAutospacing="0" w:afterAutospacing="0"/>
        <w:rPr>
          <w:rFonts w:asciiTheme="minorHAnsi" w:hAnsiTheme="minorHAnsi" w:cstheme="minorHAnsi"/>
          <w:b/>
          <w:bCs/>
        </w:rPr>
      </w:pPr>
      <w:r>
        <w:rPr>
          <w:rFonts w:asciiTheme="minorHAnsi" w:hAnsiTheme="minorHAnsi" w:cstheme="minorHAnsi"/>
          <w:b/>
        </w:rPr>
        <w:t xml:space="preserve">REPRESENTATIVE RESULTS </w:t>
      </w:r>
    </w:p>
    <w:p w14:paraId="58A65D23" w14:textId="0E4617BA" w:rsidR="007F2BDE" w:rsidRDefault="007F2BDE" w:rsidP="007F2BDE">
      <w:pPr>
        <w:widowControl/>
        <w:spacing w:line="259" w:lineRule="auto"/>
        <w:rPr>
          <w:rFonts w:asciiTheme="minorHAnsi" w:hAnsiTheme="minorHAnsi" w:cstheme="minorHAnsi"/>
        </w:rPr>
      </w:pPr>
      <w:r w:rsidRPr="00BC459E">
        <w:rPr>
          <w:rFonts w:asciiTheme="minorHAnsi" w:hAnsiTheme="minorHAnsi" w:cstheme="minorHAnsi"/>
          <w:b/>
          <w:bCs/>
        </w:rPr>
        <w:t>Figure 3</w:t>
      </w:r>
      <w:r>
        <w:rPr>
          <w:rFonts w:asciiTheme="minorHAnsi" w:hAnsiTheme="minorHAnsi" w:cstheme="minorHAnsi"/>
        </w:rPr>
        <w:t xml:space="preserve"> shows a representative outcome of VLPs first captured from CFSN and VLP pellets, respectively, using bNAbs and subsequently subjected to Western blot</w:t>
      </w:r>
      <w:r w:rsidR="00D25F42">
        <w:rPr>
          <w:rFonts w:asciiTheme="minorHAnsi" w:hAnsiTheme="minorHAnsi" w:cstheme="minorHAnsi"/>
        </w:rPr>
        <w:t xml:space="preserve"> </w:t>
      </w:r>
      <w:r>
        <w:rPr>
          <w:rFonts w:asciiTheme="minorHAnsi" w:hAnsiTheme="minorHAnsi" w:cstheme="minorHAnsi"/>
        </w:rPr>
        <w:t xml:space="preserve">analysis to detect viral core proteins. The beads used for the capture assay were coated with three different bNAbs directed against neutralization epitopes of the Env glycoproteins and isotype antibodies serving as negative controls, respectively. Using isotype antibodies-coated beads, no Gag proteins were detectable in samples containing Env-negative (bald VLPs) or Env displaying VLPs employing Western blot-analysis. This demonstrated that </w:t>
      </w:r>
      <w:r w:rsidR="00D25F42">
        <w:rPr>
          <w:rFonts w:asciiTheme="minorHAnsi" w:hAnsiTheme="minorHAnsi" w:cstheme="minorHAnsi"/>
        </w:rPr>
        <w:t xml:space="preserve">the </w:t>
      </w:r>
      <w:r>
        <w:rPr>
          <w:rFonts w:asciiTheme="minorHAnsi" w:hAnsiTheme="minorHAnsi" w:cstheme="minorHAnsi"/>
        </w:rPr>
        <w:t>unspecific binding of VLPs to beads coated with human antibodies did not mediate VLP capture. Bald VLPs were also not bound by bNAbs-</w:t>
      </w:r>
      <w:r>
        <w:rPr>
          <w:rFonts w:asciiTheme="minorHAnsi" w:hAnsiTheme="minorHAnsi" w:cstheme="minorHAnsi"/>
        </w:rPr>
        <w:lastRenderedPageBreak/>
        <w:t>coated beads</w:t>
      </w:r>
      <w:r w:rsidR="00D25F42">
        <w:rPr>
          <w:rFonts w:asciiTheme="minorHAnsi" w:hAnsiTheme="minorHAnsi" w:cstheme="minorHAnsi"/>
        </w:rPr>
        <w:t>,</w:t>
      </w:r>
      <w:r>
        <w:rPr>
          <w:rFonts w:asciiTheme="minorHAnsi" w:hAnsiTheme="minorHAnsi" w:cstheme="minorHAnsi"/>
        </w:rPr>
        <w:t xml:space="preserve"> and consequently</w:t>
      </w:r>
      <w:r w:rsidR="00D25F42">
        <w:rPr>
          <w:rFonts w:asciiTheme="minorHAnsi" w:hAnsiTheme="minorHAnsi" w:cstheme="minorHAnsi"/>
        </w:rPr>
        <w:t>,</w:t>
      </w:r>
      <w:r>
        <w:rPr>
          <w:rFonts w:asciiTheme="minorHAnsi" w:hAnsiTheme="minorHAnsi" w:cstheme="minorHAnsi"/>
        </w:rPr>
        <w:t xml:space="preserve"> again</w:t>
      </w:r>
      <w:r w:rsidR="00D25F42">
        <w:rPr>
          <w:rFonts w:asciiTheme="minorHAnsi" w:hAnsiTheme="minorHAnsi" w:cstheme="minorHAnsi"/>
        </w:rPr>
        <w:t>,</w:t>
      </w:r>
      <w:r>
        <w:rPr>
          <w:rFonts w:asciiTheme="minorHAnsi" w:hAnsiTheme="minorHAnsi" w:cstheme="minorHAnsi"/>
        </w:rPr>
        <w:t xml:space="preserve"> no Gag proteins were detectable. In contrast, all three bNAbs captured VLPs displaying Env proteins (Env VLPs)</w:t>
      </w:r>
      <w:r w:rsidR="00D25F42">
        <w:rPr>
          <w:rFonts w:asciiTheme="minorHAnsi" w:hAnsiTheme="minorHAnsi" w:cstheme="minorHAnsi"/>
        </w:rPr>
        <w:t>,</w:t>
      </w:r>
      <w:r>
        <w:rPr>
          <w:rFonts w:asciiTheme="minorHAnsi" w:hAnsiTheme="minorHAnsi" w:cstheme="minorHAnsi"/>
        </w:rPr>
        <w:t xml:space="preserve"> and therefore, Gag proteins were subsequently readily detected. </w:t>
      </w:r>
      <w:r w:rsidR="00076A08">
        <w:rPr>
          <w:rFonts w:asciiTheme="minorHAnsi" w:hAnsiTheme="minorHAnsi" w:cstheme="minorHAnsi"/>
        </w:rPr>
        <w:t xml:space="preserve">As visible in </w:t>
      </w:r>
      <w:r w:rsidR="00D25F42" w:rsidRPr="00BC459E">
        <w:rPr>
          <w:rFonts w:asciiTheme="minorHAnsi" w:hAnsiTheme="minorHAnsi" w:cstheme="minorHAnsi"/>
          <w:b/>
          <w:bCs/>
        </w:rPr>
        <w:t>F</w:t>
      </w:r>
      <w:r w:rsidR="00076A08" w:rsidRPr="00BC459E">
        <w:rPr>
          <w:rFonts w:asciiTheme="minorHAnsi" w:hAnsiTheme="minorHAnsi" w:cstheme="minorHAnsi"/>
          <w:b/>
          <w:bCs/>
        </w:rPr>
        <w:t>igure 3</w:t>
      </w:r>
      <w:r>
        <w:rPr>
          <w:rFonts w:asciiTheme="minorHAnsi" w:hAnsiTheme="minorHAnsi" w:cstheme="minorHAnsi"/>
        </w:rPr>
        <w:t xml:space="preserve">, the capture assay can be utilized </w:t>
      </w:r>
      <w:r w:rsidR="00D25F42">
        <w:rPr>
          <w:rFonts w:asciiTheme="minorHAnsi" w:hAnsiTheme="minorHAnsi" w:cstheme="minorHAnsi"/>
        </w:rPr>
        <w:t>to analyze</w:t>
      </w:r>
      <w:r>
        <w:rPr>
          <w:rFonts w:asciiTheme="minorHAnsi" w:hAnsiTheme="minorHAnsi" w:cstheme="minorHAnsi"/>
        </w:rPr>
        <w:t xml:space="preserve"> target antigen displaying VLPs in CFSN and pelleted</w:t>
      </w:r>
      <w:r w:rsidRPr="00BD2C95">
        <w:rPr>
          <w:rFonts w:asciiTheme="minorHAnsi" w:hAnsiTheme="minorHAnsi" w:cstheme="minorHAnsi"/>
        </w:rPr>
        <w:t xml:space="preserve"> </w:t>
      </w:r>
      <w:r>
        <w:rPr>
          <w:rFonts w:asciiTheme="minorHAnsi" w:hAnsiTheme="minorHAnsi" w:cstheme="minorHAnsi"/>
        </w:rPr>
        <w:t xml:space="preserve">VLP samples, respectively. </w:t>
      </w:r>
    </w:p>
    <w:p w14:paraId="61134780" w14:textId="77777777" w:rsidR="009001EE" w:rsidRDefault="009001EE" w:rsidP="008519E3">
      <w:pPr>
        <w:widowControl/>
        <w:spacing w:line="259" w:lineRule="auto"/>
      </w:pPr>
    </w:p>
    <w:p w14:paraId="3BAAE446" w14:textId="77777777" w:rsidR="009001EE" w:rsidRDefault="00E01D80">
      <w:pPr>
        <w:rPr>
          <w:rFonts w:asciiTheme="minorHAnsi" w:hAnsiTheme="minorHAnsi" w:cstheme="minorHAnsi"/>
          <w:color w:val="808080"/>
        </w:rPr>
      </w:pPr>
      <w:r>
        <w:rPr>
          <w:rFonts w:asciiTheme="minorHAnsi" w:hAnsiTheme="minorHAnsi" w:cstheme="minorHAnsi"/>
          <w:b/>
        </w:rPr>
        <w:t>FIGURE AND TABLE LEGENDS</w:t>
      </w:r>
      <w:r>
        <w:rPr>
          <w:rFonts w:asciiTheme="minorHAnsi" w:hAnsiTheme="minorHAnsi" w:cstheme="minorHAnsi"/>
          <w:color w:val="808080"/>
        </w:rPr>
        <w:t xml:space="preserve"> </w:t>
      </w:r>
    </w:p>
    <w:p w14:paraId="2604250D" w14:textId="1F4A29E0" w:rsidR="009001EE" w:rsidRDefault="00E01D80">
      <w:pPr>
        <w:rPr>
          <w:rFonts w:asciiTheme="minorHAnsi" w:hAnsiTheme="minorHAnsi" w:cstheme="minorHAnsi"/>
        </w:rPr>
      </w:pPr>
      <w:r>
        <w:rPr>
          <w:rFonts w:asciiTheme="minorHAnsi" w:hAnsiTheme="minorHAnsi" w:cstheme="minorHAnsi"/>
          <w:b/>
          <w:color w:val="auto"/>
        </w:rPr>
        <w:t>Figure 1</w:t>
      </w:r>
      <w:r w:rsidR="00D25F42">
        <w:rPr>
          <w:rFonts w:asciiTheme="minorHAnsi" w:hAnsiTheme="minorHAnsi" w:cstheme="minorHAnsi"/>
          <w:b/>
          <w:color w:val="auto"/>
        </w:rPr>
        <w:t xml:space="preserve">: </w:t>
      </w:r>
      <w:r>
        <w:rPr>
          <w:rFonts w:asciiTheme="minorHAnsi" w:hAnsiTheme="minorHAnsi" w:cstheme="minorHAnsi"/>
          <w:b/>
        </w:rPr>
        <w:t>Schematic illustration of a membrane enveloped VLP.</w:t>
      </w:r>
      <w:r>
        <w:rPr>
          <w:rFonts w:asciiTheme="minorHAnsi" w:hAnsiTheme="minorHAnsi" w:cstheme="minorHAnsi"/>
        </w:rPr>
        <w:t xml:space="preserve"> VLPs are formed by immature </w:t>
      </w:r>
      <w:r w:rsidR="00250C63">
        <w:rPr>
          <w:rFonts w:asciiTheme="minorHAnsi" w:hAnsiTheme="minorHAnsi" w:cstheme="minorHAnsi"/>
        </w:rPr>
        <w:t xml:space="preserve">precursor </w:t>
      </w:r>
      <w:r>
        <w:rPr>
          <w:rFonts w:asciiTheme="minorHAnsi" w:hAnsiTheme="minorHAnsi" w:cstheme="minorHAnsi"/>
        </w:rPr>
        <w:t xml:space="preserve">Gag core proteins and surrounded by a lipid membrane derived from the host cell. The antigens, </w:t>
      </w:r>
      <w:r w:rsidRPr="00BC459E">
        <w:rPr>
          <w:rFonts w:asciiTheme="minorHAnsi" w:hAnsiTheme="minorHAnsi" w:cstheme="minorHAnsi"/>
          <w:iCs/>
        </w:rPr>
        <w:t>e.g.</w:t>
      </w:r>
      <w:r w:rsidR="00D25F42">
        <w:rPr>
          <w:rFonts w:asciiTheme="minorHAnsi" w:hAnsiTheme="minorHAnsi" w:cstheme="minorHAnsi"/>
          <w:iCs/>
        </w:rPr>
        <w:t>,</w:t>
      </w:r>
      <w:r>
        <w:rPr>
          <w:rFonts w:asciiTheme="minorHAnsi" w:hAnsiTheme="minorHAnsi" w:cstheme="minorHAnsi"/>
        </w:rPr>
        <w:t xml:space="preserve"> envelope glycoproteins, are incorporated into the lipid membrane and displayed on the surface of the VLP (on the right). Antigen-specific antibodies recognize the antigen. On the left, a bald VLP without antigen</w:t>
      </w:r>
      <w:r w:rsidR="00D25F42">
        <w:rPr>
          <w:rFonts w:asciiTheme="minorHAnsi" w:hAnsiTheme="minorHAnsi" w:cstheme="minorHAnsi"/>
        </w:rPr>
        <w:t xml:space="preserve"> </w:t>
      </w:r>
      <w:r>
        <w:rPr>
          <w:rFonts w:asciiTheme="minorHAnsi" w:hAnsiTheme="minorHAnsi" w:cstheme="minorHAnsi"/>
        </w:rPr>
        <w:t xml:space="preserve">decoration is shown. </w:t>
      </w:r>
    </w:p>
    <w:p w14:paraId="080E327A" w14:textId="77777777" w:rsidR="009001EE" w:rsidRDefault="009001EE">
      <w:pPr>
        <w:rPr>
          <w:rFonts w:asciiTheme="minorHAnsi" w:hAnsiTheme="minorHAnsi" w:cstheme="minorHAnsi"/>
        </w:rPr>
      </w:pPr>
    </w:p>
    <w:p w14:paraId="23B32220" w14:textId="416563F0" w:rsidR="009001EE" w:rsidRDefault="00E01D80">
      <w:pPr>
        <w:widowControl/>
        <w:spacing w:line="259" w:lineRule="auto"/>
        <w:rPr>
          <w:rFonts w:eastAsia="Calibri" w:cs="Times New Roman"/>
          <w:color w:val="auto"/>
        </w:rPr>
      </w:pPr>
      <w:r>
        <w:rPr>
          <w:rFonts w:asciiTheme="minorHAnsi" w:eastAsia="Calibri" w:hAnsiTheme="minorHAnsi" w:cstheme="minorHAnsi"/>
          <w:b/>
          <w:color w:val="auto"/>
        </w:rPr>
        <w:t>Figure 2</w:t>
      </w:r>
      <w:r w:rsidR="00D25F42">
        <w:rPr>
          <w:rFonts w:asciiTheme="minorHAnsi" w:eastAsia="Calibri" w:hAnsiTheme="minorHAnsi" w:cstheme="minorHAnsi"/>
          <w:b/>
          <w:color w:val="auto"/>
        </w:rPr>
        <w:t xml:space="preserve">: </w:t>
      </w:r>
      <w:r>
        <w:rPr>
          <w:rFonts w:asciiTheme="minorHAnsi" w:eastAsia="Calibri" w:hAnsiTheme="minorHAnsi" w:cstheme="minorHAnsi"/>
          <w:b/>
          <w:color w:val="auto"/>
        </w:rPr>
        <w:t>Schematic illustration of key steps of the VLP capture assay</w:t>
      </w:r>
      <w:r w:rsidR="00250C63">
        <w:rPr>
          <w:rFonts w:asciiTheme="minorHAnsi" w:eastAsia="Calibri" w:hAnsiTheme="minorHAnsi" w:cstheme="minorHAnsi"/>
          <w:b/>
          <w:color w:val="auto"/>
        </w:rPr>
        <w:t xml:space="preserve"> using cell-free supernatants</w:t>
      </w:r>
      <w:r>
        <w:rPr>
          <w:rFonts w:asciiTheme="minorHAnsi" w:eastAsia="Calibri" w:hAnsiTheme="minorHAnsi" w:cstheme="minorHAnsi"/>
          <w:b/>
          <w:color w:val="auto"/>
        </w:rPr>
        <w:t>.</w:t>
      </w:r>
      <w:r>
        <w:rPr>
          <w:rFonts w:asciiTheme="minorHAnsi" w:eastAsia="Calibri" w:hAnsiTheme="minorHAnsi" w:cstheme="minorHAnsi"/>
          <w:color w:val="auto"/>
        </w:rPr>
        <w:t xml:space="preserve"> (</w:t>
      </w:r>
      <w:r w:rsidRPr="00BC459E">
        <w:rPr>
          <w:rFonts w:asciiTheme="minorHAnsi" w:eastAsia="Calibri" w:hAnsiTheme="minorHAnsi" w:cstheme="minorHAnsi"/>
          <w:b/>
          <w:bCs/>
          <w:color w:val="auto"/>
        </w:rPr>
        <w:t>1</w:t>
      </w:r>
      <w:r>
        <w:rPr>
          <w:rFonts w:asciiTheme="minorHAnsi" w:eastAsia="Calibri" w:hAnsiTheme="minorHAnsi" w:cstheme="minorHAnsi"/>
          <w:color w:val="auto"/>
        </w:rPr>
        <w:t>) The VLP capture assay starts with the binding of the HIV-1 bNAbs to the protein G-coupled magnetic beads. Meanwhile</w:t>
      </w:r>
      <w:r w:rsidR="00D25F42">
        <w:rPr>
          <w:rFonts w:asciiTheme="minorHAnsi" w:eastAsia="Calibri" w:hAnsiTheme="minorHAnsi" w:cstheme="minorHAnsi"/>
          <w:color w:val="auto"/>
        </w:rPr>
        <w:t>,</w:t>
      </w:r>
      <w:r>
        <w:rPr>
          <w:rFonts w:asciiTheme="minorHAnsi" w:eastAsia="Calibri" w:hAnsiTheme="minorHAnsi" w:cstheme="minorHAnsi"/>
          <w:color w:val="auto"/>
        </w:rPr>
        <w:t xml:space="preserve"> the VLP solution with a defined p55 concentration is prepared. The cell-free culture supernatant consists of a mixture of p55 Gag VLPs, host cell proteins</w:t>
      </w:r>
      <w:r w:rsidR="00D25F42">
        <w:rPr>
          <w:rFonts w:asciiTheme="minorHAnsi" w:eastAsia="Calibri" w:hAnsiTheme="minorHAnsi" w:cstheme="minorHAnsi"/>
          <w:color w:val="auto"/>
        </w:rPr>
        <w:t>,</w:t>
      </w:r>
      <w:r w:rsidR="00250C63">
        <w:rPr>
          <w:rFonts w:asciiTheme="minorHAnsi" w:eastAsia="Calibri" w:hAnsiTheme="minorHAnsi" w:cstheme="minorHAnsi"/>
          <w:color w:val="auto"/>
        </w:rPr>
        <w:t xml:space="preserve"> </w:t>
      </w:r>
      <w:r>
        <w:rPr>
          <w:rFonts w:asciiTheme="minorHAnsi" w:eastAsia="Calibri" w:hAnsiTheme="minorHAnsi" w:cstheme="minorHAnsi"/>
          <w:color w:val="auto"/>
        </w:rPr>
        <w:t>and nucleic acids. (</w:t>
      </w:r>
      <w:r w:rsidRPr="00BC459E">
        <w:rPr>
          <w:rFonts w:asciiTheme="minorHAnsi" w:eastAsia="Calibri" w:hAnsiTheme="minorHAnsi" w:cstheme="minorHAnsi"/>
          <w:b/>
          <w:bCs/>
          <w:color w:val="auto"/>
        </w:rPr>
        <w:t>2</w:t>
      </w:r>
      <w:r>
        <w:rPr>
          <w:rFonts w:asciiTheme="minorHAnsi" w:eastAsia="Calibri" w:hAnsiTheme="minorHAnsi" w:cstheme="minorHAnsi"/>
          <w:color w:val="auto"/>
        </w:rPr>
        <w:t>) The magnetic beads coupled to bNAbs and the VLP solution are transferred into a 1.5 mL reaction tube followed by incubation under rotation. (</w:t>
      </w:r>
      <w:r w:rsidRPr="00BC459E">
        <w:rPr>
          <w:rFonts w:asciiTheme="minorHAnsi" w:eastAsia="Calibri" w:hAnsiTheme="minorHAnsi" w:cstheme="minorHAnsi"/>
          <w:b/>
          <w:bCs/>
          <w:color w:val="auto"/>
        </w:rPr>
        <w:t>3</w:t>
      </w:r>
      <w:r>
        <w:rPr>
          <w:rFonts w:asciiTheme="minorHAnsi" w:eastAsia="Calibri" w:hAnsiTheme="minorHAnsi" w:cstheme="minorHAnsi"/>
          <w:color w:val="auto"/>
        </w:rPr>
        <w:t>) Antigen</w:t>
      </w:r>
      <w:r w:rsidR="00CA31D0">
        <w:rPr>
          <w:rFonts w:asciiTheme="minorHAnsi" w:eastAsia="Calibri" w:hAnsiTheme="minorHAnsi" w:cstheme="minorHAnsi"/>
          <w:color w:val="auto"/>
        </w:rPr>
        <w:t>-</w:t>
      </w:r>
      <w:r>
        <w:rPr>
          <w:rFonts w:asciiTheme="minorHAnsi" w:eastAsia="Calibri" w:hAnsiTheme="minorHAnsi" w:cstheme="minorHAnsi"/>
          <w:color w:val="auto"/>
        </w:rPr>
        <w:t>displaying VLPs are captured by the bNAbs</w:t>
      </w:r>
      <w:r w:rsidR="00250C63">
        <w:rPr>
          <w:rFonts w:asciiTheme="minorHAnsi" w:eastAsia="Calibri" w:hAnsiTheme="minorHAnsi" w:cstheme="minorHAnsi"/>
          <w:color w:val="auto"/>
        </w:rPr>
        <w:t xml:space="preserve">-coated </w:t>
      </w:r>
      <w:r>
        <w:rPr>
          <w:rFonts w:asciiTheme="minorHAnsi" w:eastAsia="Calibri" w:hAnsiTheme="minorHAnsi" w:cstheme="minorHAnsi"/>
          <w:color w:val="auto"/>
        </w:rPr>
        <w:t>beads. Separation of these immune complexes from host cell-derived contaminants is performed in a magnetic field. (</w:t>
      </w:r>
      <w:r w:rsidRPr="00BC459E">
        <w:rPr>
          <w:rFonts w:asciiTheme="minorHAnsi" w:eastAsia="Calibri" w:hAnsiTheme="minorHAnsi" w:cstheme="minorHAnsi"/>
          <w:b/>
          <w:bCs/>
          <w:color w:val="auto"/>
        </w:rPr>
        <w:t>4</w:t>
      </w:r>
      <w:r>
        <w:rPr>
          <w:rFonts w:asciiTheme="minorHAnsi" w:eastAsia="Calibri" w:hAnsiTheme="minorHAnsi" w:cstheme="minorHAnsi"/>
          <w:color w:val="auto"/>
        </w:rPr>
        <w:t>) The supernatant is removed by pipetting</w:t>
      </w:r>
      <w:r w:rsidR="00D25F42">
        <w:rPr>
          <w:rFonts w:asciiTheme="minorHAnsi" w:eastAsia="Calibri" w:hAnsiTheme="minorHAnsi" w:cstheme="minorHAnsi"/>
          <w:color w:val="auto"/>
        </w:rPr>
        <w:t>,</w:t>
      </w:r>
      <w:r>
        <w:rPr>
          <w:rFonts w:asciiTheme="minorHAnsi" w:eastAsia="Calibri" w:hAnsiTheme="minorHAnsi" w:cstheme="minorHAnsi"/>
          <w:color w:val="auto"/>
        </w:rPr>
        <w:t xml:space="preserve"> and the beads are washed three times to remove unbound VLPs. (</w:t>
      </w:r>
      <w:r w:rsidRPr="00BC459E">
        <w:rPr>
          <w:rFonts w:asciiTheme="minorHAnsi" w:eastAsia="Calibri" w:hAnsiTheme="minorHAnsi" w:cstheme="minorHAnsi"/>
          <w:b/>
          <w:bCs/>
          <w:color w:val="auto"/>
        </w:rPr>
        <w:t>5</w:t>
      </w:r>
      <w:r>
        <w:rPr>
          <w:rFonts w:asciiTheme="minorHAnsi" w:eastAsia="Calibri" w:hAnsiTheme="minorHAnsi" w:cstheme="minorHAnsi"/>
          <w:color w:val="auto"/>
        </w:rPr>
        <w:t>) In the next step, reducing protein loading buffer is added to the immune complexes consisting of magnetic beads coated with bNAbs and captured VLPs. (</w:t>
      </w:r>
      <w:r w:rsidRPr="00BC459E">
        <w:rPr>
          <w:rFonts w:asciiTheme="minorHAnsi" w:eastAsia="Calibri" w:hAnsiTheme="minorHAnsi" w:cstheme="minorHAnsi"/>
          <w:b/>
          <w:bCs/>
          <w:color w:val="auto"/>
        </w:rPr>
        <w:t>6</w:t>
      </w:r>
      <w:r>
        <w:rPr>
          <w:rFonts w:asciiTheme="minorHAnsi" w:eastAsia="Calibri" w:hAnsiTheme="minorHAnsi" w:cstheme="minorHAnsi"/>
          <w:color w:val="auto"/>
        </w:rPr>
        <w:t xml:space="preserve">) Boiling the sample dissociates bNAbs </w:t>
      </w:r>
      <w:r w:rsidR="00250C63">
        <w:rPr>
          <w:rFonts w:asciiTheme="minorHAnsi" w:eastAsia="Calibri" w:hAnsiTheme="minorHAnsi" w:cstheme="minorHAnsi"/>
          <w:color w:val="auto"/>
        </w:rPr>
        <w:t xml:space="preserve">and target antigen from the magnetic beads </w:t>
      </w:r>
      <w:r>
        <w:rPr>
          <w:rFonts w:asciiTheme="minorHAnsi" w:eastAsia="Calibri" w:hAnsiTheme="minorHAnsi" w:cstheme="minorHAnsi"/>
          <w:color w:val="auto"/>
        </w:rPr>
        <w:t xml:space="preserve">and </w:t>
      </w:r>
      <w:r w:rsidR="00250C63">
        <w:rPr>
          <w:rFonts w:asciiTheme="minorHAnsi" w:eastAsia="Calibri" w:hAnsiTheme="minorHAnsi" w:cstheme="minorHAnsi"/>
          <w:color w:val="auto"/>
        </w:rPr>
        <w:t xml:space="preserve">lysis the </w:t>
      </w:r>
      <w:r>
        <w:rPr>
          <w:rFonts w:asciiTheme="minorHAnsi" w:eastAsia="Calibri" w:hAnsiTheme="minorHAnsi" w:cstheme="minorHAnsi"/>
          <w:color w:val="auto"/>
        </w:rPr>
        <w:t>VLPs. (</w:t>
      </w:r>
      <w:r w:rsidRPr="00BC459E">
        <w:rPr>
          <w:rFonts w:asciiTheme="minorHAnsi" w:eastAsia="Calibri" w:hAnsiTheme="minorHAnsi" w:cstheme="minorHAnsi"/>
          <w:b/>
          <w:bCs/>
          <w:color w:val="auto"/>
        </w:rPr>
        <w:t>7</w:t>
      </w:r>
      <w:r>
        <w:rPr>
          <w:rFonts w:asciiTheme="minorHAnsi" w:eastAsia="Calibri" w:hAnsiTheme="minorHAnsi" w:cstheme="minorHAnsi"/>
          <w:color w:val="auto"/>
        </w:rPr>
        <w:t xml:space="preserve">) </w:t>
      </w:r>
      <w:r w:rsidR="00250C63">
        <w:rPr>
          <w:rFonts w:asciiTheme="minorHAnsi" w:eastAsia="Calibri" w:hAnsiTheme="minorHAnsi" w:cstheme="minorHAnsi"/>
          <w:color w:val="auto"/>
        </w:rPr>
        <w:t>Magnetic beads are separated from the solution in a magnetic field</w:t>
      </w:r>
      <w:r>
        <w:rPr>
          <w:rFonts w:asciiTheme="minorHAnsi" w:eastAsia="Calibri" w:hAnsiTheme="minorHAnsi" w:cstheme="minorHAnsi"/>
          <w:color w:val="auto"/>
        </w:rPr>
        <w:t>. (</w:t>
      </w:r>
      <w:r w:rsidRPr="00BC459E">
        <w:rPr>
          <w:rFonts w:asciiTheme="minorHAnsi" w:eastAsia="Calibri" w:hAnsiTheme="minorHAnsi" w:cstheme="minorHAnsi"/>
          <w:b/>
          <w:bCs/>
          <w:color w:val="auto"/>
        </w:rPr>
        <w:t>8</w:t>
      </w:r>
      <w:r>
        <w:rPr>
          <w:rFonts w:asciiTheme="minorHAnsi" w:eastAsia="Calibri" w:hAnsiTheme="minorHAnsi" w:cstheme="minorHAnsi"/>
          <w:color w:val="auto"/>
        </w:rPr>
        <w:t>) The protein samples are subjected to SDS-PAGE. (</w:t>
      </w:r>
      <w:r w:rsidRPr="00BC459E">
        <w:rPr>
          <w:rFonts w:asciiTheme="minorHAnsi" w:eastAsia="Calibri" w:hAnsiTheme="minorHAnsi" w:cstheme="minorHAnsi"/>
          <w:b/>
          <w:bCs/>
          <w:color w:val="auto"/>
        </w:rPr>
        <w:t>9</w:t>
      </w:r>
      <w:r>
        <w:rPr>
          <w:rFonts w:asciiTheme="minorHAnsi" w:eastAsia="Calibri" w:hAnsiTheme="minorHAnsi" w:cstheme="minorHAnsi"/>
          <w:color w:val="auto"/>
        </w:rPr>
        <w:t>) Western blot</w:t>
      </w:r>
      <w:r w:rsidR="00D25F42">
        <w:rPr>
          <w:rFonts w:asciiTheme="minorHAnsi" w:eastAsia="Calibri" w:hAnsiTheme="minorHAnsi" w:cstheme="minorHAnsi"/>
          <w:color w:val="auto"/>
        </w:rPr>
        <w:t xml:space="preserve"> </w:t>
      </w:r>
      <w:r>
        <w:rPr>
          <w:rFonts w:asciiTheme="minorHAnsi" w:eastAsia="Calibri" w:hAnsiTheme="minorHAnsi" w:cstheme="minorHAnsi"/>
          <w:color w:val="auto"/>
        </w:rPr>
        <w:t>analysis is performed in order to detect viral p55 Gag core proteins.</w:t>
      </w:r>
    </w:p>
    <w:p w14:paraId="341E9167" w14:textId="77777777" w:rsidR="009001EE" w:rsidRDefault="009001EE">
      <w:pPr>
        <w:widowControl/>
        <w:spacing w:line="259" w:lineRule="auto"/>
        <w:jc w:val="left"/>
        <w:rPr>
          <w:rFonts w:eastAsia="Calibri" w:cs="Times New Roman"/>
          <w:b/>
          <w:color w:val="auto"/>
        </w:rPr>
      </w:pPr>
    </w:p>
    <w:p w14:paraId="13BCFEA7" w14:textId="28EF2A12" w:rsidR="009001EE" w:rsidRDefault="00E01D80">
      <w:pPr>
        <w:widowControl/>
        <w:spacing w:line="259" w:lineRule="auto"/>
        <w:rPr>
          <w:rFonts w:eastAsia="Calibri" w:cs="Times New Roman"/>
          <w:b/>
          <w:color w:val="auto"/>
        </w:rPr>
      </w:pPr>
      <w:r>
        <w:rPr>
          <w:rFonts w:asciiTheme="minorHAnsi" w:eastAsia="Calibri" w:hAnsiTheme="minorHAnsi" w:cstheme="minorHAnsi"/>
          <w:b/>
          <w:color w:val="auto"/>
        </w:rPr>
        <w:t>Figure 3</w:t>
      </w:r>
      <w:r w:rsidR="00D25F42">
        <w:rPr>
          <w:rFonts w:asciiTheme="minorHAnsi" w:eastAsia="Calibri" w:hAnsiTheme="minorHAnsi" w:cstheme="minorHAnsi"/>
          <w:b/>
          <w:color w:val="auto"/>
        </w:rPr>
        <w:t xml:space="preserve">: </w:t>
      </w:r>
      <w:r w:rsidR="0054140B">
        <w:rPr>
          <w:rFonts w:asciiTheme="minorHAnsi" w:eastAsia="Calibri" w:hAnsiTheme="minorHAnsi" w:cstheme="minorHAnsi"/>
          <w:b/>
          <w:color w:val="auto"/>
        </w:rPr>
        <w:t xml:space="preserve">Detection of </w:t>
      </w:r>
      <w:r w:rsidR="0054140B" w:rsidRPr="00025C9B">
        <w:rPr>
          <w:rFonts w:asciiTheme="minorHAnsi" w:hAnsiTheme="minorHAnsi" w:cstheme="minorHAnsi"/>
          <w:b/>
        </w:rPr>
        <w:t>neutralization</w:t>
      </w:r>
      <w:r w:rsidR="0054140B">
        <w:rPr>
          <w:rFonts w:asciiTheme="minorHAnsi" w:hAnsiTheme="minorHAnsi" w:cstheme="minorHAnsi"/>
        </w:rPr>
        <w:t xml:space="preserve"> </w:t>
      </w:r>
      <w:r w:rsidR="0054140B">
        <w:rPr>
          <w:rFonts w:asciiTheme="minorHAnsi" w:eastAsia="Calibri" w:hAnsiTheme="minorHAnsi" w:cstheme="minorHAnsi"/>
          <w:b/>
          <w:color w:val="auto"/>
        </w:rPr>
        <w:t xml:space="preserve">epitopes in HIV-1 envelope glycoproteins displayed on p55 </w:t>
      </w:r>
      <w:r w:rsidR="00BA6FA6">
        <w:rPr>
          <w:rFonts w:asciiTheme="minorHAnsi" w:eastAsia="Calibri" w:hAnsiTheme="minorHAnsi" w:cstheme="minorHAnsi"/>
          <w:b/>
          <w:color w:val="auto"/>
        </w:rPr>
        <w:t>Gag-formed</w:t>
      </w:r>
      <w:r w:rsidR="0054140B">
        <w:rPr>
          <w:rFonts w:asciiTheme="minorHAnsi" w:eastAsia="Calibri" w:hAnsiTheme="minorHAnsi" w:cstheme="minorHAnsi"/>
          <w:b/>
          <w:color w:val="auto"/>
        </w:rPr>
        <w:t xml:space="preserve"> VLPs using broadly neutralizing antibodies. </w:t>
      </w:r>
      <w:r w:rsidR="0054140B">
        <w:rPr>
          <w:rFonts w:asciiTheme="minorHAnsi" w:eastAsia="Calibri" w:hAnsiTheme="minorHAnsi" w:cstheme="minorHAnsi"/>
          <w:color w:val="auto"/>
        </w:rPr>
        <w:t>Representative results of Western blot</w:t>
      </w:r>
      <w:r w:rsidR="00D25F42">
        <w:rPr>
          <w:rFonts w:asciiTheme="minorHAnsi" w:eastAsia="Calibri" w:hAnsiTheme="minorHAnsi" w:cstheme="minorHAnsi"/>
          <w:color w:val="auto"/>
        </w:rPr>
        <w:t xml:space="preserve"> </w:t>
      </w:r>
      <w:r w:rsidR="0054140B">
        <w:rPr>
          <w:rFonts w:asciiTheme="minorHAnsi" w:eastAsia="Calibri" w:hAnsiTheme="minorHAnsi" w:cstheme="minorHAnsi"/>
          <w:color w:val="auto"/>
        </w:rPr>
        <w:t>analysis using viral Gag core protein-specific antibodies after performing a VLP capture assay employing three different broadly neutralizing antibodies (bNAb 1, bNAb 2</w:t>
      </w:r>
      <w:r w:rsidR="00D25F42">
        <w:rPr>
          <w:rFonts w:asciiTheme="minorHAnsi" w:eastAsia="Calibri" w:hAnsiTheme="minorHAnsi" w:cstheme="minorHAnsi"/>
          <w:color w:val="auto"/>
        </w:rPr>
        <w:t>,</w:t>
      </w:r>
      <w:r w:rsidR="0054140B">
        <w:rPr>
          <w:rFonts w:asciiTheme="minorHAnsi" w:eastAsia="Calibri" w:hAnsiTheme="minorHAnsi" w:cstheme="minorHAnsi"/>
          <w:color w:val="auto"/>
        </w:rPr>
        <w:t xml:space="preserve"> and bnAb 3) targeting epitopes within the HIV-1 envelope glycoproteins (Env). Isotype human antibodies pooled from human sera served as negative controls.</w:t>
      </w:r>
      <w:r w:rsidR="0054140B">
        <w:rPr>
          <w:rFonts w:asciiTheme="minorHAnsi" w:eastAsia="Calibri" w:hAnsiTheme="minorHAnsi" w:cstheme="minorHAnsi"/>
          <w:b/>
          <w:color w:val="auto"/>
        </w:rPr>
        <w:t xml:space="preserve"> </w:t>
      </w:r>
      <w:r w:rsidR="0054140B">
        <w:rPr>
          <w:rFonts w:asciiTheme="minorHAnsi" w:eastAsia="Calibri" w:hAnsiTheme="minorHAnsi" w:cstheme="minorHAnsi"/>
          <w:color w:val="auto"/>
        </w:rPr>
        <w:t>Cell culture supernatants were harvested from suspension cell cultures producing VLPs with Env proteins (Env VLPs) and bald VLPs (Env-negative), respectively, as well as from naive cells not expressing any viral proteins (mock). Both the supernatants from the bald VLP producer cell culture as well as from the mock cell culture served as negative controls. Supernatants were freed from contaminating cells using low-speed centrifugation and subsequent filtration to obtain cell-free supernatants (CFSN) for analysis. Upon immunoprecipitation, Western blot</w:t>
      </w:r>
      <w:r w:rsidR="00D25F42">
        <w:rPr>
          <w:rFonts w:asciiTheme="minorHAnsi" w:eastAsia="Calibri" w:hAnsiTheme="minorHAnsi" w:cstheme="minorHAnsi"/>
          <w:color w:val="auto"/>
        </w:rPr>
        <w:t xml:space="preserve"> </w:t>
      </w:r>
      <w:r w:rsidR="0054140B">
        <w:rPr>
          <w:rFonts w:asciiTheme="minorHAnsi" w:eastAsia="Calibri" w:hAnsiTheme="minorHAnsi" w:cstheme="minorHAnsi"/>
          <w:color w:val="auto"/>
        </w:rPr>
        <w:t xml:space="preserve">analysis was performed using polyclonal rabbit antibodies directed against Gag and secondary anti-rabbit IgG-HRP conjugates. The apparent molecular weight in kilodaltons (kDa) as visible from the molecular weight marker (MW) is </w:t>
      </w:r>
      <w:r w:rsidR="0054140B">
        <w:rPr>
          <w:rFonts w:asciiTheme="minorHAnsi" w:eastAsia="Calibri" w:hAnsiTheme="minorHAnsi" w:cstheme="minorHAnsi"/>
          <w:color w:val="auto"/>
        </w:rPr>
        <w:lastRenderedPageBreak/>
        <w:t xml:space="preserve">depicted on the left. The arrows indicate the detected precursor protein p55 Gag. </w:t>
      </w:r>
      <w:r w:rsidR="00D25F42">
        <w:rPr>
          <w:rFonts w:asciiTheme="minorHAnsi" w:eastAsia="Calibri" w:hAnsiTheme="minorHAnsi" w:cstheme="minorHAnsi"/>
          <w:color w:val="auto"/>
        </w:rPr>
        <w:t>(</w:t>
      </w:r>
      <w:r w:rsidR="0054140B">
        <w:rPr>
          <w:rFonts w:asciiTheme="minorHAnsi" w:eastAsia="Calibri" w:hAnsiTheme="minorHAnsi" w:cstheme="minorHAnsi"/>
          <w:b/>
          <w:color w:val="auto"/>
        </w:rPr>
        <w:t>A</w:t>
      </w:r>
      <w:r w:rsidR="00D25F42">
        <w:rPr>
          <w:rFonts w:asciiTheme="minorHAnsi" w:eastAsia="Calibri" w:hAnsiTheme="minorHAnsi" w:cstheme="minorHAnsi"/>
          <w:color w:val="auto"/>
        </w:rPr>
        <w:t xml:space="preserve">) </w:t>
      </w:r>
      <w:r w:rsidR="0054140B">
        <w:rPr>
          <w:rFonts w:asciiTheme="minorHAnsi" w:eastAsia="Calibri" w:hAnsiTheme="minorHAnsi" w:cstheme="minorHAnsi"/>
          <w:color w:val="auto"/>
        </w:rPr>
        <w:t xml:space="preserve">For each sample, CFSN containing 100 ng of Gag protein was applied to the capture assay to standardize the input amount of VLPs. CFSN was directly incubated with antibody-coated beads. </w:t>
      </w:r>
      <w:r w:rsidR="00D25F42">
        <w:rPr>
          <w:rFonts w:asciiTheme="minorHAnsi" w:eastAsia="Calibri" w:hAnsiTheme="minorHAnsi" w:cstheme="minorHAnsi"/>
          <w:color w:val="auto"/>
        </w:rPr>
        <w:t>(</w:t>
      </w:r>
      <w:r w:rsidR="0054140B">
        <w:rPr>
          <w:rFonts w:asciiTheme="minorHAnsi" w:eastAsia="Calibri" w:hAnsiTheme="minorHAnsi" w:cstheme="minorHAnsi"/>
          <w:b/>
          <w:color w:val="auto"/>
        </w:rPr>
        <w:t>B</w:t>
      </w:r>
      <w:r w:rsidR="00D25F42" w:rsidRPr="00BC459E">
        <w:rPr>
          <w:rFonts w:asciiTheme="minorHAnsi" w:eastAsia="Calibri" w:hAnsiTheme="minorHAnsi" w:cstheme="minorHAnsi"/>
          <w:bCs/>
          <w:color w:val="auto"/>
        </w:rPr>
        <w:t>)</w:t>
      </w:r>
      <w:r w:rsidR="0054140B">
        <w:rPr>
          <w:rFonts w:asciiTheme="minorHAnsi" w:eastAsia="Calibri" w:hAnsiTheme="minorHAnsi" w:cstheme="minorHAnsi"/>
          <w:color w:val="auto"/>
        </w:rPr>
        <w:t xml:space="preserve"> VLP pellets were obtained by ultracentrifugation of CFSN. Pellets containing 100 ng of Gag protein were applied to the capture assay using isotype antibodies and bNAb 3. Samples for bNAb 1 and bNAb 2 contained only 25 ng of Gag. </w:t>
      </w:r>
    </w:p>
    <w:p w14:paraId="5B0AB199" w14:textId="77777777" w:rsidR="009001EE" w:rsidRDefault="009001EE">
      <w:pPr>
        <w:rPr>
          <w:rFonts w:asciiTheme="minorHAnsi" w:hAnsiTheme="minorHAnsi" w:cstheme="minorHAnsi"/>
          <w:color w:val="808080"/>
        </w:rPr>
      </w:pPr>
    </w:p>
    <w:p w14:paraId="444C21E9" w14:textId="77777777" w:rsidR="009001EE" w:rsidRDefault="00E01D80">
      <w:pPr>
        <w:rPr>
          <w:rFonts w:asciiTheme="minorHAnsi" w:hAnsiTheme="minorHAnsi" w:cstheme="minorHAnsi"/>
          <w:b/>
        </w:rPr>
      </w:pPr>
      <w:r>
        <w:rPr>
          <w:rFonts w:asciiTheme="minorHAnsi" w:hAnsiTheme="minorHAnsi" w:cstheme="minorHAnsi"/>
          <w:b/>
        </w:rPr>
        <w:t>DISCUSSION</w:t>
      </w:r>
      <w:r>
        <w:rPr>
          <w:rFonts w:asciiTheme="minorHAnsi" w:hAnsiTheme="minorHAnsi" w:cstheme="minorHAnsi"/>
          <w:b/>
          <w:bCs/>
        </w:rPr>
        <w:t xml:space="preserve"> </w:t>
      </w:r>
    </w:p>
    <w:p w14:paraId="37BDADA1" w14:textId="4103353C" w:rsidR="009001EE" w:rsidRDefault="00E01D80">
      <w:pPr>
        <w:pBdr>
          <w:top w:val="none" w:sz="4" w:space="0" w:color="000000"/>
          <w:left w:val="none" w:sz="4" w:space="0" w:color="000000"/>
          <w:bottom w:val="none" w:sz="4" w:space="0" w:color="000000"/>
          <w:right w:val="none" w:sz="4" w:space="0" w:color="000000"/>
        </w:pBdr>
        <w:rPr>
          <w:rFonts w:asciiTheme="minorHAnsi" w:eastAsia="Calibri" w:hAnsiTheme="minorHAnsi" w:cstheme="minorHAnsi"/>
        </w:rPr>
      </w:pPr>
      <w:r>
        <w:rPr>
          <w:rFonts w:asciiTheme="minorHAnsi" w:eastAsia="Calibri" w:hAnsiTheme="minorHAnsi" w:cstheme="minorHAnsi"/>
        </w:rPr>
        <w:t xml:space="preserve">Prior to the VLP capture assay, evaluate the formation of VLPs and the expression of the target antigen in the VLP producer cell lines. Instrumental methods are flow cytometric analysis of the cell surface expression of the antigen as well as antigen- and viral core protein-specific ELISA of CFSN </w:t>
      </w:r>
      <w:r w:rsidR="003736D3">
        <w:rPr>
          <w:rFonts w:asciiTheme="minorHAnsi" w:eastAsia="Calibri" w:hAnsiTheme="minorHAnsi" w:cstheme="minorHAnsi"/>
        </w:rPr>
        <w:t xml:space="preserve">and </w:t>
      </w:r>
      <w:r>
        <w:rPr>
          <w:rFonts w:asciiTheme="minorHAnsi" w:eastAsia="Calibri" w:hAnsiTheme="minorHAnsi" w:cstheme="minorHAnsi"/>
        </w:rPr>
        <w:t>pelleted VLPs.</w:t>
      </w:r>
    </w:p>
    <w:p w14:paraId="02BAC5FE" w14:textId="77777777" w:rsidR="009001EE" w:rsidRDefault="009001EE">
      <w:pPr>
        <w:rPr>
          <w:rFonts w:asciiTheme="minorHAnsi" w:hAnsiTheme="minorHAnsi" w:cstheme="minorHAnsi"/>
          <w:color w:val="auto"/>
        </w:rPr>
      </w:pPr>
    </w:p>
    <w:p w14:paraId="524A6635" w14:textId="7A2DC65C" w:rsidR="009001EE" w:rsidRDefault="00E01D80">
      <w:pPr>
        <w:rPr>
          <w:rFonts w:asciiTheme="minorHAnsi" w:hAnsiTheme="minorHAnsi" w:cstheme="minorHAnsi"/>
          <w:color w:val="auto"/>
        </w:rPr>
      </w:pPr>
      <w:r>
        <w:rPr>
          <w:rFonts w:asciiTheme="minorHAnsi" w:hAnsiTheme="minorHAnsi" w:cstheme="minorHAnsi"/>
          <w:color w:val="auto"/>
        </w:rPr>
        <w:t>Critical steps of the VLP capture assay are the coating of the beads with capture antibodies – here bNAbs – and the subsequent capture of the antigen-positive VLPs by the antibody-coated beads. Successful coating of the beads with antibodies depends on the choice of the conjugated immunoglobulin (Ig)-binding protein. The donor species as well as the Ig class of the antibodies</w:t>
      </w:r>
      <w:r w:rsidR="00D25F42">
        <w:rPr>
          <w:rFonts w:asciiTheme="minorHAnsi" w:hAnsiTheme="minorHAnsi" w:cstheme="minorHAnsi"/>
          <w:color w:val="auto"/>
        </w:rPr>
        <w:t>,</w:t>
      </w:r>
      <w:r>
        <w:rPr>
          <w:rFonts w:asciiTheme="minorHAnsi" w:hAnsiTheme="minorHAnsi" w:cstheme="minorHAnsi"/>
          <w:color w:val="auto"/>
        </w:rPr>
        <w:t xml:space="preserve"> determine </w:t>
      </w:r>
      <w:r w:rsidR="003736D3">
        <w:rPr>
          <w:rFonts w:asciiTheme="minorHAnsi" w:hAnsiTheme="minorHAnsi" w:cstheme="minorHAnsi"/>
          <w:color w:val="auto"/>
        </w:rPr>
        <w:t xml:space="preserve">whether </w:t>
      </w:r>
      <w:r>
        <w:rPr>
          <w:rFonts w:asciiTheme="minorHAnsi" w:hAnsiTheme="minorHAnsi" w:cstheme="minorHAnsi"/>
          <w:color w:val="auto"/>
        </w:rPr>
        <w:t>protein G- or protein A-conjugated beads are preferable. For most species and Ig classes</w:t>
      </w:r>
      <w:r w:rsidR="00D25F42">
        <w:rPr>
          <w:rFonts w:asciiTheme="minorHAnsi" w:hAnsiTheme="minorHAnsi" w:cstheme="minorHAnsi"/>
          <w:color w:val="auto"/>
        </w:rPr>
        <w:t>,</w:t>
      </w:r>
      <w:r>
        <w:rPr>
          <w:rFonts w:asciiTheme="minorHAnsi" w:hAnsiTheme="minorHAnsi" w:cstheme="minorHAnsi"/>
          <w:color w:val="auto"/>
        </w:rPr>
        <w:t xml:space="preserve"> protein G is the ligand of choice</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{"citationItems":[{"id":"ITEM-1","itemData":{"DOI":"10.3109/13880209.2011.653493","ISSN":"13880209","PMID":"22480305","abstract":"Context: Affinity chromatography is an efficient antibody, antigen and protein separation method based on the interaction between specific immobilized ligands and target antibody, antigen, and so on. Populations of available ligands can be used to separate antibodies or their Fab fragments. Similarly, antigens can be isolated by immunoaffinity chromatography (IAC) on immobilized antibodies of low affinity. Objective: This review describes the advantages, the applications, as well as the drawbacks, of IAC in the separation and purification of antibodies and antigens. Methods: The present review discussed all types of purification and isolation of antibodies and antigens by IAC, including purification of antibodies using immobilized and synthetic mimic proteins A, G and L; isolation of Fab fragments of antibodies; separation of antibodies against different antigen forms; isolation of antigens by immobilized antibodies and so on. These methods come from over 60 references compiled from all major databases. Results: Purification of antigens with antibodies should choose low-affinity antibodies to avoid denaturation of most proteins. Concern for cost and safety, prompted research activities focused on novel synthetic ligands with improved properties such as lower cost, avoidance of the risk of contamination associated with natural ligands of human or animal origin to isolate antibodies and antigens. Conclusion: It is anticipated that the improvements of IAC will have impact not only on large-scale production of antibodies but also on the generation of new affinity-based methods for the increasing number of proteins and antibody derivatives available by protein engineering and the proteomics revolution. © 2012 Informa Healthcare USA, Inc.","author":[{"dropping-particle":"","family":"Sheng","given":"Shuai","non-dropping-particle":"","parse-names":false,"suffix":""},{"dropping-particle":"","family":"Kong","given":"Fansheng","non-dropping-particle":"","parse-names":false,"suffix":""}],"container-title":"Pharmaceutical Biology","id":"ITEM-1","issue":"8","issued":{"date-parts":[["2012"]]},"page":"1038-1044","title":"Separation of antigens and antibodies by immunoaffinity chromatography","type":"article-journal","volume":"50"},"uris":["http://www.mendeley.com/documents/?uuid=23cac14c-56e4-4307-8c38-21ac38099818"]}],"mendeley":{"formattedCitation":"&lt;sup&gt;32&lt;/sup&gt;","plainTextFormattedCitation":"32","previouslyFormattedCitation":"&lt;sup&gt;32&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32</w:t>
      </w:r>
      <w:r>
        <w:rPr>
          <w:rFonts w:asciiTheme="minorHAnsi" w:hAnsiTheme="minorHAnsi" w:cstheme="minorHAnsi"/>
          <w:b/>
          <w:color w:val="auto"/>
        </w:rPr>
        <w:fldChar w:fldCharType="end"/>
      </w:r>
      <w:r>
        <w:rPr>
          <w:rFonts w:asciiTheme="minorHAnsi" w:hAnsiTheme="minorHAnsi" w:cstheme="minorHAnsi"/>
          <w:color w:val="auto"/>
        </w:rPr>
        <w:t xml:space="preserve">. As an alternative to protein A/G-conjugated beads, streptavidin beads for the coating with biotinylated antibodies are available. Beads can also be covalently coupled with antibodies. </w:t>
      </w:r>
    </w:p>
    <w:p w14:paraId="0B3FDD4B" w14:textId="77777777" w:rsidR="009001EE" w:rsidRDefault="009001EE">
      <w:pPr>
        <w:rPr>
          <w:rFonts w:asciiTheme="minorHAnsi" w:hAnsiTheme="minorHAnsi" w:cstheme="minorHAnsi"/>
          <w:color w:val="auto"/>
        </w:rPr>
      </w:pPr>
    </w:p>
    <w:p w14:paraId="2C194F27" w14:textId="6B54868F" w:rsidR="009001EE" w:rsidRDefault="00E01D80">
      <w:r>
        <w:rPr>
          <w:rFonts w:asciiTheme="minorHAnsi" w:hAnsiTheme="minorHAnsi" w:cstheme="minorHAnsi"/>
          <w:color w:val="auto"/>
        </w:rPr>
        <w:t>The capture of the VLPs by antibody-coated beads depends on thorough mixing, sufficient incubation time, antigen abundance</w:t>
      </w:r>
      <w:r w:rsidR="00D25F42">
        <w:rPr>
          <w:rFonts w:asciiTheme="minorHAnsi" w:hAnsiTheme="minorHAnsi" w:cstheme="minorHAnsi"/>
          <w:color w:val="auto"/>
        </w:rPr>
        <w:t>,</w:t>
      </w:r>
      <w:r>
        <w:rPr>
          <w:rFonts w:asciiTheme="minorHAnsi" w:hAnsiTheme="minorHAnsi" w:cstheme="minorHAnsi"/>
          <w:color w:val="auto"/>
        </w:rPr>
        <w:t xml:space="preserve"> and affinity of the capture antibody. In our experience, thorough mixing of the antibody-coated beads with the VLP samples is best achieved by the utilization of volumes </w:t>
      </w:r>
      <w:r w:rsidR="003736D3">
        <w:rPr>
          <w:rFonts w:asciiTheme="minorHAnsi" w:hAnsiTheme="minorHAnsi" w:cstheme="minorHAnsi"/>
          <w:color w:val="auto"/>
        </w:rPr>
        <w:t>&gt;</w:t>
      </w:r>
      <w:r>
        <w:rPr>
          <w:rFonts w:asciiTheme="minorHAnsi" w:hAnsiTheme="minorHAnsi" w:cstheme="minorHAnsi"/>
          <w:color w:val="auto"/>
        </w:rPr>
        <w:t>500</w:t>
      </w:r>
      <w:r w:rsidR="003736D3">
        <w:rPr>
          <w:rFonts w:asciiTheme="minorHAnsi" w:hAnsiTheme="minorHAnsi" w:cstheme="minorHAnsi"/>
        </w:rPr>
        <w:t> </w:t>
      </w:r>
      <w:r>
        <w:rPr>
          <w:rFonts w:asciiTheme="minorHAnsi" w:hAnsiTheme="minorHAnsi" w:cstheme="minorHAnsi"/>
          <w:color w:val="auto"/>
        </w:rPr>
        <w:t>µL in 1.5</w:t>
      </w:r>
      <w:r w:rsidR="003736D3">
        <w:rPr>
          <w:rFonts w:asciiTheme="minorHAnsi" w:hAnsiTheme="minorHAnsi" w:cstheme="minorHAnsi"/>
        </w:rPr>
        <w:t> </w:t>
      </w:r>
      <w:r>
        <w:rPr>
          <w:rFonts w:asciiTheme="minorHAnsi" w:hAnsiTheme="minorHAnsi" w:cstheme="minorHAnsi"/>
          <w:color w:val="auto"/>
        </w:rPr>
        <w:t xml:space="preserve">mL tubes under rotation for at least </w:t>
      </w:r>
      <w:r w:rsidR="00D25F42">
        <w:rPr>
          <w:rFonts w:asciiTheme="minorHAnsi" w:hAnsiTheme="minorHAnsi" w:cstheme="minorHAnsi"/>
          <w:color w:val="auto"/>
        </w:rPr>
        <w:t xml:space="preserve">2 </w:t>
      </w:r>
      <w:r>
        <w:rPr>
          <w:rFonts w:asciiTheme="minorHAnsi" w:hAnsiTheme="minorHAnsi" w:cstheme="minorHAnsi"/>
          <w:color w:val="auto"/>
        </w:rPr>
        <w:t>h at room temperature or 4</w:t>
      </w:r>
      <w:r w:rsidR="003736D3">
        <w:rPr>
          <w:rFonts w:asciiTheme="minorHAnsi" w:hAnsiTheme="minorHAnsi" w:cstheme="minorHAnsi"/>
        </w:rPr>
        <w:t> </w:t>
      </w:r>
      <w:r>
        <w:rPr>
          <w:rFonts w:asciiTheme="minorHAnsi" w:hAnsiTheme="minorHAnsi" w:cstheme="minorHAnsi"/>
          <w:color w:val="auto"/>
        </w:rPr>
        <w:t>°C. Another potential hurdle is the too low amount of VLPs in the sample. For antibodies strongly binding the target antigen, VLP inputs as low as 15 </w:t>
      </w:r>
      <w:r>
        <w:rPr>
          <w:rFonts w:asciiTheme="minorHAnsi" w:hAnsiTheme="minorHAnsi" w:cstheme="minorHAnsi"/>
        </w:rPr>
        <w:t>ng of Gag protein usually allow for readily detectable amounts of the viral core proteins utilizing Western blot</w:t>
      </w:r>
      <w:r w:rsidR="00D25F42">
        <w:rPr>
          <w:rFonts w:asciiTheme="minorHAnsi" w:hAnsiTheme="minorHAnsi" w:cstheme="minorHAnsi"/>
        </w:rPr>
        <w:t xml:space="preserve"> </w:t>
      </w:r>
      <w:r>
        <w:rPr>
          <w:rFonts w:asciiTheme="minorHAnsi" w:hAnsiTheme="minorHAnsi" w:cstheme="minorHAnsi"/>
        </w:rPr>
        <w:t xml:space="preserve">analysis. However, </w:t>
      </w:r>
      <w:r w:rsidR="00D25F42">
        <w:rPr>
          <w:rFonts w:asciiTheme="minorHAnsi" w:hAnsiTheme="minorHAnsi" w:cstheme="minorHAnsi"/>
        </w:rPr>
        <w:t>low-</w:t>
      </w:r>
      <w:r>
        <w:rPr>
          <w:rFonts w:asciiTheme="minorHAnsi" w:hAnsiTheme="minorHAnsi" w:cstheme="minorHAnsi"/>
        </w:rPr>
        <w:t xml:space="preserve">affinity antibodies require higher input amounts, </w:t>
      </w:r>
      <w:r w:rsidRPr="00BC459E">
        <w:rPr>
          <w:rFonts w:asciiTheme="minorHAnsi" w:hAnsiTheme="minorHAnsi" w:cstheme="minorHAnsi"/>
          <w:iCs/>
        </w:rPr>
        <w:t>e.g</w:t>
      </w:r>
      <w:r>
        <w:rPr>
          <w:rFonts w:asciiTheme="minorHAnsi" w:hAnsiTheme="minorHAnsi" w:cstheme="minorHAnsi"/>
          <w:i/>
        </w:rPr>
        <w:t>.</w:t>
      </w:r>
      <w:r w:rsidR="00D25F42">
        <w:rPr>
          <w:rFonts w:asciiTheme="minorHAnsi" w:hAnsiTheme="minorHAnsi" w:cstheme="minorHAnsi"/>
          <w:i/>
        </w:rPr>
        <w:t>,</w:t>
      </w:r>
      <w:r>
        <w:rPr>
          <w:rFonts w:asciiTheme="minorHAnsi" w:hAnsiTheme="minorHAnsi" w:cstheme="minorHAnsi"/>
        </w:rPr>
        <w:t xml:space="preserve"> 100 ng of Gag protein, to obtain conclusive results (</w:t>
      </w:r>
      <w:r w:rsidRPr="00BC459E">
        <w:rPr>
          <w:rFonts w:asciiTheme="minorHAnsi" w:hAnsiTheme="minorHAnsi" w:cstheme="minorHAnsi"/>
          <w:b/>
          <w:bCs/>
        </w:rPr>
        <w:t>Fig</w:t>
      </w:r>
      <w:r w:rsidR="00D25F42" w:rsidRPr="00BC459E">
        <w:rPr>
          <w:rFonts w:asciiTheme="minorHAnsi" w:hAnsiTheme="minorHAnsi" w:cstheme="minorHAnsi"/>
          <w:b/>
          <w:bCs/>
        </w:rPr>
        <w:t>ure</w:t>
      </w:r>
      <w:r w:rsidRPr="00BC459E">
        <w:rPr>
          <w:rFonts w:asciiTheme="minorHAnsi" w:hAnsiTheme="minorHAnsi" w:cstheme="minorHAnsi"/>
          <w:b/>
          <w:bCs/>
        </w:rPr>
        <w:t> 3</w:t>
      </w:r>
      <w:r>
        <w:rPr>
          <w:rFonts w:asciiTheme="minorHAnsi" w:hAnsiTheme="minorHAnsi" w:cstheme="minorHAnsi"/>
        </w:rPr>
        <w:t>, bNAb 3).</w:t>
      </w:r>
    </w:p>
    <w:p w14:paraId="61FE5AE4" w14:textId="77777777" w:rsidR="009001EE" w:rsidRDefault="009001EE">
      <w:pPr>
        <w:rPr>
          <w:rFonts w:asciiTheme="minorHAnsi" w:hAnsiTheme="minorHAnsi" w:cstheme="minorHAnsi"/>
          <w:color w:val="auto"/>
        </w:rPr>
      </w:pPr>
    </w:p>
    <w:p w14:paraId="75F1C0DB" w14:textId="675E898B" w:rsidR="009001EE" w:rsidRDefault="00E01D80">
      <w:pPr>
        <w:rPr>
          <w:rFonts w:asciiTheme="minorHAnsi" w:hAnsiTheme="minorHAnsi" w:cstheme="minorHAnsi"/>
          <w:color w:val="auto"/>
        </w:rPr>
      </w:pPr>
      <w:r>
        <w:rPr>
          <w:rFonts w:asciiTheme="minorHAnsi" w:hAnsiTheme="minorHAnsi" w:cstheme="minorHAnsi"/>
          <w:color w:val="auto"/>
        </w:rPr>
        <w:t xml:space="preserve">Some surface antigens are prone to protease degradation. Here, we recommend the addition of protease inhibitors to the VLP samples and incubation at 4 °C. Non-specific adhesion of host cell proteins and VLPs to the bead-bound antibodies </w:t>
      </w:r>
      <w:r w:rsidR="00D25F42">
        <w:rPr>
          <w:rFonts w:asciiTheme="minorHAnsi" w:hAnsiTheme="minorHAnsi" w:cstheme="minorHAnsi"/>
          <w:color w:val="auto"/>
        </w:rPr>
        <w:t>is rarely observed and should be excluded by utilizing</w:t>
      </w:r>
      <w:r>
        <w:rPr>
          <w:rFonts w:asciiTheme="minorHAnsi" w:hAnsiTheme="minorHAnsi" w:cstheme="minorHAnsi"/>
          <w:color w:val="auto"/>
        </w:rPr>
        <w:t xml:space="preserve"> appropriate negative controls</w:t>
      </w:r>
      <w:r w:rsidR="00D25F42">
        <w:rPr>
          <w:rFonts w:asciiTheme="minorHAnsi" w:hAnsiTheme="minorHAnsi" w:cstheme="minorHAnsi"/>
          <w:color w:val="auto"/>
        </w:rPr>
        <w:t>,</w:t>
      </w:r>
      <w:r>
        <w:rPr>
          <w:rFonts w:asciiTheme="minorHAnsi" w:hAnsiTheme="minorHAnsi" w:cstheme="minorHAnsi"/>
          <w:color w:val="auto"/>
        </w:rPr>
        <w:t xml:space="preserve"> as we demonstrated here using mock and bald VLP samples</w:t>
      </w:r>
      <w:r w:rsidR="00EC5ED3">
        <w:rPr>
          <w:rFonts w:asciiTheme="minorHAnsi" w:hAnsiTheme="minorHAnsi" w:cstheme="minorHAnsi"/>
          <w:color w:val="auto"/>
        </w:rPr>
        <w:t xml:space="preserve"> and isotype control antibodies</w:t>
      </w:r>
      <w:r>
        <w:rPr>
          <w:rFonts w:asciiTheme="minorHAnsi" w:hAnsiTheme="minorHAnsi" w:cstheme="minorHAnsi"/>
          <w:color w:val="auto"/>
        </w:rPr>
        <w:t>. Strategies to reduce non-specific binding include extended washing steps and the addition of casein in the washing buffer</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{"citationItems":[{"id":"ITEM-1","itemData":{"DOI":"10.1126/sciimmunol.aam7341","ISSN":"24709468","PMID":"28763793","abstract":"The intestinal mucosa is a key anatomical site for HIV-1 replication and CD4+ T cell depletion. Accordingly, in vivo treatment with an antibody to the gut-homing integrin 47 was shown to reduce viral transmission, delay disease progression, and induce persistent virus control in macaques challenged with simian immunodeficiency virus (SIV). We show that integrin 47 is efficiently incorporated into the envelope of HIV-1 virions. Incorporated 47 is functionally active as it binds mucosal addressin cell adhesion molecule–1 (MAdCAM-1), promoting HIV-1 capture by and infection of MAdCAM-expressing cells, which in turn mediate trans-infection of bystander cells. Functional 47 is present in circulating virions from HIV-infected patients and SIV-infected macaques, with peak levels during the early stages of infection. In vivo homing experiments documented selective and specific uptake of 47+ HIV-1 virions by high endothelial venules in the intestinal mucosa. These results extend the paradigm of tissue homing to a retrovirus and are relevant for the pathogenesis, treatment, and prevention of HIV-1 infection.","author":[{"dropping-particle":"","family":"Guzzo","given":"Christina","non-dropping-particle":"","parse-names":false,"suffix":""},{"dropping-particle":"","family":"Ichikawa","given":"David","non-dropping-particle":"","parse-names":false,"suffix":""},{"dropping-particle":"","family":"Park","given":"Chung","non-dropping-particle":"","parse-names":false,"suffix":""},{"dropping-particle":"","family":"Phillips","given":"Damilola","non-dropping-particle":"","parse-names":false,"suffix":""},{"dropping-particle":"","family":"Liu","given":"Qingbo","non-dropping-particle":"","parse-names":false,"suffix":""},{"dropping-particle":"","family":"Zhang","given":"Peng","non-dropping-particle":"","parse-names":false,"suffix":""},{"dropping-particle":"","family":"Kwon","given":"Alice","non-dropping-particle":"","parse-names":false,"suffix":""},{"dropping-particle":"","family":"Miao","given":"Huiyi","non-dropping-particle":"","parse-names":false,"suffix":""},{"dropping-particle":"","family":"Lu","given":"Jacky","non-dropping-particle":"","parse-names":false,"suffix":""},{"dropping-particle":"","family":"Rehm","given":"Catherine","non-dropping-particle":"","parse-names":false,"suffix":""},{"dropping-particle":"","family":"Arthos","given":"James","non-dropping-particle":"","parse-names":false,"suffix":""},{"dropping-particle":"","family":"Cicala","given":"Claudia","non-dropping-particle":"","parse-names":false,"suffix":""},{"dropping-particle":"","family":"Cohen","given":"Myron S.","non-dropping-particle":"","parse-names":false,"suffix":""},{"dropping-particle":"","family":"Fauci","given":"Anthony S.","non-dropping-particle":"","parse-names":false,"suffix":""},{"dropping-particle":"","family":"Kehrl","given":"John H.","non-dropping-particle":"","parse-names":false,"suffix":""},{"dropping-particle":"","family":"Lusso","given":"Paolo","non-dropping-particle":"","parse-names":false,"suffix":""}],"container-title":"Science Immunology","id":"ITEM-1","issue":"11","issued":{"date-parts":[["2017"]]},"title":"Virion incorporation of integrin 47 facilitates HIV-1 infection and intestinal homing","type":"article-journal","volume":"2"},"uris":["http://www.mendeley.com/documents/?uuid=3807a341-434c-4aed-8a3a-0d9969e5bbda"]}],"mendeley":{"formattedCitation":"&lt;sup&gt;33&lt;/sup&gt;","plainTextFormattedCitation":"33","previouslyFormattedCitation":"&lt;sup&gt;33&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33</w:t>
      </w:r>
      <w:r>
        <w:rPr>
          <w:rFonts w:asciiTheme="minorHAnsi" w:hAnsiTheme="minorHAnsi" w:cstheme="minorHAnsi"/>
          <w:b/>
          <w:color w:val="auto"/>
        </w:rPr>
        <w:fldChar w:fldCharType="end"/>
      </w:r>
      <w:r>
        <w:rPr>
          <w:rFonts w:asciiTheme="minorHAnsi" w:hAnsiTheme="minorHAnsi" w:cstheme="minorHAnsi"/>
          <w:color w:val="auto"/>
        </w:rPr>
        <w:t xml:space="preserve">. Furthermore, the capture assay may also be improved by determining the optimal ratio of antibody to </w:t>
      </w:r>
      <w:r w:rsidR="003736D3">
        <w:rPr>
          <w:rFonts w:asciiTheme="minorHAnsi" w:hAnsiTheme="minorHAnsi" w:cstheme="minorHAnsi"/>
          <w:color w:val="auto"/>
        </w:rPr>
        <w:t xml:space="preserve">antigen-displaying VLP </w:t>
      </w:r>
      <w:r>
        <w:rPr>
          <w:rFonts w:asciiTheme="minorHAnsi" w:hAnsiTheme="minorHAnsi" w:cstheme="minorHAnsi"/>
          <w:color w:val="auto"/>
        </w:rPr>
        <w:t>amount.</w:t>
      </w:r>
    </w:p>
    <w:p w14:paraId="56807E34" w14:textId="77777777" w:rsidR="009001EE" w:rsidRDefault="009001EE">
      <w:pPr>
        <w:rPr>
          <w:rFonts w:asciiTheme="minorHAnsi" w:hAnsiTheme="minorHAnsi" w:cstheme="minorHAnsi"/>
          <w:color w:val="auto"/>
        </w:rPr>
      </w:pPr>
    </w:p>
    <w:p w14:paraId="1A76796B" w14:textId="30CF7A4E" w:rsidR="009001EE" w:rsidRDefault="00E01D80">
      <w:pPr>
        <w:rPr>
          <w:rFonts w:asciiTheme="minorHAnsi" w:hAnsiTheme="minorHAnsi" w:cstheme="minorHAnsi"/>
          <w:color w:val="auto"/>
        </w:rPr>
      </w:pPr>
      <w:r>
        <w:rPr>
          <w:rFonts w:asciiTheme="minorHAnsi" w:hAnsiTheme="minorHAnsi" w:cstheme="minorHAnsi"/>
          <w:color w:val="auto"/>
        </w:rPr>
        <w:t xml:space="preserve">In the last step of the VLP capture assay, we describe the elution of the immune complexes from the beads by boiling in reducing Laemmli buffer. During this step, the VLPs </w:t>
      </w:r>
      <w:r w:rsidR="003736D3">
        <w:rPr>
          <w:rFonts w:asciiTheme="minorHAnsi" w:hAnsiTheme="minorHAnsi" w:cstheme="minorHAnsi"/>
          <w:color w:val="auto"/>
        </w:rPr>
        <w:t>are disassembled</w:t>
      </w:r>
      <w:r w:rsidR="00D25F42">
        <w:rPr>
          <w:rFonts w:asciiTheme="minorHAnsi" w:hAnsiTheme="minorHAnsi" w:cstheme="minorHAnsi"/>
          <w:color w:val="auto"/>
        </w:rPr>
        <w:t>,</w:t>
      </w:r>
      <w:r w:rsidR="003736D3">
        <w:rPr>
          <w:rFonts w:asciiTheme="minorHAnsi" w:hAnsiTheme="minorHAnsi" w:cstheme="minorHAnsi"/>
          <w:color w:val="auto"/>
        </w:rPr>
        <w:t xml:space="preserve"> </w:t>
      </w:r>
      <w:r>
        <w:rPr>
          <w:rFonts w:asciiTheme="minorHAnsi" w:hAnsiTheme="minorHAnsi" w:cstheme="minorHAnsi"/>
          <w:color w:val="auto"/>
        </w:rPr>
        <w:t xml:space="preserve">and </w:t>
      </w:r>
      <w:r>
        <w:rPr>
          <w:rFonts w:asciiTheme="minorHAnsi" w:hAnsiTheme="minorHAnsi" w:cstheme="minorHAnsi"/>
          <w:color w:val="auto"/>
        </w:rPr>
        <w:lastRenderedPageBreak/>
        <w:t xml:space="preserve">the capture antibodies </w:t>
      </w:r>
      <w:r w:rsidR="003736D3">
        <w:rPr>
          <w:rFonts w:asciiTheme="minorHAnsi" w:hAnsiTheme="minorHAnsi" w:cstheme="minorHAnsi"/>
          <w:color w:val="auto"/>
        </w:rPr>
        <w:t xml:space="preserve">and target antigens </w:t>
      </w:r>
      <w:r>
        <w:rPr>
          <w:rFonts w:asciiTheme="minorHAnsi" w:hAnsiTheme="minorHAnsi" w:cstheme="minorHAnsi"/>
          <w:color w:val="auto"/>
        </w:rPr>
        <w:t>are separated from the beads. Notably, the donor species of the primary antibody used in the subsequent Western blot</w:t>
      </w:r>
      <w:r w:rsidR="00D25F42">
        <w:rPr>
          <w:rFonts w:asciiTheme="minorHAnsi" w:hAnsiTheme="minorHAnsi" w:cstheme="minorHAnsi"/>
          <w:color w:val="auto"/>
        </w:rPr>
        <w:t xml:space="preserve"> </w:t>
      </w:r>
      <w:r>
        <w:rPr>
          <w:rFonts w:asciiTheme="minorHAnsi" w:hAnsiTheme="minorHAnsi" w:cstheme="minorHAnsi"/>
          <w:color w:val="auto"/>
        </w:rPr>
        <w:t xml:space="preserve">analysis has to differ from the donor of the capture antibody to avoid the unintended detection of the capture antibody by the secondary anti-donor IgG HRP-conjugated antibodies. </w:t>
      </w:r>
    </w:p>
    <w:p w14:paraId="4E1CC042" w14:textId="77777777" w:rsidR="009001EE" w:rsidRDefault="009001EE">
      <w:pPr>
        <w:rPr>
          <w:rFonts w:asciiTheme="minorHAnsi" w:hAnsiTheme="minorHAnsi" w:cstheme="minorHAnsi"/>
          <w:color w:val="auto"/>
        </w:rPr>
      </w:pPr>
    </w:p>
    <w:p w14:paraId="40087B45" w14:textId="26F0CF24" w:rsidR="009001EE" w:rsidRDefault="00E01D80">
      <w:pPr>
        <w:rPr>
          <w:rFonts w:cstheme="minorHAnsi"/>
          <w:color w:val="auto"/>
        </w:rPr>
      </w:pPr>
      <w:r>
        <w:rPr>
          <w:rFonts w:asciiTheme="minorHAnsi" w:hAnsiTheme="minorHAnsi" w:cstheme="minorHAnsi"/>
          <w:color w:val="auto"/>
        </w:rPr>
        <w:t xml:space="preserve">The VLP capture assay presented here provides an easy-to-use and sensitive method to detect </w:t>
      </w:r>
      <w:r>
        <w:rPr>
          <w:rFonts w:asciiTheme="minorHAnsi" w:hAnsiTheme="minorHAnsi" w:cstheme="minorHAnsi"/>
        </w:rPr>
        <w:t xml:space="preserve">neutralization </w:t>
      </w:r>
      <w:r>
        <w:rPr>
          <w:rFonts w:asciiTheme="minorHAnsi" w:hAnsiTheme="minorHAnsi" w:cstheme="minorHAnsi"/>
          <w:color w:val="auto"/>
        </w:rPr>
        <w:t xml:space="preserve">epitopes in structural intact target antigens displayed on VLP surfaces. However, the capture assay does not enable direct epitope quantification. ELISA performed with bNAbs are instrumental for this purpose and should be conducted in parallel, particularly if examined VLPs are intended </w:t>
      </w:r>
      <w:r w:rsidR="003736D3">
        <w:rPr>
          <w:rFonts w:asciiTheme="minorHAnsi" w:hAnsiTheme="minorHAnsi" w:cstheme="minorHAnsi"/>
          <w:color w:val="auto"/>
        </w:rPr>
        <w:t xml:space="preserve">to be used in </w:t>
      </w:r>
      <w:r>
        <w:rPr>
          <w:rFonts w:asciiTheme="minorHAnsi" w:hAnsiTheme="minorHAnsi" w:cstheme="minorHAnsi"/>
          <w:color w:val="auto"/>
        </w:rPr>
        <w:t xml:space="preserve">preclinical studies </w:t>
      </w:r>
      <w:r w:rsidR="003736D3">
        <w:rPr>
          <w:rFonts w:asciiTheme="minorHAnsi" w:hAnsiTheme="minorHAnsi" w:cstheme="minorHAnsi"/>
          <w:color w:val="auto"/>
        </w:rPr>
        <w:t xml:space="preserve">employing </w:t>
      </w:r>
      <w:r>
        <w:rPr>
          <w:rFonts w:asciiTheme="minorHAnsi" w:hAnsiTheme="minorHAnsi" w:cstheme="minorHAnsi"/>
          <w:color w:val="auto"/>
        </w:rPr>
        <w:t>animal models</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{"citationItems":[{"id":"ITEM-1","itemData":{"DOI":"10.1016/j.vaccine.2014.02.025","ISSN":"18732518","PMID":"24662711","abstract":"The protein encoded by ORF2 in hepatitis E virus (HEV) is the only capsid protein for this single-stranded RNA virus. It was previously shown that 148 aa (aa 459-606) was needed for dimer formation, whereas 239 aa (aa 368-606) was necessary to form virus-like particles (VLPs). The self-assembled VLPs of p239 were characterized with a series of methods including high performance size-exclusion chromatography to demonstrate the particulate nature of purified and properly refolded p239. A neutralizing and protective mouse monoclonal antibody (mAb) 8C11 was previously shown to bind three discontinuous peptide segments in the dimer. In addition to the good binding activity to recombinant dimeric form, E2s or E2, and VLP form p239, we demonstrated that 8C11 was able to capture the authentic HEV virions. The capability of virus capturing was demonstrated with a titration curve from 105 to 107 HEV genome copies, making binding activity to 8C11 a surrogate marker of virion-like epitopes on recombinant VLPs as well as vaccine efficacy in eliciting protective and neutralizing antibodies. Taken together, it was demonstrated that Escherichia coli expressed pORF2 proteins, p239 in particular, maintain the virion-like epitopes on VLP surface. This is consistent with the fact that p239 was demonstrated to be an effective prophylactic vaccine (recently licensed as Hecolin® in China) against HEV-induced hepatitis in a large scale clinical trial. © 2014 Elsevier Ltd.","author":[{"dropping-particle":"","family":"Wei","given":"Minxi","non-dropping-particle":"","parse-names":false,"suffix":""},{"dropping-particle":"","family":"Zhang","given":"Xiao","non-dropping-particle":"","parse-names":false,"suffix":""},{"dropping-particle":"","family":"Yu","given":"Hai","non-dropping-particle":"","parse-names":false,"suffix":""},{"dropping-particle":"","family":"Tang","given":"Zi Min","non-dropping-particle":"","parse-names":false,"suffix":""},{"dropping-particle":"","family":"Wang","given":"Kaihang","non-dropping-particle":"","parse-names":false,"suffix":""},{"dropping-particle":"","family":"Li","given":"Zhongyi","non-dropping-particle":"","parse-names":false,"suffix":""},{"dropping-particle":"","family":"Zheng","given":"Zizheng","non-dropping-particle":"","parse-names":false,"suffix":""},{"dropping-particle":"","family":"Li","given":"Shaowei","non-dropping-particle":"","parse-names":false,"suffix":""},{"dropping-particle":"","family":"Zhang","given":"Jun","non-dropping-particle":"","parse-names":false,"suffix":""},{"dropping-particle":"","family":"Xia","given":"Ningshao","non-dropping-particle":"","parse-names":false,"suffix":""},{"dropping-particle":"","family":"Zhao","given":"Qinjian","non-dropping-particle":"","parse-names":false,"suffix":""}],"container-title":"Vaccine","id":"ITEM-1","issue":"24","issued":{"date-parts":[["2014"]]},"page":"2859-2865","publisher":"Elsevier Ltd","title":"Bacteria expressed hepatitis E virus capsid proteins maintain virion-like epitopes","type":"article-journal","volume":"32"},"uris":["http://www.mendeley.com/documents/?uuid=0f6d0133-bfa9-41dd-a362-c3501c36667a"]}],"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34</w:t>
      </w:r>
      <w:r>
        <w:rPr>
          <w:rFonts w:asciiTheme="minorHAnsi" w:hAnsiTheme="minorHAnsi" w:cstheme="minorHAnsi"/>
          <w:b/>
          <w:color w:val="auto"/>
        </w:rPr>
        <w:fldChar w:fldCharType="end"/>
      </w:r>
      <w:r>
        <w:rPr>
          <w:rFonts w:asciiTheme="minorHAnsi" w:hAnsiTheme="minorHAnsi" w:cstheme="minorHAnsi"/>
          <w:color w:val="auto"/>
        </w:rPr>
        <w:t xml:space="preserve">. This is pivotal, as the </w:t>
      </w:r>
      <w:r w:rsidR="00F45662">
        <w:rPr>
          <w:rFonts w:asciiTheme="minorHAnsi" w:hAnsiTheme="minorHAnsi" w:cstheme="minorHAnsi"/>
          <w:color w:val="auto"/>
        </w:rPr>
        <w:t xml:space="preserve">amount </w:t>
      </w:r>
      <w:r w:rsidR="00D25F42">
        <w:rPr>
          <w:rFonts w:asciiTheme="minorHAnsi" w:hAnsiTheme="minorHAnsi" w:cstheme="minorHAnsi"/>
          <w:color w:val="auto"/>
        </w:rPr>
        <w:t xml:space="preserve">of </w:t>
      </w:r>
      <w:r>
        <w:rPr>
          <w:rFonts w:asciiTheme="minorHAnsi" w:hAnsiTheme="minorHAnsi" w:cstheme="minorHAnsi"/>
          <w:color w:val="auto"/>
        </w:rPr>
        <w:t>antigen can directly correlate with the elicitation of a neutralizing antibody response in immunized animals</w:t>
      </w:r>
      <w:r w:rsidR="00D25F42">
        <w:rPr>
          <w:rFonts w:asciiTheme="minorHAnsi" w:hAnsiTheme="minorHAnsi" w:cstheme="minorHAnsi"/>
          <w:color w:val="auto"/>
        </w:rPr>
        <w:t>,</w:t>
      </w:r>
      <w:r>
        <w:rPr>
          <w:rFonts w:asciiTheme="minorHAnsi" w:hAnsiTheme="minorHAnsi" w:cstheme="minorHAnsi"/>
          <w:color w:val="auto"/>
        </w:rPr>
        <w:t xml:space="preserve"> as shown for porcine circovirus type 2 (PCV2) vaccines</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{"citationItems":[{"id":"ITEM-1","itemData":{"DOI":"10.1016/j.bbrc.2018.01.141","ISSN":"10902104","PMID":"29374509","abstract":"Viral pathogens have evolved a wide range of tactics to evade host immune responses and thus propagate effectively. One efficient tactic is to divert host immune responses toward an immunodominant decoy epitope and to induce non-neutralizing antibodies toward this epitope. Therefore, it is expected that the amount of decoy epitope in a subunit vaccine can affect the level of neutralizing antibody in an immunized animal. In this study, we tested this hypothesis by generating an antibody specific to the decoy epitope on the capsid protein of porcine circovirus type 2 (PCV2). Using this antibody, we found that two commercial vaccines contained statistically different amounts of the decoy epitope. The vaccine with lower levels of decoy epitope induced a significantly higher level of neutralizing antibody after immunization. This antibody can be used as an analytical tool to monitor the quality of a vaccine from batch to batch.","author":[{"dropping-particle":"","family":"Jin","given":"Junyeong","non-dropping-particle":"","parse-names":false,"suffix":""},{"dropping-particle":"","family":"Park","given":"Changhoon","non-dropping-particle":"","parse-names":false,"suffix":""},{"dropping-particle":"","family":"Cho","given":"Sun Hee","non-dropping-particle":"","parse-names":false,"suffix":""},{"dropping-particle":"","family":"Chung","given":"Junho","non-dropping-particle":"","parse-names":false,"suffix":""}],"container-title":"Biochemical and Biophysical Research Communications","id":"ITEM-1","issue":"3","issued":{"date-parts":[["2018"]]},"page":"846-851","publisher":"Elsevier Ltd","title":"The level of decoy epitope in PCV2 vaccine affects the neutralizing activity of sera in the immunized animals","type":"article-journal","volume":"496"},"uris":["http://www.mendeley.com/documents/?uuid=28b27f0c-2205-436f-b6ae-9cbb98e6ee39"]}],"mendeley":{"formattedCitation":"&lt;sup&gt;35&lt;/sup&gt;","plainTextFormattedCitation":"35","previouslyFormattedCitation":"&lt;sup&gt;35&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35</w:t>
      </w:r>
      <w:r>
        <w:rPr>
          <w:rFonts w:asciiTheme="minorHAnsi" w:hAnsiTheme="minorHAnsi" w:cstheme="minorHAnsi"/>
          <w:b/>
          <w:color w:val="auto"/>
        </w:rPr>
        <w:fldChar w:fldCharType="end"/>
      </w:r>
      <w:r>
        <w:rPr>
          <w:rFonts w:asciiTheme="minorHAnsi" w:hAnsiTheme="minorHAnsi" w:cstheme="minorHAnsi"/>
          <w:color w:val="auto"/>
        </w:rPr>
        <w:t xml:space="preserve">. </w:t>
      </w:r>
    </w:p>
    <w:p w14:paraId="206DD0FF" w14:textId="77777777" w:rsidR="009001EE" w:rsidRDefault="009001EE">
      <w:pPr>
        <w:rPr>
          <w:rFonts w:cstheme="minorHAnsi"/>
          <w:color w:val="auto"/>
        </w:rPr>
      </w:pPr>
    </w:p>
    <w:p w14:paraId="2FF792B1" w14:textId="2802FA16" w:rsidR="009001EE" w:rsidRDefault="00E01D80">
      <w:r>
        <w:rPr>
          <w:rFonts w:asciiTheme="minorHAnsi" w:hAnsiTheme="minorHAnsi" w:cstheme="minorHAnsi"/>
          <w:color w:val="auto"/>
        </w:rPr>
        <w:t xml:space="preserve">An ideal vaccine should result in the elicitation of bNAbs targeting the </w:t>
      </w:r>
      <w:r>
        <w:rPr>
          <w:rFonts w:asciiTheme="minorHAnsi" w:hAnsiTheme="minorHAnsi" w:cstheme="minorHAnsi"/>
        </w:rPr>
        <w:t xml:space="preserve">neutralization </w:t>
      </w:r>
      <w:r>
        <w:rPr>
          <w:rFonts w:asciiTheme="minorHAnsi" w:hAnsiTheme="minorHAnsi" w:cstheme="minorHAnsi"/>
          <w:color w:val="auto"/>
        </w:rPr>
        <w:t xml:space="preserve">epitopes on the virion surface. The analysis of these epitopes especially referring to their full structural integrity on the particulate vaccine surface is crucial for </w:t>
      </w:r>
      <w:r w:rsidR="00D25F42">
        <w:rPr>
          <w:rFonts w:asciiTheme="minorHAnsi" w:hAnsiTheme="minorHAnsi" w:cstheme="minorHAnsi"/>
          <w:color w:val="auto"/>
        </w:rPr>
        <w:t>identifying</w:t>
      </w:r>
      <w:r>
        <w:rPr>
          <w:rFonts w:asciiTheme="minorHAnsi" w:hAnsiTheme="minorHAnsi" w:cstheme="minorHAnsi"/>
          <w:color w:val="auto"/>
        </w:rPr>
        <w:t xml:space="preserve"> potential vaccine candidates. This is not only the case for HIV-derived VLPs but also for many other </w:t>
      </w:r>
      <w:r w:rsidR="00F45662">
        <w:rPr>
          <w:rFonts w:asciiTheme="minorHAnsi" w:hAnsiTheme="minorHAnsi" w:cstheme="minorHAnsi"/>
          <w:color w:val="auto"/>
        </w:rPr>
        <w:t xml:space="preserve">VLP </w:t>
      </w:r>
      <w:r>
        <w:rPr>
          <w:rFonts w:asciiTheme="minorHAnsi" w:hAnsiTheme="minorHAnsi" w:cstheme="minorHAnsi"/>
          <w:color w:val="auto"/>
        </w:rPr>
        <w:t>vaccines in development</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{"citationItems":[{"id":"ITEM-1","itemData":{"DOI":"10.1080/21645515.2015.1016675","ISSN":"2164554X","PMID":"25751641","abstract":"Recombinant VLP-based vaccines have been successfully used against 3 diseases caused by viral infections: Hepatitis B, cervical cancer and hepatitis E. The VLP approach is attracting increasing attention in vaccine design and development for human and veterinary use. This review summarizes the clinically relevant epitopes on the VLP antigens in successful human vaccines. These virion-like epitopes, which can be delineated with molecular biology, cryo-electron microscopy and x-ray crystallographic methods, are the prerequisites for these efficacious vaccines to elicit functional antibodies. The critical epitopes and key factors influencing these epitopes are discussed for the HEV, HPV and HBV vaccines. A pentamer (for HPV) or a dimer (for HEV and HBV), rather than a monomer, is the basic building block harboring critical epitopes for the assembly of VLP antigen. The processing and formulation of VLP-based vaccines need to be developed to promote the formation and stabilization of these epitopes in the recombinant antigens. Delineating the critical epitopes is essential for antigen design in the early phase of vaccine development and for critical quality attribute analysis in the commercial phase of vaccine manufacturing.","author":[{"dropping-particle":"","family":"Zhang","given":"Xiao","non-dropping-particle":"","parse-names":false,"suffix":""},{"dropping-particle":"","family":"Xin","given":"Lu","non-dropping-particle":"","parse-names":false,"suffix":""},{"dropping-particle":"","family":"Li","given":"Shaowei","non-dropping-particle":"","parse-names":false,"suffix":""},{"dropping-particle":"","family":"Fang","given":"Mujin","non-dropping-particle":"","parse-names":false,"suffix":""},{"dropping-particle":"","family":"Zhang","given":"Jun","non-dropping-particle":"","parse-names":false,"suffix":""},{"dropping-particle":"","family":"Xia","given":"Ningshao","non-dropping-particle":"","parse-names":false,"suffix":""},{"dropping-particle":"","family":"Zhao","given":"Qinjian","non-dropping-particle":"","parse-names":false,"suffix":""}],"container-title":"Human Vaccines and Immunotherapeutics","id":"ITEM-1","issue":"5","issued":{"date-parts":[["2015"]]},"page":"1277-1292","title":"Lessons learned from successful human vaccines: Delineating key epitopes by dissecting the capsid proteins","type":"article-journal","volume":"11"},"uris":["http://www.mendeley.com/documents/?uuid=23cbb9d8-936b-4234-aef2-5aa91df3a6e1"]}],"mendeley":{"formattedCitation":"&lt;sup&gt;36&lt;/sup&gt;","plainTextFormattedCitation":"36","previouslyFormattedCitation":"&lt;sup&gt;36&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36</w:t>
      </w:r>
      <w:r>
        <w:rPr>
          <w:rFonts w:asciiTheme="minorHAnsi" w:hAnsiTheme="minorHAnsi" w:cstheme="minorHAnsi"/>
          <w:b/>
          <w:color w:val="auto"/>
        </w:rPr>
        <w:fldChar w:fldCharType="end"/>
      </w:r>
      <w:r>
        <w:rPr>
          <w:rFonts w:asciiTheme="minorHAnsi" w:hAnsiTheme="minorHAnsi" w:cstheme="minorHAnsi"/>
          <w:color w:val="auto"/>
        </w:rPr>
        <w:t xml:space="preserve">. Prominent </w:t>
      </w:r>
      <w:r w:rsidR="00F45662">
        <w:rPr>
          <w:rFonts w:asciiTheme="minorHAnsi" w:hAnsiTheme="minorHAnsi" w:cstheme="minorHAnsi"/>
          <w:color w:val="auto"/>
        </w:rPr>
        <w:t>VLP-based vaccines</w:t>
      </w:r>
      <w:r>
        <w:rPr>
          <w:rFonts w:asciiTheme="minorHAnsi" w:hAnsiTheme="minorHAnsi" w:cstheme="minorHAnsi"/>
          <w:color w:val="auto"/>
        </w:rPr>
        <w:t xml:space="preserve"> are</w:t>
      </w:r>
      <w:r w:rsidR="00D25F42">
        <w:rPr>
          <w:rFonts w:asciiTheme="minorHAnsi" w:hAnsiTheme="minorHAnsi" w:cstheme="minorHAnsi"/>
          <w:color w:val="auto"/>
        </w:rPr>
        <w:t>,</w:t>
      </w:r>
      <w:r>
        <w:rPr>
          <w:rFonts w:asciiTheme="minorHAnsi" w:hAnsiTheme="minorHAnsi" w:cstheme="minorHAnsi"/>
          <w:color w:val="auto"/>
        </w:rPr>
        <w:t xml:space="preserve"> for example</w:t>
      </w:r>
      <w:r w:rsidR="00D25F42">
        <w:rPr>
          <w:rFonts w:asciiTheme="minorHAnsi" w:hAnsiTheme="minorHAnsi" w:cstheme="minorHAnsi"/>
          <w:color w:val="auto"/>
        </w:rPr>
        <w:t>,</w:t>
      </w:r>
      <w:r>
        <w:rPr>
          <w:rFonts w:asciiTheme="minorHAnsi" w:hAnsiTheme="minorHAnsi" w:cstheme="minorHAnsi"/>
          <w:color w:val="auto"/>
        </w:rPr>
        <w:t xml:space="preserve"> </w:t>
      </w:r>
      <w:r w:rsidR="00F45662">
        <w:rPr>
          <w:rFonts w:asciiTheme="minorHAnsi" w:hAnsiTheme="minorHAnsi" w:cstheme="minorHAnsi"/>
          <w:color w:val="auto"/>
        </w:rPr>
        <w:t xml:space="preserve">derived from </w:t>
      </w:r>
      <w:r>
        <w:rPr>
          <w:rFonts w:asciiTheme="minorHAnsi" w:hAnsiTheme="minorHAnsi" w:cstheme="minorHAnsi"/>
          <w:color w:val="auto"/>
        </w:rPr>
        <w:t xml:space="preserve">non-enveloped or capsid </w:t>
      </w:r>
      <w:r w:rsidR="00F45662">
        <w:rPr>
          <w:rFonts w:asciiTheme="minorHAnsi" w:hAnsiTheme="minorHAnsi" w:cstheme="minorHAnsi"/>
          <w:color w:val="auto"/>
        </w:rPr>
        <w:t xml:space="preserve">parental viruses such as </w:t>
      </w:r>
      <w:r>
        <w:rPr>
          <w:rFonts w:asciiTheme="minorHAnsi" w:hAnsiTheme="minorHAnsi" w:cstheme="minorHAnsi"/>
          <w:color w:val="auto"/>
        </w:rPr>
        <w:t>human papillomavirus (HPV). Unlike HIV-1 particles, which are formed by only one structural core protein, namely p55 Gag, and enveloped by the membrane originating from the VLP producer cell, HPV particles consist of only one or two structural core proteins</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{"citationItems":[{"id":"ITEM-1","itemData":{"DOI":"10.1128/JVI.00537-17","ISSN":"0022-538X","abstract":"During infectious entry, acidification within the endosome triggers uncoating of the human papillomavirus (HPV) capsid, whereupon host cyclophilins facilitate the release of most of the major capsid protein, L1, from the minor capsid protein L2 and the viral genome. The L2/DNA complex traffics to the trans -Golgi network (TGN). After the onset of mitosis, HPV-harboring transport vesicles bud from the TGN, followed by association with mitotic chromosomes. During this time, the HPV genome remains in a vesicular compartment until the nucleus has completely reformed. Recent data suggest that while most of L1 protein dissociates and is degraded in the endosome, some L1 protein remains associated with the viral genome. The L1 protein has DNA binding activity, and the L2 protein has multiple domains capable of interacting with L1 capsomeres. In this study, we report that some L1 protein traffics with L2 and viral genome to the nucleus. The accompanying L1 protein is mostly full length and retains conformation-dependent epitopes, which are recognized by neutralizing antibodies. Since more than one L1 molecule contributes to these epitopes and requires assembly into capsomeres, we propose that L1 protein is present in the form of pentamers. Furthermore, we provide evidence that the L1 protein interacts directly with viral DNA within the capsid. Based on our findings, we propose that the L1 protein, likely arranged as capsomeres, stabilizes the viral genome within the subviral complex during intracellular trafficking.","author":[{"dropping-particle":"","family":"DiGiuseppe","given":"Stephen","non-dropping-particle":"","parse-names":false,"suffix":""},{"dropping-particle":"","family":"Bienkowska-Haba","given":"Malgorzata","non-dropping-particle":"","parse-names":false,"suffix":""},{"dropping-particle":"","family":"Guion","given":"Lucile G. M.","non-dropping-particle":"","parse-names":false,"suffix":""},{"dropping-particle":"","family":"Keiffer","given":"Timothy R.","non-dropping-particle":"","parse-names":false,"suffix":""},{"dropping-particle":"","family":"Sapp","given":"Martin","non-dropping-particle":"","parse-names":false,"suffix":""}],"container-title":"Journal of Virology","editor":[{"dropping-particle":"","family":"Banks","given":"Lawrence","non-dropping-particle":"","parse-names":false,"suffix":""}],"id":"ITEM-1","issue":"16","issued":{"date-parts":[["2017","8","15"]]},"page":"1-17","title":"Human Papillomavirus Major Capsid Protein L1 Remains Associated with the Incoming Viral Genome throughout the Entry Process","type":"article-journal","volume":"91"},"uris":["http://www.mendeley.com/documents/?uuid=185a9a11-ec2b-47d1-9c1a-7372b8404228"]}],"mendeley":{"formattedCitation":"&lt;sup&gt;37&lt;/sup&gt;","plainTextFormattedCitation":"37","previouslyFormattedCitation":"&lt;sup&gt;37&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37</w:t>
      </w:r>
      <w:r>
        <w:rPr>
          <w:rFonts w:asciiTheme="minorHAnsi" w:hAnsiTheme="minorHAnsi" w:cstheme="minorHAnsi"/>
          <w:b/>
          <w:color w:val="auto"/>
        </w:rPr>
        <w:fldChar w:fldCharType="end"/>
      </w:r>
      <w:r>
        <w:rPr>
          <w:rFonts w:asciiTheme="minorHAnsi" w:hAnsiTheme="minorHAnsi" w:cstheme="minorHAnsi"/>
          <w:color w:val="auto"/>
          <w:vertAlign w:val="superscript"/>
        </w:rPr>
        <w:t>,</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{"citationItems":[{"id":"ITEM-1","itemData":{"DOI":"10.1016/j.virol.2013.04.017","ISSN":"00426822","PMID":"23689062","abstract":"The capsid protein L2 plays major roles in both papillomavirus assembly and the infectious process. While L1 forms the majority of the capsid and can self-assemble into empty virus-like particles (VLPs), L2 is a minor capsid component and lacks the capacity to form VLPs. However, L2 co-assembles with L1 into VLPs, enhancing their assembly. L2 also facilitates encapsidation of the ~8. kbp circular and nucleosome-bound viral genome during assembly of the non-enveloped T=7. d virions in the nucleus of terminally differentiated epithelial cells, although, like L1, L2 is not detectably expressed in infected basal cells. With respect to infection, L2 is not required for particles to bind to and enter cells. However L2 must be cleaved by furin for endosome escape. L2 then travels with the viral genome to the nucleus, wherein it accumulates at ND-10 domains. Here, we provide an overview of the biology of L2. © 2013 Elsevier Inc.","author":[{"dropping-particle":"","family":"Wang","given":"Joshua W.","non-dropping-particle":"","parse-names":false,"suffix":""},{"dropping-particle":"","family":"Roden","given":"Richard B.S.","non-dropping-particle":"","parse-names":false,"suffix":""}],"container-title":"Virology","id":"ITEM-1","issue":"1-2","issued":{"date-parts":[["2013"]]},"page":"175-186","publisher":"Elsevier","title":"L2, the minor capsid protein of papillomavirus","type":"article-journal","volume":"445"},"uris":["http://www.mendeley.com/documents/?uuid=45c5fa29-3930-473b-8b86-b6a8dfa1e164"]}],"mendeley":{"formattedCitation":"&lt;sup&gt;38&lt;/sup&gt;","plainTextFormattedCitation":"38","previouslyFormattedCitation":"&lt;sup&gt;38&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38</w:t>
      </w:r>
      <w:r>
        <w:rPr>
          <w:rFonts w:asciiTheme="minorHAnsi" w:hAnsiTheme="minorHAnsi" w:cstheme="minorHAnsi"/>
          <w:b/>
          <w:color w:val="auto"/>
        </w:rPr>
        <w:fldChar w:fldCharType="end"/>
      </w:r>
      <w:r>
        <w:rPr>
          <w:rFonts w:asciiTheme="minorHAnsi" w:hAnsiTheme="minorHAnsi" w:cstheme="minorHAnsi"/>
          <w:color w:val="auto"/>
        </w:rPr>
        <w:t xml:space="preserve">. Likewise and as presented here for enveloped VLPs, the VLP capture assay </w:t>
      </w:r>
      <w:r w:rsidR="00F45662">
        <w:rPr>
          <w:rFonts w:asciiTheme="minorHAnsi" w:hAnsiTheme="minorHAnsi" w:cstheme="minorHAnsi"/>
          <w:color w:val="auto"/>
        </w:rPr>
        <w:t xml:space="preserve">may </w:t>
      </w:r>
      <w:r>
        <w:rPr>
          <w:rFonts w:asciiTheme="minorHAnsi" w:hAnsiTheme="minorHAnsi" w:cstheme="minorHAnsi"/>
          <w:color w:val="auto"/>
        </w:rPr>
        <w:t xml:space="preserve">also be </w:t>
      </w:r>
      <w:r w:rsidR="00F45662">
        <w:rPr>
          <w:rFonts w:asciiTheme="minorHAnsi" w:hAnsiTheme="minorHAnsi" w:cstheme="minorHAnsi"/>
          <w:color w:val="auto"/>
        </w:rPr>
        <w:t xml:space="preserve">applicable </w:t>
      </w:r>
      <w:r>
        <w:rPr>
          <w:rFonts w:asciiTheme="minorHAnsi" w:hAnsiTheme="minorHAnsi" w:cstheme="minorHAnsi"/>
          <w:color w:val="auto"/>
        </w:rPr>
        <w:t xml:space="preserve">to </w:t>
      </w:r>
      <w:r w:rsidR="00F45662">
        <w:rPr>
          <w:rFonts w:asciiTheme="minorHAnsi" w:hAnsiTheme="minorHAnsi" w:cstheme="minorHAnsi"/>
          <w:color w:val="auto"/>
        </w:rPr>
        <w:t xml:space="preserve">the </w:t>
      </w:r>
      <w:r>
        <w:rPr>
          <w:rFonts w:asciiTheme="minorHAnsi" w:hAnsiTheme="minorHAnsi" w:cstheme="minorHAnsi"/>
          <w:color w:val="auto"/>
        </w:rPr>
        <w:t>detect</w:t>
      </w:r>
      <w:r w:rsidR="00F45662">
        <w:rPr>
          <w:rFonts w:asciiTheme="minorHAnsi" w:hAnsiTheme="minorHAnsi" w:cstheme="minorHAnsi"/>
          <w:color w:val="auto"/>
        </w:rPr>
        <w:t>ion of</w:t>
      </w:r>
      <w:r>
        <w:rPr>
          <w:rFonts w:asciiTheme="minorHAnsi" w:hAnsiTheme="minorHAnsi" w:cstheme="minorHAnsi"/>
          <w:color w:val="auto"/>
        </w:rPr>
        <w:t xml:space="preserve"> </w:t>
      </w:r>
      <w:r>
        <w:rPr>
          <w:rFonts w:asciiTheme="minorHAnsi" w:hAnsiTheme="minorHAnsi" w:cstheme="minorHAnsi"/>
        </w:rPr>
        <w:t xml:space="preserve">neutralization </w:t>
      </w:r>
      <w:r>
        <w:rPr>
          <w:rFonts w:asciiTheme="minorHAnsi" w:hAnsiTheme="minorHAnsi" w:cstheme="minorHAnsi"/>
          <w:color w:val="auto"/>
        </w:rPr>
        <w:t>epitopes of non-enveloped VLP</w:t>
      </w:r>
      <w:r w:rsidR="00F45662">
        <w:rPr>
          <w:rFonts w:asciiTheme="minorHAnsi" w:hAnsiTheme="minorHAnsi" w:cstheme="minorHAnsi"/>
          <w:color w:val="auto"/>
        </w:rPr>
        <w:t>s</w:t>
      </w:r>
      <w:r>
        <w:rPr>
          <w:rFonts w:asciiTheme="minorHAnsi" w:hAnsiTheme="minorHAnsi" w:cstheme="minorHAnsi"/>
          <w:color w:val="auto"/>
        </w:rPr>
        <w:t xml:space="preserve">. </w:t>
      </w:r>
    </w:p>
    <w:p w14:paraId="47C351CA" w14:textId="77777777" w:rsidR="009001EE" w:rsidRDefault="009001EE">
      <w:pPr>
        <w:rPr>
          <w:rFonts w:asciiTheme="minorHAnsi" w:hAnsiTheme="minorHAnsi" w:cstheme="minorHAnsi"/>
          <w:color w:val="auto"/>
        </w:rPr>
      </w:pPr>
    </w:p>
    <w:p w14:paraId="2B2582C8" w14:textId="08D8B855" w:rsidR="009001EE" w:rsidRDefault="00E01D80">
      <w:pPr>
        <w:rPr>
          <w:rFonts w:asciiTheme="minorHAnsi" w:hAnsiTheme="minorHAnsi" w:cstheme="minorHAnsi"/>
          <w:color w:val="auto"/>
        </w:rPr>
      </w:pPr>
      <w:r>
        <w:rPr>
          <w:rFonts w:asciiTheme="minorHAnsi" w:hAnsiTheme="minorHAnsi" w:cstheme="minorHAnsi"/>
          <w:color w:val="auto"/>
        </w:rPr>
        <w:t xml:space="preserve">As an alternative to the capture assay, VLP samples can be </w:t>
      </w:r>
      <w:r w:rsidR="00EC5D69">
        <w:rPr>
          <w:rFonts w:asciiTheme="minorHAnsi" w:hAnsiTheme="minorHAnsi" w:cstheme="minorHAnsi"/>
          <w:color w:val="auto"/>
        </w:rPr>
        <w:t xml:space="preserve">directly </w:t>
      </w:r>
      <w:r>
        <w:rPr>
          <w:rFonts w:asciiTheme="minorHAnsi" w:hAnsiTheme="minorHAnsi" w:cstheme="minorHAnsi"/>
          <w:color w:val="auto"/>
        </w:rPr>
        <w:t>subjected to native PAGE followed by Western blot-analysis using bNAbs and appropriate secondary antibodies coupled to HRP</w:t>
      </w:r>
      <w:r>
        <w:rPr>
          <w:rFonts w:asciiTheme="minorHAnsi" w:hAnsiTheme="minorHAnsi" w:cstheme="minorHAnsi"/>
          <w:b/>
          <w:bCs/>
          <w:color w:val="auto"/>
        </w:rPr>
        <w:fldChar w:fldCharType="begin" w:fldLock="1"/>
      </w:r>
      <w:r w:rsidR="009B4D7A">
        <w:rPr>
          <w:rFonts w:asciiTheme="minorHAnsi" w:hAnsiTheme="minorHAnsi" w:cstheme="minorHAnsi"/>
          <w:b/>
          <w:bCs/>
          <w:color w:val="auto"/>
        </w:rPr>
        <w:instrText>ADDIN CSL_CITATION {"citationItems":[{"id":"ITEM-1","itemData":{"DOI":"10.1128/jvi.01762-08","ISSN":"0022-538X","PMID":"18815292","abstract":"Identifying the viral epitopes targeted by broad neutralizing antibodies (NAbs) that sometimes develop in human immunodeficiency virus type 1 (HIV-1)-infected subjects should assist in the design of vaccines to elicit similar responses. Here, we investigated the activities of a panel of 24 broadly neutralizing plasmas from subtype B- and C-infected donors using a series of complementary mapping methods, focusing mostly on JR-FL as a prototype subtype B primary isolate. Adsorption with gp120 immobilized on beads revealed that an often large but variable fraction of plasma neutralization was directed to gp120 and that in some cases, neutralization was largely mediated by CD4 binding site (CD4bs) Abs. The results of a native polyacrylamide gel electrophoresis assay using JR-FL trimers further suggested that half of the subtype B and a smaller fraction of subtype C plasmas contained a significant proportion of NAbs directed to the CD4bs. Anti-gp41 neutralizing activity was detected in several plasmas of both subtypes, but in all but one case, constituted only a minor fraction of the overall neutralization activity. Assessment of the activities of the subtype B plasmas against chimeric HIV-2 viruses bearing various fragments of the membrane proximal external region (MPER) of HIV-1 gp41 revealed mixed patterns, implying that MPER neutralization was not dominated by any single specificity akin to known MPER-specific monoclonal Abs. V3 and 2G12-like NAbs appeared to make little or no contribution to JR-FL neutralization titers. Overall, we observed significant titers of anti-CD4bs NAbs in several plasmas, but approximately two-thirds of the neutralizing activity remained undefined, suggesting the existence of NAbs with specificities unlike any characterized to date.","author":[{"dropping-particle":"","family":"Binley","given":"James M.","non-dropping-particle":"","parse-names":false,"suffix":""},{"dropping-particle":"","family":"Lybarger","given":"Elizabeth A.","non-dropping-particle":"","parse-names":false,"suffix":""},{"dropping-particle":"","family":"Crooks","given":"Emma T.","non-dropping-particle":"","parse-names":false,"suffix":""},{"dropping-particle":"","family":"Seaman","given":"Michael S.","non-dropping-particle":"","parse-names":false,"suffix":""},{"dropping-particle":"","family":"Gray","given":"Elin","non-dropping-particle":"","parse-names":false,"suffix":""},{"dropping-particle":"","family":"Davis","given":"Katie L.","non-dropping-particle":"","parse-names":false,"suffix":""},{"dropping-particle":"","family":"Decker","given":"Julie M.","non-dropping-particle":"","parse-names":false,"suffix":""},{"dropping-particle":"","family":"Wycuff","given":"Diane","non-dropping-particle":"","parse-names":false,"suffix":""},{"dropping-particle":"","family":"Harris","given":"Linda","non-dropping-particle":"","parse-names":false,"suffix":""},{"dropping-particle":"","family":"Hawkins","given":"Natalie","non-dropping-particle":"","parse-names":false,"suffix":""},{"dropping-particle":"","family":"Wood","given":"Blake","non-dropping-particle":"","parse-names":false,"suffix":""},{"dropping-particle":"","family":"Nathe","given":"Cory","non-dropping-particle":"","parse-names":false,"suffix":""},{"dropping-particle":"","family":"Richman","given":"Douglas","non-dropping-particle":"","parse-names":false,"suffix":""},{"dropping-particle":"","family":"Tomaras","given":"Georgia D.","non-dropping-particle":"","parse-names":false,"suffix":""},{"dropping-particle":"","family":"Bibollet-Ruche","given":"Frederic","non-dropping-particle":"","parse-names":false,"suffix":""},{"dropping-particle":"","family":"Robinson","given":"James E.","non-dropping-particle":"","parse-names":false,"suffix":""},{"dropping-particle":"","family":"Morris","given":"Lynn","non-dropping-particle":"","parse-names":false,"suffix":""},{"dropping-particle":"","family":"Shaw","given":"George M.","non-dropping-particle":"","parse-names":false,"suffix":""},{"dropping-particle":"","family":"Montefiori","given":"David C.","non-dropping-particle":"","parse-names":false,"suffix":""},{"dropping-particle":"","family":"Mascola","given":"John R.","non-dropping-particle":"","parse-names":false,"suffix":""}],"container-title":"Journal of Virology","id":"ITEM-1","issue":"23","issued":{"date-parts":[["2008"]]},"page":"11651-11668","title":"Profiling the Specificity of Neutralizing Antibodies in a Large Panel of Plasmas from Patients Chronically Infected with Human Immunodeficiency Virus Type 1 Subtypes B and C","type":"article-journal","volume":"82"},"uris":["http://www.mendeley.com/documents/?uuid=47cfd7e1-4fe1-4557-95cf-15c27ed241c0"]}],"mendeley":{"formattedCitation":"&lt;sup&gt;39&lt;/sup&gt;","plainTextFormattedCitation":"39","previouslyFormattedCitation":"&lt;sup&gt;39&lt;/sup&gt;"},"properties":{"noteIndex":0},"schema":"https://github.com/citation-style-language/schema/raw/master/csl-citation.json"}</w:instrText>
      </w:r>
      <w:r>
        <w:rPr>
          <w:rFonts w:asciiTheme="minorHAnsi" w:hAnsiTheme="minorHAnsi" w:cstheme="minorHAnsi"/>
          <w:b/>
          <w:bCs/>
          <w:color w:val="auto"/>
        </w:rPr>
        <w:fldChar w:fldCharType="separate"/>
      </w:r>
      <w:r w:rsidR="009B4D7A" w:rsidRPr="009B4D7A">
        <w:rPr>
          <w:rFonts w:asciiTheme="minorHAnsi" w:hAnsiTheme="minorHAnsi" w:cstheme="minorHAnsi"/>
          <w:bCs/>
          <w:noProof/>
          <w:color w:val="auto"/>
          <w:vertAlign w:val="superscript"/>
        </w:rPr>
        <w:t>39</w:t>
      </w:r>
      <w:r>
        <w:rPr>
          <w:rFonts w:asciiTheme="minorHAnsi" w:hAnsiTheme="minorHAnsi" w:cstheme="minorHAnsi"/>
          <w:b/>
          <w:bCs/>
          <w:color w:val="auto"/>
        </w:rPr>
        <w:fldChar w:fldCharType="end"/>
      </w:r>
      <w:r>
        <w:rPr>
          <w:rFonts w:asciiTheme="minorHAnsi" w:hAnsiTheme="minorHAnsi" w:cstheme="minorHAnsi"/>
          <w:color w:val="auto"/>
        </w:rPr>
        <w:t xml:space="preserve">. However and for the analysis of </w:t>
      </w:r>
      <w:r w:rsidR="00EC5D69">
        <w:rPr>
          <w:rFonts w:asciiTheme="minorHAnsi" w:hAnsiTheme="minorHAnsi" w:cstheme="minorHAnsi"/>
          <w:color w:val="auto"/>
        </w:rPr>
        <w:t>HIV Env-decorated</w:t>
      </w:r>
      <w:r>
        <w:rPr>
          <w:rFonts w:asciiTheme="minorHAnsi" w:hAnsiTheme="minorHAnsi" w:cstheme="minorHAnsi"/>
          <w:color w:val="auto"/>
        </w:rPr>
        <w:t xml:space="preserve"> VLPs, this assay is less sensitive as only a low number of antigen proteins per VLP can be expected. In contrast, the capture assay facilitates the detection of the core proteins abundant at large amounts per VLP</w:t>
      </w:r>
      <w:r w:rsidR="00D25F42">
        <w:rPr>
          <w:rFonts w:asciiTheme="minorHAnsi" w:hAnsiTheme="minorHAnsi" w:cstheme="minorHAnsi"/>
          <w:color w:val="auto"/>
        </w:rPr>
        <w:t>—</w:t>
      </w:r>
      <w:r>
        <w:rPr>
          <w:rFonts w:asciiTheme="minorHAnsi" w:hAnsiTheme="minorHAnsi" w:cstheme="minorHAnsi"/>
          <w:color w:val="auto"/>
        </w:rPr>
        <w:t xml:space="preserve">in </w:t>
      </w:r>
      <w:r w:rsidR="00D25F42">
        <w:rPr>
          <w:rFonts w:asciiTheme="minorHAnsi" w:hAnsiTheme="minorHAnsi" w:cstheme="minorHAnsi"/>
          <w:color w:val="auto"/>
        </w:rPr>
        <w:t xml:space="preserve">the </w:t>
      </w:r>
      <w:r>
        <w:rPr>
          <w:rFonts w:asciiTheme="minorHAnsi" w:hAnsiTheme="minorHAnsi" w:cstheme="minorHAnsi"/>
          <w:color w:val="auto"/>
        </w:rPr>
        <w:t>case of HIV-derived VLPs</w:t>
      </w:r>
      <w:r w:rsidR="00EC5D69">
        <w:rPr>
          <w:rFonts w:asciiTheme="minorHAnsi" w:hAnsiTheme="minorHAnsi" w:cstheme="minorHAnsi"/>
          <w:color w:val="auto"/>
        </w:rPr>
        <w:t>,</w:t>
      </w:r>
      <w:r>
        <w:rPr>
          <w:rFonts w:asciiTheme="minorHAnsi" w:hAnsiTheme="minorHAnsi" w:cstheme="minorHAnsi"/>
          <w:color w:val="auto"/>
        </w:rPr>
        <w:t xml:space="preserve"> more than 3,500 Gag proteins</w:t>
      </w:r>
      <w:r w:rsidR="00EC5D69">
        <w:rPr>
          <w:rFonts w:asciiTheme="minorHAnsi" w:hAnsiTheme="minorHAnsi" w:cstheme="minorHAnsi"/>
          <w:color w:val="auto"/>
        </w:rPr>
        <w:t xml:space="preserve"> form a VLP</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{"citationItems":[{"id":"ITEM-1","itemData":{"DOI":"10.1002/bit.27786","ISSN":"1097-0290","PMID":"33844274","abstract":"The importance of developing new vaccine technologies towards versatile platforms that can cope with global virus outbreaks has been evidenced with the most recent SARS-CoV-2 pandemic. Virus-like particles (VLPs) are a highly immunogenic, safe and robust approach that can be used to base several vaccine candidates on. Particularly, HIV-1 Gag VLPs are a flexible system comprising a Gag core surrounded by a lipid bilayer that can be modified to present diverse types of membrane proteins or antigens against several diseases, like Influenza, dengue, west Nile virus or HPV, where it has been proven successful. The size distribution, and structural characteristics of produced VLPs vary depending on the cell line used to produce them. In this work we established an analytical method of characterization for the Gag protein core and clarify the current variability of Gag stoichiometry in HIV-1 VLPs depending on the cell-based production platform, directly determining the number of Gag molecules per VLP in each case. Three Gag peptides have been validated to quantify the number of monomers using parallel reaction monitoring (PRM), an accurate and fast, mass-spectrometry-based method that can be used to assess the quality of the produced Gag VLPs regardless of the cell line used. An average of 3617 ± 17 monomers per VLP was obtained for HEK293, substantially varying between platforms, including mammalian and insect cells. This offers a key advantage in quantification and quality control methods to characterize VLP production at large scale to accelerate new recombinant vaccine production technologies. This article is protected by copyright. All rights reserved.","author":[{"dropping-particle":"","family":"Lavado-García","given":"Jesús","non-dropping-particle":"","parse-names":false,"suffix":""},{"dropping-particle":"","family":"Jorge","given":"Inmaculada","non-dropping-particle":"","parse-names":false,"suffix":""},{"dropping-particle":"","family":"Boix-Besora","given":"Arnau","non-dropping-particle":"","parse-names":false,"suffix":""},{"dropping-particle":"","family":"Vázquez","given":"Jesús","non-dropping-particle":"","parse-names":false,"suffix":""},{"dropping-particle":"","family":"Gòdia","given":"Francesc","non-dropping-particle":"","parse-names":false,"suffix":""},{"dropping-particle":"","family":"Cervera","given":"Laura","non-dropping-particle":"","parse-names":false,"suffix":""}],"container-title":"Biotechnology and bioengineering","id":"ITEM-1","issued":{"date-parts":[["2021"]]},"page":"0-2","title":"Characterization of HIV-1 virus-like particles and determination of Gag stoichiometry for different production platforms.","type":"article-journal"},"uris":["http://www.mendeley.com/documents/?uuid=db837bea-4ec2-4a7a-bc7e-f82c9f218ef2"]}],"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b/>
          <w:color w:val="auto"/>
        </w:rPr>
        <w:fldChar w:fldCharType="separate"/>
      </w:r>
      <w:r>
        <w:rPr>
          <w:rFonts w:asciiTheme="minorHAnsi" w:hAnsiTheme="minorHAnsi" w:cstheme="minorHAnsi"/>
          <w:noProof/>
          <w:color w:val="auto"/>
          <w:vertAlign w:val="superscript"/>
        </w:rPr>
        <w:t>27</w:t>
      </w:r>
      <w:r>
        <w:rPr>
          <w:rFonts w:asciiTheme="minorHAnsi" w:hAnsiTheme="minorHAnsi" w:cstheme="minorHAnsi"/>
          <w:b/>
          <w:color w:val="auto"/>
        </w:rPr>
        <w:fldChar w:fldCharType="end"/>
      </w:r>
      <w:r>
        <w:rPr>
          <w:rFonts w:asciiTheme="minorHAnsi" w:hAnsiTheme="minorHAnsi" w:cstheme="minorHAnsi"/>
          <w:color w:val="auto"/>
        </w:rPr>
        <w:t xml:space="preserve">. This allows for the very sensitive indirect detection of epitopes </w:t>
      </w:r>
      <w:r w:rsidR="00EC5D69">
        <w:rPr>
          <w:rFonts w:asciiTheme="minorHAnsi" w:hAnsiTheme="minorHAnsi" w:cstheme="minorHAnsi"/>
          <w:color w:val="auto"/>
        </w:rPr>
        <w:t xml:space="preserve">in Env </w:t>
      </w:r>
      <w:r>
        <w:rPr>
          <w:rFonts w:asciiTheme="minorHAnsi" w:hAnsiTheme="minorHAnsi" w:cstheme="minorHAnsi"/>
          <w:color w:val="auto"/>
        </w:rPr>
        <w:t xml:space="preserve">displayed even at low </w:t>
      </w:r>
      <w:r w:rsidR="00EC5D69">
        <w:rPr>
          <w:rFonts w:asciiTheme="minorHAnsi" w:hAnsiTheme="minorHAnsi" w:cstheme="minorHAnsi"/>
          <w:color w:val="auto"/>
        </w:rPr>
        <w:t xml:space="preserve">densities </w:t>
      </w:r>
      <w:r>
        <w:rPr>
          <w:rFonts w:asciiTheme="minorHAnsi" w:hAnsiTheme="minorHAnsi" w:cstheme="minorHAnsi"/>
          <w:color w:val="auto"/>
        </w:rPr>
        <w:t>on VLPs.</w:t>
      </w:r>
    </w:p>
    <w:p w14:paraId="591708AC" w14:textId="77777777" w:rsidR="009001EE" w:rsidRDefault="009001EE">
      <w:pPr>
        <w:rPr>
          <w:rFonts w:asciiTheme="minorHAnsi" w:hAnsiTheme="minorHAnsi" w:cstheme="minorHAnsi"/>
          <w:color w:val="auto"/>
        </w:rPr>
      </w:pPr>
    </w:p>
    <w:p w14:paraId="63B49C67" w14:textId="738881C5" w:rsidR="009001EE" w:rsidRDefault="00E01D80">
      <w:pPr>
        <w:rPr>
          <w:rFonts w:asciiTheme="minorHAnsi" w:hAnsiTheme="minorHAnsi" w:cstheme="minorHAnsi"/>
          <w:color w:val="auto"/>
        </w:rPr>
      </w:pPr>
      <w:r>
        <w:rPr>
          <w:rFonts w:asciiTheme="minorHAnsi" w:hAnsiTheme="minorHAnsi" w:cstheme="minorHAnsi"/>
          <w:color w:val="auto"/>
        </w:rPr>
        <w:t xml:space="preserve">The number of well-established methods to examine </w:t>
      </w:r>
      <w:r>
        <w:rPr>
          <w:rFonts w:asciiTheme="minorHAnsi" w:hAnsiTheme="minorHAnsi" w:cstheme="minorHAnsi"/>
        </w:rPr>
        <w:t xml:space="preserve">neutralization </w:t>
      </w:r>
      <w:r>
        <w:rPr>
          <w:rFonts w:asciiTheme="minorHAnsi" w:hAnsiTheme="minorHAnsi" w:cstheme="minorHAnsi"/>
          <w:color w:val="auto"/>
        </w:rPr>
        <w:t>epitopes in surface antigens of VLPs is limited. Labeling the antigens displayed on the VLPs is possible with epitope-specific antibody-fluorophore conjugates and subsequent detection by nanoparticle tracking-analysis (NTA)</w:t>
      </w:r>
      <w:r w:rsidR="00D25F42">
        <w:rPr>
          <w:rFonts w:asciiTheme="minorHAnsi" w:hAnsiTheme="minorHAnsi" w:cstheme="minorHAnsi"/>
          <w:color w:val="auto"/>
        </w:rPr>
        <w:t>,</w:t>
      </w:r>
      <w:r>
        <w:rPr>
          <w:rFonts w:asciiTheme="minorHAnsi" w:hAnsiTheme="minorHAnsi" w:cstheme="minorHAnsi"/>
          <w:color w:val="auto"/>
        </w:rPr>
        <w:t xml:space="preserve"> enabling detection and quantification of VLPs. This method has </w:t>
      </w:r>
      <w:r w:rsidR="00EC5D69">
        <w:rPr>
          <w:rFonts w:asciiTheme="minorHAnsi" w:hAnsiTheme="minorHAnsi" w:cstheme="minorHAnsi"/>
          <w:color w:val="auto"/>
        </w:rPr>
        <w:t xml:space="preserve">also </w:t>
      </w:r>
      <w:r>
        <w:rPr>
          <w:rFonts w:asciiTheme="minorHAnsi" w:hAnsiTheme="minorHAnsi" w:cstheme="minorHAnsi"/>
          <w:color w:val="auto"/>
        </w:rPr>
        <w:t>been successfully developed and optimized for exosomes presenting cell surface markers</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{"citationItems":[{"id":"ITEM-1","itemData":{"DOI":"10.1038/s41598-019-48181-6","ISSN":"20452322","PMID":"31444401","abstract":"Growing interest in extracellular vesicles (EV) has necessitated development of protocols to improve EV characterization as a precursor for myriad downstream investigations. Identifying expression of EV surface epitopes can aid in determining EV enrichment and allow for comparisons of sample phenotypes. This study was designed to test a rigorous method of indirect fluorescent immunolabeling of single EV with subsequent evaluation using nanoparticle tracking analysis (NTA) to simultaneously determine EV concentration, particle size distribution, and surface immunophenotype. In this study, EV were isolated from canine and human cell cultures for immunolabeling and characterized using NTA, transmission electron microscopy, and Western blotting. Indirect fluorescent immunolabeling utilizing quantum dots (Qd) resulted in reproducible detection of individual fluorescently labeled EV using NTA. Methods were proposed to evaluate the success of immunolabeling based on paired particle detection in NTA light scatter and fluorescent modes. Bead-assisted depletion and size-exclusion chromatography improved specificity of Qd labeling. The described method for indirect immunolabeling of EV and single vesicle detection using NTA offers an improved method for estimating the fraction of EV that express a specific epitope, while approximating population size distribution and concentration.","author":[{"dropping-particle":"","family":"Thane","given":"Kristen E.","non-dropping-particle":"","parse-names":false,"suffix":""},{"dropping-particle":"","family":"Davis","given":"Airiel M.","non-dropping-particle":"","parse-names":false,"suffix":""},{"dropping-particle":"","family":"Hoffman","given":"Andrew M.","non-dropping-particle":"","parse-names":false,"suffix":""}],"container-title":"Scientific Reports","id":"ITEM-1","issue":"1","issued":{"date-parts":[["2019"]]},"page":"1-13","title":"Improved methods for fluorescent labeling and detection of single extracellular vesicles using nanoparticle tracking analysis","type":"article-journal","volume":"9"},"uris":["http://www.mendeley.com/documents/?uuid=9a2c12c0-3b9d-4108-83b5-b478f23737a9"]}],"mendeley":{"formattedCitation":"&lt;sup&gt;40&lt;/sup&gt;","plainTextFormattedCitation":"40","previouslyFormattedCitation":"&lt;sup&gt;40&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40</w:t>
      </w:r>
      <w:r>
        <w:rPr>
          <w:rFonts w:asciiTheme="minorHAnsi" w:hAnsiTheme="minorHAnsi" w:cstheme="minorHAnsi"/>
          <w:b/>
          <w:color w:val="auto"/>
        </w:rPr>
        <w:fldChar w:fldCharType="end"/>
      </w:r>
      <w:r>
        <w:rPr>
          <w:rFonts w:asciiTheme="minorHAnsi" w:hAnsiTheme="minorHAnsi" w:cstheme="minorHAnsi"/>
          <w:color w:val="auto"/>
        </w:rPr>
        <w:t>. Also</w:t>
      </w:r>
      <w:r w:rsidR="00D25F42">
        <w:rPr>
          <w:rFonts w:asciiTheme="minorHAnsi" w:hAnsiTheme="minorHAnsi" w:cstheme="minorHAnsi"/>
          <w:color w:val="auto"/>
        </w:rPr>
        <w:t>,</w:t>
      </w:r>
      <w:r>
        <w:rPr>
          <w:rFonts w:asciiTheme="minorHAnsi" w:hAnsiTheme="minorHAnsi" w:cstheme="minorHAnsi"/>
          <w:color w:val="auto"/>
        </w:rPr>
        <w:t xml:space="preserve"> surface plasmon resonance (SPR) spectroscopy allows for the analysis of interactions between unconjugated neutralizing antibodies and cognate epitopes presented on VLPs. Although not suitable for higher throughput analysis, VLPs can also be labeled with bNAbs coupled to gold particles and subsequent </w:t>
      </w:r>
      <w:r w:rsidR="00416A6C">
        <w:rPr>
          <w:rFonts w:asciiTheme="minorHAnsi" w:hAnsiTheme="minorHAnsi" w:cstheme="minorHAnsi"/>
          <w:color w:val="auto"/>
        </w:rPr>
        <w:t xml:space="preserve">transmission </w:t>
      </w:r>
      <w:r>
        <w:rPr>
          <w:rFonts w:asciiTheme="minorHAnsi" w:hAnsiTheme="minorHAnsi" w:cstheme="minorHAnsi"/>
          <w:color w:val="auto"/>
        </w:rPr>
        <w:t xml:space="preserve">electron microscopic </w:t>
      </w:r>
      <w:r w:rsidR="00416A6C">
        <w:rPr>
          <w:rFonts w:asciiTheme="minorHAnsi" w:hAnsiTheme="minorHAnsi" w:cstheme="minorHAnsi"/>
          <w:color w:val="auto"/>
        </w:rPr>
        <w:t xml:space="preserve">(TEM) </w:t>
      </w:r>
      <w:r>
        <w:rPr>
          <w:rFonts w:asciiTheme="minorHAnsi" w:hAnsiTheme="minorHAnsi" w:cstheme="minorHAnsi"/>
          <w:color w:val="auto"/>
        </w:rPr>
        <w:t>examination</w:t>
      </w:r>
      <w:r>
        <w:rPr>
          <w:rFonts w:asciiTheme="minorHAnsi" w:hAnsiTheme="minorHAnsi" w:cstheme="minorHAnsi"/>
          <w:b/>
          <w:color w:val="auto"/>
        </w:rPr>
        <w:fldChar w:fldCharType="begin" w:fldLock="1"/>
      </w:r>
      <w:r w:rsidR="009B4D7A">
        <w:rPr>
          <w:rFonts w:asciiTheme="minorHAnsi" w:hAnsiTheme="minorHAnsi" w:cstheme="minorHAnsi"/>
          <w:b/>
          <w:color w:val="auto"/>
        </w:rPr>
        <w:instrText>ADDIN CSL_CITATION {"citationItems":[{"id":"ITEM-1","itemData":{"DOI":"10.1371/journal.pone.0033235","ISSN":"19326203","PMID":"22493667","abstract":"Background: Fundamental to vaccine development, manufacturing consistency, and product stability is an understanding of the vaccine structure-activity relationship. With the virus-like particle (VLP) approach for recombinant vaccines gaining popularity, there is growing demand for tools that define their key characteristics. We assessed a suite of non-intrusive VLP epitope structure and function characterization tools by application to the Hepatitis B surface antigen (rHBsAg) VLP-based vaccine. Methodology: The epitope-specific immune reactivity of rHBsAg epitopes to a given monoclonal antibody was monitored by surface plasmon resonance (SPR) and quantitatively analyzed on rHBsAg VLPs in-solution or bound to adjuvant with a competitive enzyme-linked immunosorbent assay (ELISA). The structure of recombinant rHBsAg particles was examined by cryo transmission electron microscopy (cryoTEM) and in-solution atomic force microscopy (AFM). Principal Findings: SPR and competitive ELISA determined relative antigenicity in solution, in real time, with rapid turn-around, and without the need of dissolving the particulate aluminum based adjuvant. These methods demonstrated the nature of the clinically relevant epitopes of HBsAg as being responsive to heat and/or redox treatment. In-solution AFM and cryoTEM determined vaccine particle size distribution, shape, and morphology. Redox-treated rHBsAg enabled 3D reconstruction from CryoTEM images - confirming the previously proposed octahedral structure and the established lipid-to-protein ratio of HBsAg particles. Results from these non-intrusive biophysical and immunochemical analyses coalesced into a comprehensive understanding of rHBsAg vaccine epitope structure and function that was important for assuring the desired epitope formation, determinants for vaccine potency, and particle stability during vaccine design, development, and manufacturing. Significance: Together, the methods presented here comprise a novel suite of non-intrusive VLP structural and functional characterization tools for recombinant vaccines. Key VLP structural features were defined and epitope-specific antigenicity was quantified while preserving epitope integrity and particle morphology. These tools should facilitate the development of other VLP-based vaccines. © 2012 Mulder et al.","author":[{"dropping-particle":"","family":"Mulder","given":"Anke M.","non-dropping-particle":"","parse-names":false,"suffix":""},{"dropping-particle":"","family":"Carragher","given":"Bridget","non-dropping-particle":"","parse-names":false,"suffix":""},{"dropping-particle":"","family":"Towne","given":"Victoria","non-dropping-particle":"","parse-names":false,"suffix":""},{"dropping-particle":"","family":"Meng","given":"Yuan","non-dropping-particle":"","parse-names":false,"suffix":""},{"dropping-particle":"","family":"Wang","given":"Yang","non-dropping-particle":"","parse-names":false,"suffix":""},{"dropping-particle":"","family":"Dieter","given":"Lance","non-dropping-particle":"","parse-names":false,"suffix":""},{"dropping-particle":"","family":"Potter","given":"Clinton S.","non-dropping-particle":"","parse-names":false,"suffix":""},{"dropping-particle":"","family":"Washabaugh","given":"Michael W.","non-dropping-particle":"","parse-names":false,"suffix":""},{"dropping-particle":"","family":"Sitrin","given":"Robert D.","non-dropping-particle":"","parse-names":false,"suffix":""},{"dropping-particle":"","family":"Zhao","given":"Qinjian","non-dropping-particle":"","parse-names":false,"suffix":""}],"container-title":"PLoS ONE","id":"ITEM-1","issue":"4","issued":{"date-parts":[["2012"]]},"title":"Toolbox for non-intrusive structural and functional analysis of recombinant VLP based vaccines: A case study with hepatitis B vaccine","type":"article-journal","volume":"7"},"uris":["http://www.mendeley.com/documents/?uuid=27a94efc-9681-433c-9aee-0070bf1de7b4"]}],"mendeley":{"formattedCitation":"&lt;sup&gt;41&lt;/sup&gt;","plainTextFormattedCitation":"41","previouslyFormattedCitation":"&lt;sup&gt;41&lt;/sup&gt;"},"properties":{"noteIndex":0},"schema":"https://github.com/citation-style-language/schema/raw/master/csl-citation.json"}</w:instrText>
      </w:r>
      <w:r>
        <w:rPr>
          <w:rFonts w:asciiTheme="minorHAnsi" w:hAnsiTheme="minorHAnsi" w:cstheme="minorHAnsi"/>
          <w:b/>
          <w:color w:val="auto"/>
        </w:rPr>
        <w:fldChar w:fldCharType="separate"/>
      </w:r>
      <w:r w:rsidR="009B4D7A" w:rsidRPr="009B4D7A">
        <w:rPr>
          <w:rFonts w:asciiTheme="minorHAnsi" w:hAnsiTheme="minorHAnsi" w:cstheme="minorHAnsi"/>
          <w:noProof/>
          <w:color w:val="auto"/>
          <w:vertAlign w:val="superscript"/>
        </w:rPr>
        <w:t>41</w:t>
      </w:r>
      <w:r>
        <w:rPr>
          <w:rFonts w:asciiTheme="minorHAnsi" w:hAnsiTheme="minorHAnsi" w:cstheme="minorHAnsi"/>
          <w:b/>
          <w:color w:val="auto"/>
        </w:rPr>
        <w:fldChar w:fldCharType="end"/>
      </w:r>
      <w:r>
        <w:rPr>
          <w:rFonts w:asciiTheme="minorHAnsi" w:hAnsiTheme="minorHAnsi" w:cstheme="minorHAnsi"/>
          <w:color w:val="auto"/>
        </w:rPr>
        <w:t>.</w:t>
      </w:r>
    </w:p>
    <w:p w14:paraId="22E1072B" w14:textId="77777777" w:rsidR="009001EE" w:rsidRDefault="009001EE">
      <w:pPr>
        <w:rPr>
          <w:rFonts w:asciiTheme="minorHAnsi" w:hAnsiTheme="minorHAnsi" w:cstheme="minorHAnsi"/>
          <w:color w:val="auto"/>
        </w:rPr>
      </w:pPr>
    </w:p>
    <w:p w14:paraId="2DDCB7BE" w14:textId="56E769A9" w:rsidR="009001EE" w:rsidRDefault="00E01D80">
      <w:pPr>
        <w:rPr>
          <w:rFonts w:asciiTheme="minorHAnsi" w:hAnsiTheme="minorHAnsi" w:cstheme="minorHAnsi"/>
          <w:color w:val="auto"/>
        </w:rPr>
      </w:pPr>
      <w:r>
        <w:rPr>
          <w:rFonts w:asciiTheme="minorHAnsi" w:hAnsiTheme="minorHAnsi" w:cstheme="minorHAnsi"/>
          <w:color w:val="auto"/>
        </w:rPr>
        <w:t xml:space="preserve">In conclusion, the VLP capture assay provides some considerable advantages: </w:t>
      </w:r>
      <w:r w:rsidR="00D25F42">
        <w:rPr>
          <w:rFonts w:asciiTheme="minorHAnsi" w:hAnsiTheme="minorHAnsi" w:cstheme="minorHAnsi"/>
          <w:color w:val="auto"/>
        </w:rPr>
        <w:t>(</w:t>
      </w:r>
      <w:r>
        <w:rPr>
          <w:rFonts w:asciiTheme="minorHAnsi" w:hAnsiTheme="minorHAnsi" w:cstheme="minorHAnsi"/>
          <w:color w:val="auto"/>
        </w:rPr>
        <w:t xml:space="preserve">i) Assessment of the structural integrity of </w:t>
      </w:r>
      <w:r>
        <w:rPr>
          <w:rFonts w:asciiTheme="minorHAnsi" w:hAnsiTheme="minorHAnsi" w:cstheme="minorHAnsi"/>
        </w:rPr>
        <w:t xml:space="preserve">neutralization </w:t>
      </w:r>
      <w:r>
        <w:rPr>
          <w:rFonts w:asciiTheme="minorHAnsi" w:hAnsiTheme="minorHAnsi" w:cstheme="minorHAnsi"/>
          <w:color w:val="auto"/>
        </w:rPr>
        <w:t xml:space="preserve">epitopes on the surface of VLPs, </w:t>
      </w:r>
      <w:r w:rsidR="00D25F42">
        <w:rPr>
          <w:rFonts w:asciiTheme="minorHAnsi" w:hAnsiTheme="minorHAnsi" w:cstheme="minorHAnsi"/>
          <w:color w:val="auto"/>
        </w:rPr>
        <w:t>(</w:t>
      </w:r>
      <w:r>
        <w:rPr>
          <w:rFonts w:asciiTheme="minorHAnsi" w:hAnsiTheme="minorHAnsi" w:cstheme="minorHAnsi"/>
          <w:color w:val="auto"/>
        </w:rPr>
        <w:t xml:space="preserve">ii) sensitive and indirect </w:t>
      </w:r>
      <w:r w:rsidR="002E3E42">
        <w:rPr>
          <w:rFonts w:asciiTheme="minorHAnsi" w:hAnsiTheme="minorHAnsi" w:cstheme="minorHAnsi"/>
          <w:color w:val="auto"/>
        </w:rPr>
        <w:lastRenderedPageBreak/>
        <w:t xml:space="preserve">detection </w:t>
      </w:r>
      <w:r>
        <w:rPr>
          <w:rFonts w:asciiTheme="minorHAnsi" w:hAnsiTheme="minorHAnsi" w:cstheme="minorHAnsi"/>
          <w:color w:val="auto"/>
        </w:rPr>
        <w:t>of antigens even when displayed at low densities on VLPs</w:t>
      </w:r>
      <w:r w:rsidR="00D25F42">
        <w:rPr>
          <w:rFonts w:asciiTheme="minorHAnsi" w:hAnsiTheme="minorHAnsi" w:cstheme="minorHAnsi"/>
          <w:color w:val="auto"/>
        </w:rPr>
        <w:t>,</w:t>
      </w:r>
      <w:r>
        <w:rPr>
          <w:rFonts w:asciiTheme="minorHAnsi" w:hAnsiTheme="minorHAnsi" w:cstheme="minorHAnsi"/>
          <w:color w:val="auto"/>
        </w:rPr>
        <w:t xml:space="preserve"> and </w:t>
      </w:r>
      <w:r w:rsidR="00D25F42">
        <w:rPr>
          <w:rFonts w:asciiTheme="minorHAnsi" w:hAnsiTheme="minorHAnsi" w:cstheme="minorHAnsi"/>
          <w:color w:val="auto"/>
        </w:rPr>
        <w:t>(</w:t>
      </w:r>
      <w:r>
        <w:rPr>
          <w:rFonts w:asciiTheme="minorHAnsi" w:hAnsiTheme="minorHAnsi" w:cstheme="minorHAnsi"/>
          <w:color w:val="auto"/>
        </w:rPr>
        <w:t xml:space="preserve">iii) the method does not require </w:t>
      </w:r>
      <w:r w:rsidR="00D25F42">
        <w:rPr>
          <w:rFonts w:asciiTheme="minorHAnsi" w:hAnsiTheme="minorHAnsi" w:cstheme="minorHAnsi"/>
          <w:color w:val="auto"/>
        </w:rPr>
        <w:t>cost-</w:t>
      </w:r>
      <w:r>
        <w:rPr>
          <w:rFonts w:asciiTheme="minorHAnsi" w:hAnsiTheme="minorHAnsi" w:cstheme="minorHAnsi"/>
          <w:color w:val="auto"/>
        </w:rPr>
        <w:t xml:space="preserve">intensive analytical equipment. </w:t>
      </w:r>
    </w:p>
    <w:p w14:paraId="0781B391" w14:textId="77777777" w:rsidR="009001EE" w:rsidRDefault="009001EE">
      <w:pPr>
        <w:rPr>
          <w:rFonts w:cstheme="minorHAnsi"/>
          <w:color w:val="auto"/>
        </w:rPr>
      </w:pPr>
    </w:p>
    <w:p w14:paraId="15D2765A" w14:textId="77777777" w:rsidR="009001EE" w:rsidRDefault="00E01D80">
      <w:pPr>
        <w:rPr>
          <w:rFonts w:asciiTheme="minorHAnsi" w:hAnsiTheme="minorHAnsi" w:cstheme="minorHAnsi"/>
          <w:color w:val="808080"/>
        </w:rPr>
      </w:pPr>
      <w:r>
        <w:rPr>
          <w:rFonts w:asciiTheme="minorHAnsi" w:hAnsiTheme="minorHAnsi" w:cstheme="minorHAnsi"/>
          <w:b/>
          <w:bCs/>
        </w:rPr>
        <w:t>ACKNOWLEDGMENTS</w:t>
      </w:r>
    </w:p>
    <w:p w14:paraId="461328C5" w14:textId="06CD656B" w:rsidR="009001EE" w:rsidRDefault="00E01D80">
      <w:pPr>
        <w:widowControl/>
        <w:rPr>
          <w:rFonts w:ascii="Times New Roman" w:hAnsi="Times New Roman" w:cs="Times New Roman"/>
          <w:color w:val="auto"/>
          <w:lang w:eastAsia="de-DE"/>
        </w:rPr>
      </w:pPr>
      <w:r>
        <w:rPr>
          <w:rFonts w:asciiTheme="minorHAnsi" w:hAnsiTheme="minorHAnsi" w:cstheme="minorHAnsi"/>
        </w:rPr>
        <w:t xml:space="preserve">This work was supported by </w:t>
      </w:r>
      <w:r w:rsidR="00D25F42">
        <w:rPr>
          <w:rFonts w:asciiTheme="minorHAnsi" w:hAnsiTheme="minorHAnsi" w:cstheme="minorHAnsi"/>
        </w:rPr>
        <w:t xml:space="preserve">a </w:t>
      </w:r>
      <w:r>
        <w:rPr>
          <w:rFonts w:asciiTheme="minorHAnsi" w:hAnsiTheme="minorHAnsi" w:cstheme="minorHAnsi"/>
        </w:rPr>
        <w:t xml:space="preserve">grant </w:t>
      </w:r>
      <w:r w:rsidR="00D25F42">
        <w:rPr>
          <w:rFonts w:asciiTheme="minorHAnsi" w:hAnsiTheme="minorHAnsi" w:cstheme="minorHAnsi"/>
        </w:rPr>
        <w:t xml:space="preserve">from </w:t>
      </w:r>
      <w:r>
        <w:rPr>
          <w:rFonts w:asciiTheme="minorHAnsi" w:hAnsiTheme="minorHAnsi" w:cstheme="minorHAnsi"/>
        </w:rPr>
        <w:t xml:space="preserve">the German Federal Ministry of Education and Research, funding program Forschung an </w:t>
      </w:r>
      <w:r w:rsidRPr="008519E3">
        <w:t xml:space="preserve">Fachhochschulen, </w:t>
      </w:r>
      <w:r w:rsidR="0021321C" w:rsidRPr="008519E3">
        <w:rPr>
          <w:color w:val="000000" w:themeColor="text1"/>
        </w:rPr>
        <w:t xml:space="preserve">contract numbers </w:t>
      </w:r>
      <w:r w:rsidR="0021321C" w:rsidRPr="008519E3">
        <w:rPr>
          <w:color w:val="000000" w:themeColor="text1"/>
          <w:lang w:eastAsia="de-DE"/>
        </w:rPr>
        <w:t>13FH767IA6</w:t>
      </w:r>
      <w:r w:rsidR="0021321C" w:rsidRPr="008519E3">
        <w:rPr>
          <w:color w:val="000000" w:themeColor="text1"/>
        </w:rPr>
        <w:t xml:space="preserve"> and 13FH242PX6 </w:t>
      </w:r>
      <w:r w:rsidRPr="008519E3">
        <w:t>to JS.</w:t>
      </w:r>
      <w:r w:rsidRPr="008519E3">
        <w:rPr>
          <w:color w:val="auto"/>
        </w:rPr>
        <w:t xml:space="preserve"> Figures 1 and 2 were created</w:t>
      </w:r>
      <w:r>
        <w:rPr>
          <w:rFonts w:asciiTheme="minorHAnsi" w:hAnsiTheme="minorHAnsi" w:cstheme="minorHAnsi"/>
          <w:color w:val="auto"/>
        </w:rPr>
        <w:t xml:space="preserve"> with BioRender.com.</w:t>
      </w:r>
    </w:p>
    <w:p w14:paraId="680FF1BE" w14:textId="77777777" w:rsidR="009001EE" w:rsidRDefault="009001EE">
      <w:pPr>
        <w:rPr>
          <w:rFonts w:asciiTheme="minorHAnsi" w:hAnsiTheme="minorHAnsi" w:cstheme="minorHAnsi"/>
          <w:b/>
          <w:bCs/>
        </w:rPr>
      </w:pPr>
    </w:p>
    <w:p w14:paraId="46BA009B" w14:textId="77777777" w:rsidR="009001EE" w:rsidRDefault="00E01D80">
      <w:pPr>
        <w:pStyle w:val="NormalWeb"/>
        <w:spacing w:beforeAutospacing="0" w:afterAutospacing="0"/>
        <w:rPr>
          <w:rFonts w:asciiTheme="minorHAnsi" w:hAnsiTheme="minorHAnsi" w:cstheme="minorHAnsi"/>
          <w:b/>
        </w:rPr>
      </w:pPr>
      <w:r>
        <w:rPr>
          <w:rFonts w:asciiTheme="minorHAnsi" w:hAnsiTheme="minorHAnsi" w:cstheme="minorHAnsi"/>
          <w:b/>
        </w:rPr>
        <w:t>DISCLOSURES</w:t>
      </w:r>
    </w:p>
    <w:p w14:paraId="68B61A70" w14:textId="77777777" w:rsidR="009001EE" w:rsidRDefault="00E01D80">
      <w:pPr>
        <w:rPr>
          <w:b/>
        </w:rPr>
      </w:pPr>
      <w:r>
        <w:rPr>
          <w:rFonts w:asciiTheme="minorHAnsi" w:hAnsiTheme="minorHAnsi" w:cstheme="minorHAnsi"/>
        </w:rPr>
        <w:t>The authors declare that they have no conflict of interest.</w:t>
      </w:r>
    </w:p>
    <w:p w14:paraId="2D213C9D" w14:textId="77777777" w:rsidR="009001EE" w:rsidRDefault="009001EE">
      <w:pPr>
        <w:pStyle w:val="NormalWeb"/>
        <w:spacing w:beforeAutospacing="0" w:afterAutospacing="0"/>
        <w:rPr>
          <w:rFonts w:asciiTheme="minorHAnsi" w:hAnsiTheme="minorHAnsi" w:cstheme="minorHAnsi"/>
          <w:color w:val="808080"/>
        </w:rPr>
      </w:pPr>
    </w:p>
    <w:p w14:paraId="6F1F2B86" w14:textId="77777777" w:rsidR="009001EE" w:rsidRDefault="00E01D80">
      <w:pPr>
        <w:rPr>
          <w:rFonts w:asciiTheme="minorHAnsi" w:hAnsiTheme="minorHAnsi" w:cstheme="minorHAnsi"/>
          <w:b/>
        </w:rPr>
      </w:pPr>
      <w:r>
        <w:rPr>
          <w:rFonts w:asciiTheme="minorHAnsi" w:hAnsiTheme="minorHAnsi" w:cstheme="minorHAnsi"/>
          <w:b/>
          <w:bCs/>
        </w:rPr>
        <w:t>REFERENCES</w:t>
      </w:r>
    </w:p>
    <w:p w14:paraId="7BE4374A" w14:textId="0FEE4DFF" w:rsidR="00926A86" w:rsidRPr="00926A86" w:rsidRDefault="00E01D80" w:rsidP="00BC459E">
      <w:pPr>
        <w:autoSpaceDE w:val="0"/>
        <w:autoSpaceDN w:val="0"/>
        <w:adjustRightInd w:val="0"/>
        <w:rPr>
          <w:noProof/>
        </w:rPr>
      </w:pPr>
      <w:r>
        <w:rPr>
          <w:rFonts w:asciiTheme="minorHAnsi" w:hAnsiTheme="minorHAnsi" w:cstheme="minorHAnsi"/>
        </w:rPr>
        <w:fldChar w:fldCharType="begin" w:fldLock="1"/>
      </w:r>
      <w:r>
        <w:rPr>
          <w:rFonts w:asciiTheme="minorHAnsi" w:hAnsiTheme="minorHAnsi" w:cstheme="minorHAnsi"/>
        </w:rPr>
        <w:instrText>ADDIN Mendeley Bibliography CSL_BIBLIOGRAPHY</w:instrText>
      </w:r>
      <w:r>
        <w:rPr>
          <w:rFonts w:asciiTheme="minorHAnsi" w:hAnsiTheme="minorHAnsi" w:cstheme="minorHAnsi"/>
        </w:rPr>
        <w:fldChar w:fldCharType="separate"/>
      </w:r>
      <w:r w:rsidR="00926A86" w:rsidRPr="00926A86">
        <w:rPr>
          <w:noProof/>
        </w:rPr>
        <w:t>1.</w:t>
      </w:r>
      <w:r w:rsidR="00926A86" w:rsidRPr="00926A86">
        <w:rPr>
          <w:noProof/>
        </w:rPr>
        <w:tab/>
        <w:t>Roldão, A., Mellado, M.</w:t>
      </w:r>
      <w:r w:rsidR="00D25F42">
        <w:rPr>
          <w:noProof/>
        </w:rPr>
        <w:t xml:space="preserve"> </w:t>
      </w:r>
      <w:r w:rsidR="00926A86" w:rsidRPr="00926A86">
        <w:rPr>
          <w:noProof/>
        </w:rPr>
        <w:t>C.</w:t>
      </w:r>
      <w:r w:rsidR="00D25F42">
        <w:rPr>
          <w:noProof/>
        </w:rPr>
        <w:t xml:space="preserve"> </w:t>
      </w:r>
      <w:r w:rsidR="00926A86" w:rsidRPr="00926A86">
        <w:rPr>
          <w:noProof/>
        </w:rPr>
        <w:t>M., Castilho, L.</w:t>
      </w:r>
      <w:r w:rsidR="00D25F42">
        <w:rPr>
          <w:noProof/>
        </w:rPr>
        <w:t xml:space="preserve"> </w:t>
      </w:r>
      <w:r w:rsidR="00926A86" w:rsidRPr="00926A86">
        <w:rPr>
          <w:noProof/>
        </w:rPr>
        <w:t>R., Carrondo, M.</w:t>
      </w:r>
      <w:r w:rsidR="00D25F42">
        <w:rPr>
          <w:noProof/>
        </w:rPr>
        <w:t xml:space="preserve"> </w:t>
      </w:r>
      <w:r w:rsidR="00926A86" w:rsidRPr="00926A86">
        <w:rPr>
          <w:noProof/>
        </w:rPr>
        <w:t>J.</w:t>
      </w:r>
      <w:r w:rsidR="00D25F42">
        <w:rPr>
          <w:noProof/>
        </w:rPr>
        <w:t xml:space="preserve"> </w:t>
      </w:r>
      <w:r w:rsidR="00926A86" w:rsidRPr="00926A86">
        <w:rPr>
          <w:noProof/>
        </w:rPr>
        <w:t>T., Alves, P.</w:t>
      </w:r>
      <w:r w:rsidR="00D25F42">
        <w:rPr>
          <w:noProof/>
        </w:rPr>
        <w:t xml:space="preserve"> </w:t>
      </w:r>
      <w:r w:rsidR="00926A86" w:rsidRPr="00926A86">
        <w:rPr>
          <w:noProof/>
        </w:rPr>
        <w:t xml:space="preserve">M. Virus-like particles in vaccine development. </w:t>
      </w:r>
      <w:r w:rsidR="00926A86" w:rsidRPr="00926A86">
        <w:rPr>
          <w:i/>
          <w:iCs/>
          <w:noProof/>
        </w:rPr>
        <w:t>Expert Review of Vaccines</w:t>
      </w:r>
      <w:r w:rsidR="00926A86" w:rsidRPr="00926A86">
        <w:rPr>
          <w:noProof/>
        </w:rPr>
        <w:t xml:space="preserve">. </w:t>
      </w:r>
      <w:r w:rsidR="00926A86" w:rsidRPr="00926A86">
        <w:rPr>
          <w:b/>
          <w:bCs/>
          <w:noProof/>
        </w:rPr>
        <w:t>9</w:t>
      </w:r>
      <w:r w:rsidR="00926A86" w:rsidRPr="00926A86">
        <w:rPr>
          <w:noProof/>
        </w:rPr>
        <w:t xml:space="preserve"> (10), 1149–1176 (2010).</w:t>
      </w:r>
    </w:p>
    <w:p w14:paraId="7D2A178D" w14:textId="4432EAAE" w:rsidR="00926A86" w:rsidRPr="00926A86" w:rsidRDefault="00926A86" w:rsidP="00BC459E">
      <w:pPr>
        <w:autoSpaceDE w:val="0"/>
        <w:autoSpaceDN w:val="0"/>
        <w:adjustRightInd w:val="0"/>
        <w:rPr>
          <w:noProof/>
        </w:rPr>
      </w:pPr>
      <w:r w:rsidRPr="00926A86">
        <w:rPr>
          <w:noProof/>
        </w:rPr>
        <w:t>2.</w:t>
      </w:r>
      <w:r w:rsidRPr="00926A86">
        <w:rPr>
          <w:noProof/>
        </w:rPr>
        <w:tab/>
        <w:t xml:space="preserve">Noad, R., Roy, P. Virus-like particles as immunogens. </w:t>
      </w:r>
      <w:r w:rsidRPr="00926A86">
        <w:rPr>
          <w:i/>
          <w:iCs/>
          <w:noProof/>
        </w:rPr>
        <w:t>Trends in Microbiology</w:t>
      </w:r>
      <w:r w:rsidRPr="00926A86">
        <w:rPr>
          <w:noProof/>
        </w:rPr>
        <w:t xml:space="preserve">. </w:t>
      </w:r>
      <w:r w:rsidRPr="00926A86">
        <w:rPr>
          <w:b/>
          <w:bCs/>
          <w:noProof/>
        </w:rPr>
        <w:t>11</w:t>
      </w:r>
      <w:r w:rsidRPr="00926A86">
        <w:rPr>
          <w:noProof/>
        </w:rPr>
        <w:t xml:space="preserve"> (9), 438–444 (2003).</w:t>
      </w:r>
    </w:p>
    <w:p w14:paraId="52D67E39" w14:textId="469CF7CC" w:rsidR="00926A86" w:rsidRPr="00926A86" w:rsidRDefault="00926A86" w:rsidP="00BC459E">
      <w:pPr>
        <w:autoSpaceDE w:val="0"/>
        <w:autoSpaceDN w:val="0"/>
        <w:adjustRightInd w:val="0"/>
        <w:rPr>
          <w:noProof/>
        </w:rPr>
      </w:pPr>
      <w:r w:rsidRPr="00926A86">
        <w:rPr>
          <w:noProof/>
        </w:rPr>
        <w:t>3.</w:t>
      </w:r>
      <w:r w:rsidRPr="00926A86">
        <w:rPr>
          <w:noProof/>
        </w:rPr>
        <w:tab/>
        <w:t xml:space="preserve">Qian, C. </w:t>
      </w:r>
      <w:r w:rsidR="00D25F42" w:rsidRPr="00D25F42">
        <w:rPr>
          <w:iCs/>
          <w:noProof/>
        </w:rPr>
        <w:t>et al</w:t>
      </w:r>
      <w:r w:rsidRPr="00926A86">
        <w:rPr>
          <w:i/>
          <w:iCs/>
          <w:noProof/>
        </w:rPr>
        <w:t>.</w:t>
      </w:r>
      <w:r w:rsidRPr="00926A86">
        <w:rPr>
          <w:noProof/>
        </w:rPr>
        <w:t xml:space="preserve"> Recent progress on the versatility of virus-like particles. </w:t>
      </w:r>
      <w:r w:rsidRPr="00926A86">
        <w:rPr>
          <w:i/>
          <w:iCs/>
          <w:noProof/>
        </w:rPr>
        <w:t>Vaccines</w:t>
      </w:r>
      <w:r w:rsidRPr="00926A86">
        <w:rPr>
          <w:noProof/>
        </w:rPr>
        <w:t xml:space="preserve">. </w:t>
      </w:r>
      <w:r w:rsidRPr="00926A86">
        <w:rPr>
          <w:b/>
          <w:bCs/>
          <w:noProof/>
        </w:rPr>
        <w:t>8</w:t>
      </w:r>
      <w:r w:rsidRPr="00926A86">
        <w:rPr>
          <w:noProof/>
        </w:rPr>
        <w:t xml:space="preserve"> (1), </w:t>
      </w:r>
      <w:r w:rsidR="00D25F42">
        <w:rPr>
          <w:noProof/>
        </w:rPr>
        <w:t>139</w:t>
      </w:r>
      <w:r w:rsidRPr="00926A86">
        <w:rPr>
          <w:noProof/>
        </w:rPr>
        <w:t xml:space="preserve"> (2020).</w:t>
      </w:r>
    </w:p>
    <w:p w14:paraId="09B5303F" w14:textId="06DF9C0F" w:rsidR="00926A86" w:rsidRPr="00926A86" w:rsidRDefault="00926A86" w:rsidP="00BC459E">
      <w:pPr>
        <w:autoSpaceDE w:val="0"/>
        <w:autoSpaceDN w:val="0"/>
        <w:adjustRightInd w:val="0"/>
        <w:rPr>
          <w:noProof/>
        </w:rPr>
      </w:pPr>
      <w:r w:rsidRPr="00926A86">
        <w:rPr>
          <w:noProof/>
        </w:rPr>
        <w:t>4.</w:t>
      </w:r>
      <w:r w:rsidRPr="00926A86">
        <w:rPr>
          <w:noProof/>
        </w:rPr>
        <w:tab/>
        <w:t>Zabel, F., Kündig, T.</w:t>
      </w:r>
      <w:r w:rsidR="00D25F42">
        <w:rPr>
          <w:noProof/>
        </w:rPr>
        <w:t xml:space="preserve"> </w:t>
      </w:r>
      <w:r w:rsidRPr="00926A86">
        <w:rPr>
          <w:noProof/>
        </w:rPr>
        <w:t>M., Bachmann, M.</w:t>
      </w:r>
      <w:r w:rsidR="00D25F42">
        <w:rPr>
          <w:noProof/>
        </w:rPr>
        <w:t xml:space="preserve"> </w:t>
      </w:r>
      <w:r w:rsidRPr="00926A86">
        <w:rPr>
          <w:noProof/>
        </w:rPr>
        <w:t xml:space="preserve">F. Virus-induced humoral immunity: On how B cell responses are initiated. </w:t>
      </w:r>
      <w:r w:rsidRPr="00926A86">
        <w:rPr>
          <w:i/>
          <w:iCs/>
          <w:noProof/>
        </w:rPr>
        <w:t>Current Opinion in Virology</w:t>
      </w:r>
      <w:r w:rsidRPr="00926A86">
        <w:rPr>
          <w:noProof/>
        </w:rPr>
        <w:t xml:space="preserve">. </w:t>
      </w:r>
      <w:r w:rsidRPr="00926A86">
        <w:rPr>
          <w:b/>
          <w:bCs/>
          <w:noProof/>
        </w:rPr>
        <w:t>3</w:t>
      </w:r>
      <w:r w:rsidRPr="00926A86">
        <w:rPr>
          <w:noProof/>
        </w:rPr>
        <w:t xml:space="preserve"> (3), 357–362 (2013).</w:t>
      </w:r>
    </w:p>
    <w:p w14:paraId="070884B5" w14:textId="6DD5186C" w:rsidR="00926A86" w:rsidRPr="00926A86" w:rsidRDefault="00926A86" w:rsidP="00BC459E">
      <w:pPr>
        <w:autoSpaceDE w:val="0"/>
        <w:autoSpaceDN w:val="0"/>
        <w:adjustRightInd w:val="0"/>
        <w:rPr>
          <w:noProof/>
        </w:rPr>
      </w:pPr>
      <w:r w:rsidRPr="00926A86">
        <w:rPr>
          <w:noProof/>
        </w:rPr>
        <w:t>5.</w:t>
      </w:r>
      <w:r w:rsidRPr="00926A86">
        <w:rPr>
          <w:noProof/>
        </w:rPr>
        <w:tab/>
        <w:t xml:space="preserve">Garg, H., Mehmetoglu-Gurbuz, T., Joshi, A. Virus Like Particles (VLP) as multivalent vaccine candidate against Chikungunya, Japanese Encephalitis, Yellow Fever and Zika Virus. </w:t>
      </w:r>
      <w:r w:rsidRPr="00926A86">
        <w:rPr>
          <w:i/>
          <w:iCs/>
          <w:noProof/>
        </w:rPr>
        <w:t>Scientific Reports</w:t>
      </w:r>
      <w:r w:rsidRPr="00926A86">
        <w:rPr>
          <w:noProof/>
        </w:rPr>
        <w:t xml:space="preserve">. </w:t>
      </w:r>
      <w:r w:rsidRPr="00926A86">
        <w:rPr>
          <w:b/>
          <w:bCs/>
          <w:noProof/>
        </w:rPr>
        <w:t>10</w:t>
      </w:r>
      <w:r w:rsidRPr="00926A86">
        <w:rPr>
          <w:noProof/>
        </w:rPr>
        <w:t xml:space="preserve"> (1), </w:t>
      </w:r>
      <w:r w:rsidR="00D25F42">
        <w:rPr>
          <w:noProof/>
        </w:rPr>
        <w:t xml:space="preserve">4017 </w:t>
      </w:r>
      <w:r w:rsidRPr="00926A86">
        <w:rPr>
          <w:noProof/>
        </w:rPr>
        <w:t>(2020).</w:t>
      </w:r>
    </w:p>
    <w:p w14:paraId="6CD7C07C" w14:textId="0AE28ADA" w:rsidR="00926A86" w:rsidRPr="00926A86" w:rsidRDefault="00926A86" w:rsidP="00BC459E">
      <w:pPr>
        <w:autoSpaceDE w:val="0"/>
        <w:autoSpaceDN w:val="0"/>
        <w:adjustRightInd w:val="0"/>
        <w:rPr>
          <w:noProof/>
        </w:rPr>
      </w:pPr>
      <w:r w:rsidRPr="00926A86">
        <w:rPr>
          <w:noProof/>
        </w:rPr>
        <w:t>6.</w:t>
      </w:r>
      <w:r w:rsidRPr="00926A86">
        <w:rPr>
          <w:noProof/>
        </w:rPr>
        <w:tab/>
        <w:t>Hodgins, B., Pillet, S., Landry, N., Ward, B.</w:t>
      </w:r>
      <w:r w:rsidR="00D25F42">
        <w:rPr>
          <w:noProof/>
        </w:rPr>
        <w:t xml:space="preserve"> </w:t>
      </w:r>
      <w:r w:rsidRPr="00926A86">
        <w:rPr>
          <w:noProof/>
        </w:rPr>
        <w:t xml:space="preserve">J. A plant-derived VLP influenza vaccine elicits a balanced immune response even in very old mice with co-morbidities. </w:t>
      </w:r>
      <w:r w:rsidRPr="00926A86">
        <w:rPr>
          <w:i/>
          <w:iCs/>
          <w:noProof/>
        </w:rPr>
        <w:t>PLoS ONE</w:t>
      </w:r>
      <w:r w:rsidRPr="00926A86">
        <w:rPr>
          <w:noProof/>
        </w:rPr>
        <w:t xml:space="preserve">. </w:t>
      </w:r>
      <w:r w:rsidRPr="00926A86">
        <w:rPr>
          <w:b/>
          <w:bCs/>
          <w:noProof/>
        </w:rPr>
        <w:t>14</w:t>
      </w:r>
      <w:r w:rsidRPr="00926A86">
        <w:rPr>
          <w:noProof/>
        </w:rPr>
        <w:t xml:space="preserve"> (1), </w:t>
      </w:r>
      <w:r w:rsidR="00D25F42" w:rsidRPr="00D25F42">
        <w:rPr>
          <w:noProof/>
        </w:rPr>
        <w:t>e0210009</w:t>
      </w:r>
      <w:r w:rsidRPr="00926A86">
        <w:rPr>
          <w:noProof/>
        </w:rPr>
        <w:t>(2019).</w:t>
      </w:r>
    </w:p>
    <w:p w14:paraId="2C003FBF" w14:textId="463928A7" w:rsidR="00926A86" w:rsidRPr="00926A86" w:rsidRDefault="00926A86" w:rsidP="00BC459E">
      <w:pPr>
        <w:autoSpaceDE w:val="0"/>
        <w:autoSpaceDN w:val="0"/>
        <w:adjustRightInd w:val="0"/>
        <w:rPr>
          <w:noProof/>
        </w:rPr>
      </w:pPr>
      <w:r w:rsidRPr="00926A86">
        <w:rPr>
          <w:noProof/>
        </w:rPr>
        <w:t>7.</w:t>
      </w:r>
      <w:r w:rsidRPr="00926A86">
        <w:rPr>
          <w:noProof/>
        </w:rPr>
        <w:tab/>
        <w:t>Lai, C.</w:t>
      </w:r>
      <w:r w:rsidR="00D25F42">
        <w:rPr>
          <w:noProof/>
        </w:rPr>
        <w:t xml:space="preserve"> </w:t>
      </w:r>
      <w:r w:rsidRPr="00926A86">
        <w:rPr>
          <w:noProof/>
        </w:rPr>
        <w:t xml:space="preserve">C. </w:t>
      </w:r>
      <w:r w:rsidR="00D25F42" w:rsidRPr="00D25F42">
        <w:rPr>
          <w:iCs/>
          <w:noProof/>
        </w:rPr>
        <w:t>et al</w:t>
      </w:r>
      <w:r w:rsidRPr="00926A86">
        <w:rPr>
          <w:i/>
          <w:iCs/>
          <w:noProof/>
        </w:rPr>
        <w:t>.</w:t>
      </w:r>
      <w:r w:rsidRPr="00926A86">
        <w:rPr>
          <w:noProof/>
        </w:rPr>
        <w:t xml:space="preserve"> Process development for pandemic influenza VLP vaccine production using a baculovirus expression system. </w:t>
      </w:r>
      <w:r w:rsidRPr="00926A86">
        <w:rPr>
          <w:i/>
          <w:iCs/>
          <w:noProof/>
        </w:rPr>
        <w:t>Journal of Biological Engineering</w:t>
      </w:r>
      <w:r w:rsidRPr="00926A86">
        <w:rPr>
          <w:noProof/>
        </w:rPr>
        <w:t xml:space="preserve">. </w:t>
      </w:r>
      <w:r w:rsidRPr="00926A86">
        <w:rPr>
          <w:b/>
          <w:bCs/>
          <w:noProof/>
        </w:rPr>
        <w:t>13</w:t>
      </w:r>
      <w:r w:rsidRPr="00926A86">
        <w:rPr>
          <w:noProof/>
        </w:rPr>
        <w:t xml:space="preserve">, </w:t>
      </w:r>
      <w:r w:rsidR="00D25F42">
        <w:rPr>
          <w:noProof/>
        </w:rPr>
        <w:t xml:space="preserve">78 </w:t>
      </w:r>
      <w:r w:rsidRPr="00926A86">
        <w:rPr>
          <w:noProof/>
        </w:rPr>
        <w:t>(2019).</w:t>
      </w:r>
    </w:p>
    <w:p w14:paraId="209A4F0A" w14:textId="46D57A84" w:rsidR="00926A86" w:rsidRPr="00926A86" w:rsidRDefault="00926A86" w:rsidP="00BC459E">
      <w:pPr>
        <w:autoSpaceDE w:val="0"/>
        <w:autoSpaceDN w:val="0"/>
        <w:adjustRightInd w:val="0"/>
        <w:rPr>
          <w:noProof/>
        </w:rPr>
      </w:pPr>
      <w:r w:rsidRPr="00926A86">
        <w:rPr>
          <w:noProof/>
        </w:rPr>
        <w:t>8.</w:t>
      </w:r>
      <w:r w:rsidRPr="00926A86">
        <w:rPr>
          <w:noProof/>
        </w:rPr>
        <w:tab/>
        <w:t>Caldeira, J.</w:t>
      </w:r>
      <w:r w:rsidR="00D25F42">
        <w:rPr>
          <w:noProof/>
        </w:rPr>
        <w:t xml:space="preserve"> </w:t>
      </w:r>
      <w:r w:rsidRPr="00926A86">
        <w:rPr>
          <w:noProof/>
        </w:rPr>
        <w:t>C., Perrine, M., Pericle, F., Cavallo, F. Virus-</w:t>
      </w:r>
      <w:r w:rsidR="00D25F42" w:rsidRPr="00926A86">
        <w:rPr>
          <w:noProof/>
        </w:rPr>
        <w:t>like particles as an immunogenic platform for cancer vacci</w:t>
      </w:r>
      <w:r w:rsidRPr="00926A86">
        <w:rPr>
          <w:noProof/>
        </w:rPr>
        <w:t xml:space="preserve">nes. </w:t>
      </w:r>
      <w:r w:rsidRPr="00926A86">
        <w:rPr>
          <w:i/>
          <w:iCs/>
          <w:noProof/>
        </w:rPr>
        <w:t>Viruses</w:t>
      </w:r>
      <w:r w:rsidRPr="00926A86">
        <w:rPr>
          <w:noProof/>
        </w:rPr>
        <w:t xml:space="preserve">. </w:t>
      </w:r>
      <w:r w:rsidRPr="00926A86">
        <w:rPr>
          <w:b/>
          <w:bCs/>
          <w:noProof/>
        </w:rPr>
        <w:t>12</w:t>
      </w:r>
      <w:r w:rsidRPr="00926A86">
        <w:rPr>
          <w:noProof/>
        </w:rPr>
        <w:t xml:space="preserve"> (5), 488</w:t>
      </w:r>
      <w:r w:rsidR="00D25F42">
        <w:rPr>
          <w:noProof/>
        </w:rPr>
        <w:t xml:space="preserve"> </w:t>
      </w:r>
      <w:r w:rsidRPr="00926A86">
        <w:rPr>
          <w:noProof/>
        </w:rPr>
        <w:t>(2020).</w:t>
      </w:r>
    </w:p>
    <w:p w14:paraId="5AD70581" w14:textId="7D4A8E1A" w:rsidR="00926A86" w:rsidRPr="00926A86" w:rsidRDefault="00926A86" w:rsidP="00BC459E">
      <w:pPr>
        <w:autoSpaceDE w:val="0"/>
        <w:autoSpaceDN w:val="0"/>
        <w:adjustRightInd w:val="0"/>
        <w:rPr>
          <w:noProof/>
        </w:rPr>
      </w:pPr>
      <w:r w:rsidRPr="00926A86">
        <w:rPr>
          <w:noProof/>
        </w:rPr>
        <w:t>9.</w:t>
      </w:r>
      <w:r w:rsidRPr="00926A86">
        <w:rPr>
          <w:noProof/>
        </w:rPr>
        <w:tab/>
        <w:t xml:space="preserve">Nika, L. </w:t>
      </w:r>
      <w:r w:rsidR="00D25F42" w:rsidRPr="00D25F42">
        <w:rPr>
          <w:iCs/>
          <w:noProof/>
        </w:rPr>
        <w:t>et al</w:t>
      </w:r>
      <w:r w:rsidRPr="00926A86">
        <w:rPr>
          <w:i/>
          <w:iCs/>
          <w:noProof/>
        </w:rPr>
        <w:t>.</w:t>
      </w:r>
      <w:r w:rsidRPr="00926A86">
        <w:rPr>
          <w:noProof/>
        </w:rPr>
        <w:t xml:space="preserve"> An HER2-displaying virus-like particle vaccine protects from challenge with mammary carcinoma cells in a mouse model. </w:t>
      </w:r>
      <w:r w:rsidRPr="00926A86">
        <w:rPr>
          <w:i/>
          <w:iCs/>
          <w:noProof/>
        </w:rPr>
        <w:t>Vaccines</w:t>
      </w:r>
      <w:r w:rsidRPr="00926A86">
        <w:rPr>
          <w:noProof/>
        </w:rPr>
        <w:t xml:space="preserve">. </w:t>
      </w:r>
      <w:r w:rsidRPr="00926A86">
        <w:rPr>
          <w:b/>
          <w:bCs/>
          <w:noProof/>
        </w:rPr>
        <w:t>7</w:t>
      </w:r>
      <w:r w:rsidRPr="00926A86">
        <w:rPr>
          <w:noProof/>
        </w:rPr>
        <w:t xml:space="preserve"> (2), </w:t>
      </w:r>
      <w:r w:rsidR="00D25F42">
        <w:rPr>
          <w:noProof/>
        </w:rPr>
        <w:t>41</w:t>
      </w:r>
      <w:r w:rsidRPr="00926A86">
        <w:rPr>
          <w:noProof/>
        </w:rPr>
        <w:t xml:space="preserve"> (2019).</w:t>
      </w:r>
    </w:p>
    <w:p w14:paraId="05FAFBA9" w14:textId="303A7E45" w:rsidR="00926A86" w:rsidRPr="00926A86" w:rsidRDefault="00926A86" w:rsidP="00BC459E">
      <w:pPr>
        <w:autoSpaceDE w:val="0"/>
        <w:autoSpaceDN w:val="0"/>
        <w:adjustRightInd w:val="0"/>
        <w:rPr>
          <w:noProof/>
        </w:rPr>
      </w:pPr>
      <w:r w:rsidRPr="00926A86">
        <w:rPr>
          <w:noProof/>
        </w:rPr>
        <w:t>10.</w:t>
      </w:r>
      <w:r w:rsidRPr="00926A86">
        <w:rPr>
          <w:noProof/>
        </w:rPr>
        <w:tab/>
        <w:t>Mohsen, M.</w:t>
      </w:r>
      <w:r w:rsidR="00D25F42">
        <w:rPr>
          <w:noProof/>
        </w:rPr>
        <w:t xml:space="preserve"> </w:t>
      </w:r>
      <w:r w:rsidRPr="00926A86">
        <w:rPr>
          <w:noProof/>
        </w:rPr>
        <w:t>O., Zha, L., Cabral-Miranda, G., Bachmann, M.</w:t>
      </w:r>
      <w:r w:rsidR="00D25F42">
        <w:rPr>
          <w:noProof/>
        </w:rPr>
        <w:t xml:space="preserve"> </w:t>
      </w:r>
      <w:r w:rsidRPr="00926A86">
        <w:rPr>
          <w:noProof/>
        </w:rPr>
        <w:t xml:space="preserve">F. Major findings and recent advances in virus–like particle (VLP)-based vaccines. </w:t>
      </w:r>
      <w:r w:rsidRPr="00926A86">
        <w:rPr>
          <w:i/>
          <w:iCs/>
          <w:noProof/>
        </w:rPr>
        <w:t>Seminars in Immunology</w:t>
      </w:r>
      <w:r w:rsidRPr="00926A86">
        <w:rPr>
          <w:noProof/>
        </w:rPr>
        <w:t xml:space="preserve">. </w:t>
      </w:r>
      <w:r w:rsidRPr="00926A86">
        <w:rPr>
          <w:b/>
          <w:bCs/>
          <w:noProof/>
        </w:rPr>
        <w:t>34</w:t>
      </w:r>
      <w:r w:rsidRPr="00926A86">
        <w:rPr>
          <w:noProof/>
        </w:rPr>
        <w:t xml:space="preserve"> (July), 123–132 (2017).</w:t>
      </w:r>
    </w:p>
    <w:p w14:paraId="0895350D" w14:textId="4F0AFC99" w:rsidR="00926A86" w:rsidRPr="00926A86" w:rsidRDefault="00926A86" w:rsidP="00BC459E">
      <w:pPr>
        <w:autoSpaceDE w:val="0"/>
        <w:autoSpaceDN w:val="0"/>
        <w:adjustRightInd w:val="0"/>
        <w:rPr>
          <w:noProof/>
        </w:rPr>
      </w:pPr>
      <w:r w:rsidRPr="00926A86">
        <w:rPr>
          <w:noProof/>
        </w:rPr>
        <w:t>11.</w:t>
      </w:r>
      <w:r w:rsidRPr="00926A86">
        <w:rPr>
          <w:noProof/>
        </w:rPr>
        <w:tab/>
        <w:t xml:space="preserve">Fontana, D., Garay, E., Cevera, L., Kratje, R., Prieto, C., Gòdia, F. Chimeric VLPs </w:t>
      </w:r>
      <w:r w:rsidR="00D25F42" w:rsidRPr="00926A86">
        <w:rPr>
          <w:noProof/>
        </w:rPr>
        <w:t>based on hiv-1 gag and a fusion rabies glycoprotein induce specific antibodies against rabies and foot-and-mouth disease vir</w:t>
      </w:r>
      <w:r w:rsidRPr="00926A86">
        <w:rPr>
          <w:noProof/>
        </w:rPr>
        <w:t xml:space="preserve">us. </w:t>
      </w:r>
      <w:r w:rsidRPr="00926A86">
        <w:rPr>
          <w:i/>
          <w:iCs/>
          <w:noProof/>
        </w:rPr>
        <w:t>Vaccines</w:t>
      </w:r>
      <w:r w:rsidRPr="00926A86">
        <w:rPr>
          <w:noProof/>
        </w:rPr>
        <w:t xml:space="preserve">. </w:t>
      </w:r>
      <w:r w:rsidRPr="00926A86">
        <w:rPr>
          <w:b/>
          <w:bCs/>
          <w:noProof/>
        </w:rPr>
        <w:t>9</w:t>
      </w:r>
      <w:r w:rsidRPr="00926A86">
        <w:rPr>
          <w:noProof/>
        </w:rPr>
        <w:t xml:space="preserve"> (3),</w:t>
      </w:r>
      <w:r w:rsidR="00D25F42" w:rsidRPr="00926A86" w:rsidDel="00D25F42">
        <w:rPr>
          <w:noProof/>
        </w:rPr>
        <w:t xml:space="preserve"> </w:t>
      </w:r>
      <w:r w:rsidRPr="00926A86">
        <w:rPr>
          <w:noProof/>
        </w:rPr>
        <w:t>251 (2021).</w:t>
      </w:r>
    </w:p>
    <w:p w14:paraId="5F20DF1B" w14:textId="79B920B8" w:rsidR="00926A86" w:rsidRPr="00926A86" w:rsidRDefault="00926A86" w:rsidP="00BC459E">
      <w:pPr>
        <w:autoSpaceDE w:val="0"/>
        <w:autoSpaceDN w:val="0"/>
        <w:adjustRightInd w:val="0"/>
        <w:rPr>
          <w:noProof/>
        </w:rPr>
      </w:pPr>
      <w:r w:rsidRPr="00926A86">
        <w:rPr>
          <w:noProof/>
        </w:rPr>
        <w:t>12.</w:t>
      </w:r>
      <w:r w:rsidRPr="00926A86">
        <w:rPr>
          <w:noProof/>
        </w:rPr>
        <w:tab/>
        <w:t xml:space="preserve">Cervera, L. </w:t>
      </w:r>
      <w:r w:rsidR="00D25F42" w:rsidRPr="00D25F42">
        <w:rPr>
          <w:iCs/>
          <w:noProof/>
        </w:rPr>
        <w:t>et al</w:t>
      </w:r>
      <w:r w:rsidRPr="00926A86">
        <w:rPr>
          <w:i/>
          <w:iCs/>
          <w:noProof/>
        </w:rPr>
        <w:t>.</w:t>
      </w:r>
      <w:r w:rsidRPr="00926A86">
        <w:rPr>
          <w:noProof/>
        </w:rPr>
        <w:t xml:space="preserve"> Production of HIV-1-based virus-like particles for vaccination: achievements and limits. </w:t>
      </w:r>
      <w:r w:rsidRPr="00926A86">
        <w:rPr>
          <w:i/>
          <w:iCs/>
          <w:noProof/>
        </w:rPr>
        <w:t>Applied Microbiology and Biotechnology</w:t>
      </w:r>
      <w:r w:rsidRPr="00926A86">
        <w:rPr>
          <w:noProof/>
        </w:rPr>
        <w:t xml:space="preserve">. </w:t>
      </w:r>
      <w:r w:rsidRPr="00926A86">
        <w:rPr>
          <w:b/>
          <w:bCs/>
          <w:noProof/>
        </w:rPr>
        <w:t>103</w:t>
      </w:r>
      <w:r w:rsidRPr="00926A86">
        <w:rPr>
          <w:noProof/>
        </w:rPr>
        <w:t xml:space="preserve"> (18), 7367–7384</w:t>
      </w:r>
      <w:r w:rsidR="00D25F42">
        <w:rPr>
          <w:noProof/>
        </w:rPr>
        <w:t xml:space="preserve"> </w:t>
      </w:r>
      <w:r w:rsidRPr="00926A86">
        <w:rPr>
          <w:noProof/>
        </w:rPr>
        <w:t>(2019).</w:t>
      </w:r>
    </w:p>
    <w:p w14:paraId="0B1BEF2C" w14:textId="1A620A19" w:rsidR="00926A86" w:rsidRPr="00926A86" w:rsidRDefault="00926A86" w:rsidP="00BC459E">
      <w:pPr>
        <w:autoSpaceDE w:val="0"/>
        <w:autoSpaceDN w:val="0"/>
        <w:adjustRightInd w:val="0"/>
        <w:rPr>
          <w:noProof/>
        </w:rPr>
      </w:pPr>
      <w:r w:rsidRPr="00926A86">
        <w:rPr>
          <w:noProof/>
        </w:rPr>
        <w:t>13.</w:t>
      </w:r>
      <w:r w:rsidRPr="00926A86">
        <w:rPr>
          <w:noProof/>
        </w:rPr>
        <w:tab/>
        <w:t>Gonelli, C.</w:t>
      </w:r>
      <w:r w:rsidR="00D25F42">
        <w:rPr>
          <w:noProof/>
        </w:rPr>
        <w:t xml:space="preserve"> </w:t>
      </w:r>
      <w:r w:rsidRPr="00926A86">
        <w:rPr>
          <w:noProof/>
        </w:rPr>
        <w:t>A., King, H.</w:t>
      </w:r>
      <w:r w:rsidR="00D25F42">
        <w:rPr>
          <w:noProof/>
        </w:rPr>
        <w:t xml:space="preserve"> </w:t>
      </w:r>
      <w:r w:rsidRPr="00926A86">
        <w:rPr>
          <w:noProof/>
        </w:rPr>
        <w:t>A.</w:t>
      </w:r>
      <w:r w:rsidR="00D25F42">
        <w:rPr>
          <w:noProof/>
        </w:rPr>
        <w:t xml:space="preserve"> </w:t>
      </w:r>
      <w:r w:rsidRPr="00926A86">
        <w:rPr>
          <w:noProof/>
        </w:rPr>
        <w:t>D., Mackenzie, C., Sonza, S., Center, R.</w:t>
      </w:r>
      <w:r w:rsidR="00D25F42">
        <w:rPr>
          <w:noProof/>
        </w:rPr>
        <w:t xml:space="preserve"> </w:t>
      </w:r>
      <w:r w:rsidRPr="00926A86">
        <w:rPr>
          <w:noProof/>
        </w:rPr>
        <w:t>J., Purcell, D.</w:t>
      </w:r>
      <w:r w:rsidR="00D25F42">
        <w:rPr>
          <w:noProof/>
        </w:rPr>
        <w:t xml:space="preserve"> </w:t>
      </w:r>
      <w:r w:rsidRPr="00926A86">
        <w:rPr>
          <w:noProof/>
        </w:rPr>
        <w:t>F.</w:t>
      </w:r>
      <w:r w:rsidR="00D25F42">
        <w:rPr>
          <w:noProof/>
        </w:rPr>
        <w:t xml:space="preserve"> </w:t>
      </w:r>
      <w:r w:rsidRPr="00926A86">
        <w:rPr>
          <w:noProof/>
        </w:rPr>
        <w:t xml:space="preserve">J. Immunogenicity of </w:t>
      </w:r>
      <w:r w:rsidR="00D25F42">
        <w:rPr>
          <w:noProof/>
        </w:rPr>
        <w:t>HIV-</w:t>
      </w:r>
      <w:r w:rsidRPr="00926A86">
        <w:rPr>
          <w:noProof/>
        </w:rPr>
        <w:t xml:space="preserve">1-based virus-like particles with increased incorporation and stability of membrane-bound env. </w:t>
      </w:r>
      <w:r w:rsidRPr="00926A86">
        <w:rPr>
          <w:i/>
          <w:iCs/>
          <w:noProof/>
        </w:rPr>
        <w:t>Vaccines</w:t>
      </w:r>
      <w:r w:rsidRPr="00926A86">
        <w:rPr>
          <w:noProof/>
        </w:rPr>
        <w:t xml:space="preserve">. </w:t>
      </w:r>
      <w:r w:rsidRPr="00926A86">
        <w:rPr>
          <w:b/>
          <w:bCs/>
          <w:noProof/>
        </w:rPr>
        <w:t>9</w:t>
      </w:r>
      <w:r w:rsidRPr="00926A86">
        <w:rPr>
          <w:noProof/>
        </w:rPr>
        <w:t xml:space="preserve"> (3), 1–36, 239 (2021).</w:t>
      </w:r>
    </w:p>
    <w:p w14:paraId="49B30EBA" w14:textId="77777777" w:rsidR="00926A86" w:rsidRPr="00F21D5F" w:rsidRDefault="00926A86" w:rsidP="00BC459E">
      <w:pPr>
        <w:autoSpaceDE w:val="0"/>
        <w:autoSpaceDN w:val="0"/>
        <w:adjustRightInd w:val="0"/>
        <w:rPr>
          <w:noProof/>
          <w:lang w:val="de-DE"/>
        </w:rPr>
      </w:pPr>
      <w:r w:rsidRPr="00926A86">
        <w:rPr>
          <w:noProof/>
        </w:rPr>
        <w:t>14.</w:t>
      </w:r>
      <w:r w:rsidRPr="00926A86">
        <w:rPr>
          <w:noProof/>
        </w:rPr>
        <w:tab/>
        <w:t xml:space="preserve">Trkola, A. HIV not as simple as one, two, three. </w:t>
      </w:r>
      <w:r w:rsidRPr="00F21D5F">
        <w:rPr>
          <w:i/>
          <w:iCs/>
          <w:noProof/>
          <w:lang w:val="de-DE"/>
        </w:rPr>
        <w:t>Nature</w:t>
      </w:r>
      <w:r w:rsidRPr="00F21D5F">
        <w:rPr>
          <w:noProof/>
          <w:lang w:val="de-DE"/>
        </w:rPr>
        <w:t xml:space="preserve">. </w:t>
      </w:r>
      <w:r w:rsidRPr="00F21D5F">
        <w:rPr>
          <w:b/>
          <w:bCs/>
          <w:noProof/>
          <w:lang w:val="de-DE"/>
        </w:rPr>
        <w:t>568</w:t>
      </w:r>
      <w:r w:rsidRPr="00F21D5F">
        <w:rPr>
          <w:noProof/>
          <w:lang w:val="de-DE"/>
        </w:rPr>
        <w:t>, 321–322 (2019).</w:t>
      </w:r>
    </w:p>
    <w:p w14:paraId="7548C1B2" w14:textId="6EC56ABB" w:rsidR="00926A86" w:rsidRPr="00926A86" w:rsidRDefault="00926A86" w:rsidP="00BC459E">
      <w:pPr>
        <w:autoSpaceDE w:val="0"/>
        <w:autoSpaceDN w:val="0"/>
        <w:adjustRightInd w:val="0"/>
        <w:rPr>
          <w:noProof/>
        </w:rPr>
      </w:pPr>
      <w:r w:rsidRPr="00F21D5F">
        <w:rPr>
          <w:noProof/>
          <w:lang w:val="de-DE"/>
        </w:rPr>
        <w:lastRenderedPageBreak/>
        <w:t>15.</w:t>
      </w:r>
      <w:r w:rsidRPr="00F21D5F">
        <w:rPr>
          <w:noProof/>
          <w:lang w:val="de-DE"/>
        </w:rPr>
        <w:tab/>
        <w:t>Berman, P.</w:t>
      </w:r>
      <w:r w:rsidR="00D25F42" w:rsidRPr="00F21D5F">
        <w:rPr>
          <w:noProof/>
          <w:lang w:val="de-DE"/>
        </w:rPr>
        <w:t xml:space="preserve"> </w:t>
      </w:r>
      <w:r w:rsidRPr="00F21D5F">
        <w:rPr>
          <w:noProof/>
          <w:lang w:val="de-DE"/>
        </w:rPr>
        <w:t xml:space="preserve">W. </w:t>
      </w:r>
      <w:r w:rsidR="00D25F42" w:rsidRPr="00F21D5F">
        <w:rPr>
          <w:iCs/>
          <w:noProof/>
          <w:lang w:val="de-DE"/>
        </w:rPr>
        <w:t>et al</w:t>
      </w:r>
      <w:r w:rsidRPr="00F21D5F">
        <w:rPr>
          <w:i/>
          <w:iCs/>
          <w:noProof/>
          <w:lang w:val="de-DE"/>
        </w:rPr>
        <w:t>.</w:t>
      </w:r>
      <w:r w:rsidRPr="00F21D5F">
        <w:rPr>
          <w:noProof/>
          <w:lang w:val="de-DE"/>
        </w:rPr>
        <w:t xml:space="preserve"> </w:t>
      </w:r>
      <w:r w:rsidRPr="00926A86">
        <w:rPr>
          <w:noProof/>
        </w:rPr>
        <w:t xml:space="preserve">Protection of chimpanzees from infection by HIV-1 after vaccination with recombinant glycoprotein gp120 but not gp160. </w:t>
      </w:r>
      <w:r w:rsidRPr="00926A86">
        <w:rPr>
          <w:i/>
          <w:iCs/>
          <w:noProof/>
        </w:rPr>
        <w:t>Nature</w:t>
      </w:r>
      <w:r w:rsidRPr="00926A86">
        <w:rPr>
          <w:noProof/>
        </w:rPr>
        <w:t xml:space="preserve">. </w:t>
      </w:r>
      <w:r w:rsidRPr="00926A86">
        <w:rPr>
          <w:b/>
          <w:bCs/>
          <w:noProof/>
        </w:rPr>
        <w:t>345</w:t>
      </w:r>
      <w:r w:rsidRPr="00926A86">
        <w:rPr>
          <w:noProof/>
        </w:rPr>
        <w:t xml:space="preserve"> (6276), 622–625 (1990).</w:t>
      </w:r>
    </w:p>
    <w:p w14:paraId="033BB87D" w14:textId="269C842B" w:rsidR="00926A86" w:rsidRPr="00926A86" w:rsidRDefault="00926A86" w:rsidP="00BC459E">
      <w:pPr>
        <w:autoSpaceDE w:val="0"/>
        <w:autoSpaceDN w:val="0"/>
        <w:adjustRightInd w:val="0"/>
        <w:rPr>
          <w:noProof/>
        </w:rPr>
      </w:pPr>
      <w:r w:rsidRPr="00926A86">
        <w:rPr>
          <w:noProof/>
        </w:rPr>
        <w:t>16.</w:t>
      </w:r>
      <w:r w:rsidRPr="00926A86">
        <w:rPr>
          <w:noProof/>
        </w:rPr>
        <w:tab/>
        <w:t>Barouch, D.</w:t>
      </w:r>
      <w:r w:rsidR="00D25F42">
        <w:rPr>
          <w:noProof/>
        </w:rPr>
        <w:t xml:space="preserve"> </w:t>
      </w:r>
      <w:r w:rsidRPr="00926A86">
        <w:rPr>
          <w:noProof/>
        </w:rPr>
        <w:t xml:space="preserve">H. Challenges in the development of an HIV-1 vaccine. </w:t>
      </w:r>
      <w:r w:rsidRPr="00926A86">
        <w:rPr>
          <w:i/>
          <w:iCs/>
          <w:noProof/>
        </w:rPr>
        <w:t>Nature</w:t>
      </w:r>
      <w:r w:rsidRPr="00926A86">
        <w:rPr>
          <w:noProof/>
        </w:rPr>
        <w:t xml:space="preserve">. </w:t>
      </w:r>
      <w:r w:rsidRPr="00926A86">
        <w:rPr>
          <w:b/>
          <w:bCs/>
          <w:noProof/>
        </w:rPr>
        <w:t>455</w:t>
      </w:r>
      <w:r w:rsidRPr="00926A86">
        <w:rPr>
          <w:noProof/>
        </w:rPr>
        <w:t xml:space="preserve"> (7213), 613–619 (2008).</w:t>
      </w:r>
    </w:p>
    <w:p w14:paraId="25213967" w14:textId="5D871F64" w:rsidR="00926A86" w:rsidRPr="00926A86" w:rsidRDefault="00926A86" w:rsidP="00BC459E">
      <w:pPr>
        <w:autoSpaceDE w:val="0"/>
        <w:autoSpaceDN w:val="0"/>
        <w:adjustRightInd w:val="0"/>
        <w:rPr>
          <w:noProof/>
        </w:rPr>
      </w:pPr>
      <w:r w:rsidRPr="00926A86">
        <w:rPr>
          <w:noProof/>
        </w:rPr>
        <w:t>17.</w:t>
      </w:r>
      <w:r w:rsidRPr="00926A86">
        <w:rPr>
          <w:noProof/>
        </w:rPr>
        <w:tab/>
        <w:t>DeCaprio, J., Kohl, T.</w:t>
      </w:r>
      <w:r w:rsidR="00D25F42">
        <w:rPr>
          <w:noProof/>
        </w:rPr>
        <w:t xml:space="preserve"> </w:t>
      </w:r>
      <w:r w:rsidRPr="00926A86">
        <w:rPr>
          <w:noProof/>
        </w:rPr>
        <w:t xml:space="preserve">O. Immunoprecipitation. </w:t>
      </w:r>
      <w:r w:rsidRPr="00926A86">
        <w:rPr>
          <w:i/>
          <w:iCs/>
          <w:noProof/>
        </w:rPr>
        <w:t>Cold Spring Harbor Protocols</w:t>
      </w:r>
      <w:r w:rsidRPr="00926A86">
        <w:rPr>
          <w:noProof/>
        </w:rPr>
        <w:t xml:space="preserve">. </w:t>
      </w:r>
      <w:r w:rsidRPr="00926A86">
        <w:rPr>
          <w:b/>
          <w:bCs/>
          <w:noProof/>
        </w:rPr>
        <w:t>2020</w:t>
      </w:r>
      <w:r w:rsidRPr="00926A86">
        <w:rPr>
          <w:noProof/>
        </w:rPr>
        <w:t xml:space="preserve"> (11), 449–461 (2020).</w:t>
      </w:r>
    </w:p>
    <w:p w14:paraId="06A3DB6C" w14:textId="68307551" w:rsidR="00926A86" w:rsidRPr="00926A86" w:rsidRDefault="00926A86" w:rsidP="00BC459E">
      <w:pPr>
        <w:autoSpaceDE w:val="0"/>
        <w:autoSpaceDN w:val="0"/>
        <w:adjustRightInd w:val="0"/>
        <w:rPr>
          <w:noProof/>
        </w:rPr>
      </w:pPr>
      <w:r w:rsidRPr="00926A86">
        <w:rPr>
          <w:noProof/>
        </w:rPr>
        <w:t>18.</w:t>
      </w:r>
      <w:r w:rsidRPr="00926A86">
        <w:rPr>
          <w:noProof/>
        </w:rPr>
        <w:tab/>
        <w:t>Barret. B., Wood P.</w:t>
      </w:r>
      <w:r w:rsidR="00D25F42">
        <w:rPr>
          <w:noProof/>
        </w:rPr>
        <w:t xml:space="preserve"> </w:t>
      </w:r>
      <w:r w:rsidRPr="00926A86">
        <w:rPr>
          <w:noProof/>
        </w:rPr>
        <w:t>A., V</w:t>
      </w:r>
      <w:r w:rsidR="00D25F42">
        <w:rPr>
          <w:noProof/>
        </w:rPr>
        <w:t xml:space="preserve">olwiler, </w:t>
      </w:r>
      <w:r w:rsidRPr="00926A86">
        <w:rPr>
          <w:noProof/>
        </w:rPr>
        <w:t xml:space="preserve">W. Quantitation of gamma globulins in human serum by immunoprecipitation. </w:t>
      </w:r>
      <w:r w:rsidRPr="00926A86">
        <w:rPr>
          <w:i/>
          <w:iCs/>
          <w:noProof/>
        </w:rPr>
        <w:t>Journal of Laboratory and Clinical Medicine</w:t>
      </w:r>
      <w:r w:rsidRPr="00926A86">
        <w:rPr>
          <w:noProof/>
        </w:rPr>
        <w:t xml:space="preserve">. </w:t>
      </w:r>
      <w:r w:rsidRPr="00926A86">
        <w:rPr>
          <w:b/>
          <w:bCs/>
          <w:noProof/>
        </w:rPr>
        <w:t>55</w:t>
      </w:r>
      <w:r w:rsidR="00D25F42" w:rsidRPr="00BC459E">
        <w:rPr>
          <w:noProof/>
        </w:rPr>
        <w:t xml:space="preserve">, </w:t>
      </w:r>
      <w:r w:rsidRPr="00BC459E">
        <w:rPr>
          <w:noProof/>
        </w:rPr>
        <w:t>605–</w:t>
      </w:r>
      <w:r w:rsidR="00D25F42" w:rsidRPr="00BC459E">
        <w:rPr>
          <w:noProof/>
        </w:rPr>
        <w:t>6</w:t>
      </w:r>
      <w:r w:rsidRPr="00BC459E">
        <w:rPr>
          <w:noProof/>
        </w:rPr>
        <w:t>15</w:t>
      </w:r>
      <w:r w:rsidRPr="00926A86">
        <w:rPr>
          <w:noProof/>
        </w:rPr>
        <w:t xml:space="preserve"> (1960).</w:t>
      </w:r>
    </w:p>
    <w:p w14:paraId="57256EC9" w14:textId="5368814A" w:rsidR="00926A86" w:rsidRPr="00926A86" w:rsidRDefault="00926A86" w:rsidP="00BC459E">
      <w:pPr>
        <w:autoSpaceDE w:val="0"/>
        <w:autoSpaceDN w:val="0"/>
        <w:adjustRightInd w:val="0"/>
        <w:rPr>
          <w:noProof/>
        </w:rPr>
      </w:pPr>
      <w:r w:rsidRPr="00926A86">
        <w:rPr>
          <w:noProof/>
        </w:rPr>
        <w:t>19.</w:t>
      </w:r>
      <w:r w:rsidRPr="00926A86">
        <w:rPr>
          <w:noProof/>
        </w:rPr>
        <w:tab/>
        <w:t xml:space="preserve">Kaboord, B., Perr, M. Isolation of proteins and protein complexes by immunoprecipitation. </w:t>
      </w:r>
      <w:r w:rsidRPr="00926A86">
        <w:rPr>
          <w:i/>
          <w:iCs/>
          <w:noProof/>
        </w:rPr>
        <w:t xml:space="preserve">Methods in </w:t>
      </w:r>
      <w:r w:rsidR="00D25F42">
        <w:rPr>
          <w:i/>
          <w:iCs/>
          <w:noProof/>
        </w:rPr>
        <w:t>M</w:t>
      </w:r>
      <w:r w:rsidR="00D25F42" w:rsidRPr="00926A86">
        <w:rPr>
          <w:i/>
          <w:iCs/>
          <w:noProof/>
        </w:rPr>
        <w:t xml:space="preserve">olecular </w:t>
      </w:r>
      <w:r w:rsidR="00D25F42">
        <w:rPr>
          <w:i/>
          <w:iCs/>
          <w:noProof/>
        </w:rPr>
        <w:t>B</w:t>
      </w:r>
      <w:r w:rsidRPr="00926A86">
        <w:rPr>
          <w:i/>
          <w:iCs/>
          <w:noProof/>
        </w:rPr>
        <w:t>iology (Clifton, N.J.)</w:t>
      </w:r>
      <w:r w:rsidRPr="00926A86">
        <w:rPr>
          <w:noProof/>
        </w:rPr>
        <w:t xml:space="preserve">. </w:t>
      </w:r>
      <w:r w:rsidRPr="00926A86">
        <w:rPr>
          <w:b/>
          <w:bCs/>
          <w:noProof/>
        </w:rPr>
        <w:t>424</w:t>
      </w:r>
      <w:r w:rsidRPr="00926A86">
        <w:rPr>
          <w:noProof/>
        </w:rPr>
        <w:t>, 349–364 (2008).</w:t>
      </w:r>
    </w:p>
    <w:p w14:paraId="521809D5" w14:textId="6B34D8A9" w:rsidR="00926A86" w:rsidRPr="00926A86" w:rsidRDefault="00926A86" w:rsidP="00BC459E">
      <w:pPr>
        <w:autoSpaceDE w:val="0"/>
        <w:autoSpaceDN w:val="0"/>
        <w:adjustRightInd w:val="0"/>
        <w:rPr>
          <w:noProof/>
        </w:rPr>
      </w:pPr>
      <w:r w:rsidRPr="00926A86">
        <w:rPr>
          <w:noProof/>
        </w:rPr>
        <w:t>20.</w:t>
      </w:r>
      <w:r w:rsidRPr="00926A86">
        <w:rPr>
          <w:noProof/>
        </w:rPr>
        <w:tab/>
        <w:t>Lee, S.</w:t>
      </w:r>
      <w:r w:rsidR="00D25F42">
        <w:rPr>
          <w:noProof/>
        </w:rPr>
        <w:t xml:space="preserve"> </w:t>
      </w:r>
      <w:r w:rsidRPr="00926A86">
        <w:rPr>
          <w:noProof/>
        </w:rPr>
        <w:t>H., Chu, K.</w:t>
      </w:r>
      <w:r w:rsidR="00D25F42">
        <w:rPr>
          <w:noProof/>
        </w:rPr>
        <w:t xml:space="preserve"> </w:t>
      </w:r>
      <w:r w:rsidRPr="00926A86">
        <w:rPr>
          <w:noProof/>
        </w:rPr>
        <w:t>B., Kang, H.</w:t>
      </w:r>
      <w:r w:rsidR="00D25F42">
        <w:rPr>
          <w:noProof/>
        </w:rPr>
        <w:t xml:space="preserve"> </w:t>
      </w:r>
      <w:r w:rsidRPr="00926A86">
        <w:rPr>
          <w:noProof/>
        </w:rPr>
        <w:t>J., Quan, F.</w:t>
      </w:r>
      <w:r w:rsidR="00D25F42">
        <w:rPr>
          <w:noProof/>
        </w:rPr>
        <w:t xml:space="preserve"> </w:t>
      </w:r>
      <w:r w:rsidRPr="00926A86">
        <w:rPr>
          <w:noProof/>
        </w:rPr>
        <w:t xml:space="preserve">S. Virus-like particles containing multiple antigenic proteins of Toxoplasma gondii induce memory T cell and B cell responses. </w:t>
      </w:r>
      <w:r w:rsidRPr="00926A86">
        <w:rPr>
          <w:i/>
          <w:iCs/>
          <w:noProof/>
        </w:rPr>
        <w:t>PLoS ONE</w:t>
      </w:r>
      <w:r w:rsidRPr="00926A86">
        <w:rPr>
          <w:noProof/>
        </w:rPr>
        <w:t xml:space="preserve">. </w:t>
      </w:r>
      <w:r w:rsidRPr="00926A86">
        <w:rPr>
          <w:b/>
          <w:bCs/>
          <w:noProof/>
        </w:rPr>
        <w:t>14</w:t>
      </w:r>
      <w:r w:rsidRPr="00926A86">
        <w:rPr>
          <w:noProof/>
        </w:rPr>
        <w:t xml:space="preserve"> (8), </w:t>
      </w:r>
      <w:r w:rsidR="00D25F42">
        <w:rPr>
          <w:noProof/>
        </w:rPr>
        <w:t>e</w:t>
      </w:r>
      <w:r w:rsidRPr="00926A86">
        <w:rPr>
          <w:noProof/>
        </w:rPr>
        <w:t>0220865 (2019).</w:t>
      </w:r>
    </w:p>
    <w:p w14:paraId="7F3E1108" w14:textId="7C5B0C29" w:rsidR="00926A86" w:rsidRPr="00926A86" w:rsidRDefault="00926A86" w:rsidP="00BC459E">
      <w:pPr>
        <w:autoSpaceDE w:val="0"/>
        <w:autoSpaceDN w:val="0"/>
        <w:adjustRightInd w:val="0"/>
        <w:rPr>
          <w:noProof/>
        </w:rPr>
      </w:pPr>
      <w:r w:rsidRPr="00926A86">
        <w:rPr>
          <w:noProof/>
        </w:rPr>
        <w:t>21.</w:t>
      </w:r>
      <w:r w:rsidRPr="00926A86">
        <w:rPr>
          <w:noProof/>
        </w:rPr>
        <w:tab/>
        <w:t>Lee, Y.</w:t>
      </w:r>
      <w:r w:rsidR="00D25F42">
        <w:rPr>
          <w:noProof/>
        </w:rPr>
        <w:t xml:space="preserve"> </w:t>
      </w:r>
      <w:r w:rsidRPr="00926A86">
        <w:rPr>
          <w:noProof/>
        </w:rPr>
        <w:t xml:space="preserve">T. </w:t>
      </w:r>
      <w:r w:rsidR="00D25F42" w:rsidRPr="00D25F42">
        <w:rPr>
          <w:iCs/>
          <w:noProof/>
        </w:rPr>
        <w:t>et al</w:t>
      </w:r>
      <w:r w:rsidRPr="00926A86">
        <w:rPr>
          <w:i/>
          <w:iCs/>
          <w:noProof/>
        </w:rPr>
        <w:t>.</w:t>
      </w:r>
      <w:r w:rsidRPr="00926A86">
        <w:rPr>
          <w:noProof/>
        </w:rPr>
        <w:t xml:space="preserve"> Intranasal vaccination with M2e5x virus-like particles induces humoral and cellular immune responses conferring cross-protection against heterosubtypic influenza viruses. </w:t>
      </w:r>
      <w:r w:rsidRPr="00926A86">
        <w:rPr>
          <w:i/>
          <w:iCs/>
          <w:noProof/>
        </w:rPr>
        <w:t>PLoS ONE</w:t>
      </w:r>
      <w:r w:rsidRPr="00926A86">
        <w:rPr>
          <w:noProof/>
        </w:rPr>
        <w:t xml:space="preserve">. </w:t>
      </w:r>
      <w:r w:rsidRPr="00926A86">
        <w:rPr>
          <w:b/>
          <w:bCs/>
          <w:noProof/>
        </w:rPr>
        <w:t>13</w:t>
      </w:r>
      <w:r w:rsidRPr="00926A86">
        <w:rPr>
          <w:noProof/>
        </w:rPr>
        <w:t xml:space="preserve"> (1),</w:t>
      </w:r>
      <w:r w:rsidR="00D25F42" w:rsidRPr="00926A86" w:rsidDel="00D25F42">
        <w:rPr>
          <w:noProof/>
        </w:rPr>
        <w:t xml:space="preserve"> </w:t>
      </w:r>
      <w:r w:rsidR="00D25F42">
        <w:rPr>
          <w:noProof/>
        </w:rPr>
        <w:t>e</w:t>
      </w:r>
      <w:r w:rsidRPr="00926A86">
        <w:rPr>
          <w:noProof/>
        </w:rPr>
        <w:t>0190868 (2018).</w:t>
      </w:r>
    </w:p>
    <w:p w14:paraId="0B206C40" w14:textId="189085C2" w:rsidR="00926A86" w:rsidRPr="00926A86" w:rsidRDefault="00926A86" w:rsidP="00BC459E">
      <w:pPr>
        <w:autoSpaceDE w:val="0"/>
        <w:autoSpaceDN w:val="0"/>
        <w:adjustRightInd w:val="0"/>
        <w:rPr>
          <w:noProof/>
        </w:rPr>
      </w:pPr>
      <w:r w:rsidRPr="00926A86">
        <w:rPr>
          <w:noProof/>
        </w:rPr>
        <w:t>22.</w:t>
      </w:r>
      <w:r w:rsidRPr="00926A86">
        <w:rPr>
          <w:noProof/>
        </w:rPr>
        <w:tab/>
        <w:t xml:space="preserve">Wang, J. </w:t>
      </w:r>
      <w:r w:rsidR="00D25F42" w:rsidRPr="00D25F42">
        <w:rPr>
          <w:iCs/>
          <w:noProof/>
        </w:rPr>
        <w:t>et al</w:t>
      </w:r>
      <w:r w:rsidRPr="00926A86">
        <w:rPr>
          <w:i/>
          <w:iCs/>
          <w:noProof/>
        </w:rPr>
        <w:t>.</w:t>
      </w:r>
      <w:r w:rsidRPr="00926A86">
        <w:rPr>
          <w:noProof/>
        </w:rPr>
        <w:t xml:space="preserve"> Large-scale manufacture of VP2 VLP vaccine against porcine parvovirus in Escherichia coli with high-density fermentation. </w:t>
      </w:r>
      <w:r w:rsidRPr="00926A86">
        <w:rPr>
          <w:i/>
          <w:iCs/>
          <w:noProof/>
        </w:rPr>
        <w:t>Applied Microbiology and Biotechnology</w:t>
      </w:r>
      <w:r w:rsidRPr="00926A86">
        <w:rPr>
          <w:noProof/>
        </w:rPr>
        <w:t xml:space="preserve">. </w:t>
      </w:r>
      <w:r w:rsidRPr="00926A86">
        <w:rPr>
          <w:b/>
          <w:bCs/>
          <w:noProof/>
        </w:rPr>
        <w:t>104</w:t>
      </w:r>
      <w:r w:rsidRPr="00926A86">
        <w:rPr>
          <w:noProof/>
        </w:rPr>
        <w:t xml:space="preserve"> (9), 3847–3857 (2020).</w:t>
      </w:r>
    </w:p>
    <w:p w14:paraId="75E58EF7" w14:textId="66A0D9A4" w:rsidR="00926A86" w:rsidRPr="00926A86" w:rsidRDefault="00926A86" w:rsidP="00BC459E">
      <w:pPr>
        <w:autoSpaceDE w:val="0"/>
        <w:autoSpaceDN w:val="0"/>
        <w:adjustRightInd w:val="0"/>
        <w:rPr>
          <w:noProof/>
        </w:rPr>
      </w:pPr>
      <w:r w:rsidRPr="00926A86">
        <w:rPr>
          <w:noProof/>
        </w:rPr>
        <w:t>23.</w:t>
      </w:r>
      <w:r w:rsidRPr="00926A86">
        <w:rPr>
          <w:noProof/>
        </w:rPr>
        <w:tab/>
        <w:t>Swenson, D.</w:t>
      </w:r>
      <w:r w:rsidR="00D25F42">
        <w:rPr>
          <w:noProof/>
        </w:rPr>
        <w:t xml:space="preserve"> </w:t>
      </w:r>
      <w:r w:rsidRPr="00926A86">
        <w:rPr>
          <w:noProof/>
        </w:rPr>
        <w:t xml:space="preserve">L. </w:t>
      </w:r>
      <w:r w:rsidR="00D25F42" w:rsidRPr="00D25F42">
        <w:rPr>
          <w:iCs/>
          <w:noProof/>
        </w:rPr>
        <w:t>et al</w:t>
      </w:r>
      <w:r w:rsidRPr="00926A86">
        <w:rPr>
          <w:i/>
          <w:iCs/>
          <w:noProof/>
        </w:rPr>
        <w:t>.</w:t>
      </w:r>
      <w:r w:rsidRPr="00926A86">
        <w:rPr>
          <w:noProof/>
        </w:rPr>
        <w:t xml:space="preserve"> Generation of Marburg virus-like particles by co-expression of glycoprotein and matrix protein. </w:t>
      </w:r>
      <w:r w:rsidRPr="00926A86">
        <w:rPr>
          <w:i/>
          <w:iCs/>
          <w:noProof/>
        </w:rPr>
        <w:t>FEMS Immunology and Medical Microbiology</w:t>
      </w:r>
      <w:r w:rsidRPr="00926A86">
        <w:rPr>
          <w:noProof/>
        </w:rPr>
        <w:t xml:space="preserve">. </w:t>
      </w:r>
      <w:r w:rsidRPr="00926A86">
        <w:rPr>
          <w:b/>
          <w:bCs/>
          <w:noProof/>
        </w:rPr>
        <w:t>40</w:t>
      </w:r>
      <w:r w:rsidRPr="00926A86">
        <w:rPr>
          <w:noProof/>
        </w:rPr>
        <w:t xml:space="preserve"> (1), 27–31 (2004).</w:t>
      </w:r>
    </w:p>
    <w:p w14:paraId="02AA9105" w14:textId="43CA63D6" w:rsidR="00926A86" w:rsidRPr="00926A86" w:rsidRDefault="00926A86" w:rsidP="00BC459E">
      <w:pPr>
        <w:autoSpaceDE w:val="0"/>
        <w:autoSpaceDN w:val="0"/>
        <w:adjustRightInd w:val="0"/>
        <w:rPr>
          <w:noProof/>
        </w:rPr>
      </w:pPr>
      <w:r w:rsidRPr="00926A86">
        <w:rPr>
          <w:noProof/>
        </w:rPr>
        <w:t>24.</w:t>
      </w:r>
      <w:r w:rsidRPr="00926A86">
        <w:rPr>
          <w:noProof/>
        </w:rPr>
        <w:tab/>
        <w:t>Latham, T., Galarza, J.</w:t>
      </w:r>
      <w:r w:rsidR="00D25F42">
        <w:rPr>
          <w:noProof/>
        </w:rPr>
        <w:t xml:space="preserve"> </w:t>
      </w:r>
      <w:r w:rsidRPr="00926A86">
        <w:rPr>
          <w:noProof/>
        </w:rPr>
        <w:t xml:space="preserve">M. Formation of </w:t>
      </w:r>
      <w:r w:rsidR="00D25F42" w:rsidRPr="00926A86">
        <w:rPr>
          <w:noProof/>
        </w:rPr>
        <w:t>wild-type and chimeric</w:t>
      </w:r>
      <w:r w:rsidRPr="00926A86">
        <w:rPr>
          <w:noProof/>
        </w:rPr>
        <w:t xml:space="preserve"> </w:t>
      </w:r>
      <w:r w:rsidR="00D25F42" w:rsidRPr="00926A86">
        <w:rPr>
          <w:noProof/>
        </w:rPr>
        <w:t>influenza virus-like particles following simultaneous expression of only four structural prot</w:t>
      </w:r>
      <w:r w:rsidRPr="00926A86">
        <w:rPr>
          <w:noProof/>
        </w:rPr>
        <w:t xml:space="preserve">eins. </w:t>
      </w:r>
      <w:r w:rsidRPr="00926A86">
        <w:rPr>
          <w:i/>
          <w:iCs/>
          <w:noProof/>
        </w:rPr>
        <w:t>Journal of Virology</w:t>
      </w:r>
      <w:r w:rsidRPr="00926A86">
        <w:rPr>
          <w:noProof/>
        </w:rPr>
        <w:t xml:space="preserve">. </w:t>
      </w:r>
      <w:r w:rsidRPr="00926A86">
        <w:rPr>
          <w:b/>
          <w:bCs/>
          <w:noProof/>
        </w:rPr>
        <w:t>75</w:t>
      </w:r>
      <w:r w:rsidRPr="00926A86">
        <w:rPr>
          <w:noProof/>
        </w:rPr>
        <w:t xml:space="preserve"> (13), 6154–6165 (2001).</w:t>
      </w:r>
    </w:p>
    <w:p w14:paraId="648A26E2" w14:textId="2E28DA20" w:rsidR="00926A86" w:rsidRPr="00926A86" w:rsidRDefault="00926A86" w:rsidP="00BC459E">
      <w:pPr>
        <w:autoSpaceDE w:val="0"/>
        <w:autoSpaceDN w:val="0"/>
        <w:adjustRightInd w:val="0"/>
        <w:rPr>
          <w:noProof/>
        </w:rPr>
      </w:pPr>
      <w:r w:rsidRPr="00926A86">
        <w:rPr>
          <w:noProof/>
        </w:rPr>
        <w:t>25.</w:t>
      </w:r>
      <w:r w:rsidRPr="00926A86">
        <w:rPr>
          <w:noProof/>
        </w:rPr>
        <w:tab/>
        <w:t>Doyle, J., Ray, M., Ouyang, A., Benton, B., Bell, P.</w:t>
      </w:r>
      <w:r w:rsidR="00D25F42">
        <w:rPr>
          <w:noProof/>
        </w:rPr>
        <w:t xml:space="preserve"> </w:t>
      </w:r>
      <w:r w:rsidRPr="00926A86">
        <w:rPr>
          <w:noProof/>
        </w:rPr>
        <w:t>A. Abstract 4877: High throughput proteomic applications using protein A/G magnetic beads.</w:t>
      </w:r>
      <w:r w:rsidRPr="00BC459E">
        <w:rPr>
          <w:i/>
          <w:iCs/>
          <w:noProof/>
        </w:rPr>
        <w:t xml:space="preserve"> </w:t>
      </w:r>
      <w:r w:rsidR="00D25F42" w:rsidRPr="00BC459E">
        <w:rPr>
          <w:i/>
          <w:iCs/>
          <w:noProof/>
        </w:rPr>
        <w:t>Association for Cancer Research (AACR) 102nd Annual Meeting</w:t>
      </w:r>
      <w:r w:rsidR="00D25F42" w:rsidRPr="00BC459E">
        <w:rPr>
          <w:noProof/>
        </w:rPr>
        <w:t xml:space="preserve">. </w:t>
      </w:r>
      <w:r w:rsidRPr="00926A86">
        <w:rPr>
          <w:b/>
          <w:bCs/>
          <w:noProof/>
        </w:rPr>
        <w:t>20</w:t>
      </w:r>
      <w:r w:rsidRPr="00926A86">
        <w:rPr>
          <w:noProof/>
        </w:rPr>
        <w:t>, 4877–4877 (2011).</w:t>
      </w:r>
    </w:p>
    <w:p w14:paraId="2302A38B" w14:textId="54483995" w:rsidR="00926A86" w:rsidRPr="00926A86" w:rsidRDefault="00926A86" w:rsidP="00BC459E">
      <w:pPr>
        <w:autoSpaceDE w:val="0"/>
        <w:autoSpaceDN w:val="0"/>
        <w:adjustRightInd w:val="0"/>
        <w:rPr>
          <w:noProof/>
        </w:rPr>
      </w:pPr>
      <w:r w:rsidRPr="00926A86">
        <w:rPr>
          <w:noProof/>
        </w:rPr>
        <w:t>26.</w:t>
      </w:r>
      <w:r w:rsidRPr="00926A86">
        <w:rPr>
          <w:noProof/>
        </w:rPr>
        <w:tab/>
        <w:t xml:space="preserve">Zhu, P. </w:t>
      </w:r>
      <w:r w:rsidR="00D25F42" w:rsidRPr="00D25F42">
        <w:rPr>
          <w:iCs/>
          <w:noProof/>
        </w:rPr>
        <w:t>et al</w:t>
      </w:r>
      <w:r w:rsidRPr="00926A86">
        <w:rPr>
          <w:i/>
          <w:iCs/>
          <w:noProof/>
        </w:rPr>
        <w:t>.</w:t>
      </w:r>
      <w:r w:rsidRPr="00926A86">
        <w:rPr>
          <w:noProof/>
        </w:rPr>
        <w:t xml:space="preserve"> Electron tomography analysis of envelope glycoprotein trimers on HIV and simian immunodeficiency virus virions. </w:t>
      </w:r>
      <w:r w:rsidRPr="00926A86">
        <w:rPr>
          <w:i/>
          <w:iCs/>
          <w:noProof/>
        </w:rPr>
        <w:t>Proceedings of the National Academy of Sciences of the United States of America</w:t>
      </w:r>
      <w:r w:rsidRPr="00926A86">
        <w:rPr>
          <w:noProof/>
        </w:rPr>
        <w:t xml:space="preserve">. </w:t>
      </w:r>
      <w:r w:rsidRPr="00926A86">
        <w:rPr>
          <w:b/>
          <w:bCs/>
          <w:noProof/>
        </w:rPr>
        <w:t>100</w:t>
      </w:r>
      <w:r w:rsidRPr="00926A86">
        <w:rPr>
          <w:noProof/>
        </w:rPr>
        <w:t xml:space="preserve"> (26), 15812–15817 (2003).</w:t>
      </w:r>
    </w:p>
    <w:p w14:paraId="3748C425" w14:textId="36542B8D" w:rsidR="00926A86" w:rsidRPr="00926A86" w:rsidRDefault="00926A86" w:rsidP="00BC459E">
      <w:pPr>
        <w:autoSpaceDE w:val="0"/>
        <w:autoSpaceDN w:val="0"/>
        <w:adjustRightInd w:val="0"/>
        <w:rPr>
          <w:noProof/>
        </w:rPr>
      </w:pPr>
      <w:r w:rsidRPr="00926A86">
        <w:rPr>
          <w:noProof/>
        </w:rPr>
        <w:t>27.</w:t>
      </w:r>
      <w:r w:rsidRPr="00926A86">
        <w:rPr>
          <w:noProof/>
        </w:rPr>
        <w:tab/>
        <w:t xml:space="preserve">Lavado-García, J., Jorge, I., Boix-Besora, A., Vázquez, J., Gòdia, F., Cervera, L. Characterization of HIV-1 virus-like particles and determination of Gag stoichiometry for different production platforms. </w:t>
      </w:r>
      <w:r w:rsidRPr="00926A86">
        <w:rPr>
          <w:i/>
          <w:iCs/>
          <w:noProof/>
        </w:rPr>
        <w:t xml:space="preserve">Biotechnology and </w:t>
      </w:r>
      <w:r w:rsidR="00D25F42">
        <w:rPr>
          <w:i/>
          <w:iCs/>
          <w:noProof/>
        </w:rPr>
        <w:t>B</w:t>
      </w:r>
      <w:r w:rsidR="00D25F42" w:rsidRPr="00926A86">
        <w:rPr>
          <w:i/>
          <w:iCs/>
          <w:noProof/>
        </w:rPr>
        <w:t>ioengineering</w:t>
      </w:r>
      <w:r w:rsidRPr="00926A86">
        <w:rPr>
          <w:noProof/>
        </w:rPr>
        <w:t xml:space="preserve">. </w:t>
      </w:r>
      <w:r w:rsidR="00D25F42" w:rsidRPr="00BC459E">
        <w:rPr>
          <w:b/>
          <w:bCs/>
          <w:noProof/>
        </w:rPr>
        <w:t>118</w:t>
      </w:r>
      <w:r w:rsidR="00D25F42">
        <w:rPr>
          <w:noProof/>
        </w:rPr>
        <w:t xml:space="preserve"> </w:t>
      </w:r>
      <w:r w:rsidR="00D25F42" w:rsidRPr="00D25F42">
        <w:rPr>
          <w:noProof/>
        </w:rPr>
        <w:t>(7)</w:t>
      </w:r>
      <w:r w:rsidR="00D25F42">
        <w:rPr>
          <w:noProof/>
        </w:rPr>
        <w:t xml:space="preserve">, </w:t>
      </w:r>
      <w:r w:rsidR="00D25F42" w:rsidRPr="00D25F42">
        <w:rPr>
          <w:noProof/>
        </w:rPr>
        <w:t>2660</w:t>
      </w:r>
      <w:r w:rsidR="00D25F42">
        <w:rPr>
          <w:noProof/>
        </w:rPr>
        <w:t>–</w:t>
      </w:r>
      <w:r w:rsidR="00D25F42" w:rsidRPr="00D25F42">
        <w:rPr>
          <w:noProof/>
        </w:rPr>
        <w:t>2675</w:t>
      </w:r>
      <w:r w:rsidRPr="00926A86">
        <w:rPr>
          <w:noProof/>
        </w:rPr>
        <w:t xml:space="preserve"> (2021).</w:t>
      </w:r>
    </w:p>
    <w:p w14:paraId="7D997F34" w14:textId="5FA40A55" w:rsidR="00926A86" w:rsidRPr="00926A86" w:rsidRDefault="00926A86" w:rsidP="00BC459E">
      <w:pPr>
        <w:autoSpaceDE w:val="0"/>
        <w:autoSpaceDN w:val="0"/>
        <w:adjustRightInd w:val="0"/>
        <w:rPr>
          <w:noProof/>
        </w:rPr>
      </w:pPr>
      <w:r w:rsidRPr="00926A86">
        <w:rPr>
          <w:noProof/>
        </w:rPr>
        <w:t>28.</w:t>
      </w:r>
      <w:r w:rsidRPr="00926A86">
        <w:rPr>
          <w:noProof/>
        </w:rPr>
        <w:tab/>
        <w:t xml:space="preserve">Miura, K. An </w:t>
      </w:r>
      <w:r w:rsidR="00D25F42" w:rsidRPr="00926A86">
        <w:rPr>
          <w:noProof/>
        </w:rPr>
        <w:t>overview of current methods to confirm protein-protein interaction</w:t>
      </w:r>
      <w:r w:rsidRPr="00926A86">
        <w:rPr>
          <w:noProof/>
        </w:rPr>
        <w:t xml:space="preserve">s. </w:t>
      </w:r>
      <w:r w:rsidRPr="00926A86">
        <w:rPr>
          <w:i/>
          <w:iCs/>
          <w:noProof/>
        </w:rPr>
        <w:t>Protein &amp; Peptide Letters</w:t>
      </w:r>
      <w:r w:rsidRPr="00926A86">
        <w:rPr>
          <w:noProof/>
        </w:rPr>
        <w:t xml:space="preserve">. </w:t>
      </w:r>
      <w:r w:rsidRPr="00926A86">
        <w:rPr>
          <w:b/>
          <w:bCs/>
          <w:noProof/>
        </w:rPr>
        <w:t>25</w:t>
      </w:r>
      <w:r w:rsidRPr="00926A86">
        <w:rPr>
          <w:noProof/>
        </w:rPr>
        <w:t xml:space="preserve"> (8), 728–733 (2018).</w:t>
      </w:r>
    </w:p>
    <w:p w14:paraId="04B1DDD6" w14:textId="6A782A68" w:rsidR="00926A86" w:rsidRPr="00926A86" w:rsidRDefault="00926A86" w:rsidP="00BC459E">
      <w:pPr>
        <w:autoSpaceDE w:val="0"/>
        <w:autoSpaceDN w:val="0"/>
        <w:adjustRightInd w:val="0"/>
        <w:rPr>
          <w:noProof/>
        </w:rPr>
      </w:pPr>
      <w:r w:rsidRPr="00926A86">
        <w:rPr>
          <w:noProof/>
        </w:rPr>
        <w:t>29.</w:t>
      </w:r>
      <w:r w:rsidRPr="00926A86">
        <w:rPr>
          <w:noProof/>
        </w:rPr>
        <w:tab/>
        <w:t>Rao V.</w:t>
      </w:r>
      <w:r w:rsidR="00D25F42">
        <w:rPr>
          <w:noProof/>
        </w:rPr>
        <w:t xml:space="preserve"> </w:t>
      </w:r>
      <w:r w:rsidRPr="00926A86">
        <w:rPr>
          <w:noProof/>
        </w:rPr>
        <w:t>S, Srinivas K., Sujini G.</w:t>
      </w:r>
      <w:r w:rsidR="00D25F42">
        <w:rPr>
          <w:noProof/>
        </w:rPr>
        <w:t xml:space="preserve"> </w:t>
      </w:r>
      <w:r w:rsidRPr="00926A86">
        <w:rPr>
          <w:noProof/>
        </w:rPr>
        <w:t>N., Kumar, G.</w:t>
      </w:r>
      <w:r w:rsidR="00D25F42">
        <w:rPr>
          <w:noProof/>
        </w:rPr>
        <w:t xml:space="preserve"> </w:t>
      </w:r>
      <w:r w:rsidRPr="00926A86">
        <w:rPr>
          <w:noProof/>
        </w:rPr>
        <w:t xml:space="preserve">N. Advances in molecular techniques to study diversity. </w:t>
      </w:r>
      <w:r w:rsidRPr="00926A86">
        <w:rPr>
          <w:i/>
          <w:iCs/>
          <w:noProof/>
        </w:rPr>
        <w:t>Plant Biotechnology, Volume 1: Principles, Techniques, and Applications</w:t>
      </w:r>
      <w:r w:rsidRPr="00926A86">
        <w:rPr>
          <w:noProof/>
        </w:rPr>
        <w:t xml:space="preserve">. </w:t>
      </w:r>
      <w:r w:rsidRPr="00926A86">
        <w:rPr>
          <w:b/>
          <w:bCs/>
          <w:noProof/>
        </w:rPr>
        <w:t>2014</w:t>
      </w:r>
      <w:r w:rsidRPr="00926A86">
        <w:rPr>
          <w:noProof/>
        </w:rPr>
        <w:t xml:space="preserve"> (ii), 341–365 (2017).</w:t>
      </w:r>
    </w:p>
    <w:p w14:paraId="36981C9B" w14:textId="4D9BD2D8" w:rsidR="00926A86" w:rsidRPr="00926A86" w:rsidRDefault="00926A86" w:rsidP="00BC459E">
      <w:pPr>
        <w:autoSpaceDE w:val="0"/>
        <w:autoSpaceDN w:val="0"/>
        <w:adjustRightInd w:val="0"/>
        <w:rPr>
          <w:noProof/>
        </w:rPr>
      </w:pPr>
      <w:r w:rsidRPr="00926A86">
        <w:rPr>
          <w:noProof/>
        </w:rPr>
        <w:t>30.</w:t>
      </w:r>
      <w:r w:rsidRPr="00926A86">
        <w:rPr>
          <w:noProof/>
        </w:rPr>
        <w:tab/>
        <w:t xml:space="preserve">JoVE Science Education Database. </w:t>
      </w:r>
      <w:r w:rsidRPr="00F21D5F">
        <w:rPr>
          <w:noProof/>
          <w:lang w:val="de-DE"/>
        </w:rPr>
        <w:t xml:space="preserve">Grundlegende Methoden in der Zell- und Molekularbiologie. </w:t>
      </w:r>
      <w:r w:rsidRPr="00926A86">
        <w:rPr>
          <w:noProof/>
        </w:rPr>
        <w:t xml:space="preserve">Separating Protein with SDS-PAGE. </w:t>
      </w:r>
      <w:r w:rsidRPr="00926A86">
        <w:rPr>
          <w:i/>
          <w:iCs/>
          <w:noProof/>
        </w:rPr>
        <w:t>JoVE, Cambridge, MA</w:t>
      </w:r>
      <w:r w:rsidRPr="00926A86">
        <w:rPr>
          <w:noProof/>
        </w:rPr>
        <w:t xml:space="preserve"> (2021).</w:t>
      </w:r>
    </w:p>
    <w:p w14:paraId="048E3330" w14:textId="50DD2E40" w:rsidR="00926A86" w:rsidRPr="00926A86" w:rsidRDefault="00926A86" w:rsidP="00BC459E">
      <w:pPr>
        <w:autoSpaceDE w:val="0"/>
        <w:autoSpaceDN w:val="0"/>
        <w:adjustRightInd w:val="0"/>
        <w:rPr>
          <w:noProof/>
        </w:rPr>
      </w:pPr>
      <w:r w:rsidRPr="00926A86">
        <w:rPr>
          <w:noProof/>
        </w:rPr>
        <w:t>31.</w:t>
      </w:r>
      <w:r w:rsidRPr="00926A86">
        <w:rPr>
          <w:noProof/>
        </w:rPr>
        <w:tab/>
        <w:t xml:space="preserve">Eslami, A., Lujan, J. Western </w:t>
      </w:r>
      <w:r w:rsidR="00D25F42">
        <w:rPr>
          <w:noProof/>
        </w:rPr>
        <w:t>b</w:t>
      </w:r>
      <w:r w:rsidR="00D25F42" w:rsidRPr="00926A86">
        <w:rPr>
          <w:noProof/>
        </w:rPr>
        <w:t>lotting</w:t>
      </w:r>
      <w:r w:rsidRPr="00926A86">
        <w:rPr>
          <w:noProof/>
        </w:rPr>
        <w:t xml:space="preserve">: </w:t>
      </w:r>
      <w:r w:rsidR="00D25F42" w:rsidRPr="00926A86">
        <w:rPr>
          <w:noProof/>
        </w:rPr>
        <w:t>sample preparation to de</w:t>
      </w:r>
      <w:r w:rsidRPr="00926A86">
        <w:rPr>
          <w:noProof/>
        </w:rPr>
        <w:t xml:space="preserve">tection. </w:t>
      </w:r>
      <w:r w:rsidRPr="00926A86">
        <w:rPr>
          <w:i/>
          <w:iCs/>
          <w:noProof/>
        </w:rPr>
        <w:t>Journal of Visualized Experiments</w:t>
      </w:r>
      <w:r w:rsidR="00D25F42">
        <w:rPr>
          <w:i/>
          <w:iCs/>
          <w:noProof/>
        </w:rPr>
        <w:t>: JoVE</w:t>
      </w:r>
      <w:r w:rsidRPr="00926A86">
        <w:rPr>
          <w:noProof/>
        </w:rPr>
        <w:t xml:space="preserve">. </w:t>
      </w:r>
      <w:r w:rsidRPr="00BC459E">
        <w:rPr>
          <w:b/>
          <w:bCs/>
          <w:noProof/>
        </w:rPr>
        <w:t>44</w:t>
      </w:r>
      <w:r w:rsidRPr="00926A86">
        <w:rPr>
          <w:noProof/>
        </w:rPr>
        <w:t>, 2359 (2010).</w:t>
      </w:r>
    </w:p>
    <w:p w14:paraId="5E4E79D9" w14:textId="74A92F9E" w:rsidR="00926A86" w:rsidRPr="00926A86" w:rsidRDefault="00926A86" w:rsidP="00BC459E">
      <w:pPr>
        <w:autoSpaceDE w:val="0"/>
        <w:autoSpaceDN w:val="0"/>
        <w:adjustRightInd w:val="0"/>
        <w:rPr>
          <w:noProof/>
        </w:rPr>
      </w:pPr>
      <w:r w:rsidRPr="00926A86">
        <w:rPr>
          <w:noProof/>
        </w:rPr>
        <w:t>32.</w:t>
      </w:r>
      <w:r w:rsidRPr="00926A86">
        <w:rPr>
          <w:noProof/>
        </w:rPr>
        <w:tab/>
        <w:t xml:space="preserve">Sheng, S., Kong, F. Separation of antigens and antibodies by immunoaffinity </w:t>
      </w:r>
      <w:r w:rsidRPr="00926A86">
        <w:rPr>
          <w:noProof/>
        </w:rPr>
        <w:lastRenderedPageBreak/>
        <w:t xml:space="preserve">chromatography. </w:t>
      </w:r>
      <w:r w:rsidRPr="00926A86">
        <w:rPr>
          <w:i/>
          <w:iCs/>
          <w:noProof/>
        </w:rPr>
        <w:t>Pharmaceutical Biology</w:t>
      </w:r>
      <w:r w:rsidRPr="00926A86">
        <w:rPr>
          <w:noProof/>
        </w:rPr>
        <w:t xml:space="preserve">. </w:t>
      </w:r>
      <w:r w:rsidRPr="00926A86">
        <w:rPr>
          <w:b/>
          <w:bCs/>
          <w:noProof/>
        </w:rPr>
        <w:t>50</w:t>
      </w:r>
      <w:r w:rsidRPr="00926A86">
        <w:rPr>
          <w:noProof/>
        </w:rPr>
        <w:t xml:space="preserve"> (8), 1038–1044 (2012).</w:t>
      </w:r>
    </w:p>
    <w:p w14:paraId="03A569A1" w14:textId="799C91E6" w:rsidR="00926A86" w:rsidRPr="00926A86" w:rsidRDefault="00926A86" w:rsidP="00BC459E">
      <w:pPr>
        <w:autoSpaceDE w:val="0"/>
        <w:autoSpaceDN w:val="0"/>
        <w:adjustRightInd w:val="0"/>
        <w:rPr>
          <w:noProof/>
        </w:rPr>
      </w:pPr>
      <w:r w:rsidRPr="00926A86">
        <w:rPr>
          <w:noProof/>
        </w:rPr>
        <w:t>33.</w:t>
      </w:r>
      <w:r w:rsidRPr="00926A86">
        <w:rPr>
          <w:noProof/>
        </w:rPr>
        <w:tab/>
        <w:t xml:space="preserve">Guzzo, C. </w:t>
      </w:r>
      <w:r w:rsidR="00D25F42" w:rsidRPr="00D25F42">
        <w:rPr>
          <w:iCs/>
          <w:noProof/>
        </w:rPr>
        <w:t>et al</w:t>
      </w:r>
      <w:r w:rsidRPr="00926A86">
        <w:rPr>
          <w:i/>
          <w:iCs/>
          <w:noProof/>
        </w:rPr>
        <w:t>.</w:t>
      </w:r>
      <w:r w:rsidRPr="00926A86">
        <w:rPr>
          <w:noProof/>
        </w:rPr>
        <w:t xml:space="preserve"> Virion incorporation of integrin 47 facilitates HIV-1 infection and intestinal homing. </w:t>
      </w:r>
      <w:r w:rsidRPr="00926A86">
        <w:rPr>
          <w:i/>
          <w:iCs/>
          <w:noProof/>
        </w:rPr>
        <w:t>Science Immunology</w:t>
      </w:r>
      <w:r w:rsidRPr="00926A86">
        <w:rPr>
          <w:noProof/>
        </w:rPr>
        <w:t xml:space="preserve">. </w:t>
      </w:r>
      <w:r w:rsidRPr="00926A86">
        <w:rPr>
          <w:b/>
          <w:bCs/>
          <w:noProof/>
        </w:rPr>
        <w:t>2</w:t>
      </w:r>
      <w:r w:rsidRPr="00926A86">
        <w:rPr>
          <w:noProof/>
        </w:rPr>
        <w:t xml:space="preserve"> (11), </w:t>
      </w:r>
      <w:r w:rsidR="00D25F42">
        <w:rPr>
          <w:noProof/>
        </w:rPr>
        <w:t>e</w:t>
      </w:r>
      <w:r w:rsidRPr="00926A86">
        <w:rPr>
          <w:noProof/>
        </w:rPr>
        <w:t>aam7341 (2017).</w:t>
      </w:r>
    </w:p>
    <w:p w14:paraId="7BD1F943" w14:textId="36D9561D" w:rsidR="00926A86" w:rsidRPr="00926A86" w:rsidRDefault="00926A86" w:rsidP="00BC459E">
      <w:pPr>
        <w:autoSpaceDE w:val="0"/>
        <w:autoSpaceDN w:val="0"/>
        <w:adjustRightInd w:val="0"/>
        <w:rPr>
          <w:noProof/>
        </w:rPr>
      </w:pPr>
      <w:r w:rsidRPr="00926A86">
        <w:rPr>
          <w:noProof/>
        </w:rPr>
        <w:t>34.</w:t>
      </w:r>
      <w:r w:rsidRPr="00926A86">
        <w:rPr>
          <w:noProof/>
        </w:rPr>
        <w:tab/>
        <w:t xml:space="preserve">Wei, M. </w:t>
      </w:r>
      <w:r w:rsidR="00D25F42" w:rsidRPr="00D25F42">
        <w:rPr>
          <w:iCs/>
          <w:noProof/>
        </w:rPr>
        <w:t>et al</w:t>
      </w:r>
      <w:r w:rsidRPr="00926A86">
        <w:rPr>
          <w:i/>
          <w:iCs/>
          <w:noProof/>
        </w:rPr>
        <w:t>.</w:t>
      </w:r>
      <w:r w:rsidRPr="00926A86">
        <w:rPr>
          <w:noProof/>
        </w:rPr>
        <w:t xml:space="preserve"> Bacteria expressed hepatitis E virus capsid proteins maintain virion-like epitopes. </w:t>
      </w:r>
      <w:r w:rsidRPr="00926A86">
        <w:rPr>
          <w:i/>
          <w:iCs/>
          <w:noProof/>
        </w:rPr>
        <w:t>Vaccine</w:t>
      </w:r>
      <w:r w:rsidRPr="00926A86">
        <w:rPr>
          <w:noProof/>
        </w:rPr>
        <w:t xml:space="preserve">. </w:t>
      </w:r>
      <w:r w:rsidRPr="00926A86">
        <w:rPr>
          <w:b/>
          <w:bCs/>
          <w:noProof/>
        </w:rPr>
        <w:t>32</w:t>
      </w:r>
      <w:r w:rsidRPr="00926A86">
        <w:rPr>
          <w:noProof/>
        </w:rPr>
        <w:t xml:space="preserve"> (24), 2859–2865 (2014).</w:t>
      </w:r>
    </w:p>
    <w:p w14:paraId="41546CE3" w14:textId="29BE4905" w:rsidR="00926A86" w:rsidRPr="00926A86" w:rsidRDefault="00926A86" w:rsidP="00BC459E">
      <w:pPr>
        <w:autoSpaceDE w:val="0"/>
        <w:autoSpaceDN w:val="0"/>
        <w:adjustRightInd w:val="0"/>
        <w:rPr>
          <w:noProof/>
        </w:rPr>
      </w:pPr>
      <w:r w:rsidRPr="00926A86">
        <w:rPr>
          <w:noProof/>
        </w:rPr>
        <w:t>35.</w:t>
      </w:r>
      <w:r w:rsidRPr="00926A86">
        <w:rPr>
          <w:noProof/>
        </w:rPr>
        <w:tab/>
        <w:t>Jin, J., Park, C., Cho, S.</w:t>
      </w:r>
      <w:r w:rsidR="00D25F42">
        <w:rPr>
          <w:noProof/>
        </w:rPr>
        <w:t xml:space="preserve"> </w:t>
      </w:r>
      <w:r w:rsidRPr="00926A86">
        <w:rPr>
          <w:noProof/>
        </w:rPr>
        <w:t xml:space="preserve">H., Chung, J. The level of decoy epitope in PCV2 vaccine affects the neutralizing activity of sera in the immunized animals. </w:t>
      </w:r>
      <w:r w:rsidRPr="00926A86">
        <w:rPr>
          <w:i/>
          <w:iCs/>
          <w:noProof/>
        </w:rPr>
        <w:t>Biochemical and Biophysical Research Communications</w:t>
      </w:r>
      <w:r w:rsidRPr="00926A86">
        <w:rPr>
          <w:noProof/>
        </w:rPr>
        <w:t xml:space="preserve">. </w:t>
      </w:r>
      <w:r w:rsidRPr="00926A86">
        <w:rPr>
          <w:b/>
          <w:bCs/>
          <w:noProof/>
        </w:rPr>
        <w:t>496</w:t>
      </w:r>
      <w:r w:rsidRPr="00926A86">
        <w:rPr>
          <w:noProof/>
        </w:rPr>
        <w:t xml:space="preserve"> (3), 846–851 (2018).</w:t>
      </w:r>
    </w:p>
    <w:p w14:paraId="5EE20985" w14:textId="29D26F05" w:rsidR="00926A86" w:rsidRPr="00926A86" w:rsidRDefault="00926A86" w:rsidP="00BC459E">
      <w:pPr>
        <w:autoSpaceDE w:val="0"/>
        <w:autoSpaceDN w:val="0"/>
        <w:adjustRightInd w:val="0"/>
        <w:rPr>
          <w:noProof/>
        </w:rPr>
      </w:pPr>
      <w:r w:rsidRPr="00926A86">
        <w:rPr>
          <w:noProof/>
        </w:rPr>
        <w:t>36.</w:t>
      </w:r>
      <w:r w:rsidRPr="00926A86">
        <w:rPr>
          <w:noProof/>
        </w:rPr>
        <w:tab/>
        <w:t xml:space="preserve">Zhang, X. </w:t>
      </w:r>
      <w:r w:rsidR="00D25F42" w:rsidRPr="00D25F42">
        <w:rPr>
          <w:iCs/>
          <w:noProof/>
        </w:rPr>
        <w:t>et al</w:t>
      </w:r>
      <w:r w:rsidRPr="00926A86">
        <w:rPr>
          <w:i/>
          <w:iCs/>
          <w:noProof/>
        </w:rPr>
        <w:t>.</w:t>
      </w:r>
      <w:r w:rsidRPr="00926A86">
        <w:rPr>
          <w:noProof/>
        </w:rPr>
        <w:t xml:space="preserve"> Lessons learned from successful human vaccines: Delineating key epitopes by dissecting the capsid proteins. </w:t>
      </w:r>
      <w:r w:rsidRPr="00926A86">
        <w:rPr>
          <w:i/>
          <w:iCs/>
          <w:noProof/>
        </w:rPr>
        <w:t>Human Vaccines and Immunotherapeutics</w:t>
      </w:r>
      <w:r w:rsidRPr="00926A86">
        <w:rPr>
          <w:noProof/>
        </w:rPr>
        <w:t xml:space="preserve">. </w:t>
      </w:r>
      <w:r w:rsidRPr="00926A86">
        <w:rPr>
          <w:b/>
          <w:bCs/>
          <w:noProof/>
        </w:rPr>
        <w:t>11</w:t>
      </w:r>
      <w:r w:rsidRPr="00926A86">
        <w:rPr>
          <w:noProof/>
        </w:rPr>
        <w:t xml:space="preserve"> (5), 1277–1292</w:t>
      </w:r>
      <w:r w:rsidR="00D25F42">
        <w:rPr>
          <w:noProof/>
        </w:rPr>
        <w:t xml:space="preserve"> </w:t>
      </w:r>
      <w:r w:rsidRPr="00926A86">
        <w:rPr>
          <w:noProof/>
        </w:rPr>
        <w:t>(2015).</w:t>
      </w:r>
    </w:p>
    <w:p w14:paraId="209410FB" w14:textId="71D15610" w:rsidR="00926A86" w:rsidRPr="00926A86" w:rsidRDefault="00926A86" w:rsidP="00BC459E">
      <w:pPr>
        <w:autoSpaceDE w:val="0"/>
        <w:autoSpaceDN w:val="0"/>
        <w:adjustRightInd w:val="0"/>
        <w:rPr>
          <w:noProof/>
        </w:rPr>
      </w:pPr>
      <w:r w:rsidRPr="00926A86">
        <w:rPr>
          <w:noProof/>
        </w:rPr>
        <w:t>37.</w:t>
      </w:r>
      <w:r w:rsidRPr="00926A86">
        <w:rPr>
          <w:noProof/>
        </w:rPr>
        <w:tab/>
        <w:t>DiGiuseppe, S., Bienkowska-Haba, M., Guion, L.</w:t>
      </w:r>
      <w:r w:rsidR="00D25F42">
        <w:rPr>
          <w:noProof/>
        </w:rPr>
        <w:t xml:space="preserve"> </w:t>
      </w:r>
      <w:r w:rsidRPr="00926A86">
        <w:rPr>
          <w:noProof/>
        </w:rPr>
        <w:t>G.</w:t>
      </w:r>
      <w:r w:rsidR="00D25F42">
        <w:rPr>
          <w:noProof/>
        </w:rPr>
        <w:t xml:space="preserve"> </w:t>
      </w:r>
      <w:r w:rsidRPr="00926A86">
        <w:rPr>
          <w:noProof/>
        </w:rPr>
        <w:t>M., Keiffer, T.</w:t>
      </w:r>
      <w:r w:rsidR="00D25F42">
        <w:rPr>
          <w:noProof/>
        </w:rPr>
        <w:t xml:space="preserve"> </w:t>
      </w:r>
      <w:r w:rsidRPr="00926A86">
        <w:rPr>
          <w:noProof/>
        </w:rPr>
        <w:t xml:space="preserve">R., Sapp, M. Human </w:t>
      </w:r>
      <w:r w:rsidR="00D25F42" w:rsidRPr="00926A86">
        <w:rPr>
          <w:noProof/>
        </w:rPr>
        <w:t>papillomavirus major capsid prote</w:t>
      </w:r>
      <w:r w:rsidRPr="00926A86">
        <w:rPr>
          <w:noProof/>
        </w:rPr>
        <w:t xml:space="preserve">in L1 </w:t>
      </w:r>
      <w:r w:rsidR="00D25F42" w:rsidRPr="00926A86">
        <w:rPr>
          <w:noProof/>
        </w:rPr>
        <w:t>remains associated with the incoming viral genome throughout the entry pr</w:t>
      </w:r>
      <w:r w:rsidRPr="00926A86">
        <w:rPr>
          <w:noProof/>
        </w:rPr>
        <w:t xml:space="preserve">ocess. </w:t>
      </w:r>
      <w:r w:rsidRPr="00926A86">
        <w:rPr>
          <w:i/>
          <w:iCs/>
          <w:noProof/>
        </w:rPr>
        <w:t>Journal of Virology</w:t>
      </w:r>
      <w:r w:rsidRPr="00926A86">
        <w:rPr>
          <w:noProof/>
        </w:rPr>
        <w:t xml:space="preserve">. </w:t>
      </w:r>
      <w:r w:rsidRPr="00926A86">
        <w:rPr>
          <w:b/>
          <w:bCs/>
          <w:noProof/>
        </w:rPr>
        <w:t>91</w:t>
      </w:r>
      <w:r w:rsidRPr="00926A86">
        <w:rPr>
          <w:noProof/>
        </w:rPr>
        <w:t xml:space="preserve"> (16), </w:t>
      </w:r>
      <w:r w:rsidR="00D25F42">
        <w:rPr>
          <w:noProof/>
        </w:rPr>
        <w:t>e</w:t>
      </w:r>
      <w:r w:rsidRPr="00926A86">
        <w:rPr>
          <w:noProof/>
        </w:rPr>
        <w:t>00537</w:t>
      </w:r>
      <w:r w:rsidR="00D25F42">
        <w:rPr>
          <w:noProof/>
        </w:rPr>
        <w:t>–</w:t>
      </w:r>
      <w:r w:rsidRPr="00926A86">
        <w:rPr>
          <w:noProof/>
        </w:rPr>
        <w:t>17 (2017).</w:t>
      </w:r>
    </w:p>
    <w:p w14:paraId="6B5C229B" w14:textId="48964DF6" w:rsidR="00926A86" w:rsidRPr="00926A86" w:rsidRDefault="00926A86" w:rsidP="00BC459E">
      <w:pPr>
        <w:autoSpaceDE w:val="0"/>
        <w:autoSpaceDN w:val="0"/>
        <w:adjustRightInd w:val="0"/>
        <w:rPr>
          <w:noProof/>
        </w:rPr>
      </w:pPr>
      <w:r w:rsidRPr="00926A86">
        <w:rPr>
          <w:noProof/>
        </w:rPr>
        <w:t>38.</w:t>
      </w:r>
      <w:r w:rsidRPr="00926A86">
        <w:rPr>
          <w:noProof/>
        </w:rPr>
        <w:tab/>
        <w:t>Wang, J.</w:t>
      </w:r>
      <w:r w:rsidR="00D25F42">
        <w:rPr>
          <w:noProof/>
        </w:rPr>
        <w:t xml:space="preserve"> </w:t>
      </w:r>
      <w:r w:rsidRPr="00926A86">
        <w:rPr>
          <w:noProof/>
        </w:rPr>
        <w:t>W., Roden, R.</w:t>
      </w:r>
      <w:r w:rsidR="00D25F42">
        <w:rPr>
          <w:noProof/>
        </w:rPr>
        <w:t xml:space="preserve"> </w:t>
      </w:r>
      <w:r w:rsidRPr="00926A86">
        <w:rPr>
          <w:noProof/>
        </w:rPr>
        <w:t>B.</w:t>
      </w:r>
      <w:r w:rsidR="00D25F42">
        <w:rPr>
          <w:noProof/>
        </w:rPr>
        <w:t xml:space="preserve"> </w:t>
      </w:r>
      <w:r w:rsidRPr="00926A86">
        <w:rPr>
          <w:noProof/>
        </w:rPr>
        <w:t xml:space="preserve">S. L2, the minor capsid protein of papillomavirus. </w:t>
      </w:r>
      <w:r w:rsidRPr="00926A86">
        <w:rPr>
          <w:i/>
          <w:iCs/>
          <w:noProof/>
        </w:rPr>
        <w:t>Virology</w:t>
      </w:r>
      <w:r w:rsidRPr="00926A86">
        <w:rPr>
          <w:noProof/>
        </w:rPr>
        <w:t xml:space="preserve">. </w:t>
      </w:r>
      <w:r w:rsidRPr="00926A86">
        <w:rPr>
          <w:b/>
          <w:bCs/>
          <w:noProof/>
        </w:rPr>
        <w:t>445</w:t>
      </w:r>
      <w:r w:rsidRPr="00926A86">
        <w:rPr>
          <w:noProof/>
        </w:rPr>
        <w:t xml:space="preserve"> (1–2), 175–186 (2013).</w:t>
      </w:r>
    </w:p>
    <w:p w14:paraId="48A881B4" w14:textId="6A9F1238" w:rsidR="00926A86" w:rsidRPr="00926A86" w:rsidRDefault="00926A86" w:rsidP="00BC459E">
      <w:pPr>
        <w:autoSpaceDE w:val="0"/>
        <w:autoSpaceDN w:val="0"/>
        <w:adjustRightInd w:val="0"/>
        <w:rPr>
          <w:noProof/>
        </w:rPr>
      </w:pPr>
      <w:r w:rsidRPr="00926A86">
        <w:rPr>
          <w:noProof/>
        </w:rPr>
        <w:t>39.</w:t>
      </w:r>
      <w:r w:rsidRPr="00926A86">
        <w:rPr>
          <w:noProof/>
        </w:rPr>
        <w:tab/>
        <w:t>Binley, J.</w:t>
      </w:r>
      <w:r w:rsidR="00D25F42">
        <w:rPr>
          <w:noProof/>
        </w:rPr>
        <w:t xml:space="preserve"> </w:t>
      </w:r>
      <w:r w:rsidRPr="00926A86">
        <w:rPr>
          <w:noProof/>
        </w:rPr>
        <w:t xml:space="preserve">M. </w:t>
      </w:r>
      <w:r w:rsidR="00D25F42" w:rsidRPr="00D25F42">
        <w:rPr>
          <w:iCs/>
          <w:noProof/>
        </w:rPr>
        <w:t>et al</w:t>
      </w:r>
      <w:r w:rsidRPr="00926A86">
        <w:rPr>
          <w:i/>
          <w:iCs/>
          <w:noProof/>
        </w:rPr>
        <w:t>.</w:t>
      </w:r>
      <w:r w:rsidRPr="00926A86">
        <w:rPr>
          <w:noProof/>
        </w:rPr>
        <w:t xml:space="preserve"> Profiling the</w:t>
      </w:r>
      <w:r w:rsidR="00D25F42" w:rsidRPr="00926A86">
        <w:rPr>
          <w:noProof/>
        </w:rPr>
        <w:t xml:space="preserve"> specificity of neutralizing antibodies in a large panel of plasmas from patients chronically infected w</w:t>
      </w:r>
      <w:r w:rsidRPr="00926A86">
        <w:rPr>
          <w:noProof/>
        </w:rPr>
        <w:t xml:space="preserve">ith </w:t>
      </w:r>
      <w:r w:rsidR="00D25F42" w:rsidRPr="00926A86">
        <w:rPr>
          <w:noProof/>
        </w:rPr>
        <w:t>human immunodeficiency virus typ</w:t>
      </w:r>
      <w:r w:rsidRPr="00926A86">
        <w:rPr>
          <w:noProof/>
        </w:rPr>
        <w:t xml:space="preserve">e 1 </w:t>
      </w:r>
      <w:r w:rsidR="00D25F42">
        <w:rPr>
          <w:noProof/>
        </w:rPr>
        <w:t>s</w:t>
      </w:r>
      <w:r w:rsidR="00D25F42" w:rsidRPr="00926A86">
        <w:rPr>
          <w:noProof/>
        </w:rPr>
        <w:t xml:space="preserve">ubtypes </w:t>
      </w:r>
      <w:r w:rsidRPr="00926A86">
        <w:rPr>
          <w:noProof/>
        </w:rPr>
        <w:t xml:space="preserve">B and C. </w:t>
      </w:r>
      <w:r w:rsidRPr="00926A86">
        <w:rPr>
          <w:i/>
          <w:iCs/>
          <w:noProof/>
        </w:rPr>
        <w:t>Journal of Virology</w:t>
      </w:r>
      <w:r w:rsidRPr="00926A86">
        <w:rPr>
          <w:noProof/>
        </w:rPr>
        <w:t xml:space="preserve">. </w:t>
      </w:r>
      <w:r w:rsidRPr="00926A86">
        <w:rPr>
          <w:b/>
          <w:bCs/>
          <w:noProof/>
        </w:rPr>
        <w:t>82</w:t>
      </w:r>
      <w:r w:rsidRPr="00926A86">
        <w:rPr>
          <w:noProof/>
        </w:rPr>
        <w:t xml:space="preserve"> (23), 11651–11668</w:t>
      </w:r>
      <w:r w:rsidR="00D25F42">
        <w:rPr>
          <w:noProof/>
        </w:rPr>
        <w:t xml:space="preserve"> </w:t>
      </w:r>
      <w:r w:rsidRPr="00926A86">
        <w:rPr>
          <w:noProof/>
        </w:rPr>
        <w:t>(2008).</w:t>
      </w:r>
    </w:p>
    <w:p w14:paraId="0384B7BA" w14:textId="738ADAB0" w:rsidR="00926A86" w:rsidRPr="00926A86" w:rsidRDefault="00926A86" w:rsidP="00BC459E">
      <w:pPr>
        <w:autoSpaceDE w:val="0"/>
        <w:autoSpaceDN w:val="0"/>
        <w:adjustRightInd w:val="0"/>
        <w:rPr>
          <w:noProof/>
        </w:rPr>
      </w:pPr>
      <w:r w:rsidRPr="00926A86">
        <w:rPr>
          <w:noProof/>
        </w:rPr>
        <w:t>40.</w:t>
      </w:r>
      <w:r w:rsidRPr="00926A86">
        <w:rPr>
          <w:noProof/>
        </w:rPr>
        <w:tab/>
        <w:t>Thane, K.</w:t>
      </w:r>
      <w:r w:rsidR="00D25F42">
        <w:rPr>
          <w:noProof/>
        </w:rPr>
        <w:t xml:space="preserve"> </w:t>
      </w:r>
      <w:r w:rsidRPr="00926A86">
        <w:rPr>
          <w:noProof/>
        </w:rPr>
        <w:t>E., Davis, A.</w:t>
      </w:r>
      <w:r w:rsidR="00D25F42">
        <w:rPr>
          <w:noProof/>
        </w:rPr>
        <w:t xml:space="preserve"> </w:t>
      </w:r>
      <w:r w:rsidRPr="00926A86">
        <w:rPr>
          <w:noProof/>
        </w:rPr>
        <w:t>M., Hoffman, A.</w:t>
      </w:r>
      <w:r w:rsidR="00D25F42">
        <w:rPr>
          <w:noProof/>
        </w:rPr>
        <w:t xml:space="preserve"> </w:t>
      </w:r>
      <w:r w:rsidRPr="00926A86">
        <w:rPr>
          <w:noProof/>
        </w:rPr>
        <w:t xml:space="preserve">M. Improved methods for fluorescent labeling and detection of single extracellular vesicles using nanoparticle tracking analysis. </w:t>
      </w:r>
      <w:r w:rsidRPr="00926A86">
        <w:rPr>
          <w:i/>
          <w:iCs/>
          <w:noProof/>
        </w:rPr>
        <w:t>Scientific Reports</w:t>
      </w:r>
      <w:r w:rsidRPr="00926A86">
        <w:rPr>
          <w:noProof/>
        </w:rPr>
        <w:t xml:space="preserve">. </w:t>
      </w:r>
      <w:r w:rsidRPr="00926A86">
        <w:rPr>
          <w:b/>
          <w:bCs/>
          <w:noProof/>
        </w:rPr>
        <w:t>9</w:t>
      </w:r>
      <w:r w:rsidRPr="00926A86">
        <w:rPr>
          <w:noProof/>
        </w:rPr>
        <w:t xml:space="preserve"> (1), </w:t>
      </w:r>
      <w:r w:rsidR="00D25F42">
        <w:rPr>
          <w:noProof/>
        </w:rPr>
        <w:t>12295</w:t>
      </w:r>
      <w:r w:rsidRPr="00926A86">
        <w:rPr>
          <w:noProof/>
        </w:rPr>
        <w:t xml:space="preserve"> (2019).</w:t>
      </w:r>
    </w:p>
    <w:p w14:paraId="15890C2D" w14:textId="2F9797D9" w:rsidR="00926A86" w:rsidRPr="00926A86" w:rsidRDefault="00926A86" w:rsidP="00BC459E">
      <w:pPr>
        <w:autoSpaceDE w:val="0"/>
        <w:autoSpaceDN w:val="0"/>
        <w:adjustRightInd w:val="0"/>
        <w:rPr>
          <w:noProof/>
        </w:rPr>
      </w:pPr>
      <w:r w:rsidRPr="00926A86">
        <w:rPr>
          <w:noProof/>
        </w:rPr>
        <w:t>41.</w:t>
      </w:r>
      <w:r w:rsidRPr="00926A86">
        <w:rPr>
          <w:noProof/>
        </w:rPr>
        <w:tab/>
        <w:t>Mulder, A.</w:t>
      </w:r>
      <w:r w:rsidR="00D25F42">
        <w:rPr>
          <w:noProof/>
        </w:rPr>
        <w:t xml:space="preserve"> </w:t>
      </w:r>
      <w:r w:rsidRPr="00926A86">
        <w:rPr>
          <w:noProof/>
        </w:rPr>
        <w:t xml:space="preserve">M. </w:t>
      </w:r>
      <w:r w:rsidR="00D25F42" w:rsidRPr="00D25F42">
        <w:rPr>
          <w:iCs/>
          <w:noProof/>
        </w:rPr>
        <w:t>et al</w:t>
      </w:r>
      <w:r w:rsidRPr="00926A86">
        <w:rPr>
          <w:i/>
          <w:iCs/>
          <w:noProof/>
        </w:rPr>
        <w:t>.</w:t>
      </w:r>
      <w:r w:rsidRPr="00926A86">
        <w:rPr>
          <w:noProof/>
        </w:rPr>
        <w:t xml:space="preserve"> Toolbox for non-intrusive structural and functional analysis of recombinant VLP based vaccines: A case study with hepatitis B vaccine. </w:t>
      </w:r>
      <w:r w:rsidRPr="00926A86">
        <w:rPr>
          <w:i/>
          <w:iCs/>
          <w:noProof/>
        </w:rPr>
        <w:t>PLoS ONE</w:t>
      </w:r>
      <w:r w:rsidRPr="00926A86">
        <w:rPr>
          <w:noProof/>
        </w:rPr>
        <w:t xml:space="preserve">. </w:t>
      </w:r>
      <w:r w:rsidRPr="00926A86">
        <w:rPr>
          <w:b/>
          <w:bCs/>
          <w:noProof/>
        </w:rPr>
        <w:t>7</w:t>
      </w:r>
      <w:r w:rsidRPr="00926A86">
        <w:rPr>
          <w:noProof/>
        </w:rPr>
        <w:t xml:space="preserve"> (4), </w:t>
      </w:r>
      <w:r w:rsidR="00D25F42">
        <w:rPr>
          <w:noProof/>
        </w:rPr>
        <w:t>e</w:t>
      </w:r>
      <w:r w:rsidRPr="00926A86">
        <w:rPr>
          <w:noProof/>
        </w:rPr>
        <w:t>0033235 (2012).</w:t>
      </w:r>
    </w:p>
    <w:p w14:paraId="1955DD34" w14:textId="77777777" w:rsidR="009001EE" w:rsidRDefault="00E01D80">
      <w:pPr>
        <w:rPr>
          <w:rFonts w:asciiTheme="minorHAnsi" w:hAnsiTheme="minorHAnsi" w:cstheme="minorHAnsi"/>
          <w:b/>
          <w:color w:val="808080"/>
        </w:rPr>
      </w:pPr>
      <w:r>
        <w:rPr>
          <w:rFonts w:asciiTheme="minorHAnsi" w:hAnsiTheme="minorHAnsi" w:cstheme="minorHAnsi"/>
        </w:rPr>
        <w:fldChar w:fldCharType="end"/>
      </w:r>
    </w:p>
    <w:sectPr w:rsidR="009001EE">
      <w:headerReference w:type="default" r:id="rId13"/>
      <w:footerReference w:type="first" r:id="rId14"/>
      <w:pgSz w:w="12240" w:h="15840"/>
      <w:pgMar w:top="1440" w:right="1440" w:bottom="1440" w:left="1440" w:header="720" w:footer="605" w:gutter="0"/>
      <w:lnNumType w:countBy="1" w:distance="283" w:restart="continuous"/>
      <w:pgNumType w:start="0"/>
      <w:cols w:space="720"/>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nbekannter Autor" w:date="2021-07-20T21:43:00Z">
    <w:p w14:paraId="00000001" w14:textId="00000001">
      <w:pPr>
        <w:spacing w:line="240" w:after="0" w:lineRule="auto" w:before="0"/>
        <w:ind w:firstLine="0" w:left="0" w:right="0"/>
        <w:jc w:val="left"/>
      </w:pPr>
      <w:r>
        <w:rPr>
          <w:rFonts w:eastAsia="Arial" w:ascii="Arial" w:hAnsi="Arial" w:cs="Arial"/>
          <w:sz w:val="22"/>
        </w:rPr>
        <w:t xml:space="preserve">Mag den Ausdruck “the other type of protein” nicht. Ich überlege schon seit Tagen wie man ganz allgemein diese Paare nennt.. (also Avidin-Biotin; Protein A/G-Antikörper, Histag-NTA, etc.) affinity pairs?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67425D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4324" w14:textId="77777777" w:rsidR="00483149" w:rsidRDefault="00483149">
      <w:r>
        <w:separator/>
      </w:r>
    </w:p>
  </w:endnote>
  <w:endnote w:type="continuationSeparator" w:id="0">
    <w:p w14:paraId="16E53ECB" w14:textId="77777777" w:rsidR="00483149" w:rsidRDefault="0048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Liberation Sans">
    <w:altName w:val="Arial"/>
    <w:charset w:val="00"/>
    <w:family w:val="auto"/>
    <w:pitch w:val="default"/>
  </w:font>
  <w:font w:name="noto sans cjk sc">
    <w:charset w:val="00"/>
    <w:family w:val="auto"/>
    <w:pitch w:val="default"/>
  </w:font>
  <w:font w:name="FreeSans">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D562" w14:textId="77777777" w:rsidR="009001EE" w:rsidRDefault="00E01D8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554B" w14:textId="77777777" w:rsidR="00483149" w:rsidRDefault="00483149">
      <w:r>
        <w:separator/>
      </w:r>
    </w:p>
  </w:footnote>
  <w:footnote w:type="continuationSeparator" w:id="0">
    <w:p w14:paraId="4EFE8FE9" w14:textId="77777777" w:rsidR="00483149" w:rsidRDefault="0048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3833" w14:textId="77777777" w:rsidR="009001EE" w:rsidRDefault="00E01D80">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08FC"/>
    <w:multiLevelType w:val="multilevel"/>
    <w:tmpl w:val="F46A0C48"/>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rPr>
        <w:b w:val="0"/>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4BFB28C5"/>
    <w:multiLevelType w:val="hybridMultilevel"/>
    <w:tmpl w:val="A5867E86"/>
    <w:lvl w:ilvl="0" w:tplc="81C616B8">
      <w:start w:val="1"/>
      <w:numFmt w:val="bullet"/>
      <w:lvlText w:val=""/>
      <w:lvlJc w:val="left"/>
      <w:pPr>
        <w:ind w:left="720" w:hanging="360"/>
      </w:pPr>
      <w:rPr>
        <w:rFonts w:ascii="Symbol" w:hAnsi="Symbol" w:hint="default"/>
      </w:rPr>
    </w:lvl>
    <w:lvl w:ilvl="1" w:tplc="E9143C10">
      <w:start w:val="1"/>
      <w:numFmt w:val="bullet"/>
      <w:lvlText w:val="o"/>
      <w:lvlJc w:val="left"/>
      <w:pPr>
        <w:ind w:left="1440" w:hanging="360"/>
      </w:pPr>
      <w:rPr>
        <w:rFonts w:ascii="Courier New" w:hAnsi="Courier New" w:cs="Courier New" w:hint="default"/>
      </w:rPr>
    </w:lvl>
    <w:lvl w:ilvl="2" w:tplc="C168249C">
      <w:start w:val="1"/>
      <w:numFmt w:val="bullet"/>
      <w:lvlText w:val=""/>
      <w:lvlJc w:val="left"/>
      <w:pPr>
        <w:ind w:left="2160" w:hanging="360"/>
      </w:pPr>
      <w:rPr>
        <w:rFonts w:ascii="Wingdings" w:hAnsi="Wingdings" w:hint="default"/>
      </w:rPr>
    </w:lvl>
    <w:lvl w:ilvl="3" w:tplc="BD68B4E4">
      <w:start w:val="1"/>
      <w:numFmt w:val="bullet"/>
      <w:lvlText w:val=""/>
      <w:lvlJc w:val="left"/>
      <w:pPr>
        <w:ind w:left="2880" w:hanging="360"/>
      </w:pPr>
      <w:rPr>
        <w:rFonts w:ascii="Symbol" w:hAnsi="Symbol" w:hint="default"/>
      </w:rPr>
    </w:lvl>
    <w:lvl w:ilvl="4" w:tplc="455A252C">
      <w:start w:val="1"/>
      <w:numFmt w:val="bullet"/>
      <w:lvlText w:val="o"/>
      <w:lvlJc w:val="left"/>
      <w:pPr>
        <w:ind w:left="3600" w:hanging="360"/>
      </w:pPr>
      <w:rPr>
        <w:rFonts w:ascii="Courier New" w:hAnsi="Courier New" w:cs="Courier New" w:hint="default"/>
      </w:rPr>
    </w:lvl>
    <w:lvl w:ilvl="5" w:tplc="5322AD8C">
      <w:start w:val="1"/>
      <w:numFmt w:val="bullet"/>
      <w:lvlText w:val=""/>
      <w:lvlJc w:val="left"/>
      <w:pPr>
        <w:ind w:left="4320" w:hanging="360"/>
      </w:pPr>
      <w:rPr>
        <w:rFonts w:ascii="Wingdings" w:hAnsi="Wingdings" w:hint="default"/>
      </w:rPr>
    </w:lvl>
    <w:lvl w:ilvl="6" w:tplc="529C83D8">
      <w:start w:val="1"/>
      <w:numFmt w:val="bullet"/>
      <w:lvlText w:val=""/>
      <w:lvlJc w:val="left"/>
      <w:pPr>
        <w:ind w:left="5040" w:hanging="360"/>
      </w:pPr>
      <w:rPr>
        <w:rFonts w:ascii="Symbol" w:hAnsi="Symbol" w:hint="default"/>
      </w:rPr>
    </w:lvl>
    <w:lvl w:ilvl="7" w:tplc="7B9EC7C0">
      <w:start w:val="1"/>
      <w:numFmt w:val="bullet"/>
      <w:lvlText w:val="o"/>
      <w:lvlJc w:val="left"/>
      <w:pPr>
        <w:ind w:left="5760" w:hanging="360"/>
      </w:pPr>
      <w:rPr>
        <w:rFonts w:ascii="Courier New" w:hAnsi="Courier New" w:cs="Courier New" w:hint="default"/>
      </w:rPr>
    </w:lvl>
    <w:lvl w:ilvl="8" w:tplc="895ADFF4">
      <w:start w:val="1"/>
      <w:numFmt w:val="bullet"/>
      <w:lvlText w:val=""/>
      <w:lvlJc w:val="left"/>
      <w:pPr>
        <w:ind w:left="6480" w:hanging="360"/>
      </w:pPr>
      <w:rPr>
        <w:rFonts w:ascii="Wingdings" w:hAnsi="Wingdings" w:hint="default"/>
      </w:rPr>
    </w:lvl>
  </w:abstractNum>
  <w:abstractNum w:abstractNumId="2" w15:restartNumberingAfterBreak="0">
    <w:nsid w:val="62B17ADF"/>
    <w:multiLevelType w:val="multilevel"/>
    <w:tmpl w:val="9000BF8C"/>
    <w:lvl w:ilvl="0">
      <w:start w:val="1"/>
      <w:numFmt w:val="decimal"/>
      <w:lvlText w:val="%1"/>
      <w:lvlJc w:val="left"/>
      <w:pPr>
        <w:tabs>
          <w:tab w:val="num" w:pos="0"/>
        </w:tabs>
        <w:ind w:left="360" w:hanging="360"/>
      </w:pPr>
      <w:rPr>
        <w:rFonts w:ascii="Calibri" w:hAnsi="Calibri" w:cs="Calibri"/>
      </w:rPr>
    </w:lvl>
    <w:lvl w:ilvl="1">
      <w:start w:val="4"/>
      <w:numFmt w:val="decimal"/>
      <w:lvlText w:val="%1.%2"/>
      <w:lvlJc w:val="left"/>
      <w:pPr>
        <w:tabs>
          <w:tab w:val="num" w:pos="0"/>
        </w:tabs>
        <w:ind w:left="360" w:hanging="360"/>
      </w:pPr>
      <w:rPr>
        <w:rFonts w:ascii="Calibri" w:hAnsi="Calibri" w:cs="Calibri"/>
      </w:rPr>
    </w:lvl>
    <w:lvl w:ilvl="2">
      <w:start w:val="1"/>
      <w:numFmt w:val="decimal"/>
      <w:lvlText w:val="%1.%2.%3"/>
      <w:lvlJc w:val="left"/>
      <w:pPr>
        <w:tabs>
          <w:tab w:val="num" w:pos="0"/>
        </w:tabs>
        <w:ind w:left="720" w:hanging="720"/>
      </w:pPr>
      <w:rPr>
        <w:rFonts w:ascii="Calibri" w:hAnsi="Calibri" w:cs="Calibri"/>
      </w:rPr>
    </w:lvl>
    <w:lvl w:ilvl="3">
      <w:start w:val="1"/>
      <w:numFmt w:val="decimal"/>
      <w:lvlText w:val="%1.%2.%3.%4"/>
      <w:lvlJc w:val="left"/>
      <w:pPr>
        <w:tabs>
          <w:tab w:val="num" w:pos="0"/>
        </w:tabs>
        <w:ind w:left="720" w:hanging="720"/>
      </w:pPr>
      <w:rPr>
        <w:rFonts w:ascii="Calibri" w:hAnsi="Calibri" w:cs="Calibri"/>
      </w:rPr>
    </w:lvl>
    <w:lvl w:ilvl="4">
      <w:start w:val="1"/>
      <w:numFmt w:val="decimal"/>
      <w:lvlText w:val="%1.%2.%3.%4.%5"/>
      <w:lvlJc w:val="left"/>
      <w:pPr>
        <w:tabs>
          <w:tab w:val="num" w:pos="0"/>
        </w:tabs>
        <w:ind w:left="1080" w:hanging="1080"/>
      </w:pPr>
      <w:rPr>
        <w:rFonts w:ascii="Calibri" w:hAnsi="Calibri" w:cs="Calibri"/>
      </w:rPr>
    </w:lvl>
    <w:lvl w:ilvl="5">
      <w:start w:val="1"/>
      <w:numFmt w:val="decimal"/>
      <w:lvlText w:val="%1.%2.%3.%4.%5.%6"/>
      <w:lvlJc w:val="left"/>
      <w:pPr>
        <w:tabs>
          <w:tab w:val="num" w:pos="0"/>
        </w:tabs>
        <w:ind w:left="1080" w:hanging="1080"/>
      </w:pPr>
      <w:rPr>
        <w:rFonts w:ascii="Calibri" w:hAnsi="Calibri" w:cs="Calibri"/>
      </w:rPr>
    </w:lvl>
    <w:lvl w:ilvl="6">
      <w:start w:val="1"/>
      <w:numFmt w:val="decimal"/>
      <w:lvlText w:val="%1.%2.%3.%4.%5.%6.%7"/>
      <w:lvlJc w:val="left"/>
      <w:pPr>
        <w:tabs>
          <w:tab w:val="num" w:pos="0"/>
        </w:tabs>
        <w:ind w:left="1440" w:hanging="1440"/>
      </w:pPr>
      <w:rPr>
        <w:rFonts w:ascii="Calibri" w:hAnsi="Calibri" w:cs="Calibri"/>
      </w:rPr>
    </w:lvl>
    <w:lvl w:ilvl="7">
      <w:start w:val="1"/>
      <w:numFmt w:val="decimal"/>
      <w:lvlText w:val="%1.%2.%3.%4.%5.%6.%7.%8"/>
      <w:lvlJc w:val="left"/>
      <w:pPr>
        <w:tabs>
          <w:tab w:val="num" w:pos="0"/>
        </w:tabs>
        <w:ind w:left="1440" w:hanging="1440"/>
      </w:pPr>
      <w:rPr>
        <w:rFonts w:ascii="Calibri" w:hAnsi="Calibri" w:cs="Calibri"/>
      </w:rPr>
    </w:lvl>
    <w:lvl w:ilvl="8">
      <w:start w:val="1"/>
      <w:numFmt w:val="decimal"/>
      <w:lvlText w:val="%1.%2.%3.%4.%5.%6.%7.%8.%9"/>
      <w:lvlJc w:val="left"/>
      <w:pPr>
        <w:tabs>
          <w:tab w:val="num" w:pos="0"/>
        </w:tabs>
        <w:ind w:left="1800" w:hanging="1800"/>
      </w:pPr>
      <w:rPr>
        <w:rFonts w:ascii="Calibri" w:hAnsi="Calibri" w:cs="Calibri"/>
      </w:rPr>
    </w:lvl>
  </w:abstractNum>
  <w:abstractNum w:abstractNumId="3" w15:restartNumberingAfterBreak="0">
    <w:nsid w:val="63B60C51"/>
    <w:multiLevelType w:val="hybridMultilevel"/>
    <w:tmpl w:val="4E4A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F0130"/>
    <w:multiLevelType w:val="multilevel"/>
    <w:tmpl w:val="7EA64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3124BE"/>
    <w:multiLevelType w:val="multilevel"/>
    <w:tmpl w:val="9DBEE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wNCAwtLU0sjAwNLIyUdpeDU4uLM/DyQAtNaAPYnSaksAAAA"/>
  </w:docVars>
  <w:rsids>
    <w:rsidRoot w:val="009001EE"/>
    <w:rsid w:val="00076A08"/>
    <w:rsid w:val="000E28B9"/>
    <w:rsid w:val="00151643"/>
    <w:rsid w:val="00186B26"/>
    <w:rsid w:val="0021321C"/>
    <w:rsid w:val="00250C63"/>
    <w:rsid w:val="00267601"/>
    <w:rsid w:val="002A311B"/>
    <w:rsid w:val="002A744A"/>
    <w:rsid w:val="002E3E42"/>
    <w:rsid w:val="00302E43"/>
    <w:rsid w:val="0032124E"/>
    <w:rsid w:val="003622DF"/>
    <w:rsid w:val="00364C27"/>
    <w:rsid w:val="003736D3"/>
    <w:rsid w:val="003D7A85"/>
    <w:rsid w:val="00416A6C"/>
    <w:rsid w:val="00467AC7"/>
    <w:rsid w:val="00483149"/>
    <w:rsid w:val="004D03DC"/>
    <w:rsid w:val="004E3B45"/>
    <w:rsid w:val="0054140B"/>
    <w:rsid w:val="005C7872"/>
    <w:rsid w:val="0063506B"/>
    <w:rsid w:val="0068279D"/>
    <w:rsid w:val="007F2BDE"/>
    <w:rsid w:val="007F5231"/>
    <w:rsid w:val="00811FA5"/>
    <w:rsid w:val="00816D06"/>
    <w:rsid w:val="008519E3"/>
    <w:rsid w:val="008714B4"/>
    <w:rsid w:val="008A5616"/>
    <w:rsid w:val="008C00AE"/>
    <w:rsid w:val="008F2857"/>
    <w:rsid w:val="009001EE"/>
    <w:rsid w:val="00901FD9"/>
    <w:rsid w:val="00926A86"/>
    <w:rsid w:val="00926C48"/>
    <w:rsid w:val="00974213"/>
    <w:rsid w:val="009B23C4"/>
    <w:rsid w:val="009B4D7A"/>
    <w:rsid w:val="00A56E66"/>
    <w:rsid w:val="00AD4E6A"/>
    <w:rsid w:val="00AF3DBE"/>
    <w:rsid w:val="00B20A6C"/>
    <w:rsid w:val="00BA2930"/>
    <w:rsid w:val="00BA58FE"/>
    <w:rsid w:val="00BA6FA6"/>
    <w:rsid w:val="00BC459E"/>
    <w:rsid w:val="00BE3B6C"/>
    <w:rsid w:val="00BF584A"/>
    <w:rsid w:val="00C5190D"/>
    <w:rsid w:val="00C71902"/>
    <w:rsid w:val="00CA31D0"/>
    <w:rsid w:val="00CF07A8"/>
    <w:rsid w:val="00D25F42"/>
    <w:rsid w:val="00D56F35"/>
    <w:rsid w:val="00DB0005"/>
    <w:rsid w:val="00DB3D6A"/>
    <w:rsid w:val="00DD0BE7"/>
    <w:rsid w:val="00E01D80"/>
    <w:rsid w:val="00E44EC0"/>
    <w:rsid w:val="00E711B3"/>
    <w:rsid w:val="00E72B75"/>
    <w:rsid w:val="00EC5D69"/>
    <w:rsid w:val="00EC5ED3"/>
    <w:rsid w:val="00EE098D"/>
    <w:rsid w:val="00EF5116"/>
    <w:rsid w:val="00F21D5F"/>
    <w:rsid w:val="00F31FCB"/>
    <w:rsid w:val="00F45662"/>
    <w:rsid w:val="00FA5C94"/>
    <w:rsid w:val="00FD5DD4"/>
    <w:rsid w:val="00FD7BAE"/>
    <w:rsid w:val="00FE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82432"/>
  <w15:docId w15:val="{E07C0C81-1124-4F43-82CF-93F26DB6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color w:val="000000"/>
      <w:sz w:val="24"/>
      <w:szCs w:val="24"/>
    </w:rPr>
  </w:style>
  <w:style w:type="paragraph" w:styleId="Heading1">
    <w:name w:val="heading 1"/>
    <w:basedOn w:val="Normal"/>
    <w:next w:val="Normal"/>
    <w:qFormat/>
    <w:pPr>
      <w:keepNext/>
      <w:numPr>
        <w:numId w:val="1"/>
      </w:numPr>
      <w:spacing w:before="240" w:after="60"/>
      <w:outlineLvl w:val="0"/>
    </w:pPr>
    <w:rPr>
      <w:rFonts w:cs="Times New Roman"/>
      <w:b/>
      <w:bCs/>
      <w:sz w:val="32"/>
      <w:szCs w:val="32"/>
    </w:rPr>
  </w:style>
  <w:style w:type="paragraph" w:styleId="Heading2">
    <w:name w:val="heading 2"/>
    <w:basedOn w:val="Normal"/>
    <w:next w:val="Normal"/>
    <w:qFormat/>
    <w:pPr>
      <w:keepNext/>
      <w:numPr>
        <w:ilvl w:val="1"/>
        <w:numId w:val="1"/>
      </w:numPr>
      <w:outlineLvl w:val="1"/>
    </w:pPr>
    <w:rPr>
      <w:rFonts w:cs="Times New Roman"/>
      <w:bCs/>
      <w:iCs/>
      <w:sz w:val="28"/>
      <w:szCs w:val="28"/>
    </w:rPr>
  </w:style>
  <w:style w:type="paragraph" w:styleId="Heading3">
    <w:name w:val="heading 3"/>
    <w:basedOn w:val="Normal"/>
    <w:next w:val="Normal"/>
    <w:uiPriority w:val="9"/>
    <w:unhideWhenUsed/>
    <w:qFormat/>
    <w:pPr>
      <w:keepNext/>
      <w:keepLines/>
      <w:numPr>
        <w:ilvl w:val="2"/>
        <w:numId w:val="1"/>
      </w:numPr>
      <w:spacing w:before="200"/>
      <w:outlineLvl w:val="2"/>
    </w:pPr>
    <w:rPr>
      <w:rFonts w:eastAsiaTheme="majorEastAsia" w:cstheme="majorBidi"/>
      <w:bCs/>
      <w:color w:val="auto"/>
    </w:rPr>
  </w:style>
  <w:style w:type="paragraph" w:styleId="Heading4">
    <w:name w:val="heading 4"/>
    <w:basedOn w:val="Normal"/>
    <w:next w:val="Normal"/>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themeColor="hyperlink"/>
      <w:u w:val="single"/>
    </w:rPr>
  </w:style>
  <w:style w:type="character" w:styleId="FootnoteReference">
    <w:name w:val="footnote reference"/>
    <w:basedOn w:val="DefaultParagraphFont"/>
    <w:uiPriority w:val="99"/>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TitleChar">
    <w:name w:val="Title Char"/>
    <w:basedOn w:val="DefaultParagraphFont"/>
    <w:uiPriority w:val="10"/>
    <w:qFormat/>
    <w:rPr>
      <w:sz w:val="48"/>
      <w:szCs w:val="48"/>
    </w:rPr>
  </w:style>
  <w:style w:type="character" w:customStyle="1" w:styleId="SubtitleChar">
    <w:name w:val="Subtitle Char"/>
    <w:basedOn w:val="DefaultParagraphFon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uiPriority w:val="9"/>
    <w:qFormat/>
    <w:rPr>
      <w:rFonts w:ascii="Arial" w:eastAsia="Arial" w:hAnsi="Arial" w:cs="Arial"/>
      <w:b/>
      <w:bCs/>
      <w:sz w:val="26"/>
      <w:szCs w:val="26"/>
    </w:rPr>
  </w:style>
  <w:style w:type="character" w:customStyle="1" w:styleId="Heading5Char">
    <w:name w:val="Heading 5 Char"/>
    <w:basedOn w:val="DefaultParagraphFont"/>
    <w:uiPriority w:val="9"/>
    <w:qFormat/>
    <w:rPr>
      <w:rFonts w:ascii="Arial" w:eastAsia="Arial" w:hAnsi="Arial" w:cs="Arial"/>
      <w:b/>
      <w:bCs/>
      <w:sz w:val="24"/>
      <w:szCs w:val="24"/>
    </w:rPr>
  </w:style>
  <w:style w:type="character" w:customStyle="1" w:styleId="Heading6Char">
    <w:name w:val="Heading 6 Char"/>
    <w:basedOn w:val="DefaultParagraphFont"/>
    <w:uiPriority w:val="9"/>
    <w:qFormat/>
    <w:rPr>
      <w:rFonts w:ascii="Arial" w:eastAsia="Arial" w:hAnsi="Arial" w:cs="Arial"/>
      <w:b/>
      <w:bCs/>
      <w:sz w:val="22"/>
      <w:szCs w:val="22"/>
    </w:rPr>
  </w:style>
  <w:style w:type="character" w:customStyle="1" w:styleId="Heading7Char">
    <w:name w:val="Heading 7 Char"/>
    <w:basedOn w:val="DefaultParagraphFont"/>
    <w:uiPriority w:val="9"/>
    <w:qFormat/>
    <w:rPr>
      <w:rFonts w:ascii="Arial" w:eastAsia="Arial" w:hAnsi="Arial" w:cs="Arial"/>
      <w:b/>
      <w:bCs/>
      <w:i/>
      <w:iCs/>
      <w:sz w:val="22"/>
      <w:szCs w:val="22"/>
    </w:rPr>
  </w:style>
  <w:style w:type="character" w:customStyle="1" w:styleId="Heading8Char">
    <w:name w:val="Heading 8 Char"/>
    <w:basedOn w:val="DefaultParagraphFont"/>
    <w:uiPriority w:val="9"/>
    <w:qFormat/>
    <w:rPr>
      <w:rFonts w:ascii="Arial" w:eastAsia="Arial" w:hAnsi="Arial" w:cs="Arial"/>
      <w:i/>
      <w:iCs/>
      <w:sz w:val="22"/>
      <w:szCs w:val="22"/>
    </w:rPr>
  </w:style>
  <w:style w:type="character" w:customStyle="1" w:styleId="Heading9Char">
    <w:name w:val="Heading 9 Char"/>
    <w:basedOn w:val="DefaultParagraphFont"/>
    <w:uiPriority w:val="9"/>
    <w:qFormat/>
    <w:rPr>
      <w:rFonts w:ascii="Arial" w:eastAsia="Arial" w:hAnsi="Arial" w:cs="Arial"/>
      <w:i/>
      <w:iCs/>
      <w:sz w:val="21"/>
      <w:szCs w:val="21"/>
    </w:rPr>
  </w:style>
  <w:style w:type="character" w:customStyle="1" w:styleId="TitleChar1">
    <w:name w:val="Title Char1"/>
    <w:basedOn w:val="DefaultParagraphFont"/>
    <w:link w:val="Title"/>
    <w:uiPriority w:val="10"/>
    <w:qFormat/>
    <w:rPr>
      <w:sz w:val="48"/>
      <w:szCs w:val="48"/>
    </w:rPr>
  </w:style>
  <w:style w:type="character" w:customStyle="1" w:styleId="SubtitleChar1">
    <w:name w:val="Subtitle Char1"/>
    <w:basedOn w:val="DefaultParagraphFont"/>
    <w:link w:val="Subtitle"/>
    <w:uiPriority w:val="11"/>
    <w:qFormat/>
    <w:rPr>
      <w:sz w:val="24"/>
      <w:szCs w:val="24"/>
    </w:rPr>
  </w:style>
  <w:style w:type="character" w:customStyle="1" w:styleId="QuoteChar1">
    <w:name w:val="Quote Char1"/>
    <w:link w:val="Quote"/>
    <w:uiPriority w:val="29"/>
    <w:qFormat/>
    <w:rPr>
      <w:i/>
    </w:rPr>
  </w:style>
  <w:style w:type="character" w:customStyle="1" w:styleId="IntenseQuoteChar1">
    <w:name w:val="Intense Quote Char1"/>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character" w:customStyle="1" w:styleId="FootnoteTextChar1">
    <w:name w:val="Footnote Text Char1"/>
    <w:link w:val="FootnoteText"/>
    <w:uiPriority w:val="99"/>
    <w:qFormat/>
    <w:rPr>
      <w:sz w:val="18"/>
    </w:rPr>
  </w:style>
  <w:style w:type="character" w:customStyle="1" w:styleId="Funotenanker">
    <w:name w:val="Fußnotenanker"/>
    <w:rPr>
      <w:vertAlign w:val="superscript"/>
    </w:rPr>
  </w:style>
  <w:style w:type="character" w:customStyle="1" w:styleId="FootnoteCharacters">
    <w:name w:val="Footnote Characters"/>
    <w:basedOn w:val="DefaultParagraphFont"/>
    <w:uiPriority w:val="99"/>
    <w:unhideWhenUsed/>
    <w:qFormat/>
    <w:rPr>
      <w:vertAlign w:val="superscript"/>
    </w:rPr>
  </w:style>
  <w:style w:type="character" w:customStyle="1" w:styleId="EndnoteTextChar1">
    <w:name w:val="Endnote Text Char1"/>
    <w:link w:val="EndnoteText"/>
    <w:uiPriority w:val="99"/>
    <w:qFormat/>
    <w:rPr>
      <w:sz w:val="20"/>
    </w:rPr>
  </w:style>
  <w:style w:type="character" w:customStyle="1" w:styleId="Endnotenanker">
    <w:name w:val="Endnotenanker"/>
    <w:rPr>
      <w:vertAlign w:val="superscript"/>
    </w:rPr>
  </w:style>
  <w:style w:type="character" w:customStyle="1" w:styleId="EndnoteCharacters">
    <w:name w:val="Endnote Characters"/>
    <w:basedOn w:val="DefaultParagraphFont"/>
    <w:uiPriority w:val="99"/>
    <w:semiHidden/>
    <w:unhideWhenUsed/>
    <w:qFormat/>
    <w:rPr>
      <w:vertAlign w:val="superscript"/>
    </w:rPr>
  </w:style>
  <w:style w:type="character" w:customStyle="1" w:styleId="Internetverknpfung">
    <w:name w:val="Internetverknüpfung"/>
    <w:uiPriority w:val="99"/>
    <w:rPr>
      <w:color w:val="0000FF"/>
      <w:u w:val="single"/>
    </w:rPr>
  </w:style>
  <w:style w:type="character" w:customStyle="1" w:styleId="HeaderChar1">
    <w:name w:val="Header Char1"/>
    <w:link w:val="Header"/>
    <w:qFormat/>
    <w:rPr>
      <w:sz w:val="24"/>
      <w:szCs w:val="24"/>
    </w:rPr>
  </w:style>
  <w:style w:type="character" w:customStyle="1" w:styleId="FooterChar1">
    <w:name w:val="Footer Char1"/>
    <w:link w:val="Footer"/>
    <w:uiPriority w:val="99"/>
    <w:qFormat/>
    <w:rPr>
      <w:sz w:val="24"/>
      <w:szCs w:val="24"/>
    </w:rPr>
  </w:style>
  <w:style w:type="character" w:styleId="CommentReference">
    <w:name w:val="annotation reference"/>
    <w:qFormat/>
    <w:rPr>
      <w:sz w:val="18"/>
      <w:szCs w:val="18"/>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styleId="PageNumber">
    <w:name w:val="page number"/>
    <w:basedOn w:val="DefaultParagraphFont"/>
    <w:qFormat/>
  </w:style>
  <w:style w:type="character" w:customStyle="1" w:styleId="BesuchteInternetverknpfung">
    <w:name w:val="Besuchte Internetverknüpfung"/>
    <w:rPr>
      <w:color w:val="800080"/>
      <w:u w:val="single"/>
    </w:rPr>
  </w:style>
  <w:style w:type="character" w:customStyle="1" w:styleId="apple-converted-space">
    <w:name w:val="apple-converted-space"/>
    <w:basedOn w:val="DefaultParagraphFont"/>
    <w:qFormat/>
  </w:style>
  <w:style w:type="character" w:customStyle="1" w:styleId="berschrift1Zchn">
    <w:name w:val="Überschrift 1 Zchn"/>
    <w:qFormat/>
    <w:rPr>
      <w:rFonts w:ascii="Calibri" w:hAnsi="Calibri"/>
      <w:b/>
      <w:bCs/>
      <w:color w:val="000000"/>
      <w:sz w:val="24"/>
      <w:szCs w:val="32"/>
    </w:rPr>
  </w:style>
  <w:style w:type="character" w:styleId="IntenseEmphasis">
    <w:name w:val="Intense Emphasis"/>
    <w:qFormat/>
    <w:rPr>
      <w:b/>
      <w:bCs/>
      <w:i/>
      <w:iCs/>
      <w:color w:val="4F81BD"/>
    </w:rPr>
  </w:style>
  <w:style w:type="character" w:customStyle="1" w:styleId="berschrift2Zchn">
    <w:name w:val="Überschrift 2 Zchn"/>
    <w:qFormat/>
    <w:rPr>
      <w:rFonts w:ascii="Calibri" w:hAnsi="Calibri"/>
      <w:bCs/>
      <w:iCs/>
      <w:color w:val="000000"/>
      <w:sz w:val="24"/>
      <w:szCs w:val="28"/>
    </w:rPr>
  </w:style>
  <w:style w:type="character" w:customStyle="1" w:styleId="ExampletextChar">
    <w:name w:val="Example text Char"/>
    <w:link w:val="Exampletext"/>
    <w:qFormat/>
    <w:rPr>
      <w:rFonts w:ascii="Calibri" w:hAnsi="Calibri" w:cs="Calibri"/>
      <w:color w:val="7F7F7F"/>
      <w:sz w:val="24"/>
      <w:szCs w:val="24"/>
    </w:rPr>
  </w:style>
  <w:style w:type="character" w:customStyle="1" w:styleId="berschrift3Zchn">
    <w:name w:val="Überschrift 3 Zchn"/>
    <w:basedOn w:val="DefaultParagraphFont"/>
    <w:uiPriority w:val="9"/>
    <w:qFormat/>
    <w:rPr>
      <w:rFonts w:ascii="Calibri" w:eastAsiaTheme="majorEastAsia" w:hAnsi="Calibri" w:cstheme="majorBidi"/>
      <w:bCs/>
      <w:sz w:val="24"/>
      <w:szCs w:val="24"/>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styleId="Strong">
    <w:name w:val="Strong"/>
    <w:basedOn w:val="DefaultParagraphFont"/>
    <w:uiPriority w:val="22"/>
    <w:qFormat/>
    <w:rPr>
      <w:b/>
      <w:bCs/>
    </w:rPr>
  </w:style>
  <w:style w:type="character" w:customStyle="1" w:styleId="Betont">
    <w:name w:val="Betont"/>
    <w:basedOn w:val="DefaultParagraphFont"/>
    <w:uiPriority w:val="20"/>
    <w:qFormat/>
    <w:rPr>
      <w:i/>
      <w:iCs/>
    </w:rPr>
  </w:style>
  <w:style w:type="character" w:styleId="LineNumber">
    <w:name w:val="line number"/>
    <w:basedOn w:val="DefaultParagraphFont"/>
    <w:uiPriority w:val="99"/>
    <w:semiHidden/>
    <w:unhideWhenUsed/>
    <w:qFormat/>
  </w:style>
  <w:style w:type="character" w:customStyle="1" w:styleId="NichtaufgelsteErwhnung1">
    <w:name w:val="Nicht aufgelöste Erwähnung1"/>
    <w:basedOn w:val="DefaultParagraphFont"/>
    <w:uiPriority w:val="99"/>
    <w:semiHidden/>
    <w:unhideWhenUsed/>
    <w:qFormat/>
    <w:rPr>
      <w:color w:val="808080"/>
      <w:shd w:val="clear" w:color="auto" w:fill="E6E6E6"/>
    </w:rPr>
  </w:style>
  <w:style w:type="character" w:customStyle="1" w:styleId="berschrift4Zchn">
    <w:name w:val="Überschrift 4 Zchn"/>
    <w:basedOn w:val="DefaultParagraphFont"/>
    <w:uiPriority w:val="9"/>
    <w:semiHidden/>
    <w:qFormat/>
    <w:rPr>
      <w:rFonts w:asciiTheme="majorHAnsi" w:eastAsiaTheme="majorEastAsia" w:hAnsiTheme="majorHAnsi" w:cstheme="majorBidi"/>
      <w:i/>
      <w:iCs/>
      <w:color w:val="365F91" w:themeColor="accent1" w:themeShade="BF"/>
      <w:sz w:val="24"/>
      <w:szCs w:val="24"/>
    </w:rPr>
  </w:style>
  <w:style w:type="character" w:customStyle="1" w:styleId="berschrift5Zchn">
    <w:name w:val="Überschrift 5 Zchn"/>
    <w:basedOn w:val="DefaultParagraphFont"/>
    <w:uiPriority w:val="9"/>
    <w:semiHidden/>
    <w:qFormat/>
    <w:rPr>
      <w:rFonts w:asciiTheme="majorHAnsi" w:eastAsiaTheme="majorEastAsia" w:hAnsiTheme="majorHAnsi" w:cstheme="majorBidi"/>
      <w:color w:val="365F91" w:themeColor="accent1" w:themeShade="BF"/>
      <w:sz w:val="24"/>
      <w:szCs w:val="24"/>
    </w:rPr>
  </w:style>
  <w:style w:type="character" w:customStyle="1" w:styleId="berschrift6Zchn">
    <w:name w:val="Überschrift 6 Zchn"/>
    <w:basedOn w:val="DefaultParagraphFont"/>
    <w:uiPriority w:val="9"/>
    <w:semiHidden/>
    <w:qFormat/>
    <w:rPr>
      <w:rFonts w:asciiTheme="majorHAnsi" w:eastAsiaTheme="majorEastAsia" w:hAnsiTheme="majorHAnsi" w:cstheme="majorBidi"/>
      <w:color w:val="243F60" w:themeColor="accent1" w:themeShade="7F"/>
      <w:sz w:val="24"/>
      <w:szCs w:val="24"/>
    </w:rPr>
  </w:style>
  <w:style w:type="character" w:customStyle="1" w:styleId="berschrift7Zchn">
    <w:name w:val="Überschrift 7 Zchn"/>
    <w:basedOn w:val="DefaultParagraphFont"/>
    <w:uiPriority w:val="9"/>
    <w:semiHidden/>
    <w:qFormat/>
    <w:rPr>
      <w:rFonts w:asciiTheme="majorHAnsi" w:eastAsiaTheme="majorEastAsia" w:hAnsiTheme="majorHAnsi" w:cstheme="majorBidi"/>
      <w:i/>
      <w:iCs/>
      <w:color w:val="243F60" w:themeColor="accent1" w:themeShade="7F"/>
      <w:sz w:val="24"/>
      <w:szCs w:val="24"/>
    </w:rPr>
  </w:style>
  <w:style w:type="character" w:customStyle="1" w:styleId="berschrift8Zchn">
    <w:name w:val="Überschrift 8 Zchn"/>
    <w:basedOn w:val="DefaultParagraphFont"/>
    <w:uiPriority w:val="9"/>
    <w:semiHidden/>
    <w:qFormat/>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DefaultParagraphFont"/>
    <w:uiPriority w:val="9"/>
    <w:semiHidden/>
    <w:qFormat/>
    <w:rPr>
      <w:rFonts w:asciiTheme="majorHAnsi" w:eastAsiaTheme="majorEastAsia" w:hAnsiTheme="majorHAnsi" w:cstheme="majorBidi"/>
      <w:i/>
      <w:iCs/>
      <w:color w:val="272727" w:themeColor="text1" w:themeTint="D8"/>
      <w:sz w:val="21"/>
      <w:szCs w:val="21"/>
    </w:rPr>
  </w:style>
  <w:style w:type="character" w:customStyle="1" w:styleId="Zeilennummerierung">
    <w:name w:val="Zeilennummerierung"/>
  </w:style>
  <w:style w:type="paragraph" w:customStyle="1" w:styleId="berschrift">
    <w:name w:val="Überschrift"/>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link w:val="BodyTextChar"/>
    <w:uiPriority w:val="1"/>
    <w:qFormat/>
    <w:pPr>
      <w:jc w:val="left"/>
    </w:pPr>
    <w:rPr>
      <w:rFonts w:eastAsia="Calibri"/>
      <w:color w:val="auto"/>
    </w:rPr>
  </w:style>
  <w:style w:type="paragraph" w:styleId="List">
    <w:name w:val="List"/>
    <w:basedOn w:val="BodyText"/>
    <w:rPr>
      <w:rFonts w:cs="FreeSans"/>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customStyle="1" w:styleId="Verzeichnis">
    <w:name w:val="Verzeichnis"/>
    <w:basedOn w:val="Normal"/>
    <w:qFormat/>
    <w:pPr>
      <w:suppressLineNumbers/>
    </w:pPr>
    <w:rPr>
      <w:rFonts w:cs="FreeSans"/>
    </w:rPr>
  </w:style>
  <w:style w:type="paragraph" w:styleId="Title">
    <w:name w:val="Title"/>
    <w:basedOn w:val="Normal"/>
    <w:next w:val="Normal"/>
    <w:link w:val="TitleChar1"/>
    <w:uiPriority w:val="10"/>
    <w:qFormat/>
    <w:pPr>
      <w:spacing w:before="300" w:after="200"/>
      <w:contextualSpacing/>
    </w:pPr>
    <w:rPr>
      <w:sz w:val="48"/>
      <w:szCs w:val="48"/>
    </w:rPr>
  </w:style>
  <w:style w:type="paragraph" w:styleId="Subtitle">
    <w:name w:val="Subtitle"/>
    <w:basedOn w:val="Normal"/>
    <w:next w:val="Normal"/>
    <w:link w:val="SubtitleChar1"/>
    <w:uiPriority w:val="11"/>
    <w:qFormat/>
    <w:pPr>
      <w:spacing w:before="200" w:after="200"/>
    </w:pPr>
  </w:style>
  <w:style w:type="paragraph" w:styleId="Quote">
    <w:name w:val="Quote"/>
    <w:basedOn w:val="Normal"/>
    <w:next w:val="Normal"/>
    <w:link w:val="QuoteChar1"/>
    <w:uiPriority w:val="29"/>
    <w:qFormat/>
    <w:pPr>
      <w:ind w:left="720" w:right="720"/>
    </w:pPr>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FootnoteTextChar1"/>
    <w:uiPriority w:val="99"/>
    <w:semiHidden/>
    <w:unhideWhenUsed/>
    <w:pPr>
      <w:spacing w:after="40"/>
    </w:pPr>
    <w:rPr>
      <w:sz w:val="18"/>
    </w:rPr>
  </w:style>
  <w:style w:type="paragraph" w:styleId="EndnoteText">
    <w:name w:val="endnote text"/>
    <w:basedOn w:val="Normal"/>
    <w:link w:val="EndnoteTextChar1"/>
    <w:uiPriority w:val="99"/>
    <w:semiHidden/>
    <w:unhideWhenUsed/>
    <w:rPr>
      <w:sz w:val="20"/>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styleId="TableofFigures">
    <w:name w:val="table of figures"/>
    <w:basedOn w:val="Normal"/>
    <w:next w:val="Normal"/>
    <w:uiPriority w:val="99"/>
    <w:unhideWhenUsed/>
    <w:qFormat/>
  </w:style>
  <w:style w:type="paragraph" w:styleId="NormalWeb">
    <w:name w:val="Normal (Web)"/>
    <w:basedOn w:val="Normal"/>
    <w:qFormat/>
    <w:pPr>
      <w:spacing w:beforeAutospacing="1" w:afterAutospacing="1"/>
    </w:pPr>
  </w:style>
  <w:style w:type="paragraph" w:customStyle="1" w:styleId="Kopf-undFuzeile">
    <w:name w:val="Kopf- und Fußzeile"/>
    <w:basedOn w:val="Normal"/>
    <w:qFormat/>
  </w:style>
  <w:style w:type="paragraph" w:styleId="Header">
    <w:name w:val="header"/>
    <w:basedOn w:val="Normal"/>
    <w:link w:val="HeaderChar1"/>
    <w:pPr>
      <w:tabs>
        <w:tab w:val="center" w:pos="4680"/>
        <w:tab w:val="right" w:pos="9360"/>
      </w:tabs>
    </w:pPr>
  </w:style>
  <w:style w:type="paragraph" w:styleId="Footer">
    <w:name w:val="footer"/>
    <w:basedOn w:val="Normal"/>
    <w:link w:val="FooterChar1"/>
    <w:uiPriority w:val="99"/>
    <w:pPr>
      <w:tabs>
        <w:tab w:val="center" w:pos="4680"/>
        <w:tab w:val="right" w:pos="9360"/>
      </w:tabs>
    </w:p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sz w:val="20"/>
      <w:szCs w:val="20"/>
    </w:rPr>
  </w:style>
  <w:style w:type="paragraph" w:styleId="BalloonText">
    <w:name w:val="Balloon Text"/>
    <w:basedOn w:val="Normal"/>
    <w:link w:val="BalloonTextChar"/>
    <w:qFormat/>
    <w:rPr>
      <w:rFonts w:ascii="Lucida Grande" w:hAnsi="Lucida Grande"/>
      <w:sz w:val="18"/>
      <w:szCs w:val="18"/>
    </w:rPr>
  </w:style>
  <w:style w:type="paragraph" w:customStyle="1" w:styleId="Exampletext">
    <w:name w:val="Example text"/>
    <w:basedOn w:val="Normal"/>
    <w:link w:val="ExampletextChar"/>
    <w:qFormat/>
    <w:pPr>
      <w:spacing w:after="240"/>
    </w:pPr>
    <w:rPr>
      <w:color w:val="7F7F7F"/>
    </w:rPr>
  </w:style>
  <w:style w:type="paragraph" w:styleId="ListParagraph">
    <w:name w:val="List Paragraph"/>
    <w:basedOn w:val="Normal"/>
    <w:uiPriority w:val="34"/>
    <w:qFormat/>
    <w:pPr>
      <w:ind w:left="720"/>
      <w:contextualSpacing/>
    </w:pPr>
  </w:style>
  <w:style w:type="paragraph" w:styleId="Revision">
    <w:name w:val="Revision"/>
    <w:uiPriority w:val="99"/>
    <w:semiHidden/>
    <w:qFormat/>
    <w:rPr>
      <w:rFonts w:ascii="Calibri" w:hAnsi="Calibri" w:cs="Calibri"/>
      <w:color w:val="000000"/>
      <w:sz w:val="24"/>
      <w:szCs w:val="24"/>
    </w:rPr>
  </w:style>
  <w:style w:type="paragraph" w:styleId="NoSpacing">
    <w:name w:val="No Spacing"/>
    <w:uiPriority w:val="1"/>
    <w:qFormat/>
    <w:pPr>
      <w:widowControl w:val="0"/>
      <w:jc w:val="both"/>
    </w:pPr>
    <w:rPr>
      <w:rFonts w:ascii="Calibri" w:hAnsi="Calibri" w:cs="Calibri"/>
      <w:color w:val="000000"/>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auto"/>
      </w:tcPr>
    </w:tblStylePr>
    <w:tblStylePr w:type="band1Horz">
      <w:tblPr/>
      <w:tcPr>
        <w:shd w:val="clear" w:color="F2F2F2" w:fill="auto"/>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auto"/>
      </w:tcPr>
    </w:tblStylePr>
    <w:tblStylePr w:type="band1Horz">
      <w:rPr>
        <w:color w:val="404040"/>
        <w:sz w:val="22"/>
      </w:rPr>
      <w:tblPr/>
      <w:tcPr>
        <w:shd w:val="clear" w:color="F2F2F2" w:fill="auto"/>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auto"/>
      </w:tcPr>
    </w:tblStylePr>
    <w:tblStylePr w:type="band1Horz">
      <w:rPr>
        <w:color w:val="404040"/>
        <w:sz w:val="22"/>
      </w:rPr>
      <w:tblPr/>
      <w:tcPr>
        <w:shd w:val="clear" w:color="F2F2F2" w:fill="auto"/>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auto"/>
      </w:tcPr>
    </w:tblStylePr>
    <w:tblStylePr w:type="band1Horz">
      <w:rPr>
        <w:color w:val="404040"/>
        <w:sz w:val="22"/>
      </w:rPr>
      <w:tblPr/>
      <w:tcPr>
        <w:shd w:val="clear" w:color="F2F2F2" w:fill="auto"/>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auto"/>
      </w:tcPr>
    </w:tblStylePr>
    <w:tblStylePr w:type="band1Horz">
      <w:rPr>
        <w:color w:val="404040"/>
        <w:sz w:val="22"/>
      </w:rPr>
      <w:tblPr/>
      <w:tcPr>
        <w:shd w:val="clear" w:color="CBCBCB" w:fill="auto"/>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auto"/>
      </w:tcPr>
    </w:tblStylePr>
    <w:tblStylePr w:type="band1Horz">
      <w:rPr>
        <w:color w:val="404040"/>
        <w:sz w:val="22"/>
      </w:rPr>
      <w:tblPr/>
      <w:tcPr>
        <w:shd w:val="clear" w:color="DAE5F1" w:fill="auto"/>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auto"/>
      </w:tcPr>
    </w:tblStylePr>
    <w:tblStylePr w:type="band1Horz">
      <w:rPr>
        <w:color w:val="404040"/>
        <w:sz w:val="22"/>
      </w:rPr>
      <w:tblPr/>
      <w:tcPr>
        <w:shd w:val="clear" w:color="F2DCDC" w:fill="auto"/>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auto"/>
      </w:tcPr>
    </w:tblStylePr>
    <w:tblStylePr w:type="band1Horz">
      <w:rPr>
        <w:color w:val="404040"/>
        <w:sz w:val="22"/>
      </w:rPr>
      <w:tblPr/>
      <w:tcPr>
        <w:shd w:val="clear" w:color="EAF1DC" w:fill="auto"/>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auto"/>
      </w:tcPr>
    </w:tblStylePr>
    <w:tblStylePr w:type="band1Horz">
      <w:rPr>
        <w:color w:val="404040"/>
        <w:sz w:val="22"/>
      </w:rPr>
      <w:tblPr/>
      <w:tcPr>
        <w:shd w:val="clear" w:color="E5DFEC" w:fill="auto"/>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auto"/>
      </w:tcPr>
    </w:tblStylePr>
    <w:tblStylePr w:type="band1Horz">
      <w:rPr>
        <w:color w:val="404040"/>
        <w:sz w:val="22"/>
      </w:rPr>
      <w:tblPr/>
      <w:tcPr>
        <w:shd w:val="clear" w:color="DAEEF3" w:fill="auto"/>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auto"/>
      </w:tcPr>
    </w:tblStylePr>
    <w:tblStylePr w:type="band1Horz">
      <w:rPr>
        <w:color w:val="404040"/>
        <w:sz w:val="22"/>
      </w:rPr>
      <w:tblPr/>
      <w:tcPr>
        <w:shd w:val="clear" w:color="FDE9D8" w:fill="auto"/>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auto"/>
      </w:tcPr>
    </w:tblStylePr>
    <w:tblStylePr w:type="band1Horz">
      <w:rPr>
        <w:color w:val="404040"/>
        <w:sz w:val="22"/>
      </w:rPr>
      <w:tblPr/>
      <w:tcPr>
        <w:shd w:val="clear" w:color="CBCBCB" w:fill="auto"/>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auto"/>
      </w:tcPr>
    </w:tblStylePr>
    <w:tblStylePr w:type="band1Horz">
      <w:rPr>
        <w:color w:val="404040"/>
        <w:sz w:val="22"/>
      </w:rPr>
      <w:tblPr/>
      <w:tcPr>
        <w:shd w:val="clear" w:color="DAE5F1" w:fill="auto"/>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auto"/>
      </w:tcPr>
    </w:tblStylePr>
    <w:tblStylePr w:type="band1Horz">
      <w:rPr>
        <w:color w:val="404040"/>
        <w:sz w:val="22"/>
      </w:rPr>
      <w:tblPr/>
      <w:tcPr>
        <w:shd w:val="clear" w:color="F2DCDC" w:fill="auto"/>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auto"/>
      </w:tcPr>
    </w:tblStylePr>
    <w:tblStylePr w:type="band1Horz">
      <w:rPr>
        <w:color w:val="404040"/>
        <w:sz w:val="22"/>
      </w:rPr>
      <w:tblPr/>
      <w:tcPr>
        <w:shd w:val="clear" w:color="EAF1DC" w:fill="auto"/>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auto"/>
      </w:tcPr>
    </w:tblStylePr>
    <w:tblStylePr w:type="band1Horz">
      <w:rPr>
        <w:color w:val="404040"/>
        <w:sz w:val="22"/>
      </w:rPr>
      <w:tblPr/>
      <w:tcPr>
        <w:shd w:val="clear" w:color="E5DFEC" w:fill="auto"/>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auto"/>
      </w:tcPr>
    </w:tblStylePr>
    <w:tblStylePr w:type="band1Horz">
      <w:rPr>
        <w:color w:val="404040"/>
        <w:sz w:val="22"/>
      </w:rPr>
      <w:tblPr/>
      <w:tcPr>
        <w:shd w:val="clear" w:color="DAEEF3" w:fill="auto"/>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auto"/>
      </w:tcPr>
    </w:tblStylePr>
    <w:tblStylePr w:type="band1Horz">
      <w:rPr>
        <w:color w:val="404040"/>
        <w:sz w:val="22"/>
      </w:rPr>
      <w:tblPr/>
      <w:tcPr>
        <w:shd w:val="clear" w:color="FDE9D8" w:fill="auto"/>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auto"/>
      </w:tcPr>
    </w:tblStylePr>
    <w:tblStylePr w:type="band1Horz">
      <w:rPr>
        <w:color w:val="404040"/>
        <w:sz w:val="22"/>
      </w:rPr>
      <w:tblPr/>
      <w:tcPr>
        <w:shd w:val="clear" w:color="CBCBCB" w:fill="auto"/>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auto"/>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auto"/>
      </w:tcPr>
    </w:tblStylePr>
    <w:tblStylePr w:type="band1Horz">
      <w:rPr>
        <w:color w:val="404040"/>
        <w:sz w:val="22"/>
      </w:rPr>
      <w:tblPr/>
      <w:tcPr>
        <w:shd w:val="clear" w:color="DCE6F2" w:fill="auto"/>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auto"/>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auto"/>
      </w:tcPr>
    </w:tblStylePr>
    <w:tblStylePr w:type="band1Horz">
      <w:rPr>
        <w:color w:val="404040"/>
        <w:sz w:val="22"/>
      </w:rPr>
      <w:tblPr/>
      <w:tcPr>
        <w:shd w:val="clear" w:color="F2DCDC" w:fill="auto"/>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auto"/>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auto"/>
      </w:tcPr>
    </w:tblStylePr>
    <w:tblStylePr w:type="band1Horz">
      <w:rPr>
        <w:color w:val="404040"/>
        <w:sz w:val="22"/>
      </w:rPr>
      <w:tblPr/>
      <w:tcPr>
        <w:shd w:val="clear" w:color="EAF1DC" w:fill="auto"/>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auto"/>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auto"/>
      </w:tcPr>
    </w:tblStylePr>
    <w:tblStylePr w:type="band1Horz">
      <w:rPr>
        <w:color w:val="404040"/>
        <w:sz w:val="22"/>
      </w:rPr>
      <w:tblPr/>
      <w:tcPr>
        <w:shd w:val="clear" w:color="E5DFEC" w:fill="auto"/>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auto"/>
      </w:tcPr>
    </w:tblStylePr>
    <w:tblStylePr w:type="band1Horz">
      <w:rPr>
        <w:color w:val="404040"/>
        <w:sz w:val="22"/>
      </w:rPr>
      <w:tblPr/>
      <w:tcPr>
        <w:shd w:val="clear" w:color="DAEEF3" w:fill="auto"/>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auto"/>
      </w:tcPr>
    </w:tblStylePr>
    <w:tblStylePr w:type="band1Horz">
      <w:rPr>
        <w:color w:val="404040"/>
        <w:sz w:val="22"/>
      </w:rPr>
      <w:tblPr/>
      <w:tcPr>
        <w:shd w:val="clear" w:color="FDE9D8" w:fill="auto"/>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auto"/>
      </w:tcPr>
    </w:tblStylePr>
    <w:tblStylePr w:type="lastRow">
      <w:rPr>
        <w:b/>
        <w:color w:val="FFFFFF"/>
        <w:sz w:val="22"/>
      </w:rPr>
      <w:tblPr/>
      <w:tcPr>
        <w:tcBorders>
          <w:top w:val="single" w:sz="4" w:space="0" w:color="FFFFFF" w:themeColor="light1"/>
        </w:tcBorders>
        <w:shd w:val="clear" w:color="000000" w:fill="auto"/>
      </w:tcPr>
    </w:tblStylePr>
    <w:tblStylePr w:type="firstCol">
      <w:rPr>
        <w:b/>
        <w:color w:val="FFFFFF"/>
        <w:sz w:val="22"/>
      </w:rPr>
      <w:tblPr/>
      <w:tcPr>
        <w:shd w:val="clear" w:color="000000" w:fill="auto"/>
      </w:tcPr>
    </w:tblStylePr>
    <w:tblStylePr w:type="lastCol">
      <w:rPr>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auto"/>
      </w:tcPr>
    </w:tblStylePr>
    <w:tblStylePr w:type="lastRow">
      <w:rPr>
        <w:b/>
        <w:color w:val="FFFFFF"/>
        <w:sz w:val="22"/>
      </w:rPr>
      <w:tblPr/>
      <w:tcPr>
        <w:tcBorders>
          <w:top w:val="single" w:sz="4" w:space="0" w:color="FFFFFF" w:themeColor="light1"/>
        </w:tcBorders>
        <w:shd w:val="clear" w:color="4F81BD" w:fill="auto"/>
      </w:tcPr>
    </w:tblStylePr>
    <w:tblStylePr w:type="firstCol">
      <w:rPr>
        <w:b/>
        <w:color w:val="FFFFFF"/>
        <w:sz w:val="22"/>
      </w:rPr>
      <w:tblPr/>
      <w:tcPr>
        <w:shd w:val="clear" w:color="4F81BD" w:fill="auto"/>
      </w:tcPr>
    </w:tblStylePr>
    <w:tblStylePr w:type="lastCol">
      <w:rPr>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auto"/>
      </w:tcPr>
    </w:tblStylePr>
    <w:tblStylePr w:type="lastRow">
      <w:rPr>
        <w:b/>
        <w:color w:val="FFFFFF"/>
        <w:sz w:val="22"/>
      </w:rPr>
      <w:tblPr/>
      <w:tcPr>
        <w:tcBorders>
          <w:top w:val="single" w:sz="4" w:space="0" w:color="FFFFFF" w:themeColor="light1"/>
        </w:tcBorders>
        <w:shd w:val="clear" w:color="C0504D" w:fill="auto"/>
      </w:tcPr>
    </w:tblStylePr>
    <w:tblStylePr w:type="firstCol">
      <w:rPr>
        <w:b/>
        <w:color w:val="FFFFFF"/>
        <w:sz w:val="22"/>
      </w:rPr>
      <w:tblPr/>
      <w:tcPr>
        <w:shd w:val="clear" w:color="C0504D" w:fill="auto"/>
      </w:tcPr>
    </w:tblStylePr>
    <w:tblStylePr w:type="lastCol">
      <w:rPr>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auto"/>
      </w:tcPr>
    </w:tblStylePr>
    <w:tblStylePr w:type="lastRow">
      <w:rPr>
        <w:b/>
        <w:color w:val="FFFFFF"/>
        <w:sz w:val="22"/>
      </w:rPr>
      <w:tblPr/>
      <w:tcPr>
        <w:tcBorders>
          <w:top w:val="single" w:sz="4" w:space="0" w:color="FFFFFF" w:themeColor="light1"/>
        </w:tcBorders>
        <w:shd w:val="clear" w:color="9BBB59" w:fill="auto"/>
      </w:tcPr>
    </w:tblStylePr>
    <w:tblStylePr w:type="firstCol">
      <w:rPr>
        <w:b/>
        <w:color w:val="FFFFFF"/>
        <w:sz w:val="22"/>
      </w:rPr>
      <w:tblPr/>
      <w:tcPr>
        <w:shd w:val="clear" w:color="9BBB59" w:fill="auto"/>
      </w:tcPr>
    </w:tblStylePr>
    <w:tblStylePr w:type="lastCol">
      <w:rPr>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auto"/>
      </w:tcPr>
    </w:tblStylePr>
    <w:tblStylePr w:type="lastRow">
      <w:rPr>
        <w:b/>
        <w:color w:val="FFFFFF"/>
        <w:sz w:val="22"/>
      </w:rPr>
      <w:tblPr/>
      <w:tcPr>
        <w:tcBorders>
          <w:top w:val="single" w:sz="4" w:space="0" w:color="FFFFFF" w:themeColor="light1"/>
        </w:tcBorders>
        <w:shd w:val="clear" w:color="8064A2" w:fill="auto"/>
      </w:tcPr>
    </w:tblStylePr>
    <w:tblStylePr w:type="firstCol">
      <w:rPr>
        <w:b/>
        <w:color w:val="FFFFFF"/>
        <w:sz w:val="22"/>
      </w:rPr>
      <w:tblPr/>
      <w:tcPr>
        <w:shd w:val="clear" w:color="8064A2" w:fill="auto"/>
      </w:tcPr>
    </w:tblStylePr>
    <w:tblStylePr w:type="lastCol">
      <w:rPr>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auto"/>
      </w:tcPr>
    </w:tblStylePr>
    <w:tblStylePr w:type="lastRow">
      <w:rPr>
        <w:b/>
        <w:color w:val="FFFFFF"/>
        <w:sz w:val="22"/>
      </w:rPr>
      <w:tblPr/>
      <w:tcPr>
        <w:tcBorders>
          <w:top w:val="single" w:sz="4" w:space="0" w:color="FFFFFF" w:themeColor="light1"/>
        </w:tcBorders>
        <w:shd w:val="clear" w:color="4BACC6" w:fill="auto"/>
      </w:tcPr>
    </w:tblStylePr>
    <w:tblStylePr w:type="firstCol">
      <w:rPr>
        <w:b/>
        <w:color w:val="FFFFFF"/>
        <w:sz w:val="22"/>
      </w:rPr>
      <w:tblPr/>
      <w:tcPr>
        <w:shd w:val="clear" w:color="4BACC6" w:fill="auto"/>
      </w:tcPr>
    </w:tblStylePr>
    <w:tblStylePr w:type="lastCol">
      <w:rPr>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auto"/>
      </w:tcPr>
    </w:tblStylePr>
    <w:tblStylePr w:type="lastRow">
      <w:rPr>
        <w:b/>
        <w:color w:val="FFFFFF"/>
        <w:sz w:val="22"/>
      </w:rPr>
      <w:tblPr/>
      <w:tcPr>
        <w:tcBorders>
          <w:top w:val="single" w:sz="4" w:space="0" w:color="FFFFFF" w:themeColor="light1"/>
        </w:tcBorders>
        <w:shd w:val="clear" w:color="F79646" w:fill="auto"/>
      </w:tcPr>
    </w:tblStylePr>
    <w:tblStylePr w:type="firstCol">
      <w:rPr>
        <w:b/>
        <w:color w:val="FFFFFF"/>
        <w:sz w:val="22"/>
      </w:rPr>
      <w:tblPr/>
      <w:tcPr>
        <w:shd w:val="clear" w:color="F79646" w:fill="auto"/>
      </w:tcPr>
    </w:tblStylePr>
    <w:tblStylePr w:type="lastCol">
      <w:rPr>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auto"/>
      </w:tcPr>
    </w:tblStylePr>
    <w:tblStylePr w:type="band1Horz">
      <w:rPr>
        <w:color w:val="7F7F7F" w:themeColor="text1" w:themeTint="80" w:themeShade="95"/>
        <w:sz w:val="22"/>
      </w:rPr>
      <w:tblPr/>
      <w:tcPr>
        <w:shd w:val="clear" w:color="CBCBCB" w:fill="auto"/>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auto"/>
      </w:tcPr>
    </w:tblStylePr>
    <w:tblStylePr w:type="band1Horz">
      <w:rPr>
        <w:color w:val="266779" w:themeColor="accent5" w:themeShade="95"/>
        <w:sz w:val="22"/>
      </w:rPr>
      <w:tblPr/>
      <w:tcPr>
        <w:shd w:val="clear" w:color="FDE9D8" w:fill="auto"/>
      </w:tcPr>
    </w:tblStylePr>
    <w:tblStylePr w:type="band2Horz">
      <w:rPr>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auto"/>
      </w:tcPr>
    </w:tblStylePr>
    <w:tblStylePr w:type="band1Horz">
      <w:rPr>
        <w:color w:val="7F7F7F" w:themeColor="text1" w:themeTint="80" w:themeShade="95"/>
        <w:sz w:val="22"/>
      </w:rPr>
      <w:tblPr/>
      <w:tcPr>
        <w:shd w:val="clear" w:color="F2F2F2" w:fill="auto"/>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auto"/>
      </w:tcPr>
    </w:tblStylePr>
    <w:tblStylePr w:type="band1Horz">
      <w:rPr>
        <w:color w:val="A6BFDD" w:themeColor="accent1" w:themeTint="80" w:themeShade="95"/>
        <w:sz w:val="22"/>
      </w:rPr>
      <w:tblPr/>
      <w:tcPr>
        <w:shd w:val="clear" w:color="DAE5F1" w:fill="auto"/>
      </w:tcPr>
    </w:tblStylePr>
    <w:tblStylePr w:type="band2Horz">
      <w:rPr>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auto"/>
      </w:tcPr>
    </w:tblStylePr>
    <w:tblStylePr w:type="band1Horz">
      <w:rPr>
        <w:color w:val="D99695" w:themeColor="accent2" w:themeTint="97" w:themeShade="95"/>
        <w:sz w:val="22"/>
      </w:rPr>
      <w:tblPr/>
      <w:tcPr>
        <w:shd w:val="clear" w:color="F2DCDC" w:fill="auto"/>
      </w:tcPr>
    </w:tblStylePr>
    <w:tblStylePr w:type="band2Horz">
      <w:rPr>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auto"/>
      </w:tcPr>
    </w:tblStylePr>
    <w:tblStylePr w:type="band1Horz">
      <w:rPr>
        <w:color w:val="9ABB59" w:themeColor="accent3" w:themeTint="FE" w:themeShade="95"/>
        <w:sz w:val="22"/>
      </w:rPr>
      <w:tblPr/>
      <w:tcPr>
        <w:shd w:val="clear" w:color="EAF1DC" w:fill="auto"/>
      </w:tcPr>
    </w:tblStylePr>
    <w:tblStylePr w:type="band2Horz">
      <w:rPr>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auto"/>
      </w:tcPr>
    </w:tblStylePr>
    <w:tblStylePr w:type="band1Horz">
      <w:rPr>
        <w:color w:val="B2A1C6" w:themeColor="accent4" w:themeTint="9A" w:themeShade="95"/>
        <w:sz w:val="22"/>
      </w:rPr>
      <w:tblPr/>
      <w:tcPr>
        <w:shd w:val="clear" w:color="E5DFEC" w:fill="auto"/>
      </w:tcPr>
    </w:tblStylePr>
    <w:tblStylePr w:type="band2Horz">
      <w:rPr>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auto"/>
      </w:tcPr>
    </w:tblStylePr>
    <w:tblStylePr w:type="band1Horz">
      <w:rPr>
        <w:color w:val="266779" w:themeColor="accent5" w:themeShade="95"/>
        <w:sz w:val="22"/>
      </w:rPr>
      <w:tblPr/>
      <w:tcPr>
        <w:shd w:val="clear" w:color="DAEEF3" w:fill="auto"/>
      </w:tcPr>
    </w:tblStylePr>
    <w:tblStylePr w:type="band2Horz">
      <w:rPr>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auto"/>
      </w:tcPr>
    </w:tblStylePr>
    <w:tblStylePr w:type="band1Horz">
      <w:rPr>
        <w:color w:val="B15407" w:themeColor="accent6" w:themeShade="95"/>
        <w:sz w:val="22"/>
      </w:rPr>
      <w:tblPr/>
      <w:tcPr>
        <w:shd w:val="clear" w:color="FDE9D8" w:fill="auto"/>
      </w:tcPr>
    </w:tblStylePr>
    <w:tblStylePr w:type="band2Horz">
      <w:rPr>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auto"/>
      </w:tcPr>
    </w:tblStylePr>
    <w:tblStylePr w:type="band1Horz">
      <w:rPr>
        <w:color w:val="404040"/>
        <w:sz w:val="22"/>
      </w:rPr>
      <w:tblPr/>
      <w:tcPr>
        <w:shd w:val="clear" w:color="BFBFBF" w:fill="auto"/>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auto"/>
      </w:tcPr>
    </w:tblStylePr>
    <w:tblStylePr w:type="band1Horz">
      <w:rPr>
        <w:color w:val="404040"/>
        <w:sz w:val="22"/>
      </w:rPr>
      <w:tblPr/>
      <w:tcPr>
        <w:shd w:val="clear" w:color="D2DFEE" w:fill="auto"/>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auto"/>
      </w:tcPr>
    </w:tblStylePr>
    <w:tblStylePr w:type="band1Horz">
      <w:rPr>
        <w:color w:val="404040"/>
        <w:sz w:val="22"/>
      </w:rPr>
      <w:tblPr/>
      <w:tcPr>
        <w:shd w:val="clear" w:color="EFD2D2" w:fill="auto"/>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auto"/>
      </w:tcPr>
    </w:tblStylePr>
    <w:tblStylePr w:type="band1Horz">
      <w:rPr>
        <w:color w:val="404040"/>
        <w:sz w:val="22"/>
      </w:rPr>
      <w:tblPr/>
      <w:tcPr>
        <w:shd w:val="clear" w:color="E5EED5" w:fill="auto"/>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auto"/>
      </w:tcPr>
    </w:tblStylePr>
    <w:tblStylePr w:type="band1Horz">
      <w:rPr>
        <w:color w:val="404040"/>
        <w:sz w:val="22"/>
      </w:rPr>
      <w:tblPr/>
      <w:tcPr>
        <w:shd w:val="clear" w:color="DFD8E7" w:fill="auto"/>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auto"/>
      </w:tcPr>
    </w:tblStylePr>
    <w:tblStylePr w:type="band1Horz">
      <w:rPr>
        <w:color w:val="404040"/>
        <w:sz w:val="22"/>
      </w:rPr>
      <w:tblPr/>
      <w:tcPr>
        <w:shd w:val="clear" w:color="D1EAF0" w:fill="auto"/>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auto"/>
      </w:tcPr>
    </w:tblStylePr>
    <w:tblStylePr w:type="band1Horz">
      <w:rPr>
        <w:color w:val="404040"/>
        <w:sz w:val="22"/>
      </w:rPr>
      <w:tblPr/>
      <w:tcPr>
        <w:shd w:val="clear" w:color="FDE4D0" w:fill="auto"/>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auto"/>
      </w:tcPr>
    </w:tblStylePr>
    <w:tblStylePr w:type="band1Horz">
      <w:rPr>
        <w:color w:val="404040"/>
        <w:sz w:val="22"/>
      </w:rPr>
      <w:tblPr/>
      <w:tcPr>
        <w:shd w:val="clear" w:color="BFBFBF" w:fill="auto"/>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auto"/>
      </w:tcPr>
    </w:tblStylePr>
    <w:tblStylePr w:type="band1Horz">
      <w:rPr>
        <w:color w:val="404040"/>
        <w:sz w:val="22"/>
      </w:rPr>
      <w:tblPr/>
      <w:tcPr>
        <w:shd w:val="clear" w:color="D2DFEE" w:fill="auto"/>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auto"/>
      </w:tcPr>
    </w:tblStylePr>
    <w:tblStylePr w:type="band1Horz">
      <w:rPr>
        <w:color w:val="404040"/>
        <w:sz w:val="22"/>
      </w:rPr>
      <w:tblPr/>
      <w:tcPr>
        <w:shd w:val="clear" w:color="EFD2D2" w:fill="auto"/>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auto"/>
      </w:tcPr>
    </w:tblStylePr>
    <w:tblStylePr w:type="band1Horz">
      <w:rPr>
        <w:color w:val="404040"/>
        <w:sz w:val="22"/>
      </w:rPr>
      <w:tblPr/>
      <w:tcPr>
        <w:shd w:val="clear" w:color="E5EED5" w:fill="auto"/>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auto"/>
      </w:tcPr>
    </w:tblStylePr>
    <w:tblStylePr w:type="band1Horz">
      <w:rPr>
        <w:color w:val="404040"/>
        <w:sz w:val="22"/>
      </w:rPr>
      <w:tblPr/>
      <w:tcPr>
        <w:shd w:val="clear" w:color="DFD8E7" w:fill="auto"/>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auto"/>
      </w:tcPr>
    </w:tblStylePr>
    <w:tblStylePr w:type="band1Horz">
      <w:rPr>
        <w:color w:val="404040"/>
        <w:sz w:val="22"/>
      </w:rPr>
      <w:tblPr/>
      <w:tcPr>
        <w:shd w:val="clear" w:color="D1EAF0" w:fill="auto"/>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auto"/>
      </w:tcPr>
    </w:tblStylePr>
    <w:tblStylePr w:type="band1Horz">
      <w:rPr>
        <w:color w:val="404040"/>
        <w:sz w:val="22"/>
      </w:rPr>
      <w:tblPr/>
      <w:tcPr>
        <w:shd w:val="clear" w:color="FDE4D0" w:fill="auto"/>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auto"/>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auto"/>
      </w:tcPr>
    </w:tblStylePr>
    <w:tblStylePr w:type="band2Horz">
      <w:tblPr/>
      <w:tcPr>
        <w:tcBorders>
          <w:top w:val="single" w:sz="4" w:space="0" w:color="FFFFFF" w:themeColor="light1"/>
          <w:bottom w:val="single" w:sz="4" w:space="0" w:color="FFFFFF" w:themeColor="light1"/>
        </w:tcBorders>
        <w:shd w:val="clear" w:color="4F81BD" w:fill="auto"/>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auto"/>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auto"/>
      </w:tcPr>
    </w:tblStylePr>
    <w:tblStylePr w:type="band2Horz">
      <w:tblPr/>
      <w:tcPr>
        <w:tcBorders>
          <w:top w:val="single" w:sz="4" w:space="0" w:color="FFFFFF" w:themeColor="light1"/>
          <w:bottom w:val="single" w:sz="4" w:space="0" w:color="FFFFFF" w:themeColor="light1"/>
        </w:tcBorders>
        <w:shd w:val="clear" w:color="D99695" w:fill="auto"/>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auto"/>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auto"/>
      </w:tcPr>
    </w:tblStylePr>
    <w:tblStylePr w:type="band2Horz">
      <w:tblPr/>
      <w:tcPr>
        <w:tcBorders>
          <w:top w:val="single" w:sz="4" w:space="0" w:color="FFFFFF" w:themeColor="light1"/>
          <w:bottom w:val="single" w:sz="4" w:space="0" w:color="FFFFFF" w:themeColor="light1"/>
        </w:tcBorders>
        <w:shd w:val="clear" w:color="C3D69B" w:fill="auto"/>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auto"/>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auto"/>
      </w:tcPr>
    </w:tblStylePr>
    <w:tblStylePr w:type="band2Horz">
      <w:tblPr/>
      <w:tcPr>
        <w:tcBorders>
          <w:top w:val="single" w:sz="4" w:space="0" w:color="FFFFFF" w:themeColor="light1"/>
          <w:bottom w:val="single" w:sz="4" w:space="0" w:color="FFFFFF" w:themeColor="light1"/>
        </w:tcBorders>
        <w:shd w:val="clear" w:color="B2A1C6" w:fill="auto"/>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auto"/>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auto"/>
      </w:tcPr>
    </w:tblStylePr>
    <w:tblStylePr w:type="band2Horz">
      <w:tblPr/>
      <w:tcPr>
        <w:tcBorders>
          <w:top w:val="single" w:sz="4" w:space="0" w:color="FFFFFF" w:themeColor="light1"/>
          <w:bottom w:val="single" w:sz="4" w:space="0" w:color="FFFFFF" w:themeColor="light1"/>
        </w:tcBorders>
        <w:shd w:val="clear" w:color="92CCDC" w:fill="auto"/>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auto"/>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auto"/>
      </w:tcPr>
    </w:tblStylePr>
    <w:tblStylePr w:type="band2Horz">
      <w:tblPr/>
      <w:tcPr>
        <w:tcBorders>
          <w:top w:val="single" w:sz="4" w:space="0" w:color="FFFFFF" w:themeColor="light1"/>
          <w:bottom w:val="single" w:sz="4" w:space="0" w:color="FFFFFF" w:themeColor="light1"/>
        </w:tcBorders>
        <w:shd w:val="clear" w:color="FAC090" w:fill="auto"/>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auto"/>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auto"/>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auto"/>
      </w:tcPr>
    </w:tblStylePr>
    <w:tblStylePr w:type="band1Horz">
      <w:rPr>
        <w:color w:val="7F7F7F" w:themeColor="text1" w:themeTint="80" w:themeShade="95"/>
        <w:sz w:val="22"/>
      </w:rPr>
      <w:tblPr/>
      <w:tcPr>
        <w:shd w:val="clear" w:color="BFBFBF" w:fill="auto"/>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auto"/>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auto"/>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auto"/>
      </w:tcPr>
    </w:tblStylePr>
    <w:tblStylePr w:type="band1Horz">
      <w:rPr>
        <w:color w:val="2A4A71" w:themeColor="accent1" w:themeShade="95"/>
        <w:sz w:val="22"/>
      </w:rPr>
      <w:tblPr/>
      <w:tcPr>
        <w:shd w:val="clear" w:color="D2DFEE" w:fill="auto"/>
      </w:tcPr>
    </w:tblStylePr>
    <w:tblStylePr w:type="band2Horz">
      <w:rPr>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auto"/>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auto"/>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auto"/>
      </w:tcPr>
    </w:tblStylePr>
    <w:tblStylePr w:type="band1Horz">
      <w:rPr>
        <w:color w:val="D99695" w:themeColor="accent2" w:themeTint="97" w:themeShade="95"/>
        <w:sz w:val="22"/>
      </w:rPr>
      <w:tblPr/>
      <w:tcPr>
        <w:shd w:val="clear" w:color="EFD2D2" w:fill="auto"/>
      </w:tcPr>
    </w:tblStylePr>
    <w:tblStylePr w:type="band2Horz">
      <w:rPr>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auto"/>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auto"/>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auto"/>
      </w:tcPr>
    </w:tblStylePr>
    <w:tblStylePr w:type="band1Horz">
      <w:rPr>
        <w:color w:val="C3D69B" w:themeColor="accent3" w:themeTint="98" w:themeShade="95"/>
        <w:sz w:val="22"/>
      </w:rPr>
      <w:tblPr/>
      <w:tcPr>
        <w:shd w:val="clear" w:color="E5EED5" w:fill="auto"/>
      </w:tcPr>
    </w:tblStylePr>
    <w:tblStylePr w:type="band2Horz">
      <w:rPr>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auto"/>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auto"/>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auto"/>
      </w:tcPr>
    </w:tblStylePr>
    <w:tblStylePr w:type="band1Horz">
      <w:rPr>
        <w:color w:val="B2A1C6" w:themeColor="accent4" w:themeTint="9A" w:themeShade="95"/>
        <w:sz w:val="22"/>
      </w:rPr>
      <w:tblPr/>
      <w:tcPr>
        <w:shd w:val="clear" w:color="DFD8E7" w:fill="auto"/>
      </w:tcPr>
    </w:tblStylePr>
    <w:tblStylePr w:type="band2Horz">
      <w:rPr>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auto"/>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auto"/>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auto"/>
      </w:tcPr>
    </w:tblStylePr>
    <w:tblStylePr w:type="band1Horz">
      <w:rPr>
        <w:color w:val="92CCDC" w:themeColor="accent5" w:themeTint="9A" w:themeShade="95"/>
        <w:sz w:val="22"/>
      </w:rPr>
      <w:tblPr/>
      <w:tcPr>
        <w:shd w:val="clear" w:color="D1EAF0" w:fill="auto"/>
      </w:tcPr>
    </w:tblStylePr>
    <w:tblStylePr w:type="band2Horz">
      <w:rPr>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auto"/>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auto"/>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auto"/>
      </w:tcPr>
    </w:tblStylePr>
    <w:tblStylePr w:type="band1Horz">
      <w:rPr>
        <w:color w:val="FAC090" w:themeColor="accent6" w:themeTint="98" w:themeShade="95"/>
        <w:sz w:val="22"/>
      </w:rPr>
      <w:tblPr/>
      <w:tcPr>
        <w:shd w:val="clear" w:color="FDE4D0" w:fill="auto"/>
      </w:tcPr>
    </w:tblStylePr>
    <w:tblStylePr w:type="band2Horz">
      <w:rPr>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color w:val="F2F2F2"/>
        <w:sz w:val="22"/>
      </w:rPr>
      <w:tblPr/>
      <w:tcPr>
        <w:shd w:val="clear" w:color="7F7F7F" w:fill="auto"/>
      </w:tcPr>
    </w:tblStylePr>
    <w:tblStylePr w:type="lastRow">
      <w:rPr>
        <w:color w:val="F2F2F2"/>
        <w:sz w:val="22"/>
      </w:rPr>
      <w:tblPr/>
      <w:tcPr>
        <w:shd w:val="clear" w:color="7F7F7F" w:fill="auto"/>
      </w:tcPr>
    </w:tblStylePr>
    <w:tblStylePr w:type="firstCol">
      <w:rPr>
        <w:color w:val="F2F2F2"/>
        <w:sz w:val="22"/>
      </w:rPr>
      <w:tblPr/>
      <w:tcPr>
        <w:shd w:val="clear" w:color="7F7F7F" w:fill="auto"/>
      </w:tcPr>
    </w:tblStylePr>
    <w:tblStylePr w:type="lastCol">
      <w:rPr>
        <w:color w:val="F2F2F2"/>
        <w:sz w:val="22"/>
      </w:rPr>
      <w:tblPr/>
      <w:tcPr>
        <w:shd w:val="clear" w:color="7F7F7F" w:fill="auto"/>
      </w:tcPr>
    </w:tblStylePr>
    <w:tblStylePr w:type="band1Vert">
      <w:rPr>
        <w:color w:val="404040"/>
        <w:sz w:val="22"/>
      </w:rPr>
    </w:tblStylePr>
    <w:tblStylePr w:type="band2Vert">
      <w:rPr>
        <w:color w:val="404040"/>
        <w:sz w:val="22"/>
      </w:rPr>
      <w:tblPr/>
      <w:tcPr>
        <w:shd w:val="clear" w:color="F2F2F2" w:fill="auto"/>
      </w:tcPr>
    </w:tblStylePr>
    <w:tblStylePr w:type="band1Horz">
      <w:rPr>
        <w:color w:val="404040"/>
        <w:sz w:val="22"/>
      </w:rPr>
    </w:tblStylePr>
    <w:tblStylePr w:type="band2Horz">
      <w:rPr>
        <w:color w:val="404040"/>
        <w:sz w:val="22"/>
      </w:rPr>
      <w:tblPr/>
      <w:tcPr>
        <w:shd w:val="clear" w:color="F2F2F2" w:fill="auto"/>
      </w:tcPr>
    </w:tblStylePr>
  </w:style>
  <w:style w:type="table" w:customStyle="1" w:styleId="Lined-Accent1">
    <w:name w:val="Lined - Accent 1"/>
    <w:basedOn w:val="TableNormal"/>
    <w:uiPriority w:val="99"/>
    <w:rPr>
      <w:color w:val="404040"/>
    </w:rPr>
    <w:tblPr>
      <w:tblStyleRowBandSize w:val="1"/>
      <w:tblStyleColBandSize w:val="1"/>
    </w:tblPr>
    <w:tblStylePr w:type="firstRow">
      <w:rPr>
        <w:color w:val="F2F2F2"/>
        <w:sz w:val="22"/>
      </w:rPr>
      <w:tblPr/>
      <w:tcPr>
        <w:shd w:val="clear" w:color="5D8AC2" w:fill="auto"/>
      </w:tcPr>
    </w:tblStylePr>
    <w:tblStylePr w:type="lastRow">
      <w:rPr>
        <w:color w:val="F2F2F2"/>
        <w:sz w:val="22"/>
      </w:rPr>
      <w:tblPr/>
      <w:tcPr>
        <w:shd w:val="clear" w:color="5D8AC2" w:fill="auto"/>
      </w:tcPr>
    </w:tblStylePr>
    <w:tblStylePr w:type="firstCol">
      <w:rPr>
        <w:color w:val="F2F2F2"/>
        <w:sz w:val="22"/>
      </w:rPr>
      <w:tblPr/>
      <w:tcPr>
        <w:shd w:val="clear" w:color="5D8AC2" w:fill="auto"/>
      </w:tcPr>
    </w:tblStylePr>
    <w:tblStylePr w:type="lastCol">
      <w:rPr>
        <w:color w:val="F2F2F2"/>
        <w:sz w:val="22"/>
      </w:rPr>
      <w:tblPr/>
      <w:tcPr>
        <w:shd w:val="clear" w:color="5D8AC2" w:fill="auto"/>
      </w:tcPr>
    </w:tblStylePr>
    <w:tblStylePr w:type="band1Vert">
      <w:rPr>
        <w:color w:val="404040"/>
        <w:sz w:val="22"/>
      </w:rPr>
    </w:tblStylePr>
    <w:tblStylePr w:type="band2Vert">
      <w:rPr>
        <w:color w:val="404040"/>
        <w:sz w:val="22"/>
      </w:rPr>
      <w:tblPr/>
      <w:tcPr>
        <w:shd w:val="clear" w:color="C7D7EA" w:fill="auto"/>
      </w:tcPr>
    </w:tblStylePr>
    <w:tblStylePr w:type="band1Horz">
      <w:rPr>
        <w:color w:val="404040"/>
        <w:sz w:val="22"/>
      </w:rPr>
    </w:tblStylePr>
    <w:tblStylePr w:type="band2Horz">
      <w:rPr>
        <w:color w:val="404040"/>
        <w:sz w:val="22"/>
      </w:rPr>
      <w:tblPr/>
      <w:tcPr>
        <w:shd w:val="clear" w:color="C7D7EA" w:fill="auto"/>
      </w:tcPr>
    </w:tblStylePr>
  </w:style>
  <w:style w:type="table" w:customStyle="1" w:styleId="Lined-Accent2">
    <w:name w:val="Lined - Accent 2"/>
    <w:basedOn w:val="TableNormal"/>
    <w:uiPriority w:val="99"/>
    <w:rPr>
      <w:color w:val="404040"/>
    </w:rPr>
    <w:tblPr>
      <w:tblStyleRowBandSize w:val="1"/>
      <w:tblStyleColBandSize w:val="1"/>
    </w:tblPr>
    <w:tblStylePr w:type="firstRow">
      <w:rPr>
        <w:color w:val="F2F2F2"/>
        <w:sz w:val="22"/>
      </w:rPr>
      <w:tblPr/>
      <w:tcPr>
        <w:shd w:val="clear" w:color="D99695" w:fill="auto"/>
      </w:tcPr>
    </w:tblStylePr>
    <w:tblStylePr w:type="lastRow">
      <w:rPr>
        <w:color w:val="F2F2F2"/>
        <w:sz w:val="22"/>
      </w:rPr>
      <w:tblPr/>
      <w:tcPr>
        <w:shd w:val="clear" w:color="D99695" w:fill="auto"/>
      </w:tcPr>
    </w:tblStylePr>
    <w:tblStylePr w:type="firstCol">
      <w:rPr>
        <w:color w:val="F2F2F2"/>
        <w:sz w:val="22"/>
      </w:rPr>
      <w:tblPr/>
      <w:tcPr>
        <w:shd w:val="clear" w:color="D99695" w:fill="auto"/>
      </w:tcPr>
    </w:tblStylePr>
    <w:tblStylePr w:type="lastCol">
      <w:rPr>
        <w:color w:val="F2F2F2"/>
        <w:sz w:val="22"/>
      </w:rPr>
      <w:tblPr/>
      <w:tcPr>
        <w:shd w:val="clear" w:color="D99695" w:fill="auto"/>
      </w:tcPr>
    </w:tblStylePr>
    <w:tblStylePr w:type="band1Vert">
      <w:rPr>
        <w:color w:val="404040"/>
        <w:sz w:val="22"/>
      </w:rPr>
    </w:tblStylePr>
    <w:tblStylePr w:type="band2Vert">
      <w:rPr>
        <w:color w:val="404040"/>
        <w:sz w:val="22"/>
      </w:rPr>
      <w:tblPr/>
      <w:tcPr>
        <w:shd w:val="clear" w:color="F2DCDC" w:fill="auto"/>
      </w:tcPr>
    </w:tblStylePr>
    <w:tblStylePr w:type="band1Horz">
      <w:rPr>
        <w:color w:val="404040"/>
        <w:sz w:val="22"/>
      </w:rPr>
    </w:tblStylePr>
    <w:tblStylePr w:type="band2Horz">
      <w:rPr>
        <w:color w:val="404040"/>
        <w:sz w:val="22"/>
      </w:rPr>
      <w:tblPr/>
      <w:tcPr>
        <w:shd w:val="clear" w:color="F2DCDC" w:fill="auto"/>
      </w:tcPr>
    </w:tblStylePr>
  </w:style>
  <w:style w:type="table" w:customStyle="1" w:styleId="Lined-Accent3">
    <w:name w:val="Lined - Accent 3"/>
    <w:basedOn w:val="TableNormal"/>
    <w:uiPriority w:val="99"/>
    <w:rPr>
      <w:color w:val="404040"/>
    </w:rPr>
    <w:tblPr>
      <w:tblStyleRowBandSize w:val="1"/>
      <w:tblStyleColBandSize w:val="1"/>
    </w:tblPr>
    <w:tblStylePr w:type="firstRow">
      <w:rPr>
        <w:color w:val="F2F2F2"/>
        <w:sz w:val="22"/>
      </w:rPr>
      <w:tblPr/>
      <w:tcPr>
        <w:shd w:val="clear" w:color="9ABB59" w:fill="auto"/>
      </w:tcPr>
    </w:tblStylePr>
    <w:tblStylePr w:type="lastRow">
      <w:rPr>
        <w:color w:val="F2F2F2"/>
        <w:sz w:val="22"/>
      </w:rPr>
      <w:tblPr/>
      <w:tcPr>
        <w:shd w:val="clear" w:color="9ABB59" w:fill="auto"/>
      </w:tcPr>
    </w:tblStylePr>
    <w:tblStylePr w:type="firstCol">
      <w:rPr>
        <w:color w:val="F2F2F2"/>
        <w:sz w:val="22"/>
      </w:rPr>
      <w:tblPr/>
      <w:tcPr>
        <w:shd w:val="clear" w:color="9ABB59" w:fill="auto"/>
      </w:tcPr>
    </w:tblStylePr>
    <w:tblStylePr w:type="lastCol">
      <w:rPr>
        <w:color w:val="F2F2F2"/>
        <w:sz w:val="22"/>
      </w:rPr>
      <w:tblPr/>
      <w:tcPr>
        <w:shd w:val="clear" w:color="9ABB59" w:fill="auto"/>
      </w:tcPr>
    </w:tblStylePr>
    <w:tblStylePr w:type="band1Vert">
      <w:rPr>
        <w:color w:val="404040"/>
        <w:sz w:val="22"/>
      </w:rPr>
    </w:tblStylePr>
    <w:tblStylePr w:type="band2Vert">
      <w:rPr>
        <w:color w:val="404040"/>
        <w:sz w:val="22"/>
      </w:rPr>
      <w:tblPr/>
      <w:tcPr>
        <w:shd w:val="clear" w:color="EAF1DC" w:fill="auto"/>
      </w:tcPr>
    </w:tblStylePr>
    <w:tblStylePr w:type="band1Horz">
      <w:rPr>
        <w:color w:val="404040"/>
        <w:sz w:val="22"/>
      </w:rPr>
    </w:tblStylePr>
    <w:tblStylePr w:type="band2Horz">
      <w:rPr>
        <w:color w:val="404040"/>
        <w:sz w:val="22"/>
      </w:rPr>
      <w:tblPr/>
      <w:tcPr>
        <w:shd w:val="clear" w:color="EAF1DC" w:fill="auto"/>
      </w:tcPr>
    </w:tblStylePr>
  </w:style>
  <w:style w:type="table" w:customStyle="1" w:styleId="Lined-Accent4">
    <w:name w:val="Lined - Accent 4"/>
    <w:basedOn w:val="TableNormal"/>
    <w:uiPriority w:val="99"/>
    <w:rPr>
      <w:color w:val="404040"/>
    </w:rPr>
    <w:tblPr>
      <w:tblStyleRowBandSize w:val="1"/>
      <w:tblStyleColBandSize w:val="1"/>
    </w:tblPr>
    <w:tblStylePr w:type="firstRow">
      <w:rPr>
        <w:color w:val="F2F2F2"/>
        <w:sz w:val="22"/>
      </w:rPr>
      <w:tblPr/>
      <w:tcPr>
        <w:shd w:val="clear" w:color="B2A1C6" w:fill="auto"/>
      </w:tcPr>
    </w:tblStylePr>
    <w:tblStylePr w:type="lastRow">
      <w:rPr>
        <w:color w:val="F2F2F2"/>
        <w:sz w:val="22"/>
      </w:rPr>
      <w:tblPr/>
      <w:tcPr>
        <w:shd w:val="clear" w:color="B2A1C6" w:fill="auto"/>
      </w:tcPr>
    </w:tblStylePr>
    <w:tblStylePr w:type="firstCol">
      <w:rPr>
        <w:color w:val="F2F2F2"/>
        <w:sz w:val="22"/>
      </w:rPr>
      <w:tblPr/>
      <w:tcPr>
        <w:shd w:val="clear" w:color="B2A1C6" w:fill="auto"/>
      </w:tcPr>
    </w:tblStylePr>
    <w:tblStylePr w:type="lastCol">
      <w:rPr>
        <w:color w:val="F2F2F2"/>
        <w:sz w:val="22"/>
      </w:rPr>
      <w:tblPr/>
      <w:tcPr>
        <w:shd w:val="clear" w:color="B2A1C6" w:fill="auto"/>
      </w:tcPr>
    </w:tblStylePr>
    <w:tblStylePr w:type="band1Vert">
      <w:rPr>
        <w:color w:val="404040"/>
        <w:sz w:val="22"/>
      </w:rPr>
    </w:tblStylePr>
    <w:tblStylePr w:type="band2Vert">
      <w:rPr>
        <w:color w:val="404040"/>
        <w:sz w:val="22"/>
      </w:rPr>
      <w:tblPr/>
      <w:tcPr>
        <w:shd w:val="clear" w:color="E5DFEC" w:fill="auto"/>
      </w:tcPr>
    </w:tblStylePr>
    <w:tblStylePr w:type="band1Horz">
      <w:rPr>
        <w:color w:val="404040"/>
        <w:sz w:val="22"/>
      </w:rPr>
    </w:tblStylePr>
    <w:tblStylePr w:type="band2Horz">
      <w:rPr>
        <w:color w:val="404040"/>
        <w:sz w:val="22"/>
      </w:rPr>
      <w:tblPr/>
      <w:tcPr>
        <w:shd w:val="clear" w:color="E5DFEC" w:fill="auto"/>
      </w:tcPr>
    </w:tblStylePr>
  </w:style>
  <w:style w:type="table" w:customStyle="1" w:styleId="Lined-Accent5">
    <w:name w:val="Lined - Accent 5"/>
    <w:basedOn w:val="TableNormal"/>
    <w:uiPriority w:val="99"/>
    <w:rPr>
      <w:color w:val="404040"/>
    </w:rPr>
    <w:tblPr>
      <w:tblStyleRowBandSize w:val="1"/>
      <w:tblStyleColBandSize w:val="1"/>
    </w:tblPr>
    <w:tblStylePr w:type="firstRow">
      <w:rPr>
        <w:color w:val="F2F2F2"/>
        <w:sz w:val="22"/>
      </w:rPr>
      <w:tblPr/>
      <w:tcPr>
        <w:shd w:val="clear" w:color="4BACC6" w:fill="auto"/>
      </w:tcPr>
    </w:tblStylePr>
    <w:tblStylePr w:type="lastRow">
      <w:rPr>
        <w:color w:val="F2F2F2"/>
        <w:sz w:val="22"/>
      </w:rPr>
      <w:tblPr/>
      <w:tcPr>
        <w:shd w:val="clear" w:color="4BACC6" w:fill="auto"/>
      </w:tcPr>
    </w:tblStylePr>
    <w:tblStylePr w:type="firstCol">
      <w:rPr>
        <w:color w:val="F2F2F2"/>
        <w:sz w:val="22"/>
      </w:rPr>
      <w:tblPr/>
      <w:tcPr>
        <w:shd w:val="clear" w:color="4BACC6" w:fill="auto"/>
      </w:tcPr>
    </w:tblStylePr>
    <w:tblStylePr w:type="lastCol">
      <w:rPr>
        <w:color w:val="F2F2F2"/>
        <w:sz w:val="22"/>
      </w:rPr>
      <w:tblPr/>
      <w:tcPr>
        <w:shd w:val="clear" w:color="4BACC6" w:fill="auto"/>
      </w:tcPr>
    </w:tblStylePr>
    <w:tblStylePr w:type="band1Vert">
      <w:rPr>
        <w:color w:val="404040"/>
        <w:sz w:val="22"/>
      </w:rPr>
    </w:tblStylePr>
    <w:tblStylePr w:type="band2Vert">
      <w:rPr>
        <w:color w:val="404040"/>
        <w:sz w:val="22"/>
      </w:rPr>
      <w:tblPr/>
      <w:tcPr>
        <w:shd w:val="clear" w:color="DAEEF3" w:fill="auto"/>
      </w:tcPr>
    </w:tblStylePr>
    <w:tblStylePr w:type="band1Horz">
      <w:rPr>
        <w:color w:val="404040"/>
        <w:sz w:val="22"/>
      </w:rPr>
    </w:tblStylePr>
    <w:tblStylePr w:type="band2Horz">
      <w:rPr>
        <w:color w:val="404040"/>
        <w:sz w:val="22"/>
      </w:rPr>
      <w:tblPr/>
      <w:tcPr>
        <w:shd w:val="clear" w:color="DAEEF3" w:fill="auto"/>
      </w:tcPr>
    </w:tblStylePr>
  </w:style>
  <w:style w:type="table" w:customStyle="1" w:styleId="Lined-Accent6">
    <w:name w:val="Lined - Accent 6"/>
    <w:basedOn w:val="TableNormal"/>
    <w:uiPriority w:val="99"/>
    <w:rPr>
      <w:color w:val="404040"/>
    </w:rPr>
    <w:tblPr>
      <w:tblStyleRowBandSize w:val="1"/>
      <w:tblStyleColBandSize w:val="1"/>
    </w:tblPr>
    <w:tblStylePr w:type="firstRow">
      <w:rPr>
        <w:color w:val="F2F2F2"/>
        <w:sz w:val="22"/>
      </w:rPr>
      <w:tblPr/>
      <w:tcPr>
        <w:shd w:val="clear" w:color="F79646" w:fill="auto"/>
      </w:tcPr>
    </w:tblStylePr>
    <w:tblStylePr w:type="lastRow">
      <w:rPr>
        <w:color w:val="F2F2F2"/>
        <w:sz w:val="22"/>
      </w:rPr>
      <w:tblPr/>
      <w:tcPr>
        <w:shd w:val="clear" w:color="F79646" w:fill="auto"/>
      </w:tcPr>
    </w:tblStylePr>
    <w:tblStylePr w:type="firstCol">
      <w:rPr>
        <w:color w:val="F2F2F2"/>
        <w:sz w:val="22"/>
      </w:rPr>
      <w:tblPr/>
      <w:tcPr>
        <w:shd w:val="clear" w:color="F79646" w:fill="auto"/>
      </w:tcPr>
    </w:tblStylePr>
    <w:tblStylePr w:type="lastCol">
      <w:rPr>
        <w:color w:val="F2F2F2"/>
        <w:sz w:val="22"/>
      </w:rPr>
      <w:tblPr/>
      <w:tcPr>
        <w:shd w:val="clear" w:color="F79646" w:fill="auto"/>
      </w:tcPr>
    </w:tblStylePr>
    <w:tblStylePr w:type="band1Vert">
      <w:rPr>
        <w:color w:val="404040"/>
        <w:sz w:val="22"/>
      </w:rPr>
    </w:tblStylePr>
    <w:tblStylePr w:type="band2Vert">
      <w:rPr>
        <w:color w:val="404040"/>
        <w:sz w:val="22"/>
      </w:rPr>
      <w:tblPr/>
      <w:tcPr>
        <w:shd w:val="clear" w:color="FDE9D8" w:fill="auto"/>
      </w:tcPr>
    </w:tblStylePr>
    <w:tblStylePr w:type="band1Horz">
      <w:rPr>
        <w:color w:val="404040"/>
        <w:sz w:val="22"/>
      </w:rPr>
    </w:tblStylePr>
    <w:tblStylePr w:type="band2Horz">
      <w:rPr>
        <w:color w:val="404040"/>
        <w:sz w:val="22"/>
      </w:rPr>
      <w:tblPr/>
      <w:tcPr>
        <w:shd w:val="clear" w:color="FDE9D8" w:fill="auto"/>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auto"/>
      </w:tcPr>
    </w:tblStylePr>
    <w:tblStylePr w:type="lastRow">
      <w:rPr>
        <w:color w:val="F2F2F2"/>
        <w:sz w:val="22"/>
      </w:rPr>
      <w:tblPr/>
      <w:tcPr>
        <w:shd w:val="clear" w:color="7F7F7F" w:fill="auto"/>
      </w:tcPr>
    </w:tblStylePr>
    <w:tblStylePr w:type="firstCol">
      <w:rPr>
        <w:color w:val="F2F2F2"/>
        <w:sz w:val="22"/>
      </w:rPr>
      <w:tblPr/>
      <w:tcPr>
        <w:shd w:val="clear" w:color="7F7F7F" w:fill="auto"/>
      </w:tcPr>
    </w:tblStylePr>
    <w:tblStylePr w:type="lastCol">
      <w:rPr>
        <w:color w:val="F2F2F2"/>
        <w:sz w:val="22"/>
      </w:rPr>
      <w:tblPr/>
      <w:tcPr>
        <w:shd w:val="clear" w:color="7F7F7F" w:fill="auto"/>
      </w:tcPr>
    </w:tblStylePr>
    <w:tblStylePr w:type="band1Vert">
      <w:rPr>
        <w:color w:val="404040"/>
        <w:sz w:val="22"/>
      </w:rPr>
    </w:tblStylePr>
    <w:tblStylePr w:type="band2Vert">
      <w:rPr>
        <w:color w:val="404040"/>
        <w:sz w:val="22"/>
      </w:rPr>
      <w:tblPr/>
      <w:tcPr>
        <w:shd w:val="clear" w:color="F2F2F2" w:fill="auto"/>
      </w:tcPr>
    </w:tblStylePr>
    <w:tblStylePr w:type="band1Horz">
      <w:rPr>
        <w:color w:val="404040"/>
        <w:sz w:val="22"/>
      </w:rPr>
    </w:tblStylePr>
    <w:tblStylePr w:type="band2Horz">
      <w:rPr>
        <w:color w:val="404040"/>
        <w:sz w:val="22"/>
      </w:rPr>
      <w:tblPr/>
      <w:tcPr>
        <w:shd w:val="clear" w:color="F2F2F2" w:fill="auto"/>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auto"/>
      </w:tcPr>
    </w:tblStylePr>
    <w:tblStylePr w:type="lastRow">
      <w:rPr>
        <w:color w:val="F2F2F2"/>
        <w:sz w:val="22"/>
      </w:rPr>
      <w:tblPr/>
      <w:tcPr>
        <w:shd w:val="clear" w:color="5D8AC2" w:fill="auto"/>
      </w:tcPr>
    </w:tblStylePr>
    <w:tblStylePr w:type="firstCol">
      <w:rPr>
        <w:color w:val="F2F2F2"/>
        <w:sz w:val="22"/>
      </w:rPr>
      <w:tblPr/>
      <w:tcPr>
        <w:shd w:val="clear" w:color="5D8AC2" w:fill="auto"/>
      </w:tcPr>
    </w:tblStylePr>
    <w:tblStylePr w:type="lastCol">
      <w:rPr>
        <w:color w:val="F2F2F2"/>
        <w:sz w:val="22"/>
      </w:rPr>
      <w:tblPr/>
      <w:tcPr>
        <w:shd w:val="clear" w:color="5D8AC2" w:fill="auto"/>
      </w:tcPr>
    </w:tblStylePr>
    <w:tblStylePr w:type="band1Vert">
      <w:rPr>
        <w:color w:val="404040"/>
        <w:sz w:val="22"/>
      </w:rPr>
    </w:tblStylePr>
    <w:tblStylePr w:type="band2Vert">
      <w:rPr>
        <w:color w:val="404040"/>
        <w:sz w:val="22"/>
      </w:rPr>
      <w:tblPr/>
      <w:tcPr>
        <w:shd w:val="clear" w:color="C7D7EA" w:fill="auto"/>
      </w:tcPr>
    </w:tblStylePr>
    <w:tblStylePr w:type="band1Horz">
      <w:rPr>
        <w:color w:val="404040"/>
        <w:sz w:val="22"/>
      </w:rPr>
    </w:tblStylePr>
    <w:tblStylePr w:type="band2Horz">
      <w:rPr>
        <w:color w:val="404040"/>
        <w:sz w:val="22"/>
      </w:rPr>
      <w:tblPr/>
      <w:tcPr>
        <w:shd w:val="clear" w:color="C7D7EA" w:fill="auto"/>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auto"/>
      </w:tcPr>
    </w:tblStylePr>
    <w:tblStylePr w:type="lastRow">
      <w:rPr>
        <w:color w:val="F2F2F2"/>
        <w:sz w:val="22"/>
      </w:rPr>
      <w:tblPr/>
      <w:tcPr>
        <w:shd w:val="clear" w:color="D99695" w:fill="auto"/>
      </w:tcPr>
    </w:tblStylePr>
    <w:tblStylePr w:type="firstCol">
      <w:rPr>
        <w:color w:val="F2F2F2"/>
        <w:sz w:val="22"/>
      </w:rPr>
      <w:tblPr/>
      <w:tcPr>
        <w:shd w:val="clear" w:color="D99695" w:fill="auto"/>
      </w:tcPr>
    </w:tblStylePr>
    <w:tblStylePr w:type="lastCol">
      <w:rPr>
        <w:color w:val="F2F2F2"/>
        <w:sz w:val="22"/>
      </w:rPr>
      <w:tblPr/>
      <w:tcPr>
        <w:shd w:val="clear" w:color="D99695" w:fill="auto"/>
      </w:tcPr>
    </w:tblStylePr>
    <w:tblStylePr w:type="band1Vert">
      <w:rPr>
        <w:color w:val="404040"/>
        <w:sz w:val="22"/>
      </w:rPr>
    </w:tblStylePr>
    <w:tblStylePr w:type="band2Vert">
      <w:rPr>
        <w:color w:val="404040"/>
        <w:sz w:val="22"/>
      </w:rPr>
      <w:tblPr/>
      <w:tcPr>
        <w:shd w:val="clear" w:color="F2DCDC" w:fill="auto"/>
      </w:tcPr>
    </w:tblStylePr>
    <w:tblStylePr w:type="band1Horz">
      <w:rPr>
        <w:color w:val="404040"/>
        <w:sz w:val="22"/>
      </w:rPr>
    </w:tblStylePr>
    <w:tblStylePr w:type="band2Horz">
      <w:rPr>
        <w:color w:val="404040"/>
        <w:sz w:val="22"/>
      </w:rPr>
      <w:tblPr/>
      <w:tcPr>
        <w:shd w:val="clear" w:color="F2DCDC" w:fill="auto"/>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auto"/>
      </w:tcPr>
    </w:tblStylePr>
    <w:tblStylePr w:type="lastRow">
      <w:rPr>
        <w:color w:val="F2F2F2"/>
        <w:sz w:val="22"/>
      </w:rPr>
      <w:tblPr/>
      <w:tcPr>
        <w:shd w:val="clear" w:color="9ABB59" w:fill="auto"/>
      </w:tcPr>
    </w:tblStylePr>
    <w:tblStylePr w:type="firstCol">
      <w:rPr>
        <w:color w:val="F2F2F2"/>
        <w:sz w:val="22"/>
      </w:rPr>
      <w:tblPr/>
      <w:tcPr>
        <w:shd w:val="clear" w:color="9ABB59" w:fill="auto"/>
      </w:tcPr>
    </w:tblStylePr>
    <w:tblStylePr w:type="lastCol">
      <w:rPr>
        <w:color w:val="F2F2F2"/>
        <w:sz w:val="22"/>
      </w:rPr>
      <w:tblPr/>
      <w:tcPr>
        <w:shd w:val="clear" w:color="9ABB59" w:fill="auto"/>
      </w:tcPr>
    </w:tblStylePr>
    <w:tblStylePr w:type="band1Vert">
      <w:rPr>
        <w:color w:val="404040"/>
        <w:sz w:val="22"/>
      </w:rPr>
    </w:tblStylePr>
    <w:tblStylePr w:type="band2Vert">
      <w:rPr>
        <w:color w:val="404040"/>
        <w:sz w:val="22"/>
      </w:rPr>
      <w:tblPr/>
      <w:tcPr>
        <w:shd w:val="clear" w:color="EAF1DC" w:fill="auto"/>
      </w:tcPr>
    </w:tblStylePr>
    <w:tblStylePr w:type="band1Horz">
      <w:rPr>
        <w:color w:val="404040"/>
        <w:sz w:val="22"/>
      </w:rPr>
    </w:tblStylePr>
    <w:tblStylePr w:type="band2Horz">
      <w:rPr>
        <w:color w:val="404040"/>
        <w:sz w:val="22"/>
      </w:rPr>
      <w:tblPr/>
      <w:tcPr>
        <w:shd w:val="clear" w:color="EAF1DC" w:fill="auto"/>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auto"/>
      </w:tcPr>
    </w:tblStylePr>
    <w:tblStylePr w:type="lastRow">
      <w:rPr>
        <w:color w:val="F2F2F2"/>
        <w:sz w:val="22"/>
      </w:rPr>
      <w:tblPr/>
      <w:tcPr>
        <w:shd w:val="clear" w:color="B2A1C6" w:fill="auto"/>
      </w:tcPr>
    </w:tblStylePr>
    <w:tblStylePr w:type="firstCol">
      <w:rPr>
        <w:color w:val="F2F2F2"/>
        <w:sz w:val="22"/>
      </w:rPr>
      <w:tblPr/>
      <w:tcPr>
        <w:shd w:val="clear" w:color="B2A1C6" w:fill="auto"/>
      </w:tcPr>
    </w:tblStylePr>
    <w:tblStylePr w:type="lastCol">
      <w:rPr>
        <w:color w:val="F2F2F2"/>
        <w:sz w:val="22"/>
      </w:rPr>
      <w:tblPr/>
      <w:tcPr>
        <w:shd w:val="clear" w:color="B2A1C6" w:fill="auto"/>
      </w:tcPr>
    </w:tblStylePr>
    <w:tblStylePr w:type="band1Vert">
      <w:rPr>
        <w:color w:val="404040"/>
        <w:sz w:val="22"/>
      </w:rPr>
    </w:tblStylePr>
    <w:tblStylePr w:type="band2Vert">
      <w:rPr>
        <w:color w:val="404040"/>
        <w:sz w:val="22"/>
      </w:rPr>
      <w:tblPr/>
      <w:tcPr>
        <w:shd w:val="clear" w:color="E5DFEC" w:fill="auto"/>
      </w:tcPr>
    </w:tblStylePr>
    <w:tblStylePr w:type="band1Horz">
      <w:rPr>
        <w:color w:val="404040"/>
        <w:sz w:val="22"/>
      </w:rPr>
    </w:tblStylePr>
    <w:tblStylePr w:type="band2Horz">
      <w:rPr>
        <w:color w:val="404040"/>
        <w:sz w:val="22"/>
      </w:rPr>
      <w:tblPr/>
      <w:tcPr>
        <w:shd w:val="clear" w:color="E5DFEC" w:fill="auto"/>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auto"/>
      </w:tcPr>
    </w:tblStylePr>
    <w:tblStylePr w:type="lastRow">
      <w:rPr>
        <w:color w:val="F2F2F2"/>
        <w:sz w:val="22"/>
      </w:rPr>
      <w:tblPr/>
      <w:tcPr>
        <w:shd w:val="clear" w:color="4BACC6" w:fill="auto"/>
      </w:tcPr>
    </w:tblStylePr>
    <w:tblStylePr w:type="firstCol">
      <w:rPr>
        <w:color w:val="F2F2F2"/>
        <w:sz w:val="22"/>
      </w:rPr>
      <w:tblPr/>
      <w:tcPr>
        <w:shd w:val="clear" w:color="4BACC6" w:fill="auto"/>
      </w:tcPr>
    </w:tblStylePr>
    <w:tblStylePr w:type="lastCol">
      <w:rPr>
        <w:color w:val="F2F2F2"/>
        <w:sz w:val="22"/>
      </w:rPr>
      <w:tblPr/>
      <w:tcPr>
        <w:shd w:val="clear" w:color="4BACC6" w:fill="auto"/>
      </w:tcPr>
    </w:tblStylePr>
    <w:tblStylePr w:type="band1Vert">
      <w:rPr>
        <w:color w:val="404040"/>
        <w:sz w:val="22"/>
      </w:rPr>
    </w:tblStylePr>
    <w:tblStylePr w:type="band2Vert">
      <w:rPr>
        <w:color w:val="404040"/>
        <w:sz w:val="22"/>
      </w:rPr>
      <w:tblPr/>
      <w:tcPr>
        <w:shd w:val="clear" w:color="DAEEF3" w:fill="auto"/>
      </w:tcPr>
    </w:tblStylePr>
    <w:tblStylePr w:type="band1Horz">
      <w:rPr>
        <w:color w:val="404040"/>
        <w:sz w:val="22"/>
      </w:rPr>
    </w:tblStylePr>
    <w:tblStylePr w:type="band2Horz">
      <w:rPr>
        <w:color w:val="404040"/>
        <w:sz w:val="22"/>
      </w:rPr>
      <w:tblPr/>
      <w:tcPr>
        <w:shd w:val="clear" w:color="DAEEF3" w:fill="auto"/>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auto"/>
      </w:tcPr>
    </w:tblStylePr>
    <w:tblStylePr w:type="lastRow">
      <w:rPr>
        <w:color w:val="F2F2F2"/>
        <w:sz w:val="22"/>
      </w:rPr>
      <w:tblPr/>
      <w:tcPr>
        <w:shd w:val="clear" w:color="F79646" w:fill="auto"/>
      </w:tcPr>
    </w:tblStylePr>
    <w:tblStylePr w:type="firstCol">
      <w:rPr>
        <w:color w:val="F2F2F2"/>
        <w:sz w:val="22"/>
      </w:rPr>
      <w:tblPr/>
      <w:tcPr>
        <w:shd w:val="clear" w:color="F79646" w:fill="auto"/>
      </w:tcPr>
    </w:tblStylePr>
    <w:tblStylePr w:type="lastCol">
      <w:rPr>
        <w:color w:val="F2F2F2"/>
        <w:sz w:val="22"/>
      </w:rPr>
      <w:tblPr/>
      <w:tcPr>
        <w:shd w:val="clear" w:color="F79646" w:fill="auto"/>
      </w:tcPr>
    </w:tblStylePr>
    <w:tblStylePr w:type="band1Vert">
      <w:rPr>
        <w:color w:val="404040"/>
        <w:sz w:val="22"/>
      </w:rPr>
    </w:tblStylePr>
    <w:tblStylePr w:type="band2Vert">
      <w:rPr>
        <w:color w:val="404040"/>
        <w:sz w:val="22"/>
      </w:rPr>
      <w:tblPr/>
      <w:tcPr>
        <w:shd w:val="clear" w:color="FDE9D8" w:fill="auto"/>
      </w:tcPr>
    </w:tblStylePr>
    <w:tblStylePr w:type="band1Horz">
      <w:rPr>
        <w:color w:val="404040"/>
        <w:sz w:val="22"/>
      </w:rPr>
    </w:tblStylePr>
    <w:tblStylePr w:type="band2Horz">
      <w:rPr>
        <w:color w:val="404040"/>
        <w:sz w:val="22"/>
      </w:rPr>
      <w:tblPr/>
      <w:tcPr>
        <w:shd w:val="clear" w:color="FDE9D8" w:fill="auto"/>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26" Type="http://schemas.onlyoffice.com/commentsExtendedDocument" Target="commentsExtended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5" Type="http://schemas.onlyoffice.com/commentsDocument" Target="commentsDocument.xml"/><Relationship Id="rId2" Type="http://schemas.openxmlformats.org/officeDocument/2006/relationships/customXml" Target="../customXml/item2.xml"/><Relationship Id="rId16" Type="http://schemas.openxmlformats.org/officeDocument/2006/relationships/theme" Target="theme/theme1.xml"/><Relationship Id="rId29" Type="http://schemas.onlyoffice.com/commentsIdsDocument" Target="commentsIds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w:settings xmlns:w="http://schemas.openxmlformats.org/wordprocessingml/2006/main">
  <w:SpecialFormsHighlight w:val="c9c8ff"/>
</w:settings>
</file>

<file path=customXml/item5.xml><?xml version="1.0" encoding="utf-8"?>
<w:settings xmlns:w="http://schemas.openxmlformats.org/wordprocessingml/2006/main">
  <w:SpecialFormsHighlight w:val="c9c8ff"/>
</w:settings>
</file>

<file path=customXml/item6.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CD6BB102-EC26-4353-A8D1-C11E850E0D3A}">
  <ds:schemaRefs>
    <ds:schemaRef ds:uri="http://schemas.openxmlformats.org/wordprocessingml/2006/main"/>
  </ds:schemaRefs>
</ds:datastoreItem>
</file>

<file path=customXml/itemProps2.xml><?xml version="1.0" encoding="utf-8"?>
<ds:datastoreItem xmlns:ds="http://schemas.openxmlformats.org/officeDocument/2006/customXml" ds:itemID="{257BD6C5-9634-4897-9078-34181E1C901C}">
  <ds:schemaRefs>
    <ds:schemaRef ds:uri="http://schemas.openxmlformats.org/wordprocessingml/2006/main"/>
  </ds:schemaRefs>
</ds:datastoreItem>
</file>

<file path=customXml/itemProps3.xml><?xml version="1.0" encoding="utf-8"?>
<ds:datastoreItem xmlns:ds="http://schemas.openxmlformats.org/officeDocument/2006/customXml" ds:itemID="{11B50EFC-3F10-4850-9A1D-FD23F7759C5C}">
  <ds:schemaRefs>
    <ds:schemaRef ds:uri="http://schemas.openxmlformats.org/officeDocument/2006/bibliography"/>
  </ds:schemaRefs>
</ds:datastoreItem>
</file>

<file path=customXml/itemProps4.xml><?xml version="1.0" encoding="utf-8"?>
<ds:datastoreItem xmlns:ds="http://schemas.openxmlformats.org/officeDocument/2006/customXml" ds:itemID="{EC3C62BB-AF59-41AF-A009-F915E1E7E42B}">
  <ds:schemaRefs>
    <ds:schemaRef ds:uri="http://schemas.openxmlformats.org/wordprocessingml/2006/main"/>
  </ds:schemaRefs>
</ds:datastoreItem>
</file>

<file path=customXml/itemProps5.xml><?xml version="1.0" encoding="utf-8"?>
<ds:datastoreItem xmlns:ds="http://schemas.openxmlformats.org/officeDocument/2006/customXml" ds:itemID="{7A1697E2-2FAF-4E14-B175-AAF32AAB0FAB}">
  <ds:schemaRefs>
    <ds:schemaRef ds:uri="http://schemas.openxmlformats.org/wordprocessingml/2006/main"/>
  </ds:schemaRefs>
</ds:datastoreItem>
</file>

<file path=customXml/itemProps6.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19811</Words>
  <Characters>112928</Characters>
  <Application>Microsoft Office Word</Application>
  <DocSecurity>0</DocSecurity>
  <Lines>941</Lines>
  <Paragraphs>264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CIT</Company>
  <LinksUpToDate>false</LinksUpToDate>
  <CharactersWithSpaces>132475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Aug 2012 rev</cp:keywords>
  <dc:description/>
  <cp:lastModifiedBy>Vineeta Bajaj</cp:lastModifiedBy>
  <cp:revision>14</cp:revision>
  <dcterms:created xsi:type="dcterms:W3CDTF">2021-09-23T07:52:00Z</dcterms:created>
  <dcterms:modified xsi:type="dcterms:W3CDTF">2021-09-23T23:40:00Z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y fmtid="{D5CDD505-2E9C-101B-9397-08002B2CF9AE}" pid="8" name="Mendeley Citation Style_1">
    <vt:lpwstr>http://www.zotero.org/styles/journal-of-visualized-experiments</vt:lpwstr>
  </property>
  <property fmtid="{D5CDD505-2E9C-101B-9397-08002B2CF9AE}" pid="9" name="Mendeley Document_1">
    <vt:lpwstr>True</vt:lpwstr>
  </property>
  <property fmtid="{D5CDD505-2E9C-101B-9397-08002B2CF9AE}" pid="10" name="Mendeley Recent Style Id 0_1">
    <vt:lpwstr>http://www.zotero.org/styles/american-medical-association</vt:lpwstr>
  </property>
  <property fmtid="{D5CDD505-2E9C-101B-9397-08002B2CF9AE}" pid="11" name="Mendeley Recent Style Id 1_1">
    <vt:lpwstr>http://www.zotero.org/styles/american-political-science-association</vt:lpwstr>
  </property>
  <property fmtid="{D5CDD505-2E9C-101B-9397-08002B2CF9AE}" pid="12" name="Mendeley Recent Style Id 2_1">
    <vt:lpwstr>http://www.zotero.org/styles/american-sociological-association</vt:lpwstr>
  </property>
  <property fmtid="{D5CDD505-2E9C-101B-9397-08002B2CF9AE}" pid="13" name="Mendeley Recent Style Id 3_1">
    <vt:lpwstr>http://www.zotero.org/styles/chicago-author-date</vt:lpwstr>
  </property>
  <property fmtid="{D5CDD505-2E9C-101B-9397-08002B2CF9AE}" pid="14" name="Mendeley Recent Style Id 4_1">
    <vt:lpwstr>http://www.zotero.org/styles/harvard-cite-them-right</vt:lpwstr>
  </property>
  <property fmtid="{D5CDD505-2E9C-101B-9397-08002B2CF9AE}" pid="15" name="Mendeley Recent Style Id 5_1">
    <vt:lpwstr>http://www.zotero.org/styles/ieee</vt:lpwstr>
  </property>
  <property fmtid="{D5CDD505-2E9C-101B-9397-08002B2CF9AE}" pid="16" name="Mendeley Recent Style Id 6_1">
    <vt:lpwstr>http://www.zotero.org/styles/journal-of-visualized-experiments</vt:lpwstr>
  </property>
  <property fmtid="{D5CDD505-2E9C-101B-9397-08002B2CF9AE}" pid="17" name="Mendeley Recent Style Id 7_1">
    <vt:lpwstr>http://www.zotero.org/styles/modern-humanities-research-association</vt:lpwstr>
  </property>
  <property fmtid="{D5CDD505-2E9C-101B-9397-08002B2CF9AE}" pid="18" name="Mendeley Recent Style Id 8_1">
    <vt:lpwstr>http://www.zotero.org/styles/modern-language-association</vt:lpwstr>
  </property>
  <property fmtid="{D5CDD505-2E9C-101B-9397-08002B2CF9AE}" pid="19" name="Mendeley Recent Style Id 9_1">
    <vt:lpwstr>http://www.zotero.org/styles/nature</vt:lpwstr>
  </property>
  <property fmtid="{D5CDD505-2E9C-101B-9397-08002B2CF9AE}" pid="20" name="Mendeley Recent Style Name 0_1">
    <vt:lpwstr>American Medical Association</vt:lpwstr>
  </property>
  <property fmtid="{D5CDD505-2E9C-101B-9397-08002B2CF9AE}" pid="21" name="Mendeley Recent Style Name 1_1">
    <vt:lpwstr>American Political Science Association</vt:lpwstr>
  </property>
  <property fmtid="{D5CDD505-2E9C-101B-9397-08002B2CF9AE}" pid="22" name="Mendeley Recent Style Name 2_1">
    <vt:lpwstr>American Sociological Association</vt:lpwstr>
  </property>
  <property fmtid="{D5CDD505-2E9C-101B-9397-08002B2CF9AE}" pid="23" name="Mendeley Recent Style Name 3_1">
    <vt:lpwstr>Chicago Manual of Style 17th edition (author-date)</vt:lpwstr>
  </property>
  <property fmtid="{D5CDD505-2E9C-101B-9397-08002B2CF9AE}" pid="24" name="Mendeley Recent Style Name 4_1">
    <vt:lpwstr>Cite Them Right 10th edition - Harvard</vt:lpwstr>
  </property>
  <property fmtid="{D5CDD505-2E9C-101B-9397-08002B2CF9AE}" pid="25" name="Mendeley Recent Style Name 5_1">
    <vt:lpwstr>IEEE</vt:lpwstr>
  </property>
  <property fmtid="{D5CDD505-2E9C-101B-9397-08002B2CF9AE}" pid="26" name="Mendeley Recent Style Name 6_1">
    <vt:lpwstr>Journal of Visualized Experiments</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Name 8_1">
    <vt:lpwstr>Modern Language Association 8th edition</vt:lpwstr>
  </property>
  <property fmtid="{D5CDD505-2E9C-101B-9397-08002B2CF9AE}" pid="29" name="Mendeley Recent Style Name 9_1">
    <vt:lpwstr>Nature</vt:lpwstr>
  </property>
  <property fmtid="{D5CDD505-2E9C-101B-9397-08002B2CF9AE}" pid="30" name="Mendeley Unique User Id_1">
    <vt:lpwstr>884311a3-f17f-33f9-ab52-43971d61969f</vt:lpwstr>
  </property>
</Properties>
</file>