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Murine Retinal Endothelial Cells for Next-Generation Sequencing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W. Chavkin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Shelby Cain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Kenneth Walsh</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Karen K. Hirschi</w:t>
      </w:r>
      <w:r>
        <w:rPr>
          <w:rFonts w:ascii="Calibri" w:hAnsi="Calibri" w:cs="Calibri" w:eastAsia="Calibri"/>
          <w:color w:val="auto"/>
          <w:spacing w:val="0"/>
          <w:position w:val="0"/>
          <w:sz w:val="24"/>
          <w:shd w:fill="auto" w:val="clear"/>
          <w:vertAlign w:val="superscript"/>
        </w:rPr>
        <w:t xml:space="preserve">1,2,4,5</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Cell Biology, University of Virginia School of Medicine, Charlottesville VA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Robert M. Berne Cardiovascular Research Center, University of Virginia School of Medicine, Charlottesville VA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Cardiology, University of Virginia School of Medicine, Charlottesville VA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Hematovascular Biology Center, University of Virginia School of Medicine, Charlottesville VA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Yale Cardiovascular Research Center, Yale University School of Medicine, New Haven CT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W. Chavkin</w:t>
        <w:tab/>
        <w:t xml:space="preserve">(nwc6qu@virginia.edu)</w:t>
      </w: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Shelby Cain</w:t>
        <w:tab/>
        <w:tab/>
        <w:t xml:space="preserve">(src7jv@virginia.edu)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Kenneth Walsh</w:t>
        <w:tab/>
        <w:t xml:space="preserve">(kw9ar@virginia.edu)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Karen K. Hirschi</w:t>
        <w:tab/>
        <w:t xml:space="preserve">(kkh4yy@virginia.edu)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W. Chavkin</w:t>
        <w:tab/>
        <w:t xml:space="preserve">(nwc6qu@virginia.edu)</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endothelial cell, vascular development, murine retinal vascularization, next-generation sequencing, primary cell isolation, viability, purity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for the isolation of murine postnatal retinal endothelial cells optimized for cell yield, purity, and viability. These cells are suitable for Next-Generation Sequencing approaches.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improvements in next-generation sequencing have advanced researchers’ knowledge of molecular and cellular biology, with several studies revealing novel paradigms in vascular biology. Applying these methods to models of vascular development requires the optimization of cell isolation techniques from embryonic and postnatal tissues. Cell yield, viability, and purity all need to be maximal to obtain accurate and reproducible results from Next-Generation Sequencing approaches. The neonatal mouse retinal vascularization model is used by researchers to study mechanisms of vascular development. Researchers have used this model to investigate mechanisms of angiogenesis and arterial-venous fate specification during blood vessel formation and maturation. Applying next-generation sequencing techniques to study the retinal vascular development model requires optimization of a method for the isolation of retinal endothelial cells that maximizes cell yield, viability, and purity. This protocol describes a method for murine retinal tissue isolation, digestion, and purification using fluorescence-activated cell sorting (FACS). The results indicate that the FACS-purified CD31+/CD45- endothelial cell population is highly enriched for endothelial cell gene expression and exhibits no change in viability for 60 min post-FACS. Included are representative results of next-generation sequencing approaches on endothelial cells isolated using this method, including bulk RNA sequencing and single-cell RNA sequencing, demonstrating that this method for retinal endothelial cell isolation is compatible with next-generation sequencing applications. This method of retinal endothelial cell isolation will allow for advanced sequencing techniques to reveal novel mechanisms of vascular development.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high-throughput capacity of sequencing nucleic acids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next-generation sequencing approaches has greatly advanced researchers’ knowledge of molecular and cellular biology. These advanced techniques include whole transcriptome RNA sequencing, DNA sequencing of targeted regions to identify Single Nucleotide Polymorphisms (SNPs), DNA sequencing of bound transcription factors in Chromatin Immunoprecipitation (ChIP) sequencing, or open chromatin regions in Assay for Transposase-Accessible Chromatin (ATAC) sequencing, and single-cell RNA sequencing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vascular biology, these advances have allowed researchers to elucidate complicated mechanisms of development and disease, along with distinguishing gene expression patterns along a continuum of varying phenotypes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Future experiments can further define complex mechanisms by combining the next generation sequencing with evaluated models of vascular development, but the methods for sample preparation need to be compatible with the advanced sequencing techniques.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accuracy, and reproducibility of next-generation sequencing approaches depend on the method of sample preparation. When isolating a subset of cells or generating single-cell suspensions from tissues, optimal digestion and purification methods are essential for maximizing cell number, viability, and purity of the cell population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This requires a balance in the digestion method: strong digestion is necessary to release cells from the tissue and obtain enough cells for downstream approaches, but cell viability will be negatively affected if the digestion is too strong</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Additionally, purity of the cell population is necessary for robust results and accurate analysis of data, which can be accomplished through FACS. This highlights the importance of optimizing cell isolation methods to apply next-generation sequencing to established models of vascular development.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well-characterized model for investigating vascular development is the murine retinal vascular development model. Murine retinal vasculature develops postnatally in a two-dimensional superficial plexus, with initial angiogenic sprouting from the optic nerve visible at postnatal day (P)3, angiogenic front with stalk- and tip-cells and initial vessel maturation visible at P6, and maturation of the vascular plexus visible after P9</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During the remodeling of the initial vascular plexus, endothelial cells undergo specification toward arterial, capillary, and venous phenotypes in different vessels to generate a circulatory network</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Therefore, this method allows researchers to visualize angiogenic vascular plexus formation and endothelial arterial-venous specification and maturation at various time points during development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Additionally, this model provides a method for investigating the effects of transgenic manipulation on angiogenesis and vascular plexus development, which has been applied for the investigation of vascular development, arterial-venous malformations, and oxygen-induced neovascularization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order to combine next-generation sequencing approaches with the murine retinal vascular development model, an optimized protocol for the isolation of endothelial cells from retinal tissue is necessary.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an optimized method for digesting retinal tissue from mice at P6 to maximize cell yield, purity, and viability. Retinal tissue is isolated from P6 mice, digested for 20 min, immunostained for CD31 and CD45, and purified through FACS to isolate a single cell suspension of endothelial cells in about 2.5 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These endothelial cells were found to maintain high viability for 60 min post-isolation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allowing library preparations for next-generation sequencing methods. Additionally, representative results are provided for FACS gating and quality control results from two separate next-generation sequencing methods using this isolation protocol: whole transcriptome RNA sequencing and single-cell RNA sequencing. This method allows for next-generation sequencing approaches to be used in conjunction with the retinal vascularization model to elucidate novel mechanisms of vascular development.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Institutional Animal Care and Use Committees of Yale and the University of Virginia approved all animal experiments listed in this protocol.</w:t>
      </w:r>
    </w:p>
    <w:p>
      <w:pPr>
        <w:widowControl w:val="false"/>
        <w:spacing w:before="0" w:after="0" w:line="240"/>
        <w:ind w:right="0" w:left="0" w:hanging="360"/>
        <w:jc w:val="both"/>
        <w:rPr>
          <w:rFonts w:ascii="Calibri" w:hAnsi="Calibri" w:cs="Calibri" w:eastAsia="Calibri"/>
          <w:color w:val="auto"/>
          <w:spacing w:val="0"/>
          <w:position w:val="0"/>
          <w:sz w:val="24"/>
          <w:shd w:fill="auto" w:val="clear"/>
        </w:rPr>
      </w:pPr>
    </w:p>
    <w:p>
      <w:pPr>
        <w:widowControl w:val="false"/>
        <w:spacing w:before="0" w:after="0" w:line="240"/>
        <w:ind w:right="0" w:left="360" w:hanging="36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Obtain mouse eyes for retinal isolation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1x ice-cold PBS and add 500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to each well of a 48-well 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Euthanize neonatal mice at postnatal day six (P6) according to approved institutional guidelines. For this experiment, litters of approximately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neonatal mice are euthanized at postnatal day 6 (P6)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isoflurane inhalation followed by decapitation.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Remove the eyes from each of the mice. Cut away the skin and membrane over the eye by cutting perpendicular to the eyelid using dissection scissors. Then, use forceps to press down gently above and below the eye so that the eye moves out of the socket.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Carefully pinch underneath the eye with the forceps and cut the optic nerve that is keeping the eye attached. Then, place each eye in the 48-well plate in the prepared 1x ice-cold PBS until finished harvesting.</w:t>
      </w:r>
    </w:p>
    <w:p>
      <w:pPr>
        <w:widowControl w:val="false"/>
        <w:spacing w:before="0" w:after="0" w:line="240"/>
        <w:ind w:right="0" w:left="360" w:hanging="360"/>
        <w:jc w:val="both"/>
        <w:rPr>
          <w:rFonts w:ascii="Calibri" w:hAnsi="Calibri" w:cs="Calibri" w:eastAsia="Calibri"/>
          <w:color w:val="auto"/>
          <w:spacing w:val="0"/>
          <w:position w:val="0"/>
          <w:sz w:val="24"/>
          <w:shd w:fill="FFFF00" w:val="clear"/>
        </w:rPr>
      </w:pPr>
    </w:p>
    <w:p>
      <w:pPr>
        <w:widowControl w:val="fals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one well per mouse, with both eyes from a single mouse in the same well.</w:t>
      </w:r>
    </w:p>
    <w:p>
      <w:pPr>
        <w:widowControl w:val="false"/>
        <w:spacing w:before="0" w:after="0" w:line="240"/>
        <w:ind w:right="0" w:left="0" w:hanging="360"/>
        <w:jc w:val="both"/>
        <w:rPr>
          <w:rFonts w:ascii="Calibri" w:hAnsi="Calibri" w:cs="Calibri" w:eastAsia="Calibri"/>
          <w:color w:val="auto"/>
          <w:spacing w:val="0"/>
          <w:position w:val="0"/>
          <w:sz w:val="24"/>
          <w:shd w:fill="FFFF00" w:val="clear"/>
        </w:rPr>
      </w:pPr>
    </w:p>
    <w:p>
      <w:pPr>
        <w:widowControl w:val="false"/>
        <w:spacing w:before="0" w:after="0" w:line="240"/>
        <w:ind w:right="0" w:left="360" w:hanging="36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Isolate mouse retinal tissue</w:t>
      </w:r>
    </w:p>
    <w:p>
      <w:pPr>
        <w:widowControl w:val="false"/>
        <w:spacing w:before="0" w:after="0" w:line="240"/>
        <w:ind w:right="0" w:left="360" w:hanging="36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Fill a Petri dish, lined with a dissection pad on the bottom, with 500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1x ice-cold PBS to submerge the eyes and place it under a dissection microscope set to 4.0x magnification.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Suspend eyes in the dissection pad using a transfer pipette with a wide tip so as not to damage the eyes.</w:t>
      </w:r>
    </w:p>
    <w:p>
      <w:pPr>
        <w:widowControl w:val="false"/>
        <w:spacing w:before="0" w:after="0" w:line="240"/>
        <w:ind w:right="0" w:left="360" w:hanging="360"/>
        <w:jc w:val="both"/>
        <w:rPr>
          <w:rFonts w:ascii="Calibri" w:hAnsi="Calibri" w:cs="Calibri" w:eastAsia="Calibri"/>
          <w:color w:val="auto"/>
          <w:spacing w:val="0"/>
          <w:position w:val="0"/>
          <w:sz w:val="24"/>
          <w:shd w:fill="FFFF00" w:val="clear"/>
        </w:rPr>
      </w:pPr>
    </w:p>
    <w:p>
      <w:pPr>
        <w:widowControl w:val="fals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eyes are completely covered with PBS.</w:t>
      </w:r>
    </w:p>
    <w:p>
      <w:pPr>
        <w:widowControl w:val="false"/>
        <w:spacing w:before="0" w:after="0" w:line="240"/>
        <w:ind w:right="0" w:left="360" w:hanging="36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Using two fine dissection forceps, hold the optic nerve with one of the forceps for stabilization, and with the second forceps pierce a hole through the anterior chamber where the cornea and sclera connect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Tear the hole in a circle about 75% of the way around the cornea.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While still holding the optic nerve with one of the forceps, use the second forceps to gently tear the sclera off of the retinal tissue.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As above, use the second forceps to gently tear off the vitreous body of the retinal tissue.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Again, using the second forceps, gently remove hyaloid plexus vessels that did not come off when the vitreous body was removed. To do this, reach into the retina with open forceps until almost touching the retina, close the forceps to grab the hyaloid plexus vessels, and pull the forceps out from the retina. This can be repeated until all vessels are removed.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hyaloid plexus resembles a clear, web-like structure.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Fill 2 mL microcentrifuge tubes with 500 &amp;#956;L of 1x ice-cold PBS and place the retinas in the tubes. Isolate all retinas from the eyes and place them into ice-cold PBS before moving 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Use one tube per mouse, with two retinas from the same mouse sharing a tube. If retinal tissue is torn, transfer it in multiple pieces. The total time of retinal tissue dissection for a litter of mice should take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starting with euthanasia and ending with final retinal tissue isolation.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360" w:hanging="36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Digest retinal tissue into a single cell suspension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500 &amp;#956;L digestion solution for every two retinas isolated. Add FBS and Collagenase Type II to DMEM to a final concentration of 10% FBS and 1 mg/mL Collagenase Type II. Mix and warm the solution to 37 &amp;#176;C using a water bath.</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Remove excess PBS from the 2 mL microcentrifuge tubes by carefully pipetting. Leave enough PBS to completely cover the retinal tissue, about 100 &amp;#956;L in each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Add 500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the digestion solution to each tube with retinal tissue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Use a P1000 pipettor and pipette tip to pipette up and down the retinal tissue in the digestion solution five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Incubate the digestion mixture in a 37 &amp;#176;C water bath for 20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Use a P1000 pipettor and pipette tip to pipette the digestion mixture up and down every 5 min. After incubation, the retinal tissue has dissolved into a single cell suspension, so the digestion mixture should be cloudy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Count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Set a tabletop centrifuge at 4 &amp;#176;C and place the digestion mixture tubes inside. Pellet the digestion mixture by centrifugation at 375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Carefully remove the supernatant digestion solution by pipetting. Do not disturb the cell pellet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Re-suspend the pellet in 500 &amp;#956;L of ice-cold 1x PBS by gently mixing up and down with the 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Count the cells with a hemocytometer under a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counts are approximately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two retinas.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Ensure the cells are properly resuspended by gentle mixing, and then aliquot 20 &amp;#956;L of cell suspension into three tubes for control staining (tube 1: IgG control, tube 2: CD31 control, and tube 3: CD45 control), as described and used previously</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w:t>
        <w:tab/>
        <w:t xml:space="preserve">Set a tabletop centrifuge at 4 &amp;#176;C and place tubes containing cells inside. Pellet the cells by centrifugation at 375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Immunostain the cells with antibodies</w:t>
      </w:r>
    </w:p>
    <w:p>
      <w:pPr>
        <w:widowControl w:val="false"/>
        <w:spacing w:before="0" w:after="0" w:line="240"/>
        <w:ind w:right="0" w:left="360" w:hanging="36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Prepare 100 &amp;#956;L of staining buffer per two retinas stained plus four control tubes. Add FBS, HEPES, and D-Glucose to HBSS buffer to a final concentration of 10% FBS, 10 mM HEPES, and 1 mg/mL D-Glucose.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Obtain fluorescently conjugated antibodies against CD31 and CD45. Add the antibodies at a 1:100 dilution into the staining buffer (tube 1: IgG antibody only, tube 2: CD31 antibody only, and tube 3: CD45 antibody only). Add 1 &amp;#956;L of antibody per 100 &amp;#956;L of the staining buffer for a final antibody concentration of 2 &amp;#956;g/mL.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Carefully remove the PBS from the washed cell pellet by pipetting.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Resuspend the pellet in 100 &amp;#956;L of antibody staining solution per 0.5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w:t>
        <w:tab/>
        <w:t xml:space="preserve">Incubate the single-cell suspension with the antibody staining solution for 30 min on ice in dark. Tap the tubes every 10 min to gently mix the cells.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360" w:hanging="36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Prepare for fluorescence-activated cell sorting</w:t>
      </w:r>
    </w:p>
    <w:p>
      <w:pPr>
        <w:widowControl w:val="false"/>
        <w:spacing w:before="0" w:after="0" w:line="240"/>
        <w:ind w:right="0" w:left="360" w:hanging="36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Set a tabletop centrifuge at 4 &amp;#176;C and place the tubes containing cells inside. Pellet cells by centrifugation at 375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Remove the supernatant and resuspend these cells in 500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1x PBS to wash.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Set a tabletop centrifuge at 4 &amp;#176;C and place the tubes containing cells inside. Pellet cells by centrifugation at 375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Prepare 1.5 mL of FACS Buffer (1% FBS in 1x PBS).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w:t>
        <w:tab/>
        <w:t xml:space="preserve">Remove the supernatant and resuspend the cell pellet in 300 &amp;#956;L of FACS Buffer by gently mixing with a pipettor.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Add propidium iodide (PI) to the sample tubes containing the FACS buffer to a final concentration of 0.5 &amp;#956;g/mL. PI is used as a viability marker.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Transfer and combine the cell suspensions into 5 mL test tubes through a cell strainer snap cap. The cell strainer snap cap should contain a 35 &amp;#956;m filter, and the cell suspensions can be pipetted directly onto the filter.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6.5.1.</w:t>
        <w:tab/>
        <w:t xml:space="preserve">Keep the FACS tubes on ice in the dark and transfer them to the cell sorter.</w:t>
      </w:r>
    </w:p>
    <w:p>
      <w:pPr>
        <w:widowControl w:val="false"/>
        <w:spacing w:before="0" w:after="0" w:line="240"/>
        <w:ind w:right="0" w:left="0" w:hanging="360"/>
        <w:jc w:val="both"/>
        <w:rPr>
          <w:rFonts w:ascii="Calibri" w:hAnsi="Calibri" w:cs="Calibri" w:eastAsia="Calibri"/>
          <w:color w:val="auto"/>
          <w:spacing w:val="0"/>
          <w:position w:val="0"/>
          <w:sz w:val="24"/>
          <w:shd w:fill="auto" w:val="clear"/>
        </w:rPr>
      </w:pPr>
    </w:p>
    <w:p>
      <w:pPr>
        <w:widowControl w:val="false"/>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Set up the FACS instrument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Install a 100 &amp;#181;m nozzle into a FACS instrument.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size nozzle minimizes collection volume and maximizes isolated cell density.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Prepare 250 &amp;#956;L of 1x PBS into a 1.5 mL microcentrifuge tube as a collection tube to be installed into the FACS instrument.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Isolate viable endothelial cells </w:t>
      </w:r>
      <w:r>
        <w:rPr>
          <w:rFonts w:ascii="Calibri" w:hAnsi="Calibri" w:cs="Calibri" w:eastAsia="Calibri"/>
          <w:b/>
          <w:i/>
          <w:color w:val="auto"/>
          <w:spacing w:val="0"/>
          <w:position w:val="0"/>
          <w:sz w:val="24"/>
          <w:shd w:fill="FFFF00" w:val="clear"/>
        </w:rPr>
        <w:t xml:space="preserve">via</w:t>
      </w:r>
      <w:r>
        <w:rPr>
          <w:rFonts w:ascii="Calibri" w:hAnsi="Calibri" w:cs="Calibri" w:eastAsia="Calibri"/>
          <w:b/>
          <w:color w:val="auto"/>
          <w:spacing w:val="0"/>
          <w:position w:val="0"/>
          <w:sz w:val="24"/>
          <w:shd w:fill="FFFF00" w:val="clear"/>
        </w:rPr>
        <w:t xml:space="preserve"> FACS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Turn on the FACS instrument and the computer. Click on the FACS software icon to open the FACS software on the computer to run and operate the FACS instrument. Perform routine quality control tests.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Load the control-stained samples into the FACS instrument to adjust the axes. Start with IgG antibody only cells to generate and adjust FSC and SSC, then CD31-antibody only to generate and adjust CD31, and then CD45-antibody only to generate and adjust CD45. Record data from control samples.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Load stained sample cells into the FACS instrument and run the sample.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Gate the cells based on forward-scatter and side-scatter (FSC-A and SSC-A, respectively) parameters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hanging="36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FSC-A and SSC-A parameters are used to select cells based on size, density, granularity, surface properties, and refractive index.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Gate cells by FSC-A and FSC-H to identify cell doublets and only collect single cells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hanging="36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FSC-A and FSC-H parameters are used to select single cells based on the principle that during forward scattering, cell doublets will be droplets containing a greater area-to-height ratio.</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Gate cells by PI and SSC-A to identify viable cells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hanging="36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Viable cells will be PI-negative.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w:t>
        <w:tab/>
        <w:t xml:space="preserve">Make a CD31+/CD45- gate with controls and gate cells by CD31 and CD45 (</w:t>
      </w:r>
      <w:r>
        <w:rPr>
          <w:rFonts w:ascii="Calibri" w:hAnsi="Calibri" w:cs="Calibri" w:eastAsia="Calibri"/>
          <w:b/>
          <w:color w:val="auto"/>
          <w:spacing w:val="0"/>
          <w:position w:val="0"/>
          <w:sz w:val="24"/>
          <w:shd w:fill="FFFF00" w:val="clear"/>
        </w:rPr>
        <w:t xml:space="preserve">Figure 2A,B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8.7.1.</w:t>
        <w:tab/>
        <w:t xml:space="preserve">Insert a collection tube with 250 &amp;#956;L of FACS buffer.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8.7.2.</w:t>
        <w:tab/>
        <w:t xml:space="preserve">Start sorting cells that are CD31-positive/CD45-negative into the installed collection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8.7.3.</w:t>
        <w:tab/>
        <w:t xml:space="preserve">Keep the collection tubes on ice for further analysis. Samples can be processed for next-generation sequencing applications at this step</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hanging="360"/>
        <w:jc w:val="both"/>
        <w:rPr>
          <w:rFonts w:ascii="Calibri" w:hAnsi="Calibri" w:cs="Calibri" w:eastAsia="Calibri"/>
          <w:color w:val="auto"/>
          <w:spacing w:val="0"/>
          <w:position w:val="0"/>
          <w:sz w:val="24"/>
          <w:shd w:fill="auto" w:val="clear"/>
        </w:rPr>
      </w:pPr>
    </w:p>
    <w:p>
      <w:pPr>
        <w:widowControl w:val="false"/>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Perform viability 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Mix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cells with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0.4% trypan blue solution to assess cell viability.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Count viable cells by pipetting the stained mixture onto a hemocytometer slide. Place the slide under a microscope for accurate viability counts. Count blue cells as non-viable and count clear cells as viable.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w:t>
        <w:tab/>
        <w:t xml:space="preserve">Divide the viable cell count by the total cell count to calculate percent viability.</w:t>
      </w:r>
    </w:p>
    <w:p>
      <w:pPr>
        <w:widowControl w:val="false"/>
        <w:spacing w:before="0" w:after="0" w:line="240"/>
        <w:ind w:right="0" w:left="0" w:hanging="36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Perform gene expression 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Obtain 10,000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20,000 cells per sample and perform RNA isolation to analyze murine retinal endothelial cell gene expression. RNA isolation is performed using a commercially available kit that uses ethanol-based RNA precipitation, and then centrifugation and membrane columns to wash and elute purified RNA from cell lysate. Samples can be processed for some next-generation sequencing applications at this step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Convert the RNA to cDNA using reverse transcriptase enzyme and supporting reagents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Quantify using a DNA binding dye and a quantitative PCR (qPCR) machine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Load cDNA samples in a 384-well qPCR plate with primers to amplify genes of interest. Reaction volume should total to 10</w:t>
      </w:r>
      <w:r>
        <w:rPr>
          <w:rFonts w:ascii="Calibri" w:hAnsi="Calibri" w:cs="Calibri" w:eastAsia="Calibri"/>
          <w:color w:val="auto"/>
          <w:spacing w:val="0"/>
          <w:position w:val="0"/>
          <w:sz w:val="24"/>
          <w:shd w:fill="FFFFFF" w:val="clear"/>
        </w:rPr>
        <w:t xml:space="preserve"> &amp;#181;L, including DNA binding dye, which will be used to quantify gene amplification.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10.3.1.</w:t>
        <w:tab/>
        <w:t xml:space="preserve">Use CD31, VE-Cadherin, CD45, and &amp;#946;-actin forward and reverse primers to measure gene expression.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Use the sample for next-generation sequencing applications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Digestion of retinal tissue and immunostaining for CD31 and CD45 results in an identifiable population of CD31+/CD45- endothelial cells after gating for cells, single cells, and viability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CD45 immunostaining is required to eliminate CD31+/CD45+ cells, which include platelets and some leukocytes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Controls should be performed for each experiment to show antibody specificity and guide gating strategy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This percentage is relatively low, around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of all cells in the digested single-cell suspension.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Viability and purity can be assessed through quantification of propidium iodide staining and gene expression analysis of RNA isolated from different populations. Varying digestion time affects cell yield and viability percentage, with 20 min digestion time resulting in optimal yield with a low percentage of non-viable endothelial cells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Isolated endothelial cells stayed viable for 60 min after isolation, as measured by subsequent propidium iodide staining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Cell population purity was assessed by qPCR analysis of the expression of endothelial cell genes (CD31 and VE-Cadherin) compared to leukocyte-specific CD45 normalized to &amp;#946;-actin (ActB), showing strong enrichment for endothelial cell genes in the CD31+/CD45- population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Isolated endothelial cells from this protocol can be used in next-generation sequencing techniques. Purifying RNA from the isolated endothelial cells, converting and amplifying cDNA through library preparation, and sequencing the cDNA library resulted in &amp;gt;16,000 genes identified in nine independent samples, with a drop-off in transcripts per million reads (TPM) observed in genes below this threshold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Single-cell RNA sequencing of isolated retinal endothelial cells through the 10x Genomics pipeline resulted in a median of 1,171 genes per cell, 15,247 total genes detected, and a median of 2,255 unique molecular identifier (UMI) counts per cell in 917 cells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isolation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the isolation timeline with an estimated time for each step: Isolation of Retinal Tissue, Digest, Antibody Staining, FACS, and Cell Viability Window.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Step-by-step guide for isolation of retinal tissue from the eye, with numbered dissection steps: 1) pierce cornea, 2) tear cornea, 3) tear sclera, 4) remove sclera from the retina, 5) further remove sclera and connecting tissue from the retina, 6) remove the vitreous body and vitreous vessels from the retina.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of retinal tissue during various digestion steps: Pre-digest, Post-digest, Pellet (black arrows highlight retinal tissue or cell pellet). Republished with permission from Chavkin et al. published in S. Karger AG, Basel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Fluorescent activated cell sorting gating strategy.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 sorting for CD31+/CD45- endothelial cells by FSC-A/SSC-A for cells, FSC-A/FSC-H for single cells, Propidium Iodide (PI) negativity for viability, and CD31+/CD45- for endothelial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Control staining for PI, IgG control, CD31+ control, and CD45+ control to show antibody specificity and gating strategy for each fluorescent readout. Republished with permission from Chavkin et al. published in S. Karger AG, Basel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Isolation viability and purity of isolated endothelial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Number of viable and non-viable endothelial cells isolated after various digestion times normalized to the number of mice used in each isolation.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Percentage of non-viable endothelial cells after isolation by FACS sorting over time.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qPCR for endothelial-specific genes (CD31, VE-Cadherin) and leukocyte-specific CD45 in CD31-/CD45- (Negative), CD31+/CD45- (Endothelial Cell), and CD31-/CD45+ (Leukocyte) populations (A.U. = Arbitrary Units). All data represented by mean with error bars of standard deviation, statistical tests by ANOVA post-hoc Tukey, p-values denoted (*p &amp;lt; 0.05, **p &amp;lt; 0.01, ***p &amp;lt; 0.001, ****p &amp;lt; 0.0001). Republished with permission from Chavkin et al. published in S. Karger AG, Basel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Quality control of next-generation sequencing reads for RNA sequencing and single-cell RNA sequencing after isolation.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Transcripts per million reads (TPM) plotted versus genes ranked by abundance for nine independent RNA sequencing samples after library preparation and Illumina sequencing, with the average number of sequences per gene listed to the right of each sample.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CellRanger report for single-cell RNA sequencing of P6 retinal endothelial cells after isolation and preparation using the 10x Genomics pipeline. This analysis shows Unique Molecular Identifier (UMI) Counts that represent raw sequence outputs for every Barcode that represents an individual sequenced cell. Key quality control measurements appear in the lower part of the figure.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for the isolation of endothelial cells from postnatal murine retinal tissue that has been optimized for high cell number, purity, and viability. Cell purity is obtained by FACS isolation of endothelial cell populations from the digested single-cell suspension by CD31+/CD45- immunostaining. Quality of isolation is quantified in assays for viability by Trypan blue staining and gene expression by qPCR for CD31, CD45, and VE-Cadherin (although VE-Cadherin was not used for immunostaining). The critical steps in this protocol are retinal tissue isolation and tissue digestion. Retinal tissue isolation should be performed quickly to maintain cell viability and accurately to increase cell purity. Tissue digestion should be performed, as described, to optimize cell yield and cell viability.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Modifications to this protocol can be made when applying this method to different time points, mice with transgenic modifications, or different downstream applications. This could be especially important when investigating adult retinal tissue, as the tissue may be more mature than the P6 retinal tissue and may require more digestion time to isolate pure and viable endothelial cells. Isolation of retinal tissue and digestion time must be optimized when modifying the protocol. Low cell yield may require fresh digestion enzymes, longer digestion time, or new antibodies for FACS. Low purity may require new antibodies for FACS. Low viability may require faster retinal tissue isolation, a shorter digestion time, or a faster cell sorting rate. The following troubleshooting steps may help in improving cell yield, purity, and viability. A high percentage of doublets or non-viable cells may result from poor digestion. A non-identifiable population of CD31+/CD45- endothelial cells may result from poor antibody staining. Poor viability during sorting or after isolation may result from digestion that is too harsh, but poor cell purity may result from weak digestion or poor antibody staining. Poor RNA quality will yield fewer unique genes in an RNA sequencing dataset, and poor viability will yield fewer cells and genes in a single cell RNA sequencing dataset.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limitations to this method. First, this method results in a low yield of retinal endothelial cells, which can limit the downstream next-generation sequencing applications. The representative results obtained through single-cell RNA sequencing yielded 917 endothelial cells. A similar number of cells have been isolated and used in other single-cell RNA sequencing studies to investigate retinal endothelial cell development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higher yields could reveal further distinction of cell clusters. Animals and litters can be pooled to increase cell yield to reach the sample input required for various applications. Additionally, the viability of endothelial cells after isolation may limit other downstream applications. It is difficult to extend the window of viability, and non-viable cells will disrupt certain applications that require intact cell membranes. Adjustments of other methods in downstream applications may be required in order to use this method.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for retinal endothelial cell isolation is an improvement over previously published applications that use CD31 antibody-conjugated magnetic beads to purify endothelial cells in that this protocol is optimized for parameters necessary to obtain a pure and viable cell population that will improve the success of next-generation sequencing applications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High degrees of viability and purity are essential for both whole transcriptome RNA sequencing and single-cell RNA sequencing. Therefore, this method is a significant improvement when applying next-generation sequencing methods to the retinal vascularization model.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this retinal endothelial cell isolation protocol, in combination with next-generation sequencing applications and associated computational analysis, has the potential to reveal complex underlying mechanisms of vascular development. Studying postnatal retinal vascularization in transgenic mice has enabled the investigation of many signaling pathways that affect angiogenesis and blood vessel maturation (Hedgehog, VEGF, Wnt, Notch, TGF-&amp;#946;, BMP)</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These studies have revealed that signaling pathways are highly interconnected in endothelial cells to control cell fate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use of this optimized method for retinal endothelial cell isolation from developing postnatal retinal tissue, in combination with next-generation sequencing methods and biocomputational approaches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can further elucidate the mechanisms of interconnected signaling pathways that regulate vascular development.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relevant disclosures.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 you to the Yale Flow Cytometry Facility, the University of Virginia Flow Cytometry Core Facility, the Yale Center for Genomic Analysis, and the University of Virginia Genome Analysis and Technology Core for their effort, expertise, and advice in contributing to the presented experiments. This study was funded by NIH grants to N.W.C. (T32 HL007224, T32 HL007284), S.C. (T32 HL007284), K.W. (R01 HL142650), and K.K.H. (R01 HL146056, R01 DK118728, UH3 EB025765).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Slatko, B. E., Gardner, A. F., Ausubel, F. M. Overview of next-generation sequencing technologies. </w:t>
      </w:r>
      <w:r>
        <w:rPr>
          <w:rFonts w:ascii="Calibri" w:hAnsi="Calibri" w:cs="Calibri" w:eastAsia="Calibri"/>
          <w:i/>
          <w:color w:val="auto"/>
          <w:spacing w:val="0"/>
          <w:position w:val="0"/>
          <w:sz w:val="24"/>
          <w:shd w:fill="auto" w:val="clear"/>
        </w:rPr>
        <w:t xml:space="preserve">Current Protocols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 e59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Chavkin, N. W., Hirschi, K. K. Single cell analysis in vascular biology. </w:t>
      </w:r>
      <w:r>
        <w:rPr>
          <w:rFonts w:ascii="Calibri" w:hAnsi="Calibri" w:cs="Calibri" w:eastAsia="Calibri"/>
          <w:i/>
          <w:color w:val="auto"/>
          <w:spacing w:val="0"/>
          <w:position w:val="0"/>
          <w:sz w:val="24"/>
          <w:shd w:fill="auto" w:val="clear"/>
        </w:rPr>
        <w:t xml:space="preserve">Frontiers in Cardiovascular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42 (2020).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 F., Hernandez, G. E., Romay, M., Iruela-Arispe, M. L. Single-cell RNA sequencing to study vascular diversity and function. </w:t>
      </w:r>
      <w:r>
        <w:rPr>
          <w:rFonts w:ascii="Calibri" w:hAnsi="Calibri" w:cs="Calibri" w:eastAsia="Calibri"/>
          <w:i/>
          <w:color w:val="auto"/>
          <w:spacing w:val="0"/>
          <w:position w:val="0"/>
          <w:sz w:val="24"/>
          <w:shd w:fill="auto" w:val="clear"/>
        </w:rPr>
        <w:t xml:space="preserve">Current Opinion in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 (2021).</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Potter, A. S., Steven Potter, S. Dissociation of tissues for single-cell analysis.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1926</w:t>
      </w:r>
      <w:r>
        <w:rPr>
          <w:rFonts w:ascii="Calibri" w:hAnsi="Calibri" w:cs="Calibri" w:eastAsia="Calibri"/>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(2019).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Braga, F. A. V., Miragaia, R. J. Tissue handling and dissociation for single-cell RNA-seq. </w:t>
      </w:r>
      <w:r>
        <w:rPr>
          <w:rFonts w:ascii="Calibri" w:hAnsi="Calibri" w:cs="Calibri" w:eastAsia="Calibri"/>
          <w:i/>
          <w:color w:val="auto"/>
          <w:spacing w:val="0"/>
          <w:position w:val="0"/>
          <w:sz w:val="24"/>
          <w:shd w:fill="auto" w:val="clear"/>
        </w:rPr>
        <w:t xml:space="preserve">Single Cell Methods: 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21</w:t>
      </w:r>
      <w:r>
        <w:rPr>
          <w:rFonts w:ascii="Calibri" w:hAnsi="Calibri" w:cs="Calibri" w:eastAsia="Calibri"/>
          <w:color w:val="auto"/>
          <w:spacing w:val="0"/>
          <w:position w:val="0"/>
          <w:sz w:val="24"/>
          <w:shd w:fill="auto" w:val="clear"/>
        </w:rPr>
        <w:t xml:space="preserve"> (2019).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Brink, S. C. v.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Single-cell sequencing reveals dissociatin-induced gene expression in tissue subpopulations.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935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936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Skulska, K., Wegrzyn, A. S., Chelmonska-Soyta, A., Chodaczek, G. Impact of tissue enzymatic digestion on analysis of immune cells in mouse reproductive mucosa with a focus on gammadelta T cells.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474</w:t>
      </w:r>
      <w:r>
        <w:rPr>
          <w:rFonts w:ascii="Calibri" w:hAnsi="Calibri" w:cs="Calibri" w:eastAsia="Calibri"/>
          <w:color w:val="auto"/>
          <w:spacing w:val="0"/>
          <w:position w:val="0"/>
          <w:sz w:val="24"/>
          <w:shd w:fill="auto" w:val="clear"/>
        </w:rPr>
        <w:t xml:space="preserve">, 112665 (2019).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Connolly, S., Hores, T., Smith, L., D'Amore, P. Characterization of vascular development in the mouse retina. </w:t>
      </w:r>
      <w:r>
        <w:rPr>
          <w:rFonts w:ascii="Calibri" w:hAnsi="Calibri" w:cs="Calibri" w:eastAsia="Calibri"/>
          <w:i/>
          <w:color w:val="auto"/>
          <w:spacing w:val="0"/>
          <w:position w:val="0"/>
          <w:sz w:val="24"/>
          <w:shd w:fill="auto" w:val="clear"/>
        </w:rPr>
        <w:t xml:space="preserve">Microvascular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w:t>
      </w:r>
      <w:r>
        <w:rPr>
          <w:rFonts w:ascii="Calibri" w:hAnsi="Calibri" w:cs="Calibri" w:eastAsia="Calibri"/>
          <w:color w:val="212121"/>
          <w:spacing w:val="0"/>
          <w:position w:val="0"/>
          <w:sz w:val="24"/>
          <w:shd w:fill="FFFFFF" w:val="clear"/>
        </w:rPr>
        <w:t xml:space="preserve">275</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290</w:t>
      </w:r>
      <w:r>
        <w:rPr>
          <w:rFonts w:ascii="Calibri" w:hAnsi="Calibri" w:cs="Calibri" w:eastAsia="Calibri"/>
          <w:color w:val="auto"/>
          <w:spacing w:val="0"/>
          <w:position w:val="0"/>
          <w:sz w:val="24"/>
          <w:shd w:fill="auto" w:val="clear"/>
        </w:rPr>
        <w:t xml:space="preserve"> (1988).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Crist, A., Young, C., Meadows, S. Characterization of arteriovenous identity in the developing neonate mouse retina. </w:t>
      </w:r>
      <w:r>
        <w:rPr>
          <w:rFonts w:ascii="Calibri" w:hAnsi="Calibri" w:cs="Calibri" w:eastAsia="Calibri"/>
          <w:i/>
          <w:color w:val="auto"/>
          <w:spacing w:val="0"/>
          <w:position w:val="0"/>
          <w:sz w:val="24"/>
          <w:shd w:fill="auto" w:val="clear"/>
        </w:rPr>
        <w:t xml:space="preserve">Gene Expression Patterns: GEP.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22-31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dela Paz, N. G., D'Amore, P. A. Arterial versus venous endothelial cells.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335</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(2009).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Fang, J. S., Hirschi, K. K. Molecular regulation of arteriovenous endothelial cell specification. </w:t>
      </w:r>
      <w:r>
        <w:rPr>
          <w:rFonts w:ascii="Calibri" w:hAnsi="Calibri" w:cs="Calibri" w:eastAsia="Calibri"/>
          <w:i/>
          <w:color w:val="auto"/>
          <w:spacing w:val="0"/>
          <w:position w:val="0"/>
          <w:sz w:val="24"/>
          <w:shd w:fill="auto" w:val="clear"/>
        </w:rPr>
        <w:t xml:space="preserve">F1000Res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Smith, L.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Oxygen-induced retinopathy in the mouse.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(1994).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Pitulescu, M. E., Schmidt, I., Benedito, R., Adams, R. H. Inducible gene targeting in the neonatal vasculature and analysis of retinal angiogenesis in mice.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1518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1534 (2010).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Ruiz,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t>
      </w:r>
      <w:r>
        <w:rPr>
          <w:rFonts w:ascii="Calibri" w:hAnsi="Calibri" w:cs="Calibri" w:eastAsia="Calibri"/>
          <w:color w:val="auto"/>
          <w:spacing w:val="0"/>
          <w:position w:val="0"/>
          <w:sz w:val="24"/>
          <w:shd w:fill="FFFFFF" w:val="clear"/>
        </w:rPr>
        <w:t xml:space="preserve">A mouse model of hereditary hemorrhagic telangiectasia generated by transmammary-delivered immunoblocking of BMP9 and BMP10.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222222"/>
          <w:spacing w:val="0"/>
          <w:position w:val="0"/>
          <w:sz w:val="24"/>
          <w:shd w:fill="FFFFFF" w:val="clear"/>
        </w:rPr>
        <w:t xml:space="preserve">6</w:t>
      </w:r>
      <w:r>
        <w:rPr>
          <w:rFonts w:ascii="Calibri" w:hAnsi="Calibri" w:cs="Calibri" w:eastAsia="Calibri"/>
          <w:color w:val="222222"/>
          <w:spacing w:val="0"/>
          <w:position w:val="0"/>
          <w:sz w:val="24"/>
          <w:shd w:fill="FFFFFF" w:val="clear"/>
        </w:rPr>
        <w:t xml:space="preserve">, 37366</w:t>
      </w:r>
      <w:r>
        <w:rPr>
          <w:rFonts w:ascii="Calibri" w:hAnsi="Calibri" w:cs="Calibri" w:eastAsia="Calibri"/>
          <w:color w:val="auto"/>
          <w:spacing w:val="0"/>
          <w:position w:val="0"/>
          <w:sz w:val="24"/>
          <w:shd w:fill="auto" w:val="clear"/>
        </w:rPr>
        <w:t xml:space="preserve"> (2016).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Fang, J.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Shear-induced Notch-Cx37-p27 axis arrests endothelial cell cycle to enable arterial specification.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2149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Ola,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SMAD4 prevents flow induced arterial-venous malformations by inhibiting Casein Kinase 2.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(21), 2379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2394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Chavkin, N. W., Walsh, K., Hirschi, K. K. Isolation of highly purified and viable retinal endothelial cells. </w:t>
      </w:r>
      <w:r>
        <w:rPr>
          <w:rFonts w:ascii="Calibri" w:hAnsi="Calibri" w:cs="Calibri" w:eastAsia="Calibri"/>
          <w:i/>
          <w:color w:val="auto"/>
          <w:spacing w:val="0"/>
          <w:position w:val="0"/>
          <w:sz w:val="24"/>
          <w:shd w:fill="auto" w:val="clear"/>
        </w:rPr>
        <w:t xml:space="preserve">Journal of 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(2020).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Hulspas, R., O'Gorman M. R. G., Wood, B. L., Gratama, J. W., Sutherland, D. R. Considerations for the control of background fluorescence in clinical flow cytometry. </w:t>
      </w:r>
      <w:r>
        <w:rPr>
          <w:rFonts w:ascii="Calibri" w:hAnsi="Calibri" w:cs="Calibri" w:eastAsia="Calibri"/>
          <w:i/>
          <w:color w:val="auto"/>
          <w:spacing w:val="0"/>
          <w:position w:val="0"/>
          <w:sz w:val="24"/>
          <w:shd w:fill="auto" w:val="clear"/>
        </w:rPr>
        <w:t xml:space="preserve">Cytometry PartB: Clinical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(6),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364 (2009).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Bachman, J. Reverse-transcription PCR (RT-PCR).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530,</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(2013).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Green, M. R., Sambrook, J. Quantification of RNA by real-time Reverse Transcription-Polymerase Chain Reaction (RT-PCR). </w:t>
      </w:r>
      <w:r>
        <w:rPr>
          <w:rFonts w:ascii="Calibri" w:hAnsi="Calibri" w:cs="Calibri" w:eastAsia="Calibri"/>
          <w:i/>
          <w:color w:val="auto"/>
          <w:spacing w:val="0"/>
          <w:position w:val="0"/>
          <w:sz w:val="24"/>
          <w:shd w:fill="auto" w:val="clear"/>
        </w:rPr>
        <w:t xml:space="preserve">Cold Spring Harbour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(10)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Liu, L., Shi, G. P. CD31: beyond a marker for endothelial cells.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Zarkada,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Specialized endothelial tip cells guide neuroretina vascularization and blood-retina-barrier formation.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(15), 2237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2251 (2021).</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Su, X., Sorenson, C. M., Sheibani, N. Isolation and characterization of murine retinal endothelial cells. </w:t>
      </w:r>
      <w:r>
        <w:rPr>
          <w:rFonts w:ascii="Calibri" w:hAnsi="Calibri" w:cs="Calibri" w:eastAsia="Calibri"/>
          <w:i/>
          <w:color w:val="auto"/>
          <w:spacing w:val="0"/>
          <w:position w:val="0"/>
          <w:sz w:val="24"/>
          <w:shd w:fill="auto" w:val="clear"/>
        </w:rPr>
        <w:t xml:space="preserve">Molecular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(2003).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Benedito,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notch ligands Dll4 and Jagged1 have opposing effects on angiogenesis.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(6), 1124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1135 (2009).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Daneman, R. et al. Wnt/beta-catenin signaling is required for CNS, but not non-CNS, angiogenesis.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 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646 (2009).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Okabe,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Neurons limit angiogenesis by titrating VEGF in retina.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(3), 584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596 (2014).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Crist, A. M., Lee, A. R., Patel, N. R., Westhoff, D. E., Meadows, S. M. Vascular deficiency of Smad4 causes arteriovenous malformations: a mouse model of Hereditary Hemorrhagic Telangiectasia. </w:t>
      </w:r>
      <w:r>
        <w:rPr>
          <w:rFonts w:ascii="Calibri" w:hAnsi="Calibri" w:cs="Calibri" w:eastAsia="Calibri"/>
          <w:i/>
          <w:color w:val="auto"/>
          <w:spacing w:val="0"/>
          <w:position w:val="0"/>
          <w:sz w:val="24"/>
          <w:shd w:fill="auto" w:val="clear"/>
        </w:rPr>
        <w:t xml:space="preserve">Angiogenesis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Kim, Y. H., Choe, S. W., Chae, M. Y., Hong, S., Oh, S. P. SMAD4 deficiency leads to development of arteriovenous malformations in neonatal and adult mice.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(21), e009514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Absence of TGFbeta signaling in retinal microglia induces retinal degeneration and exacerbates choroidal neovascularization.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e42049</w:t>
      </w:r>
      <w:r>
        <w:rPr>
          <w:rFonts w:ascii="Calibri" w:hAnsi="Calibri" w:cs="Calibri" w:eastAsia="Calibri"/>
          <w:color w:val="auto"/>
          <w:spacing w:val="0"/>
          <w:position w:val="0"/>
          <w:sz w:val="24"/>
          <w:shd w:fill="auto" w:val="clear"/>
        </w:rPr>
        <w:t xml:space="preserve"> (2019).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Luo,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Arterialization requires the timely suppression of cell growth.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589</w:t>
      </w:r>
      <w:r>
        <w:rPr>
          <w:rFonts w:ascii="Calibri" w:hAnsi="Calibri" w:cs="Calibri" w:eastAsia="Calibri"/>
          <w:color w:val="auto"/>
          <w:spacing w:val="0"/>
          <w:position w:val="0"/>
          <w:sz w:val="24"/>
          <w:shd w:fill="auto" w:val="clear"/>
        </w:rPr>
        <w:t xml:space="preserve"> (7842), 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 (2021).</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Lawson, N. D., Vogel, A. M., Weinstein, B. M. sonic hedgehog and vascular endothelial growth factor act upstream of the Notch pathway during arterial endothelial differentiation.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(2002).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Larrivee,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ALK1 signaling inhibits angiogenesis by cooperating with the Notch pathway.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Wythe, J.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ETS factors regulate Vegf-dependent arterial specification.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Davis, D. M., Purvis, J. E. Computational analysis of signaling patterns in single cells. </w:t>
      </w:r>
      <w:r>
        <w:rPr>
          <w:rFonts w:ascii="Calibri" w:hAnsi="Calibri" w:cs="Calibri" w:eastAsia="Calibri"/>
          <w:i/>
          <w:color w:val="auto"/>
          <w:spacing w:val="0"/>
          <w:position w:val="0"/>
          <w:sz w:val="24"/>
          <w:shd w:fill="auto" w:val="clear"/>
        </w:rPr>
        <w:t xml:space="preserve">Seminars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(2015).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Gaudet, S., Miller-Jensen, K. Redefining signaling pathways with an expanding single-cell toolbox.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469 (2016).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Aibar,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SCENIC: single-cell regulatory network inference and clustering.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1083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1086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Trapnell,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dynamics and regulators of cell fate decisions are revealed by pseudotemporal ordering of single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386 (2014).</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