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888"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and Operation of a Continuous Flow, Micro-Electroporation System with Permeabilization Detection.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Joseph J. Sherba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Maria Atzampou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Hao Lin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Jerry W. Shan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David I. Shreiber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Jeffrey D. Zahn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Department of Biomedical Engineering, Rutgers, The State University of New Jersey, Piscataway, NJ,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Department of Mechanical and Aerospace Engineering, Rutgers, The State University of New Jersey, Piscataway, NJ,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J. Sherba </w:t>
        <w:tab/>
        <w:t xml:space="preserve">(jjs5476@gmail.com)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Atzampou </w:t>
        <w:tab/>
        <w:t xml:space="preserve">(m.atzampou@rutgers.edu)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Hao Lin</w:t>
        <w:tab/>
        <w:tab/>
        <w:t xml:space="preserve">(hlin@soe.rutgers.edu)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Jerry W. Shan</w:t>
        <w:tab/>
        <w:tab/>
        <w:t xml:space="preserve">(jshan@soe.rutgers.edu)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I. Shreiber</w:t>
        <w:tab/>
        <w:t xml:space="preserve">(shreiber@soe.rutgers.edu)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Jeffrey D. Zahn </w:t>
        <w:tab/>
        <w:t xml:space="preserve">(jdzahn@soe.rutgers.edu)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Jeffrey D. Zahn </w:t>
        <w:tab/>
        <w:t xml:space="preserve">(jdzahn@soe.rutgers.edu)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electroporation, microfluidics, lab-on-a-chip, biosensor, transfection, electro-transfection, intracellular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microfabrication techniques required to build a lab-on-a-chip, microfluidic electroporation device. The experimental setup performs controlled, single-cell-level transfections in a continuous flow and can be extended to higher throughputs with population-based control. An analysis is provided showcasing the ability to electrically monitor the degree of cell membrane permeabilization in real-time.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therapeutic innovations, such as CAR-T cell therapy, are heavily reliant on viral-mediated gene delivery. Although efficient, this technique is accompanied by high manufacturing costs, which has brought about an interest in using alternative methods for gene delivery. Electroporation is an electro-physical, non-viral approach for the intracellular delivery of genes and other exogenous materials. Upon the application of an electric field, the cell membrane temporarily allows molecular delivery into the cell. Typically, electroporation is performed on the macroscale to process large numbers of cells. However, this approach requires extensive empirical protocol development, which is costly when working with primary and difficult-to-transfect cell types. Lengthy protocol development, coupled with the requirement of large voltages to achieve sufficient electric-field strengths to permeabilize the cells, has led to the development of micro-scale electroporation devices. These micro-electroporation devices are manufactured using common microfabrication techniques and allow for greater experimental control with the potential to maintain high throughput capabilities. This work builds off a microfluidic-electroporation technology capable of detecting the level of cell membrane permeabilization at a single-cell level under continuous flow. However, this technology was limited to 4 cells processed per second, and thus a new approach for increasing the system throughput is proposed and presented here. This new technique, denoted as cell-population-based feedback control, considers the cell permeabilization response to a variety of electroporation pulsing conditions and determines the best-suited electroporation pulse conditions for the cell type under test. A higher-throughput mode is then used, where this ‘optimal’ pulse is applied to the cell suspension in transit. The steps for fabricating the device, setting up and running the microfluidic experiments, and analyzing the results are presented in detail. Finally, this micro-electroporation technology is demonstrated by delivering a DNA plasmid encoding for green fluorescent protein (GFP) into HEK293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therapeutic innovations in biomedical research, such as CAR-T (Chimeric Antigen Receptor Engineered T cell) cell therapy and genetic editing using CRISPR (clustered regularly interspaced short palindromic repeat DNA sequences)/Cas9, heavily rely on the ability to deliver exogenous material both successfully and efficiently into the intracellular space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CAR-T therapy, the gold standard to perform the gene delivery step in cell therapy manufacturing is using viral vectors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Though viral-mediated gene delivery is an efficient delivery modality, it also has several drawbacks. These include manufacturing costs, cytotoxicity, immunogenicity, mutagenesis/tumorigenesis potential, and size limitations on the gene(s) to be delivered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limitations have led to the research and development of alternative, non-viral delivery technologies.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 an alternative to viral-mediated gene delivery, relies on the application of an optimal electrical pulse waveform to perform DNA, RNA, and protein transfections of cells. Following the application of an external electric field, the cell membrane is briefly compromised, making the cell susceptible to the intracellular delivery of otherwise impermeable exogenous materials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Compared to viral-mediated delivery, electroporation is advantageous as it is generally safe, easy to operate, and has low operating costs. Electroporation can deliver both small and large molecular cargo and can be efficient in transfecting cells regardless of lineage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achieve desirable outcomes following electroporation, i.e., good viability and good electro-transfection efficiency, a variety of experimental parameters need to be co-optimized. These include cell type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 density, molecule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electroporation buffer properties (e.g., molecular composition, conductivity, and osmolarity)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electrode size/geometry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electrical pulse waveform (shape, polarity, number of pulses)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an illustration). Although each of these parameters can have a significant effect on the outcomes of electroporation experiments, pulse waveform has been especially studied in great detail, as the electrical energy of the applied pulse(s) is the root of the intrinsic trade-off between the resulting cell viability and electro-transfection efficiency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electroporation experiments are performed on the macro-scale, where cells are suspended in 100s of microliters of buffer between a set of large, parallel-plate electrodes within an electroporation cuvette. The electrodes are commonly manufactured out of aluminum with an electrode distance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Once the cells are manually loaded via pipette, the cuvette is electrically connected to a bulky, electrical pulse generator where the user can set and apply the pulse waveform parameters to electroporate the cell suspension. Although macro-scale or bulk electroporation can process cell densities &amp;gt;10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this feature can be wasteful when optimizing the electrical pulse waveform settings. This is particularly of concern when electroporating primary cell types where the cell population numbers can be limited. Additionally, due to the large distance between the electrodes, the pulse generator must be able to supply large voltages to achieve electric field strengths &amp;gt;1kV/cm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high voltages cause resistive power dissipation through the electrolyte buffer resulting in Joule heating, which can be detrimental to the resulting cell viability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Lastly, performing electroporation on a dense suspension of cells will consistently be burdened with an innate variability in the resulting electro-transfection efficiency and cell viability. Each cell in suspension could experience a different electric field strength due to the surrounding cells. Depending on whether the experienced electric field strength is either increased or decreased, the resulting cell viability or electro-transfection efficiency may each be negatively impacted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downsides to macro-scale electroporation have led to the pursuit and development of alternative technologies that operate on the micro-scale and allow for better control at the single-cell level.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BioMEMS, or biomedical micro-electro-mechanical systems, stems from the technological advancements made in the microelectronics industry. Specifically, utilizing microfabrication processes to develop micro-devices for the advancement of biomedical research. These advancements include the development of micro-electrode arrays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electrical monitoring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capacitive micro-electrodes for in situ electroporation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miniaturized organ-on-a-chip devices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microfluidic point-of-care diagnostics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biosensors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drug delivery systems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including nano- and micro-electroporation devices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Due to the ability to design and manufacture devices at the same size scale as biological cells, nano- and micro-electroporation technologies are advantageous when compared to their macro-scale counterpart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These electroporation devices eliminate the requirement of high voltage pulse applications, as electrode sets with spacings of 10s to 100s of micrometers are typically integrated. This feature drastically reduces the current through the electrolyte, which in turn reduces the accumulation of toxic electrolysis products and the effects of Joule heating in these systems. The micro-scale channels also ensure that a much more uniform electric field is reliably applied to the cells during pulse application, resulting in more consistent outcomes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addition, it is also commonplace for micro-electroporation devices to be integrated into a microfluidic platform which lends itself for future integration into a fully automated technology, a highly desirable capability in cell therapy manufacturing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Lastly, micro-scale electroporation allows for the electrical interrogation of electroporation events. For example, the degree of cell membrane permeabilization can be monitored in real-time at a single cell level</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purpose of this method is to describe the microfabrication, system operation, and analysis of a microfluidic, single-cell micro-electroporation device capable of measuring the degree of cell membrane permeabilization for optimizing electroporation protocols, yet increasing throughput over the previous state-of-the-art.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single-cell level electroporation is no longer a novel technique, as it was first demonstrated by Rubinsky et al. in 2001 with the development of a static cell electroporation technology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Their micro-device was innovative as they were the first to demonstrate the ability to electrically monitor the event of electroporation. This has further led to the development of static, single-cell electroporation technologies capable of electrically detecting the degree of cell membrane permeabilization in a parallelized manner to increase the throughputs of the devices. However, even with parallelization and batch processing, these devices severely lack the total number of cells they can process per unit time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This limitation has led to the development of flow-through devices capable of performing single-cell level micro-electroporation at much greater throughputs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device transition, from static to flow-through environment, limits the capability of electrically monitoring the degree of cell membrane permeabilization following the application of the electroporation pulse. The method described in this work bridges the gap between these two technologies, a micro-electroporation technology capable of electrically detecting, pulsing, and monitoring the degree of cell membrane permeabilization of individual cells, in a continuous-flow, serial fashion.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technology was recently described in Zheng et al. In that work, the capabilities of this technology were introduced with the completion of a parametric study, where both the amplitude and duration of the electroporation pulse were varied, and the ensuing electrical signal, indicative of cell membrane permeabilization, was explored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results showed that an increase in the intensity of the electroporation pulse (i.e., increase in applied electric field or increase in pulse duration) caused an increase in the measured cell membrane permeabilization. To further validate the system, a common fluorescent indicator of successful electroporation, propidium iodide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was added to the cell suspension, and a fluorescence image was captured immediately following the application of the electrical pulse. The optical signal, i.e., the fluorescence intensity of propidium iodide inside the cell, was strongly correlated with the electrical measurement of the degree of cell membrane permeabilization, verifying the reliability of this electrical measurement. However, this work only considered the delivery of the small molecule propidium iodide, which has little to no translatable significance.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new application of this technology is introduced to improve upon the throughput of the system while delivering a biologically active plasmid DNA (pDNA) vector and assessing the electro-transfection efficiency of cells replated and cultured following electroporation. Though the previous work outperforms existing micro-electroporation technologies that are capable of electrically measuring the event of electroporation, the current state of the device still requires long cell transit times between the electrode set (~250 ms) to perform the cell detection, pulse application, and the cell membrane permeabilization measurement. With a single channel, this limits the throughput to 4 cells/s. To combat this limitation, a new concept of cell-population-based feedback-controlled electroporation is introduced to perform pDNA electro-transfection. By using a hypo-physiologic conductivity electroporation buffer, this system allows for the electrical interrogation of single cells across a multitude of electroporation pulse applications. Based on the electrical response, an ‘optimal’ electroporation pulse is then determined. A ‘high-throughput’ mode is then implemented where the cell membrane permeabilization determination is nullified, the flow rate is increased, and the electroporation pulse duty cycle is matched to the cell transit time to ensure one pulse per cell in transit between the electrodes. This work will provide extensive details into the microfabrication steps for the manufacturing of the micro-device, the material/equipment and their setup required to perform the experimentation, and the operation/analysis of the device and its electro-transfection efficiency (eTE).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Users should review all MSDS for the materials and supplies used in this protocol. Appropriate PPE should be worn at each step and sterile technique used during experimentation. Sections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discuss the device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 Device fabrication- Mask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an illustration of the microfabrication process. The microfabrication steps are to be carried out in a cleanroom environment. Additional PPE is necessary (hair net, facial hair net, mask, cleanroom suit, shoe covers).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Install a CAD software of choice, design a 2-Dimensional ‘mask’ of both the microfluidic channel and electrodes and save the design in desired file format (i.e., .dxf, .dwg).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for an example of a 2-Dimensional mask schematic.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Send to a supplier of choice to be printed. Ensure the dimensions of the designs are within the resolution capabilities of the supplier.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Device fabrication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Photolithography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provided microfabrication recipes are adopted from the photoresists’ manufacturer’s recommendations and should only be used as a starting point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Exact values for baking times, exposure times, etc., need to be optimized for each fabrication protocol. It is recommended to use wafer tweezers for handling both silicon wafers and glass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Microfluidic channel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 Silicon wafer and soda-lime glass slide cleaning: Follow steps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to perform silicon wafer and 1” &amp;#215; 3” soda-lime glass slide cleaning (both referred to as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Submerge the substrates in an acetone bath, an isopropanol (IPA) bath  and a deionized water bath for 10 min each. Perform this 3-step wash serially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Remove and dry the surface using a pressurized nitrogen or filtered air gas source. Place the substrates into a 150 &amp;#176;C oven for a minimum of 30 min to allow evaporation of the remaining moisture.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SU-8 photolithography on silicon wafer: Perform photolithography on the silicon wafer following steps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achieve a microfluidic channel height of 20 &amp;#181;m, SU-8 2000 series negative photoresist was used. Exact spin rates will vary depending on the formulation of SU-8 (i.e., 2010, 2015, etc.); however, the following conditions are for the SU-8 2010 formulation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Remove the silicon wafer from the 150 &amp;#176;C oven and allow it to cool to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Secure the wafer to the chuck of the wafer spin coater using the spin coater’s vacuum system. Program the spinner. Step 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500 rpm for 10 s at an acceleration of 100 rpm/s, Step 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1000 rpm for 30 s at an acceleration of 300 rpm/s.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Dispense 4 mL of SU-8 2010 photoresist onto the center of the silicon wafer. Run the program. Once the system comes to a halt, turn off the vacuum.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Using tweezers, transfer the SU-8 coated silicon wafer on a hot plate at 95 &amp;#176;C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for soft bake. Then remove the wafer from the hot plate and allow it to cool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proper start up procedure for the lab-specific photolithographic mask aligner.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Secure the photomask with the 2D microfluidic channel designs onto the mask holder. Insert the silicon wafer, with the SU-8 coating facing upwards, onto the wafer chuck.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w:t>
        <w:tab/>
        <w:t xml:space="preserve">Set the exposure settings for 150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run the machine.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look directly at the UV light source to avoid potential eye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Place the SU-8 coated silicon wafer on a hot plate at 95 &amp;#176;C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for post-exposure bake.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2.1.12.</w:t>
        <w:tab/>
        <w:t xml:space="preserve">Submerge the silicon wafer in the SU-8 developer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min. Apply gentle agitation. Remove the wafer from the solution and rinse the surface with IPA.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Dry the surface using a pressurized nitrogen or filtered air gas source. Inspect the features under a microscope using a UV filter and ensure no obvious defects in the microfluidic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2.1.14.</w:t>
        <w:tab/>
        <w:t xml:space="preserve">Place the silicon wafer into a 150 &amp;#176;C oven for a minimum of 30 min for a hard bake.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2.1.15.</w:t>
        <w:tab/>
        <w:t xml:space="preserve">Allow to cool down to RT and use stylus profilometry to measure the exact height and slope of the channel sidewalls.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Photolithography on Glass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Hexamethyldisilazane (HMDS) is used as an adhesion promoter for the S1818 positive photoresist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Remove the glass slide from the 150 &amp;#176;C oven and allow it to cool to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Secure the glass slide to the chuck of the spinner using vacuum and program the spinner. Step 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500 rpm for 10 s at an acceleration of 100 rpm/s. Step 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3000 rpm for 30 sat an acceleration of 300 rpm/s.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Dispense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droplets of HMDS across the surface of the glass slide. Run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achieve a surface coating of ~3 &amp;#181;m, S1800 positive photoresist series should be used. Exact spin rates will vary depending on the formulation; the recommendations below are for the S1818 formulation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Dispense 1 mL of photoresist onto the surface of the glass slide. Ensure enough to cover the surface area.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Run the program. Once the system comes to a halt, turn off the vacuum, and remove the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Place the S1818 coated glass slide on a hot plate at 120 &amp;#176;C for 4 min for a soft bake. Remove and allow to come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Secure the photomask with the 2D electrode designs onto the mask holder.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Insert and align the glass wafer, with the S1818 coating facing upwards, onto the wafer chuck. Set the exposure settings for 250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run the machine.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contact aligner models may be more or less accommodating to non-circular, varying thickness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Submerge the glass slide in MF-319 developer solution for 2 min. Apply gentle agitation. Rinse the surface of the wafer with IPA.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Dry the surface using a pressurized nitrogen or filtered air gas source and observe the features under a microscope using a UV filter. Make sure there are no obvious defects in the lithographic patterns.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Place glass slide into the 150 &amp;#176;C oven, ensuring substrate surface of interest is facing up, for a minimum of 30 min for a hard bake. Remove from the oven and keep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 Device fabrication: Hydrofluoric acid (HF) etch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involves the handling and disposal of hydrofluoric acid (HF), which can cause deep, painful chemical burns. Additional PPE should be used to protect the handler (face shield, elbow-length chemically resistant gloves, chemically resistant apron with sleeves). Calcium gluconate acid neutralizer and skin gel should be kept in proximity of the lab bench. This step should not be performed alone. HF should never be stored in or dispensed into glass containers as the container will be etched by the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HF uniformly etches the exposed glass (i.e., the electrode design) to form a recess in the glass, allowing for better edge resolution of the electrode pattern after metal deposition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 Submerge the glass slide in 10:1 buffered HF solution for 1 min in a polytetrafluoroethylene container. Transfer and wash the glass slides in deionized water. Repeat the wash step 3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Dry the surface using a pressurized nitrogen or filtered air gas source. Place glass substrates in a 65 &amp;#176;C oven overnight to remove any remaining moisture. Cover the substrates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Device fabrication: Physical vapor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involves the metal deposition onto the glass slide substrates to define the electrode patterns. Commonly used metal electrodes are chromium/gold and titanium/platinum. Gold and platinum do not adhere to the glass substrate, so a seed adhesion layer of chromium or titanium, respectively, is required to promote adhesion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Follow the cleanroom-specific protocol to operate the in-house PVD system. This work uses a DC sputtering system and sputter with 100 SCCM Argon gas </w:t>
      </w:r>
      <w:r>
        <w:rPr>
          <w:rFonts w:ascii="Calibri" w:hAnsi="Calibri" w:cs="Calibri" w:eastAsia="Calibri"/>
          <w:color w:val="auto"/>
          <w:spacing w:val="0"/>
          <w:position w:val="0"/>
          <w:sz w:val="24"/>
          <w:shd w:fill="FFFF00" w:val="clear"/>
        </w:rPr>
        <w:t xml:space="preserve">at a pressure of ~8 mTorr </w:t>
      </w:r>
      <w:r>
        <w:rPr>
          <w:rFonts w:ascii="Calibri" w:hAnsi="Calibri" w:cs="Calibri" w:eastAsia="Calibri"/>
          <w:color w:val="000000"/>
          <w:spacing w:val="0"/>
          <w:position w:val="0"/>
          <w:sz w:val="24"/>
          <w:shd w:fill="FFFF00" w:val="clear"/>
        </w:rPr>
        <w:t xml:space="preserve">and 200 W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Sputter titanium for 8 min at </w:t>
      </w:r>
      <w:r>
        <w:rPr>
          <w:rFonts w:ascii="Calibri" w:hAnsi="Calibri" w:cs="Calibri" w:eastAsia="Calibri"/>
          <w:color w:val="auto"/>
          <w:spacing w:val="0"/>
          <w:position w:val="0"/>
          <w:sz w:val="24"/>
          <w:shd w:fill="FFFF00" w:val="clear"/>
        </w:rPr>
        <w:t xml:space="preserve">a rate of ~100 Å/min</w:t>
      </w:r>
      <w:r>
        <w:rPr>
          <w:rFonts w:ascii="Calibri" w:hAnsi="Calibri" w:cs="Calibri" w:eastAsia="Calibri"/>
          <w:color w:val="000000"/>
          <w:spacing w:val="0"/>
          <w:position w:val="0"/>
          <w:sz w:val="24"/>
          <w:shd w:fill="FFFF00" w:val="clear"/>
        </w:rPr>
        <w:t xml:space="preserve">. Sputter platinum for 10 min at </w:t>
      </w:r>
      <w:r>
        <w:rPr>
          <w:rFonts w:ascii="Calibri" w:hAnsi="Calibri" w:cs="Calibri" w:eastAsia="Calibri"/>
          <w:color w:val="auto"/>
          <w:spacing w:val="0"/>
          <w:position w:val="0"/>
          <w:sz w:val="24"/>
          <w:shd w:fill="FFFF00" w:val="clear"/>
        </w:rPr>
        <w:t xml:space="preserve">a rate of ~200 Å/min. </w:t>
      </w:r>
      <w:r>
        <w:rPr>
          <w:rFonts w:ascii="Calibri" w:hAnsi="Calibri" w:cs="Calibri" w:eastAsia="Calibri"/>
          <w:color w:val="000000"/>
          <w:spacing w:val="0"/>
          <w:position w:val="0"/>
          <w:sz w:val="24"/>
          <w:shd w:fill="FFFF00" w:val="clear"/>
        </w:rPr>
        <w:t xml:space="preserve">Remove the substrates from the PVD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Device fabrication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Photoresist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lift-off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involves dissolving the photoresist layer in an acetone bath, leaving the adhered platinum electrodes patterned on the glass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Submerge the metal-coated glass slides in an acetone bath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Sonicate the bath to introduce agitation to break up the unadhered metal film. Use an acetone-soaked wipe to remove any residues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Once all photoresist/metal is removed, wash the electrode patterns with deionized water, and place them in a 65 &amp;#176;C oven overnight to remove any remaining surface moisture.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Use stylus profilometry to measure the profile of the patterned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Device fabrication: Soft lithography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involves replica molding the microfluidic channel onto the SU-8 master relief structure using an elastomer, polydimethylsiloxane (PDMS).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Silicon wafer silanization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optional step; however, it will increase the lifetime of the SU-8 relief structure that was fabricated in subsection 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 Secure the wafer to the bottom of a Petri dish and place the Petri dish into a desiccator.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Surround the perimeter of the silicon wafer with approximately 50 &amp;#181;L of Trichloro(1H,1H,2H,2H-perfluorooctyl) silane. Connect vacuum (vacuum pump or house vacuum line) and run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PDMS replica molding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color w:val="000000"/>
          <w:spacing w:val="0"/>
          <w:position w:val="0"/>
          <w:sz w:val="24"/>
          <w:shd w:fill="FFFF00" w:val="clear"/>
        </w:rPr>
        <w:t xml:space="preserve">In a disposable container (e.g., weigh boat, plastic cup), mix PDMS elastomer base to hardener at a 10:1 weight ratio on top of an electronic balance. Pour the PDMS solution over the silicon wafer and place the mixture under a vacuum to remove all air bubbles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Calibri" w:hAnsi="Calibri" w:cs="Calibri" w:eastAsia="Calibri"/>
          <w:color w:val="000000"/>
          <w:spacing w:val="0"/>
          <w:position w:val="0"/>
          <w:sz w:val="24"/>
          <w:shd w:fill="FFFF00" w:val="clear"/>
        </w:rPr>
        <w:t xml:space="preserve">Cure at 65 &amp;#176;C for a minimum of 4 h allowing the PDMS to solidify. Using the tip of a razor blade, cut out the molded PDMS and peel from the silicon wafer.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r>
      <w:r>
        <w:rPr>
          <w:rFonts w:ascii="Calibri" w:hAnsi="Calibri" w:cs="Calibri" w:eastAsia="Calibri"/>
          <w:color w:val="000000"/>
          <w:spacing w:val="0"/>
          <w:position w:val="0"/>
          <w:sz w:val="24"/>
          <w:shd w:fill="FFFF00" w:val="clear"/>
        </w:rPr>
        <w:t xml:space="preserve">Using a sharpened biopsy punch, remove PDMS from the inlet/outlets of the device. For this device, 0.75 mm and 3 mm biopsy punches were used for the inlets and the outlets,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biopsy punch used should have a slightly smaller diameter than the outer diameter of the interconnecting tubing to ensure a tight seal of tubing in the reservoirs.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Sonication cleaning of PDMS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tab/>
        <w:t xml:space="preserve">Submerge the PDMS devices in IPA and place them into a sonicator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min to remove any PDMS debris from the inlet/outlets. PDMS may swell in the IPA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tab/>
        <w:t xml:space="preserve">Rinse with deionized water and place in a 65 &amp;#176;C oven overnight to allow the PDMS to de-swell back to the normal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leftover debris can clog the device during experimentation. Large pieces of debris can be removed from the PDMS surface using a piece of scotch tape prior to sonication.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Device fabrication: PDMS bonding/wire attachment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involves treating the surface of the PDMS and glass substrate with an oxygen plasma to form an irreversible bond between the PDMS and glass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recipe provided may need to be adapted to the exact system used in the laboratory.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Cut the devices to size and ensure the surface of the PDMS device is clean. If not reclean, follow the steps in subsection 6.3.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Program the plasma generator. Set </w:t>
      </w:r>
      <w:r>
        <w:rPr>
          <w:rFonts w:ascii="Calibri" w:hAnsi="Calibri" w:cs="Calibri" w:eastAsia="Calibri"/>
          <w:b/>
          <w:color w:val="000000"/>
          <w:spacing w:val="0"/>
          <w:position w:val="0"/>
          <w:sz w:val="24"/>
          <w:shd w:fill="FFFF00" w:val="clear"/>
        </w:rPr>
        <w:t xml:space="preserve">Power</w:t>
      </w:r>
      <w:r>
        <w:rPr>
          <w:rFonts w:ascii="Calibri" w:hAnsi="Calibri" w:cs="Calibri" w:eastAsia="Calibri"/>
          <w:color w:val="000000"/>
          <w:spacing w:val="0"/>
          <w:position w:val="0"/>
          <w:sz w:val="24"/>
          <w:shd w:fill="FFFF00" w:val="clear"/>
        </w:rPr>
        <w:t xml:space="preserve"> to 70 W, </w:t>
      </w:r>
      <w:r>
        <w:rPr>
          <w:rFonts w:ascii="Calibri" w:hAnsi="Calibri" w:cs="Calibri" w:eastAsia="Calibri"/>
          <w:b/>
          <w:color w:val="000000"/>
          <w:spacing w:val="0"/>
          <w:position w:val="0"/>
          <w:sz w:val="24"/>
          <w:shd w:fill="FFFF00" w:val="clear"/>
        </w:rPr>
        <w:t xml:space="preserve">Time </w:t>
      </w:r>
      <w:r>
        <w:rPr>
          <w:rFonts w:ascii="Calibri" w:hAnsi="Calibri" w:cs="Calibri" w:eastAsia="Calibri"/>
          <w:color w:val="000000"/>
          <w:spacing w:val="0"/>
          <w:position w:val="0"/>
          <w:sz w:val="24"/>
          <w:shd w:fill="FFFF00" w:val="clear"/>
        </w:rPr>
        <w:t xml:space="preserve">to 35 s, </w:t>
      </w:r>
      <w:r>
        <w:rPr>
          <w:rFonts w:ascii="Calibri" w:hAnsi="Calibri" w:cs="Calibri" w:eastAsia="Calibri"/>
          <w:b/>
          <w:color w:val="000000"/>
          <w:spacing w:val="0"/>
          <w:position w:val="0"/>
          <w:sz w:val="24"/>
          <w:shd w:fill="FFFF00" w:val="clear"/>
        </w:rPr>
        <w:t xml:space="preserve">Pressure</w:t>
      </w:r>
      <w:r>
        <w:rPr>
          <w:rFonts w:ascii="Calibri" w:hAnsi="Calibri" w:cs="Calibri" w:eastAsia="Calibri"/>
          <w:color w:val="000000"/>
          <w:spacing w:val="0"/>
          <w:position w:val="0"/>
          <w:sz w:val="24"/>
          <w:shd w:fill="FFFF00" w:val="clear"/>
        </w:rPr>
        <w:t xml:space="preserve"> to 325 mTorr, </w:t>
      </w:r>
      <w:r>
        <w:rPr>
          <w:rFonts w:ascii="Calibri" w:hAnsi="Calibri" w:cs="Calibri" w:eastAsia="Calibri"/>
          <w:b/>
          <w:color w:val="000000"/>
          <w:spacing w:val="0"/>
          <w:position w:val="0"/>
          <w:sz w:val="24"/>
          <w:shd w:fill="FFFF00" w:val="clear"/>
        </w:rPr>
        <w:t xml:space="preserve">Flow Rate</w:t>
      </w:r>
      <w:r>
        <w:rPr>
          <w:rFonts w:ascii="Calibri" w:hAnsi="Calibri" w:cs="Calibri" w:eastAsia="Calibri"/>
          <w:color w:val="000000"/>
          <w:spacing w:val="0"/>
          <w:position w:val="0"/>
          <w:sz w:val="24"/>
          <w:shd w:fill="FFFF00" w:val="clear"/>
        </w:rPr>
        <w:t xml:space="preserve"> of oxygen gas to 60 SCCM.  Place PDMS and electrode glass slide into the system with the features facing up and run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000000"/>
          <w:spacing w:val="0"/>
          <w:position w:val="0"/>
          <w:sz w:val="24"/>
          <w:shd w:fill="FFFF00" w:val="clear"/>
        </w:rPr>
        <w:t xml:space="preserve">Remove the devices and quickly align channel features to the electrodes using a stereoscope. Firmly apply pressure from the center of the PDMS towards the sides to remove any unwanted air bubbles at the bonding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Place on a hot place at 95 &amp;#176;C for at least 2 min to finalize the bonding procedure and let the device cool down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Cut 2 pieces of 22-G solid wire at ~6” lengths and strip the insulator from both ends.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Bond the wires to electrode pads using silver conductive epoxy. Place completed devices in a 65 &amp;#176;C oven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Cell culture and 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Standard cell culture and sterile handling procedures should be utilized. Follow cell-type-specific protocol for cell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 Cell passage: Culture and passage the cells following steps 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Culture HEK293 cells in complete DMEM solution (88% DMEM, 10% heat-inactivated fetal bovine serum, 1% L-glutamine, 1% penicillin-streptomycin) in a T25 flask in an incubator at 37 &amp;#176;C, 95% O2, 5% CO2. Passage cells on schedule when reaching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Aspirate the media using either a pipette or vacuum system and incubate the cells in 0.25% trypsin-EDTA (2 mL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T25 flask) for 2 min at 37 &amp;#176;C. Neutralize trypsin with twice the volume of culture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w:t>
        <w:tab/>
        <w:t xml:space="preserve">Transfer the cell suspension into a 15 mL conical tube and centrifuge HEK293 cells at 770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Aspirate the supernatant using either a pipette or vacuum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w:t>
        <w:tab/>
        <w:t xml:space="preserve">Resuspend HEK293 cells in 1 mL of pre-warmed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8.1.6.</w:t>
        <w:tab/>
        <w:t xml:space="preserve">Cell plating: Plate the cells following steps 8.1.7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8.1.7.</w:t>
        <w:tab/>
        <w:t xml:space="preserve">Plate the cells at a 10:1 to 20:1 dilution in a T25 flask (5 mL of DMEM) to continue the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8.1.8.</w:t>
        <w:tab/>
      </w:r>
      <w:r>
        <w:rPr>
          <w:rFonts w:ascii="Calibri" w:hAnsi="Calibri" w:cs="Calibri" w:eastAsia="Calibri"/>
          <w:color w:val="000000"/>
          <w:spacing w:val="0"/>
          <w:position w:val="0"/>
          <w:sz w:val="24"/>
          <w:shd w:fill="FFFF00" w:val="clear"/>
        </w:rPr>
        <w:t xml:space="preserve">Plate the cells at a 5:1 to 20:1 dilution in a 6-well plate (2 mL of DMEM per well) to be harvested for electroporation experiments.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HEK293 cells plated 24 h prior to electroporation experiments to achieve ~70% confluency at cell harvest (subsection 8.3). An inconsistent harvest schedule can lead to variability in electroporation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 Electroporation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  Prepare electroporation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Sherba et al. for specifics on the electroporation buffer preparation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buffer composition was 285 mM Sucrose, 0.7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mM KCl, 10 mM HEPES, 3 mM NaOH (pH: 7.4; osmolality: 310 mOsm, conductivity: 500 &amp;#181;S/cm). Electroporation buffer should be formulated in a sterile fashion and stored at 4 &amp;#176;C for a shelf life of ~1 month. Electroporation buffer formulation should be optimized on a per cell type basis.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Cell harvest and pDNA addition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w:t>
        <w:tab/>
        <w:t xml:space="preserve"> Follow the same steps as cell passage (8.1.2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w:t>
        <w:tab/>
        <w:t xml:space="preserve">Wash the cells in sterile 1x PBS, transfer-cell suspension into a 15 mL conical tube, and centrifuge cells at 770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w:t>
        <w:tab/>
      </w:r>
      <w:r>
        <w:rPr>
          <w:rFonts w:ascii="Calibri" w:hAnsi="Calibri" w:cs="Calibri" w:eastAsia="Calibri"/>
          <w:color w:val="000000"/>
          <w:spacing w:val="0"/>
          <w:position w:val="0"/>
          <w:sz w:val="24"/>
          <w:shd w:fill="FFFF00" w:val="clear"/>
        </w:rPr>
        <w:t xml:space="preserve">Wash HEK293 cell pellet in the electroporation buffer and centrifuge at 770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Resuspend the cells in the electroporation buffer at ~5 million cells/mL.</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density should be optimized per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8.3.4.</w:t>
        <w:tab/>
      </w:r>
      <w:r>
        <w:rPr>
          <w:rFonts w:ascii="Calibri" w:hAnsi="Calibri" w:cs="Calibri" w:eastAsia="Calibri"/>
          <w:color w:val="000000"/>
          <w:spacing w:val="0"/>
          <w:position w:val="0"/>
          <w:sz w:val="24"/>
          <w:shd w:fill="FFFF00" w:val="clear"/>
        </w:rPr>
        <w:t xml:space="preserve">Add pDNA encoding for green fluorescent protein (GFP) to a final concentration of 20 &amp;#181;g/mL. Gently mix the pDNA/cell suspension and transfer the suspension into a 1 cc syringe for experimentation.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Hardware/experimental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harvesting cells for experimentation, ensure the experimental setup is completed to minimize the amount of time the cells are suspended in the electroporation buffer. Turn on electronics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prior to experiments to warm up. Refer to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a schematic of the experimental setup for the operation of the single-cell detection module.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custom-built PA90 Op-Amp circuit was developed to accommodate both the sensitivity required for single-cell level detection using the lock-in amplifier and the high voltages required to apply sufficiently strong electroporation pulses. Refer to PA90 datasheet for specifications on recommended circuitry</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 Initialize the Lock-in Amplifier with Current Pre-Amplifier settings and set via the algorithm. Refer to Zheng et al. for specifics on the lock-in settings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Power supplies, function generator, and amplifier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w:t>
        <w:tab/>
        <w:t xml:space="preserve">Power Supply 1: Set to -15 V to power the  negative end of the circuit.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9.2.2.</w:t>
        <w:tab/>
        <w:t xml:space="preserve">Power Supply 2 (Function Generator): Set to output DC signal and set the amplitude to 2 V. Connect to 50x amplifier input.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9.2.3.</w:t>
        <w:tab/>
        <w:t xml:space="preserve">Program Electroporation Pulse Generator for the square wave: Set the desired pulse width (duty cycle) and desired pulse amplitude (Volts).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9.2.4.</w:t>
        <w:tab/>
        <w:t xml:space="preserve">Set output to trigger mode (1 pulse). Connect the output to the input of the 50x amplifier.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Remember the 50x gain when programming the pulse amplitude. I.e., to achieve an electric field strength of 1 kV/cm, a total of 30 V is required, 30 V/300 &amp;#181;m (distance between electrodes), therefore the function generator output should be set to 30/50, or 600 mV.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9.2.5.</w:t>
        <w:tab/>
        <w:t xml:space="preserve">Verify the outputs of the 50x Amplifier using an oscilloscope. Output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V from Power Supply 2 (9.2.2). Output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Variable amplitude for the electroporation pulse (9.2.4).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9.2.6.</w:t>
        <w:tab/>
        <w:t xml:space="preserve">Connect a 10x probe to an oscilloscope channel and to the completed micro-device  (device under test, DUT) in step 7.6  where the electroporation pulse is going to be applied. Monitor the system during experimentation to ensure pulses are being 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9.2.7.</w:t>
        <w:tab/>
        <w:t xml:space="preserve">Ensure lock-in USB is connected and registered. Double-check all lock-in settings in the algorithm code (most importantly, lock-in output frequency).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Microscope/CCD camera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9.3.1.</w:t>
        <w:tab/>
      </w:r>
      <w:r>
        <w:rPr>
          <w:rFonts w:ascii="Calibri" w:hAnsi="Calibri" w:cs="Calibri" w:eastAsia="Calibri"/>
          <w:color w:val="000000"/>
          <w:spacing w:val="0"/>
          <w:position w:val="0"/>
          <w:sz w:val="24"/>
          <w:shd w:fill="FFFF00" w:val="clear"/>
        </w:rPr>
        <w:t xml:space="preserve">Place the micro-device onto the stage of the microscope via a slide holder. Turn on the CCD camera and bring the microfluidic channel into focus. Use a 4x or 10x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Experimental 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Microfluidic channel priming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10.1.1.</w:t>
        <w:tab/>
        <w:t xml:space="preserve"> Remove all air bubbles from the cell-loaded syringe. Attach a 30 G needle to the cell-loaded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10.1.2.</w:t>
        <w:tab/>
        <w:t xml:space="preserve">Using tweezers, slide tygon tubing down the length of the needle. Pre-fill the outlet reservoir with recovery media (same as step 8.1.2 without the antibiotics),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10.1.3.</w:t>
        <w:tab/>
        <w:t xml:space="preserve">Using the thumb, gently apply pressure to the plunger such that the fluid slowly reaches the end of the tubing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10.1.4.</w:t>
        <w:tab/>
        <w:t xml:space="preserve">Secure the syringe to the syringe pump. Turn the syringe pump on and ensure it is set to forward perfusion.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10.1.5.</w:t>
        <w:tab/>
        <w:t xml:space="preserve">Program the pump for the proper diameter of the syringe to ensure flow rates are accurate. Refer to pump manual for specifics on syringe diameters.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cells from settling in the syringe, secure the syringe pump on a clamp stand such that it can operate in a vertical position with the syringe end facing downwards.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10.1.6.</w:t>
        <w:tab/>
        <w:t xml:space="preserve">Set syringe pump flow rate,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&amp;#181;L/min, and allow the pump to run until the fluid reaches the end of the tubing line. Secure tubing to the microfluidic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10.1.7.</w:t>
        <w:tab/>
        <w:t xml:space="preserve">Lower the syringe pump flow rate,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&amp;#181;L/min, and allow the pump to run until all air is expelled from the microfluidic device and cells are traversing to the device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10.1.8.</w:t>
        <w:tab/>
        <w:t xml:space="preserve">Remove the cells from the outlet via pipette aspiration. Re-fill the outlet reservoir with recovery media (same as step 8.1.2 without the antibiotics),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Single-cell electroporation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cell membrane permeabilization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for a better understanding of the electrical data indicative of cell membrane permeabilization and the cell membrane permeabilization mapping,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10.2.1.</w:t>
        <w:tab/>
      </w:r>
      <w:r>
        <w:rPr>
          <w:rFonts w:ascii="Calibri" w:hAnsi="Calibri" w:cs="Calibri" w:eastAsia="Calibri"/>
          <w:color w:val="000000"/>
          <w:spacing w:val="0"/>
          <w:position w:val="0"/>
          <w:sz w:val="24"/>
          <w:shd w:fill="FFFF00" w:val="clear"/>
        </w:rPr>
        <w:t xml:space="preserve">Set the syringe pump flow rate to ~0.1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0.3 &amp;#181;L/min to ensure a flow of single cells through the electrode set. The cell transit time between the electrodes should be ~250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10.2.2.</w:t>
        <w:tab/>
        <w:t xml:space="preserve">Start the computer program by clicking on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Ensure the system is saving the electrical data.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10.2.3.</w:t>
        <w:tab/>
        <w:t xml:space="preserve">Ensure the system is reliably detecting cells to trigger the computer-controlled pulse applications. Adjust </w:t>
      </w:r>
      <w:r>
        <w:rPr>
          <w:rFonts w:ascii="Calibri" w:hAnsi="Calibri" w:cs="Calibri" w:eastAsia="Calibri"/>
          <w:b/>
          <w:color w:val="000000"/>
          <w:spacing w:val="0"/>
          <w:position w:val="0"/>
          <w:sz w:val="24"/>
          <w:shd w:fill="auto" w:val="clear"/>
        </w:rPr>
        <w:t xml:space="preserve">Detection Threshold</w:t>
      </w:r>
      <w:r>
        <w:rPr>
          <w:rFonts w:ascii="Calibri" w:hAnsi="Calibri" w:cs="Calibri" w:eastAsia="Calibri"/>
          <w:color w:val="000000"/>
          <w:spacing w:val="0"/>
          <w:position w:val="0"/>
          <w:sz w:val="24"/>
          <w:shd w:fill="auto" w:val="clear"/>
        </w:rPr>
        <w:t xml:space="preserve">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10.2.4.</w:t>
        <w:tab/>
        <w:t xml:space="preserve">Set the pulse parameters for the initial, lowest electrical energy electroporation pulse. Refer to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electroporation pulsing parameters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10.2.5.</w:t>
        <w:tab/>
        <w:t xml:space="preserve">Turn on the Output channel for the electroporation pulse generator (step 9.2.3.).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10.2.6.</w:t>
        <w:tab/>
      </w:r>
      <w:r>
        <w:rPr>
          <w:rFonts w:ascii="Calibri" w:hAnsi="Calibri" w:cs="Calibri" w:eastAsia="Calibri"/>
          <w:color w:val="000000"/>
          <w:spacing w:val="0"/>
          <w:position w:val="0"/>
          <w:sz w:val="24"/>
          <w:shd w:fill="FFFF00" w:val="clear"/>
        </w:rPr>
        <w:t xml:space="preserve">Follow a pre-determined number of cell detection/pulse applications (n =100). At the end of each tested condition, aspirate cells from the microdevice outlet and replenish the outlet with recovery media.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10.2.7.</w:t>
        <w:tab/>
      </w:r>
      <w:r>
        <w:rPr>
          <w:rFonts w:ascii="Calibri" w:hAnsi="Calibri" w:cs="Calibri" w:eastAsia="Calibri"/>
          <w:color w:val="000000"/>
          <w:spacing w:val="0"/>
          <w:position w:val="0"/>
          <w:sz w:val="24"/>
          <w:shd w:fill="FFFF00" w:val="clear"/>
        </w:rPr>
        <w:t xml:space="preserve">Iterate to the next electroporation pulse condition. Repeat until all electroporation pulse conditions are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10.2.8.</w:t>
        <w:tab/>
        <w:t xml:space="preserve">Determine the degree of cell membrane permeabilization for each pulse application tested. (Post-process validation is described in subsection 11.1). Generate the cell membrane permeabilization map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10.2.9.</w:t>
        <w:tab/>
      </w:r>
      <w:r>
        <w:rPr>
          <w:rFonts w:ascii="Calibri" w:hAnsi="Calibri" w:cs="Calibri" w:eastAsia="Calibri"/>
          <w:color w:val="000000"/>
          <w:spacing w:val="0"/>
          <w:position w:val="0"/>
          <w:sz w:val="24"/>
          <w:shd w:fill="FFFF00" w:val="clear"/>
        </w:rPr>
        <w:t xml:space="preserve">Determine the electroporation pulse parameters for high-throughput, population-based feedback.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10.2.10.</w:t>
        <w:tab/>
        <w:t xml:space="preserve">Turn off the syringe pump, remove cells from the outlet reservoir, and replenish the outlet with recovery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Population-based feedback-controlled electroporation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high throughput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for a schematic illustrating the population-based feedback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10.3.1.</w:t>
        <w:tab/>
      </w:r>
      <w:r>
        <w:rPr>
          <w:rFonts w:ascii="Calibri" w:hAnsi="Calibri" w:cs="Calibri" w:eastAsia="Calibri"/>
          <w:color w:val="000000"/>
          <w:spacing w:val="0"/>
          <w:position w:val="0"/>
          <w:sz w:val="24"/>
          <w:shd w:fill="FFFF00" w:val="clear"/>
        </w:rPr>
        <w:t xml:space="preserve">Set the syringe pump flow rate to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&amp;#181;L/min to ensure a flow of single cells through the electrode set. The cell transit time between the electrodes should be ~25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10.3.2.</w:t>
        <w:tab/>
      </w:r>
      <w:r>
        <w:rPr>
          <w:rFonts w:ascii="Calibri" w:hAnsi="Calibri" w:cs="Calibri" w:eastAsia="Calibri"/>
          <w:color w:val="000000"/>
          <w:spacing w:val="0"/>
          <w:position w:val="0"/>
          <w:sz w:val="24"/>
          <w:shd w:fill="FFFF00" w:val="clear"/>
        </w:rPr>
        <w:t xml:space="preserve">Set the pulse amplitude to the ‘optimized’ condition (10.2.9), turn off trigger mode, and set the pulse width to match the cell transit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10.3.3.</w:t>
        <w:tab/>
        <w:t xml:space="preserve">Set the duty cycle such that pulse ON time matches the ‘optimized’ condition.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10.3.4.</w:t>
        <w:tab/>
        <w:t xml:space="preserve">Set the Output channel function generator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turn on the syringe pump, and allow the system to run until the desired number of cells have been electroporated.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10.3.5.</w:t>
        <w:tab/>
        <w:t xml:space="preserve">When done, turn off both the syringe pump and the function generator.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10.3.6.</w:t>
        <w:tab/>
        <w:t xml:space="preserve">Transfer the cells from the outlet reservoir into the appropriately sized cell culture flask/plate filled with pre-warmed recovery media and transfer culture flask/plate into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 Single-cell level membrane permeabilization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the ‘optimal’ pulse was used during the high throughput module, a post-experiment analysis should be performed to verify the electrical data exported from subsection 10.2. Please refer to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a graphical representation of the electrical signal representative of membrane permeabilization due to electroporation.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000000"/>
          <w:spacing w:val="0"/>
          <w:position w:val="0"/>
          <w:sz w:val="24"/>
          <w:shd w:fill="FFFF00" w:val="clear"/>
        </w:rPr>
        <w:t xml:space="preserve"> Load data into an analysis software (MATLAB, Python, etc.). Generate a plot of Current versus Time for each pulsing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r>
      <w:r>
        <w:rPr>
          <w:rFonts w:ascii="Calibri" w:hAnsi="Calibri" w:cs="Calibri" w:eastAsia="Calibri"/>
          <w:color w:val="000000"/>
          <w:spacing w:val="0"/>
          <w:position w:val="0"/>
          <w:sz w:val="24"/>
          <w:shd w:fill="FFFF00" w:val="clear"/>
        </w:rPr>
        <w:t xml:space="preserve">Manually determine the degree of cell membrane permeabilization (</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P</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C</w:t>
      </w:r>
      <w:r>
        <w:rPr>
          <w:rFonts w:ascii="Calibri" w:hAnsi="Calibri" w:cs="Calibri" w:eastAsia="Calibri"/>
          <w:color w:val="000000"/>
          <w:spacing w:val="0"/>
          <w:position w:val="0"/>
          <w:sz w:val="24"/>
          <w:shd w:fill="FFFF00" w:val="clear"/>
        </w:rPr>
        <w:t xml:space="preserve">). Refer to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Generate the Cell Membrane Permeabilization Map (Δ</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P</w:t>
      </w:r>
      <w:r>
        <w:rPr>
          <w:rFonts w:ascii="Calibri" w:hAnsi="Calibri" w:cs="Calibri" w:eastAsia="Calibri"/>
          <w:color w:val="000000"/>
          <w:spacing w:val="0"/>
          <w:position w:val="0"/>
          <w:sz w:val="24"/>
          <w:shd w:fill="FFFF00" w:val="clear"/>
        </w:rPr>
        <w:t xml:space="preserve"> / Δ</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C</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versus Electrical Energy,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over all tested pulse conditions. Verify ‘optimal’ pulsing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electro-Transfection Efficiency (eTE)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w:t>
        <w:tab/>
      </w:r>
      <w:r>
        <w:rPr>
          <w:rFonts w:ascii="Calibri" w:hAnsi="Calibri" w:cs="Calibri" w:eastAsia="Calibri"/>
          <w:color w:val="000000"/>
          <w:spacing w:val="0"/>
          <w:position w:val="0"/>
          <w:sz w:val="24"/>
          <w:shd w:fill="FFFF00" w:val="clear"/>
        </w:rPr>
        <w:t xml:space="preserve">Following the 24-h incubation period, remove the electroporated cells from the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w:t>
        <w:tab/>
      </w:r>
      <w:r>
        <w:rPr>
          <w:rFonts w:ascii="Calibri" w:hAnsi="Calibri" w:cs="Calibri" w:eastAsia="Calibri"/>
          <w:color w:val="000000"/>
          <w:spacing w:val="0"/>
          <w:position w:val="0"/>
          <w:sz w:val="24"/>
          <w:shd w:fill="FFFF00" w:val="clear"/>
        </w:rPr>
        <w:t xml:space="preserve">Perform a live cell stain. Dilute DRAQ5 1:1000 to a final concentration of 5 &amp;#181;M in the cell culture vessel. Gently mix the cells/staining solution and incubate at 37 &amp;#176;C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different stain can be implemented in this step. Ensure that the fluorescent properties do not overlap with the fluorescent marker indicating successful electro-transfection (i.e., GFP is in the green wavelength and DRAQ5 is the far-red).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w:t>
        <w:tab/>
        <w:t xml:space="preserve">Turn on an epifluorescent microscope, lamp, and cameras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11.2.4.</w:t>
        <w:tab/>
        <w:t xml:space="preserve">Remove the cells from the incubator and bring them into focus on the microscope.</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11.2.5.</w:t>
        <w:tab/>
        <w:t xml:space="preserve">Capture a phase-contrast image (brightfield) of the selected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11.2.6.</w:t>
        <w:tab/>
      </w:r>
      <w:r>
        <w:rPr>
          <w:rFonts w:ascii="Calibri" w:hAnsi="Calibri" w:cs="Calibri" w:eastAsia="Calibri"/>
          <w:color w:val="000000"/>
          <w:spacing w:val="0"/>
          <w:position w:val="0"/>
          <w:sz w:val="24"/>
          <w:shd w:fill="FFFF00" w:val="clear"/>
        </w:rPr>
        <w:t xml:space="preserve">Capture epifluorescent images of the same field using FITC (GFP) and Far-Red (DRAQ5) filters. Analyze the image sets manually or via an algorithm.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for representative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11.2.7.</w:t>
        <w:tab/>
        <w:t xml:space="preserve">Count the total number of GFP-positive cells in all the images. Count the total number of DRAQ5 stained cells in all the images. Calculate eTE (ratio of GFP positive cells to DRAQ5 stained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highlights the operating principles behind the single-cell-level membrane permeabilization detection for a single pulse amplitude. Following the initiation of the electroporation experiment, the cell detection algorithm determines an optimal threshold for cell detection via a point-by-point, slope-based detection method. The system then continuously monitors (1) for a significant negative change in the measured electrical current, which is indicative of the entry of a cell. This is due to the insulative nature of the biological cell membrane, such that when the cell traverses through the electrode set, there is an instantaneous increase in impedance, resulting in a sharp, decrease in the measured current, allowing for consistent cell detection (2), which ultimately triggers the switch to the computer-controlled pulse application (4). The insulated cell displaces a volume of electrolyte between the electrodes, resulting in a drop in current that is proportional to the size of the cell. This change in current is denoted as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(3). Immediately following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calculation, the pre-determined, electrical pulse is administered (4) to the cell in transit. This instantaneous influx of energy introduces a brief sensing artifact into the system (grey box). Upon re-locking onto the signal, i.e., switching back to cell monitoring, (5) it is evident that the electroporation pulse permeabilized the cell membrane as the magnitude of current change due to the cell’s presence between the electrode set drops upon exit (6). The difference in the two drops in current due to the cell’s impedance magnitude pre/post electroporation pulse application is termed the permeabilization current and is denoted as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Once the cell exits the volume between the electrodes, the baseline stabilizes, and the system returns to cell detection mode (1). After a pre-determined number of cells are electroporated, the next highest energy electroporation pulse is tested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pulse settings). For each electroporation pulse tested, an average ‘degree of membrane permeabilization’ is determined. This value is calculated as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Once each pre-determined electroporation pulse is tested, the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is plotted against the applied electrical energy density (</w:t>
      </w:r>
      <w:r>
        <w:rPr>
          <w:rFonts w:ascii="Symbol" w:hAnsi="Symbol" w:cs="Symbol" w:eastAsia="Symbol"/>
          <w:color w:val="000000"/>
          <w:spacing w:val="0"/>
          <w:position w:val="0"/>
          <w:sz w:val="24"/>
          <w:shd w:fill="auto" w:val="clear"/>
        </w:rPr>
        <w:t xml:space="preserve">&amp;#963;</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where </w:t>
      </w:r>
      <w:r>
        <w:rPr>
          <w:rFonts w:ascii="Symbol" w:hAnsi="Symbol" w:cs="Symbol" w:eastAsia="Symbol"/>
          <w:i/>
          <w:color w:val="000000"/>
          <w:spacing w:val="0"/>
          <w:position w:val="0"/>
          <w:sz w:val="24"/>
          <w:shd w:fill="auto" w:val="clear"/>
        </w:rPr>
        <w:t xml:space="preserve">&amp;#963;</w:t>
      </w:r>
      <w:r>
        <w:rPr>
          <w:rFonts w:ascii="Calibri" w:hAnsi="Calibri" w:cs="Calibri" w:eastAsia="Calibri"/>
          <w:color w:val="000000"/>
          <w:spacing w:val="0"/>
          <w:position w:val="0"/>
          <w:sz w:val="24"/>
          <w:shd w:fill="auto" w:val="clear"/>
        </w:rPr>
        <w:t xml:space="preserve"> is the solution conductivity (S/cm),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 the electric field strength (kV/cm),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the pulse duration (ms). Refer to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the cell membrane permeabilization map for HEK293 cells used in this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distinct correlation is observed between the applied electrical energy and the degree of cell membrane permeabilization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with the existence of a transition region where a substantial increase in the degree of cell membrane permeabilization occurs. To that end, a pulse with electrical energy that surpasses this transition region is selected for the high-throughput phase of the micro-electroporation process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In this experiment, the 1.8 kV/cm: 670 &amp;#181;s pulse was determined as ‘optimal’. As was described in detail in subsection 10.3 of the protocol, the system flow rate is increased, and the function generator set to continuously output a pulse with a set pulse and duty cycle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pulse settings for 1.5 &amp;#181;L/min and 3.0 &amp;#181;L/min flow rates) to ensure 1 pulse is applied to each cell in transit. In this study, the flow rate was increased by 5x, thus the pulse width was set to 50 ms (matching the cell transit time) at a duty cycle (d.c.) of 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24 h of post-electroporation recovery, the cells were imaged to determine the electro-transfection efficiency (eTE). As described in subsection </w:t>
      </w: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of the protocol, the eTE was determined as the total number of cells expressing GFP normalized to the total number of cells stained with DRAQ5. The eTE for the 1.8 kV/cm : 670 &amp;#181;s pulse was determined to be ~70%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To highlight the importance of the system to accurately map out the degree of cell membrane permeabilization and select a sufficiently high electroporation pulse energy when transitioning to the high-throughput mode, the 0.4 kV/cm: 3 ms pulse condition was also explored in terms of eTE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In this case, the resulting eTE at 24 hours was less than 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Here]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factors affecting electroporation outcomes. </w:t>
      </w:r>
      <w:r>
        <w:rPr>
          <w:rFonts w:ascii="Calibri" w:hAnsi="Calibri" w:cs="Calibri" w:eastAsia="Calibri"/>
          <w:color w:val="000000"/>
          <w:spacing w:val="0"/>
          <w:position w:val="0"/>
          <w:sz w:val="24"/>
          <w:shd w:fill="auto" w:val="clear"/>
        </w:rPr>
        <w:t xml:space="preserve">(Left) Cell Suspension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Important factors to consider prior to the onset of electroporation include:  Payload (in this case, pDNA), concentration, cell density, and electroporation buffer properties. Electroporation buffer properties to consider are conductivity, osmolarity, and the exact molecular composition contributing to these values. (Middle) Pulse Application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exact pulse-type (square wave vs. exponential decay) and pulse waveform (single pulse vs. pulse train) must be optimized to maximize both the resulting cell viability and electro-transfection efficiency. Common pulse trains implemented in electroporation processes are typically composed of a series of High Voltage (HV) pulses or series of pulses rotating between HV and Low Voltage (LV) pulse magnitudes. (Right) Cell Recovery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Down-stream processing steps, in particular, the recovery cell culture media that cells are transferred to, should be optimized. Not featured (Far Left), additional upstream cell processing steps can be implemented for overall electroporation process optimization.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Microdevice fabrication.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Microfluidic Channel Fabrication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Key Steps: Silicon Wafer Cleaning (steps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Photoresist Coating and Soft Bake (steps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UV Exposure (step 2.1.10), Development (step 2.1.12), and PDMS Pouring (subsection 6.2).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Electrode Fabrication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Key Steps: Glass Slide Cleaning (steps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HMDS Coating and Photoresist Coating (steps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UV Exposure (step 2.2.8), Development (step 2.2.9), HF Etch (section 3), Physical Vapor Deposition (section 4), and Photoresist Lift-off (section 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Device Finalization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Key Steps:  Inlet/Outlet Access and Sonication (step 6.2.3 and section 6.3), PDMS Bonding, and Wire Attachment (section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Experimental setup schematic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Single cell detection</w:t>
      </w:r>
      <w:r>
        <w:rPr>
          <w:rFonts w:ascii="Calibri" w:hAnsi="Calibri" w:cs="Calibri" w:eastAsia="Calibri"/>
          <w:color w:val="000000"/>
          <w:spacing w:val="0"/>
          <w:position w:val="0"/>
          <w:sz w:val="24"/>
          <w:shd w:fill="auto" w:val="clear"/>
        </w:rPr>
        <w:t xml:space="preserve">. The high-power op-amp (PA-90) allows for the super-imposition of the high voltage electroporation pulse onto the lock-in Output AC signal that is required for the single-cell detection. This excitation signal passes through the micro-electroporation device (Device Under Test, DUT) where the current is then amplified by the current pre-amplifier and fed into the algorithm. The system continuously monitors for the cell detection event. Upon cell entry, a digital signal is generated by the lock-in amplifier to trigger the application of the electroporation pulse to the cell(s) in transit. Legend:  PA-90 (high power op amp), DUT (device under test), DIO (digital input/output), FG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EP (function generator / electroporation pulse), 50X (50X amplifier), PS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 (power supply / negative voltage for PA 90), FG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 (Function Generator, positive voltage for PA 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Single cell membrane permeabilization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Algorithm operation. </w:t>
      </w:r>
      <w:r>
        <w:rPr>
          <w:rFonts w:ascii="Calibri" w:hAnsi="Calibri" w:cs="Calibri" w:eastAsia="Calibri"/>
          <w:color w:val="000000"/>
          <w:spacing w:val="0"/>
          <w:position w:val="0"/>
          <w:sz w:val="24"/>
          <w:shd w:fill="auto" w:val="clear"/>
        </w:rPr>
        <w:t xml:space="preserve">(Top) Electrical recording of a series of single-cell detections / pulse applications (indicated by the sharp spikes in current). (Bottom) System operation for the detection and pulsing of a single cell. (1) System is continuously sensing for a change in the current, via a point-by-point slope calculation. (2) A sharp decrease in the slope is detected, indicative of the entry of a cell between the electrodes and triggers the computer-controlled pulse application. (3) A current drop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is determined and is proportional to the size of the cell. (4) The electroporation pulse is applied to the cell in transit, causing a sensing artifact in the electrical signal (grey box). (5) The lock-in amplifier switches back to cell monitoring as it re-locks into the cell in transit. (6) The cell exits the electrode set, causing another, smaller magnitude spike in current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&amp;gt;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6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I</w:t>
      </w:r>
      <w:r>
        <w:rPr>
          <w:rFonts w:ascii="Calibri" w:hAnsi="Calibri" w:cs="Calibri" w:eastAsia="Calibri"/>
          <w: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The difference in the impedance measurements is due to pore formation through the insulated cell membrane. This change in current is termed the permeabilization current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The degree of cell membrane permeabilization is calculated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The baseline stabilizes and the system returns to detection mode (1).</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HEK293 cell membrane permeabilization mapping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I</w:t>
      </w:r>
      <w:r>
        <w:rPr>
          <w:rFonts w:ascii="Calibri" w:hAnsi="Calibri" w:cs="Calibri" w:eastAsia="Calibri"/>
          <w:b/>
          <w:i/>
          <w:color w:val="000000"/>
          <w:spacing w:val="0"/>
          <w:position w:val="0"/>
          <w:sz w:val="24"/>
          <w:shd w:fill="auto" w:val="clear"/>
          <w:vertAlign w:val="subscript"/>
        </w:rPr>
        <w:t xml:space="preserve">p</w:t>
      </w:r>
      <w:r>
        <w:rPr>
          <w:rFonts w:ascii="Calibri" w:hAnsi="Calibri" w:cs="Calibri" w:eastAsia="Calibri"/>
          <w:b/>
          <w:color w:val="000000"/>
          <w:spacing w:val="0"/>
          <w:position w:val="0"/>
          <w:sz w:val="24"/>
          <w:shd w:fill="auto" w:val="clear"/>
          <w:vertAlign w:val="subscript"/>
        </w:rPr>
        <w:t xml:space="preserve"> </w:t>
      </w:r>
      <w:r>
        <w:rPr>
          <w:rFonts w:ascii="Calibri" w:hAnsi="Calibri" w:cs="Calibri" w:eastAsia="Calibri"/>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I</w:t>
      </w:r>
      <w:r>
        <w:rPr>
          <w:rFonts w:ascii="Calibri" w:hAnsi="Calibri" w:cs="Calibri" w:eastAsia="Calibri"/>
          <w:b/>
          <w:i/>
          <w:color w:val="000000"/>
          <w:spacing w:val="0"/>
          <w:position w:val="0"/>
          <w:sz w:val="24"/>
          <w:shd w:fill="auto" w:val="clear"/>
          <w:vertAlign w:val="subscript"/>
        </w:rPr>
        <w:t xml:space="preserve">c</w:t>
      </w:r>
      <w:r>
        <w:rPr>
          <w:rFonts w:ascii="Calibri" w:hAnsi="Calibri" w:cs="Calibri" w:eastAsia="Calibri"/>
          <w:b/>
          <w:color w:val="000000"/>
          <w:spacing w:val="0"/>
          <w:position w:val="0"/>
          <w:sz w:val="24"/>
          <w:shd w:fill="auto" w:val="clear"/>
        </w:rPr>
        <w:t xml:space="preserve"> versus electrical energy. </w:t>
      </w:r>
      <w:r>
        <w:rPr>
          <w:rFonts w:ascii="Calibri" w:hAnsi="Calibri" w:cs="Calibri" w:eastAsia="Calibri"/>
          <w:color w:val="000000"/>
          <w:spacing w:val="0"/>
          <w:position w:val="0"/>
          <w:sz w:val="24"/>
          <w:shd w:fill="auto" w:val="clear"/>
        </w:rPr>
        <w:t xml:space="preserve">The electrical data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is represented as the Mean &amp;plusmn; SEM. Pulsing conditions (left to right)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0.4 kV/cm : 3 ms, 0.8 kV/cm : 1.5 ms, 1.0 kV/cm : 1.2 ms, 1.2 kV/cm : 1 ms, 1.8 kV/cm : 0.67 ms, 2.4 kV/cm : 0.5 ms.  A clear correlation is observed between the degree of cell membrane permeabilization and the electrical energy density of the applied pulse. For this round of experimentation, the 1.8 kV/cm: 0.67 ms pulsing condition was selected as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optimal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electroporation pulse for the high-throughput module.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Cell-population-based feedback-controlled electroporation</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Process workflow. </w:t>
      </w:r>
      <w:r>
        <w:rPr>
          <w:rFonts w:ascii="Calibri" w:hAnsi="Calibri" w:cs="Calibri" w:eastAsia="Calibri"/>
          <w:color w:val="000000"/>
          <w:spacing w:val="0"/>
          <w:position w:val="0"/>
          <w:sz w:val="24"/>
          <w:shd w:fill="auto" w:val="clear"/>
        </w:rPr>
        <w:t xml:space="preserve">To start, an initial flow rate is programmed (Q</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to allow for single-cell-level electrical interrogation. A programmable number of cells is pulsed at each pre-determined electroporation pulsing conditions (E</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to E</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with the applied electrical energy increasing with each iteration of electroporation pulse applications. Following the completion of the highest electrical energy pulse included in the study, E</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the cell membrane permeabilization curve is plotted, and the optimal electroporation pulse is determined for the cell population under test. The system proceeds to high-throughput mode, where the flow rate is increased to Q</w:t>
      </w:r>
      <w:r>
        <w:rPr>
          <w:rFonts w:ascii="Calibri" w:hAnsi="Calibri" w:cs="Calibri" w:eastAsia="Calibri"/>
          <w:color w:val="000000"/>
          <w:spacing w:val="0"/>
          <w:position w:val="0"/>
          <w:sz w:val="24"/>
          <w:shd w:fill="auto" w:val="clear"/>
          <w:vertAlign w:val="subscript"/>
        </w:rPr>
        <w:t xml:space="preserve">throughput,</w:t>
      </w:r>
      <w:r>
        <w:rPr>
          <w:rFonts w:ascii="Calibri" w:hAnsi="Calibri" w:cs="Calibri" w:eastAsia="Calibri"/>
          <w:color w:val="000000"/>
          <w:spacing w:val="0"/>
          <w:position w:val="0"/>
          <w:sz w:val="24"/>
          <w:shd w:fill="auto" w:val="clear"/>
        </w:rPr>
        <w:t xml:space="preserve"> and the rate-limiting single-cell interrogation steps are omitted. The optimal pulse train will be continuously applied E</w:t>
      </w:r>
      <w:r>
        <w:rPr>
          <w:rFonts w:ascii="Calibri" w:hAnsi="Calibri" w:cs="Calibri" w:eastAsia="Calibri"/>
          <w:color w:val="000000"/>
          <w:spacing w:val="0"/>
          <w:position w:val="0"/>
          <w:sz w:val="24"/>
          <w:shd w:fill="auto" w:val="clear"/>
          <w:vertAlign w:val="subscript"/>
        </w:rPr>
        <w:t xml:space="preserve">opt </w:t>
      </w:r>
      <w:r>
        <w:rPr>
          <w:rFonts w:ascii="Calibri" w:hAnsi="Calibri" w:cs="Calibri" w:eastAsia="Calibri"/>
          <w:color w:val="000000"/>
          <w:spacing w:val="0"/>
          <w:position w:val="0"/>
          <w:sz w:val="24"/>
          <w:shd w:fill="auto" w:val="clear"/>
        </w:rPr>
        <w:t xml:space="preserve">/ t</w:t>
      </w:r>
      <w:r>
        <w:rPr>
          <w:rFonts w:ascii="Calibri" w:hAnsi="Calibri" w:cs="Calibri" w:eastAsia="Calibri"/>
          <w:color w:val="000000"/>
          <w:spacing w:val="0"/>
          <w:position w:val="0"/>
          <w:sz w:val="24"/>
          <w:shd w:fill="auto" w:val="clear"/>
          <w:vertAlign w:val="subscript"/>
        </w:rPr>
        <w:t xml:space="preserve">opt </w:t>
      </w:r>
      <w:r>
        <w:rPr>
          <w:rFonts w:ascii="Calibri" w:hAnsi="Calibri" w:cs="Calibri" w:eastAsia="Calibri"/>
          <w:color w:val="000000"/>
          <w:spacing w:val="0"/>
          <w:position w:val="0"/>
          <w:sz w:val="24"/>
          <w:shd w:fill="auto" w:val="clear"/>
        </w:rPr>
        <w:t xml:space="preserve">at d.c.</w:t>
      </w:r>
      <w:r>
        <w:rPr>
          <w:rFonts w:ascii="Calibri" w:hAnsi="Calibri" w:cs="Calibri" w:eastAsia="Calibri"/>
          <w:color w:val="000000"/>
          <w:spacing w:val="0"/>
          <w:position w:val="0"/>
          <w:sz w:val="24"/>
          <w:shd w:fill="auto" w:val="clear"/>
          <w:vertAlign w:val="subscript"/>
        </w:rPr>
        <w:t xml:space="preserve">opt </w:t>
      </w:r>
      <w:r>
        <w:rPr>
          <w:rFonts w:ascii="Calibri" w:hAnsi="Calibri" w:cs="Calibri" w:eastAsia="Calibri"/>
          <w:color w:val="000000"/>
          <w:spacing w:val="0"/>
          <w:position w:val="0"/>
          <w:sz w:val="24"/>
          <w:shd w:fill="auto" w:val="clear"/>
        </w:rPr>
        <w:t xml:space="preserve">such that each cell in transit will receive a single electroporation pulse based on the cell transit time and the pulse width duty cycle (d.c.).</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electro-Transfection Efficiency</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GFP expression at 24 h. </w:t>
      </w:r>
      <w:r>
        <w:rPr>
          <w:rFonts w:ascii="Calibri" w:hAnsi="Calibri" w:cs="Calibri" w:eastAsia="Calibri"/>
          <w:color w:val="000000"/>
          <w:spacing w:val="0"/>
          <w:position w:val="0"/>
          <w:sz w:val="24"/>
          <w:shd w:fill="auto" w:val="clear"/>
        </w:rPr>
        <w:t xml:space="preserve">HEK293 cells were incubated at 37 &amp;#176;C for 24 hours following micro-electroporation experiments. All cells were stained with DRAQ5 (red), and the electro-transfection efficiency (eTE) was determined based on the ratio of cells expressing GFP (green) to the total cell number (red). Cell viability was not assessed as an outcome metric in this study.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stacked 4&amp;#215; fluorescence image of HEK293 cells successfully transfected via a 1.8 kV/cm: 670 &amp;#181;s pulse showing eTE of approximately 70%.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stacked 4&amp;#215; fluorescence image of HEK293 cells unsuccessfully transfected via a 0.4 kV/cm : 3 ms pulse showing eTE &amp;lt;&amp;lt; 5%. Scale bar: 100 &amp;#181;m.</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Electroporation pulse parameters. </w:t>
      </w:r>
      <w:r>
        <w:rPr>
          <w:rFonts w:ascii="Calibri" w:hAnsi="Calibri" w:cs="Calibri" w:eastAsia="Calibri"/>
          <w:color w:val="000000"/>
          <w:spacing w:val="0"/>
          <w:position w:val="0"/>
          <w:sz w:val="24"/>
          <w:shd w:fill="auto" w:val="clear"/>
        </w:rPr>
        <w:t xml:space="preserve">For this study, electroporation pulses were chosen such that the charge flux (</w:t>
      </w:r>
      <w:r>
        <w:rPr>
          <w:rFonts w:ascii="Symbol" w:hAnsi="Symbol" w:cs="Symbol" w:eastAsia="Symbol"/>
          <w:color w:val="000000"/>
          <w:spacing w:val="0"/>
          <w:position w:val="0"/>
          <w:sz w:val="24"/>
          <w:shd w:fill="auto" w:val="clear"/>
        </w:rPr>
        <w:t xml:space="preserve">&amp;#963;</w:t>
      </w:r>
      <w:r>
        <w:rPr>
          <w:rFonts w:ascii="Calibri" w:hAnsi="Calibri" w:cs="Calibri" w:eastAsia="Calibri"/>
          <w:color w:val="000000"/>
          <w:spacing w:val="0"/>
          <w:position w:val="0"/>
          <w:sz w:val="24"/>
          <w:shd w:fill="auto" w:val="clear"/>
        </w:rPr>
        <w:t xml:space="preserve">&amp;#215;</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&amp;#215;</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remains constant, where </w:t>
      </w:r>
      <w:r>
        <w:rPr>
          <w:rFonts w:ascii="Symbol" w:hAnsi="Symbol" w:cs="Symbol" w:eastAsia="Symbol"/>
          <w:i/>
          <w:color w:val="000000"/>
          <w:spacing w:val="0"/>
          <w:position w:val="0"/>
          <w:sz w:val="24"/>
          <w:shd w:fill="auto" w:val="clear"/>
        </w:rPr>
        <w:t xml:space="preserve">&amp;#963;</w:t>
      </w:r>
      <w:r>
        <w:rPr>
          <w:rFonts w:ascii="Calibri" w:hAnsi="Calibri" w:cs="Calibri" w:eastAsia="Calibri"/>
          <w:color w:val="000000"/>
          <w:spacing w:val="0"/>
          <w:position w:val="0"/>
          <w:sz w:val="24"/>
          <w:shd w:fill="auto" w:val="clear"/>
        </w:rPr>
        <w:t xml:space="preserve"> is the solution conductivity (S/cm),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is the electric field strength (kV/cm)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the pulse duration (ms). The result is a spectrum of the applied pulse electrical energy. Examples of the required duty cycle (d.c.) to achieve the specified pulse parameters are provided for both a 5&amp;#215; and 10&amp;#215; increase in the initial (single-cell-detection) flow rate.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2-Dimensional CAD schematic.</w:t>
      </w:r>
      <w:r>
        <w:rPr>
          <w:rFonts w:ascii="Calibri" w:hAnsi="Calibri" w:cs="Calibri" w:eastAsia="Calibri"/>
          <w:color w:val="000000"/>
          <w:spacing w:val="0"/>
          <w:position w:val="0"/>
          <w:sz w:val="24"/>
          <w:shd w:fill="auto" w:val="clear"/>
        </w:rPr>
        <w:t xml:space="preserve"> The micro-electroporation device consists of a straight, 100 &amp;#181;m wide micro-channel with a 1 mm diameter inlet and a 3 mm diameter outlet. Each electrode trace is 100 &amp;#181;m wide and the electrode set encompasses the electroporation region of the device, which is 300 &amp;#181;m long. The 3-dimensional height of the micro-channel is controlled by the thickness of the photoresist. In this work, the height of the device was 20 &amp;#181;m.</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presented within this protocol primarily focuses on the microfabrication of a microfluidic device that is then integrated into a specialized electroporation experimental setup. The term ‘recipe’, which is often used when describing the specifics of the microfabrication process, hints at the importance of following/optimizing each step to successfully fabricate a functioning device. However, certain critical steps within the process, when not optimized, such as UV exposure time/energy, PVD sputtering rates/durations, and oxygen plasma generator settings, can be problematic to both the fabrication process as well as the successful execution of the electroporation experiments. Troubleshooting the fabrication process is primarily done via trial and error or a more controlled Design of Experiments experimental design. Additionally, there are alternative microfabrication techniques, such as Deep Reactive Ion Etching (DRIE), that can be substituted to perform the different steps within the protocol (i.e., using a DRIE etched molding structure to perform the soft lithography process). Furthermore, optimizing recipes and designing/fabricating devices can be time-consuming for novices in the field. However, once the microfabrication process has been successfully developed, the engineer/scientist has the freedom to design a device that is suitable to their specific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that end, the device described within this protocol was developed to expand upon our previous work</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This entailed the utilization of the single-cell membrane permeabilization electrical detection but in a higher-throughput manner. The experimental setup described within requires the need for specialized equipment, i.e., lock-in amplifier, that may be uncommon to the standard research lab and thus limiting the potential outreach and adaptability of this technique. However, a ‘bare-bones’ microfluidic electroporation device can be implemented following this protocol, requiring only a function generator and possibly a voltage amplifier to generate the electroporation pulses.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this micro-electroporation platform distinguishes itself from other single-cell electroporation technologies. The ability to both electrically detect and optimize electroporation parameters on a single-cell suspension in a continuous-flow environment is truly innovative. Future work involves optimizing the other important experimental parameters related to successful electroporation outcomes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1) to further improve the overall effectiveness of this </w:t>
      </w:r>
      <w:r>
        <w:rPr>
          <w:rFonts w:ascii="Calibri" w:hAnsi="Calibri" w:cs="Calibri" w:eastAsia="Calibri"/>
          <w:color w:val="auto"/>
          <w:spacing w:val="0"/>
          <w:position w:val="0"/>
          <w:sz w:val="24"/>
          <w:shd w:fill="auto" w:val="clear"/>
        </w:rPr>
        <w:t xml:space="preserve">platform</w:t>
      </w:r>
      <w:r>
        <w:rPr>
          <w:rFonts w:ascii="Calibri" w:hAnsi="Calibri" w:cs="Calibri" w:eastAsia="Calibri"/>
          <w:color w:val="000000"/>
          <w:spacing w:val="0"/>
          <w:position w:val="0"/>
          <w:sz w:val="24"/>
          <w:shd w:fill="auto" w:val="clear"/>
        </w:rPr>
        <w:t xml:space="preserve">. Additional viability and metabolic assays will be developed and implemented to assess any potential negative downstream effects associated with the micro-electroporation platform. Furthermore, the microfluidic design can continue to be improved upon to achieve higher cellular throughput, as has been demonstrated by other groups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Upon addressing these concerns, this technology has the potential to be adopted into the cell therapy manufacturing process to perform gene delivery and/or gene editing, as this methodology is highly amenable to both a closed and automated process.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financial support by the National Science Foundation (NSF CBET 0967598, DBI IDBR 1353918) and the U.S. Department of Education’s Graduate Training in Emerging Areas of Precision and Personalized Medicine (P200A150131) for funding graduate student J.J.S. on fellowship.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Gao, Q.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Therapeutic potential of CRISPR/Cas9 gene editing in engineered T-cell therapy. </w:t>
      </w:r>
      <w:r>
        <w:rPr>
          <w:rFonts w:ascii="Calibri" w:hAnsi="Calibri" w:cs="Calibri" w:eastAsia="Calibri"/>
          <w:i/>
          <w:color w:val="000000"/>
          <w:spacing w:val="0"/>
          <w:position w:val="0"/>
          <w:sz w:val="24"/>
          <w:shd w:fill="auto" w:val="clear"/>
        </w:rPr>
        <w:t xml:space="preserve">Cancer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4254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Aijaz,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Biomanufacturing for clinically advanced cell therapies. </w:t>
      </w:r>
      <w:r>
        <w:rPr>
          <w:rFonts w:ascii="Calibri" w:hAnsi="Calibri" w:cs="Calibri" w:eastAsia="Calibri"/>
          <w:i/>
          <w:color w:val="000000"/>
          <w:spacing w:val="0"/>
          <w:position w:val="0"/>
          <w:sz w:val="24"/>
          <w:shd w:fill="auto" w:val="clear"/>
        </w:rPr>
        <w:t xml:space="preserve">Nature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Milone, M. C., O’Doherty, U. Clinical use of lentiviral vectors.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 1529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Weaver, J. C., Chizmadzhev, Y. A. Theory of electroporation: A review. </w:t>
      </w:r>
      <w:r>
        <w:rPr>
          <w:rFonts w:ascii="Calibri" w:hAnsi="Calibri" w:cs="Calibri" w:eastAsia="Calibri"/>
          <w:i/>
          <w:color w:val="000000"/>
          <w:spacing w:val="0"/>
          <w:position w:val="0"/>
          <w:sz w:val="24"/>
          <w:shd w:fill="auto" w:val="clear"/>
        </w:rPr>
        <w:t xml:space="preserve">Bioelectrochemistry and Bioenergetics.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Kotnik, T., Rems, L., Tarek, M., Miklavcic, D. Membrane electroporation and electropermeabilization: mechanisms and models. </w:t>
      </w:r>
      <w:r>
        <w:rPr>
          <w:rFonts w:ascii="Calibri" w:hAnsi="Calibri" w:cs="Calibri" w:eastAsia="Calibri"/>
          <w:i/>
          <w:color w:val="000000"/>
          <w:spacing w:val="0"/>
          <w:position w:val="0"/>
          <w:sz w:val="24"/>
          <w:shd w:fill="auto" w:val="clear"/>
        </w:rPr>
        <w:t xml:space="preserve">Annual Review of Biophysics.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Rosazza, C., Meglic, S. H., Zumbusch, A., Rols, M. P., Miklavcic, D. Gene electrotransfer: A mechanistic perspective. </w:t>
      </w:r>
      <w:r>
        <w:rPr>
          <w:rFonts w:ascii="Calibri" w:hAnsi="Calibri" w:cs="Calibri" w:eastAsia="Calibri"/>
          <w:i/>
          <w:color w:val="000000"/>
          <w:spacing w:val="0"/>
          <w:position w:val="0"/>
          <w:sz w:val="24"/>
          <w:shd w:fill="auto" w:val="clear"/>
        </w:rPr>
        <w:t xml:space="preserve">Current Gene Therapy.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Clauss,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Efficient non-viral T-cell engineering by sleeping beauty minicircles diminishing DNA toxicity and miRNAs silencing the endogenous T-cell receptors.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Sherba,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effects of electroporation buffer composition on cell viability and electro-transfection efficiency.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3053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Lu, H., Schmidt, M. A., Jensen, K. F. A microfluidic electroporation device for cell lysis.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Single-cell electroporation: current trends, applications and future prospects. </w:t>
      </w:r>
      <w:r>
        <w:rPr>
          <w:rFonts w:ascii="Calibri" w:hAnsi="Calibri" w:cs="Calibri" w:eastAsia="Calibri"/>
          <w:i/>
          <w:color w:val="000000"/>
          <w:spacing w:val="0"/>
          <w:position w:val="0"/>
          <w:sz w:val="24"/>
          <w:shd w:fill="auto" w:val="clear"/>
        </w:rPr>
        <w:t xml:space="preserve">Journal of Micromechanics and Microengineering.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Shi, J.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review on electroporation-based intracellular delivery.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S. N., Zhang, X. L., Wang, W. X., Lee, L. J. Semicontinuous flow electroporation chip for high-throughput transfection on mammalian cells.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(11), 4414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Wei, W.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implantable microelectrode array for simultaneous L-glutamate and electrophysiological recordings in vivo. </w:t>
      </w:r>
      <w:r>
        <w:rPr>
          <w:rFonts w:ascii="Calibri" w:hAnsi="Calibri" w:cs="Calibri" w:eastAsia="Calibri"/>
          <w:i/>
          <w:color w:val="000000"/>
          <w:spacing w:val="0"/>
          <w:position w:val="0"/>
          <w:sz w:val="24"/>
          <w:shd w:fill="auto" w:val="clear"/>
        </w:rPr>
        <w:t xml:space="preserve">Microsystems &amp;amp; Nanoengineering.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Maschietto, M., Dal Maschio, M., Girardi, S., Vassanelli, S. In situ electroporation of mammalian cells through SiO2 thin film capacitive microelectrodes.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Wu, Q.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Organ-on-a-chip: recent breakthroughs and future prospects. </w:t>
      </w:r>
      <w:r>
        <w:rPr>
          <w:rFonts w:ascii="Calibri" w:hAnsi="Calibri" w:cs="Calibri" w:eastAsia="Calibri"/>
          <w:i/>
          <w:color w:val="000000"/>
          <w:spacing w:val="0"/>
          <w:position w:val="0"/>
          <w:sz w:val="24"/>
          <w:shd w:fill="auto" w:val="clear"/>
        </w:rPr>
        <w:t xml:space="preserve">Biomedical Engineering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Pandey,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Microfluidics Based Point-of-Care Diagnostics.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Vigneshvar, S., Sudhakumari, C. C., Senthilkumaran, B., Prakash, H. Recent advances in biosensor technology for potential applications - An overview.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Nuxoll, E. BioMEMS in drug delivery.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Kang, S., Kim, K. H., Kim, Y. C. A novel electroporation system for efficient molecular delivery into Chlamydomonas reinhardtii with a 3-dimensional microelectrode.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Zheng, M. D., Shan, J. W., Lin, H., Shreiber, D. I., Zahn, J. D. Hydrodynamically controlled cell rotation in an electroporation microchip to circumferentially deliver molecules into single cells. </w:t>
      </w:r>
      <w:r>
        <w:rPr>
          <w:rFonts w:ascii="Calibri" w:hAnsi="Calibri" w:cs="Calibri" w:eastAsia="Calibri"/>
          <w:i/>
          <w:color w:val="000000"/>
          <w:spacing w:val="0"/>
          <w:position w:val="0"/>
          <w:sz w:val="24"/>
          <w:shd w:fill="auto" w:val="clear"/>
        </w:rPr>
        <w:t xml:space="preserve">Microfluidics and Nanofluidics.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Santra, T. S., Kar, S., Chang, H. Y., Tseng, F. G. Nano-localized single-cell nano-electroporation.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(22), 4194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Lee, W. G., Demirci, U., Khademhosseini, A. Microscale electroporation: challenges and perspectives for clinical applications. </w:t>
      </w:r>
      <w:r>
        <w:rPr>
          <w:rFonts w:ascii="Calibri" w:hAnsi="Calibri" w:cs="Calibri" w:eastAsia="Calibri"/>
          <w:i/>
          <w:color w:val="000000"/>
          <w:spacing w:val="0"/>
          <w:position w:val="0"/>
          <w:sz w:val="24"/>
          <w:shd w:fill="auto" w:val="clear"/>
        </w:rPr>
        <w:t xml:space="preserve">Integrative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Santra, T. S., Chang, H. Y., Wang, P. C.,Tseng, F. G. Impact of pulse duration on localized single-cell nano-electroporation.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(23), 6249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Geng, T., Lu, C. Microfluidic electroporation for cellular analysis and delivery.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(19), 3803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Hsi,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Acoustophoretic rapid media exchange and continuous-flow electrotransfection of primary human T cells for applications in automated cellular therapy manufacturing.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(18), 2978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Khine, M., Ionescu-Zanetti, C., Blatz, A., Wang, L. P., Lee, L. P. Single-cell electroporation arrays with real-time monitoring and feedback control.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Ye, Y.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Single-cell electroporation and real-time electrical monitoring on a microfluidic chip. </w:t>
      </w:r>
      <w:r>
        <w:rPr>
          <w:rFonts w:ascii="Calibri" w:hAnsi="Calibri" w:cs="Calibri" w:eastAsia="Calibri"/>
          <w:i/>
          <w:color w:val="000000"/>
          <w:spacing w:val="0"/>
          <w:position w:val="0"/>
          <w:sz w:val="24"/>
          <w:shd w:fill="auto" w:val="clear"/>
        </w:rPr>
        <w:t xml:space="preserve">2020 33rd Ieee International Conference on Micro Electro Mechanical Systems (Mems 2020).</w:t>
      </w:r>
      <w:r>
        <w:rPr>
          <w:rFonts w:ascii="Calibri" w:hAnsi="Calibri" w:cs="Calibri" w:eastAsia="Calibri"/>
          <w:color w:val="000000"/>
          <w:spacing w:val="0"/>
          <w:position w:val="0"/>
          <w:sz w:val="24"/>
          <w:shd w:fill="auto" w:val="clear"/>
        </w:rPr>
        <w:t xml:space="preserve"> 1040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Huang, Y., Rubinsky, B. Microfabricated electroporation chip for single cell membrane permeabilization. </w:t>
      </w:r>
      <w:r>
        <w:rPr>
          <w:rFonts w:ascii="Calibri" w:hAnsi="Calibri" w:cs="Calibri" w:eastAsia="Calibri"/>
          <w:i/>
          <w:color w:val="000000"/>
          <w:spacing w:val="0"/>
          <w:position w:val="0"/>
          <w:sz w:val="24"/>
          <w:shd w:fill="auto" w:val="clear"/>
        </w:rPr>
        <w:t xml:space="preserve">Sensors and Actuators a-Physical.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Guo, X. L., Zhu, R. Controllable in-situ cell electroporation with cell positioning and impedance monitoring using micro electrode array.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Punjiya, M., Nejad, H. R., Mathews, J., Levin, M., Sonkusale, S. A flow through device for simultaneous dielectrophoretic cell trapping and AC electroporation.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Wang, H. Y.,  Lu, C. Microfluidic electroporation for delivery of small molecules and genes into cells using a common DC power supply.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(3), 579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Zheng, M.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Continuous-flow, electrically-triggered, single cell-level electroporation. </w:t>
      </w:r>
      <w:r>
        <w:rPr>
          <w:rFonts w:ascii="Calibri" w:hAnsi="Calibri" w:cs="Calibri" w:eastAsia="Calibri"/>
          <w:i/>
          <w:color w:val="000000"/>
          <w:spacing w:val="0"/>
          <w:position w:val="0"/>
          <w:sz w:val="24"/>
          <w:shd w:fill="auto" w:val="clear"/>
        </w:rPr>
        <w:t xml:space="preserve">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Batista Napotnik, T., Miklavcic, D. In vitro electroporation detection methods - An overview. </w:t>
      </w:r>
      <w:r>
        <w:rPr>
          <w:rFonts w:ascii="Calibri" w:hAnsi="Calibri" w:cs="Calibri" w:eastAsia="Calibri"/>
          <w:i/>
          <w:color w:val="000000"/>
          <w:spacing w:val="0"/>
          <w:position w:val="0"/>
          <w:sz w:val="24"/>
          <w:shd w:fill="auto" w:val="clear"/>
        </w:rPr>
        <w:t xml:space="preserve">Bioelectrochemistry.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KAYAKU. </w:t>
      </w:r>
      <w:r>
        <w:rPr>
          <w:rFonts w:ascii="Calibri" w:hAnsi="Calibri" w:cs="Calibri" w:eastAsia="Calibri"/>
          <w:i/>
          <w:color w:val="000000"/>
          <w:spacing w:val="0"/>
          <w:position w:val="0"/>
          <w:sz w:val="24"/>
          <w:shd w:fill="auto" w:val="clear"/>
        </w:rPr>
        <w:t xml:space="preserve">MICROPOSIT™ S1800® G2 Series Photoresists</w:t>
      </w:r>
      <w:r>
        <w:rPr>
          <w:rFonts w:ascii="Calibri" w:hAnsi="Calibri" w:cs="Calibri" w:eastAsia="Calibri"/>
          <w:color w:val="000000"/>
          <w:spacing w:val="0"/>
          <w:position w:val="0"/>
          <w:sz w:val="24"/>
          <w:shd w:fill="auto" w:val="clear"/>
        </w:rPr>
        <w:t xml:space="preserve">, &amp;lt;https://kayakuam.com/wp-content/uploads/2019/09/S1800-G2.pdf&amp;gt;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KAYAKU. </w:t>
      </w:r>
      <w:r>
        <w:rPr>
          <w:rFonts w:ascii="Calibri" w:hAnsi="Calibri" w:cs="Calibri" w:eastAsia="Calibri"/>
          <w:i/>
          <w:color w:val="000000"/>
          <w:spacing w:val="0"/>
          <w:position w:val="0"/>
          <w:sz w:val="24"/>
          <w:shd w:fill="auto" w:val="clear"/>
        </w:rPr>
        <w:t xml:space="preserve">SU-8 2000 Permanent Negative Epoxy Photoresist</w:t>
      </w:r>
      <w:r>
        <w:rPr>
          <w:rFonts w:ascii="Calibri" w:hAnsi="Calibri" w:cs="Calibri" w:eastAsia="Calibri"/>
          <w:color w:val="000000"/>
          <w:spacing w:val="0"/>
          <w:position w:val="0"/>
          <w:sz w:val="24"/>
          <w:shd w:fill="auto" w:val="clear"/>
        </w:rPr>
        <w:t xml:space="preserve">, &amp;lt;https://kayakuam.com/wp-content/uploads/2020/08/KAM-SU-8-2000-2000.5-2015-Datasheet-8.13.20-final.pdf&amp;gt;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MicroChemicals. </w:t>
      </w:r>
      <w:r>
        <w:rPr>
          <w:rFonts w:ascii="Calibri" w:hAnsi="Calibri" w:cs="Calibri" w:eastAsia="Calibri"/>
          <w:i/>
          <w:color w:val="000000"/>
          <w:spacing w:val="0"/>
          <w:position w:val="0"/>
          <w:sz w:val="24"/>
          <w:shd w:fill="auto" w:val="clear"/>
        </w:rPr>
        <w:t xml:space="preserve">Substrate Preparation</w:t>
      </w:r>
      <w:r>
        <w:rPr>
          <w:rFonts w:ascii="Calibri" w:hAnsi="Calibri" w:cs="Calibri" w:eastAsia="Calibri"/>
          <w:color w:val="000000"/>
          <w:spacing w:val="0"/>
          <w:position w:val="0"/>
          <w:sz w:val="24"/>
          <w:shd w:fill="auto" w:val="clear"/>
        </w:rPr>
        <w:t xml:space="preserve">, &amp;lt;https://www.microchemicals.com/technical_information/substrate_cleaning_adhesion_photoresist.pdf&amp;gt;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Lisinenkova, M., Hahn, L., Schulz, J. in </w:t>
      </w:r>
      <w:r>
        <w:rPr>
          <w:rFonts w:ascii="Calibri" w:hAnsi="Calibri" w:cs="Calibri" w:eastAsia="Calibri"/>
          <w:i/>
          <w:color w:val="000000"/>
          <w:spacing w:val="0"/>
          <w:position w:val="0"/>
          <w:sz w:val="24"/>
          <w:shd w:fill="auto" w:val="clear"/>
        </w:rPr>
        <w:t xml:space="preserve">4M 2006 - Second International Conference on Multi-Material Micro Manufacture</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Elsevier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Beh, C. W., Zhou, W. Z., Wang, T. H. PDMS-glass bonding using grafted polymeric adhesive - alternative process flow for compatibility with patterned biological molecules.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(20), 4120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APEX. </w:t>
      </w:r>
      <w:r>
        <w:rPr>
          <w:rFonts w:ascii="Calibri" w:hAnsi="Calibri" w:cs="Calibri" w:eastAsia="Calibri"/>
          <w:i/>
          <w:color w:val="000000"/>
          <w:spacing w:val="0"/>
          <w:position w:val="0"/>
          <w:sz w:val="24"/>
          <w:shd w:fill="auto" w:val="clear"/>
        </w:rPr>
        <w:t xml:space="preserve">PA90 High Voltage Power Operational Amplifiers</w:t>
      </w:r>
      <w:r>
        <w:rPr>
          <w:rFonts w:ascii="Calibri" w:hAnsi="Calibri" w:cs="Calibri" w:eastAsia="Calibri"/>
          <w:color w:val="000000"/>
          <w:spacing w:val="0"/>
          <w:position w:val="0"/>
          <w:sz w:val="24"/>
          <w:shd w:fill="auto" w:val="clear"/>
        </w:rPr>
        <w:t xml:space="preserve">, &amp;lt;https://www.apexanalog.com/resources/products/pa90u.pdf&amp;gt;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Lissandrello, C.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High-throughput continuous-flow microfluidic electroporation of mRNA into primary human T cells for applications in cellular therapy manufacturing.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18045 (2020).</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