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Live-3D-Cell Immunocytochemistry Assays of Pediatric Diffuse Midline Glioma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Giulia Pericoli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Roberta Ferretti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Moore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Maria Vinci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Onco-hematology, Gene and Cell Therapy, Bambino Gesù Children’s Hospital, IRCCS, Rome, Italy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Oncology Service, Queensland Children’s Hospital, Brisbane, 4101, Australia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Child Health Research Centre, The University of Queensland, Brisbane, 4101,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Giulia Pericoli </w:t>
        <w:tab/>
        <w:tab/>
        <w:t xml:space="preserve">(giulia.pericoli@opbg.net)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Roberta Ferretti</w:t>
        <w:tab/>
        <w:t xml:space="preserve">(ferrettiroberta@hotmail.it)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Moore</w:t>
        <w:tab/>
        <w:t xml:space="preserve">(andy.moore@health.qld.gov.au)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Maria Vinci</w:t>
        <w:tab/>
        <w:tab/>
        <w:t xml:space="preserve">(maria.vinci@opbg.net)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Maria Vinci</w:t>
        <w:tab/>
        <w:tab/>
        <w:t xml:space="preserve">(maria.vinci@opbg.net)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a protocol of live-3D-cell immunocytochemistry applied to a pediatric diffuse midline glioma cell line, useful to study in real-time the expression of proteins on the plasma membrane during dynamic processes like 3D cell invasion and migration.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migration and invasion are specific hallmarks of Diffuse Midline Glioma (DMG) H3K27M-mutant tumors. We have already modeled these features using three-dimensional (3D) cell-based invasion and migration assays. In this study, we have optimized these 3D assays for live-cell immunocytochemistry. An antibody Labeling Reagent was used to detect in real-time the expression of the adhesion molecule CD44, on the plasma membrane of migrating and invading cells of a DMG H3K27M primary patient-derived cell line. CD44 is associated with cancer stem cell phenotype and tumor cell migration and invasion and is involved in the direct interactions with the central nervous system (CNS) extracellular matrix. Neurospheres (NS) from the DMG H3K27M cell line were embedded into the basal membrane matrix (BMM) or placed onto a thin coating layer of BMM, in the presence of an anti-CD44 antibody in conjunction with the antibody labeling reagent (ALR). The live-3D-cell immunocytochemistry image analysis was performed on a live-cell analysis instrument to quantitatively measure the overall CD44 expression, specifically on the migrating and invading cells. The method also allows visualizing in real-time the intermittent expression of CD44 on the plasma membrane of migrating and invading cells. Moreover, the assay also provided new insights into the potential role of CD44 in the mesenchymal to amoeboid transition in DMG H3K27M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tumor cells to evade and disseminate through the surrounding tissue is a hallmark of cancer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particular, tumor cell motility is a characteristic feature of malignant tumors, whether it is a metastatic tumor type such as breast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colorectal cancer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a locally invasive type such as diffuse glioma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has a central role in the investigation of many aspects of tumor cell phenotypes; however, live-cell imaging is definitely to be preferred when studying dynamic cellular processes such as migration and invasion, when changes in morphology and cell-cell interaction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occur and can be more easily examined over time. For live-cell imaging, different optical microscopy systems can be used, from phase contrast to confocal fluorescent microscopes, and image acquisition performed over a short or long period of time on an inverted microscope equipped with a chamber for temperature and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control, or in high-content image analysis systems which have built-in chambers, or alternatively in image systems that can sit in the incubator without the need to disturb the cells during the whole duration of the experiment. The choice of the system used is often dictated by a number of factors such as resolution needed, length of the overall acquisition time and time intervals, vessel type used and throughput of the assay (single chamber or multi-well plate), the sensitivity of the cells used (precious and/or rare cells) and phototoxicity of the cells if fluorophores are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fluorescent imaging in live mode, this can be achieved by transducing cells for the expression of fluorescent proteins either for stable expression or as an inducible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by transient cell transfection, or by using cell dyes which are now available for live-cell labeling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live-cell tracking as well as for labeling subcellular organelles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useful approach has been recently developed for live-cell immunocytochemistry, where an antibody recognizing a surface marker of choice can be bound to a labeling reagent, and upon addition to the culture media, cells expressing the specific marker can be readily imaged in real-time by live-cell imaging. The visualization and quantification of marker expression using such a system can be easily achieved when cells are grown in two-dimensional (2D) culture conditions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optimized protocols for live-3D-cell immunocytochemistry invasion and migration of pediatric diffuse midline glioma (DMG) patient-derived cells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DMG are highly aggressive brain tumors affecting children, for the vast majority associated with the driver mutation K27M in histone H3 variants. DMG arise in the brain stem and the midline regions of the central nervous system (CNS) and are characterized by a highly infiltrative nature. This invasive capacity has been shown to be at least in part mediated by the intratumor heterogeneity and the cancer-stem-like features of DMG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exemplify our assays, an antibody labeling reagent (ALR) was used in combination with an antibody for CD44. CD44 is a transmembrane glycoprotein and adhesion molecule expressed on stem-cell and other cell types, associated with cancer stem cell phenotype and tumor cell migration and invasion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protocols include the sample preparation, the image acquisition in brightfield and fluorescent mode, and the analysis on a live-cell analysis instrument that allowed to quantitatively measure in real-time the overall CD44 expression on the DMG cell membrane during 3D invasion and migration. The assays also allowed the possibility to visualize the intermittent fluorescent signal of CD44 on individual cells while migrating and invading. Interestingly an effect of the anti-CD44 antibody was also observed, which potentially acting as a blocking antibody, also seemed to reduce cell migration and invasion as well as to induce a switch of the invasion pattern from a collective mesenchymal-like to a more single-cell amoeboid-like phenotype.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the institutions’ human research ethics committees.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study was performed using Incucyte S3 and/or SX5 Live-Cell Analysis Instrument (referenced as live cell analysis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Generation of reproducibly sized tumor spheroids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(section 1) described by Vinci et al. 2015</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was used as reported below, with some modifications: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 the DMG H3K27M-mutant neurospheres (NS) and centrifuge at 170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Incubate the NS with 500 &amp;#181;L of the accutase solution for 3 min at 37 &amp;#176;C to break them 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Neutralize the accutase solution with tumor stem cell (TSM) medium</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and centrifuge the cell suspension at 355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Resuspend the cell pellet in 1 mL of TSM medium and then count the cells using a  cell counting chamber.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Dilute the cell suspension to obtain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cells/mL and seed 100 &amp;#181;L/well into ultra-low attachment (ULA) 96-well round-bottom plates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 a proper cell density to obtain individual NS of  ~300 &amp;#181;m diameter, 4 days after cell seeding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cells/well for highly aggressive glioma cells).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Visually confirm the NS formation by using an inverted microscope 4 days after cell seeding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the ALR/antibody complex and setup for the invasion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antibody labeling procedure, the antibody labeling dyes protocol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live-cell Immunocytochemistry is used with some modifications, as reported below.  For the invasion assay, the protocol previously described by Vinci et al. 2015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 followed.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Consider the number of wells (e.g., 60 wells) to analyze and calculate the volume needed for each reagent. Also include the wells for the negative control (samples with ALR but without antibody).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100 &amp;#181;L of sterile water to the ALR to rehydrate the reagent  (final concentration = 0.5 mg/mL). Pipette to mix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reagent is light-sensitive; therefore, keep in the dark. Aliquot the leftover reagent and store at -80 &amp;#176;C (avoid freezing and thawing).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Mix the antibody with the ALR in the TSM medium (or appropriate cell growth media for the cell line of choice) in a round bottom multi-well plate or in an amber tube and protect from light.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Prepare enough quantity of the medium to dispense 25 &amp;#181;L/well at 3x final assay concentration. Incubate at RT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1:3 molar ratio of antibody to ALR is recommended, with a final (1x) concentration of the test antibody &amp;lt;1.5 &amp;#181;g/mL. For the experiments in this protocol an  anti-human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CD44 mouse antibody is used (starting concentration 86 &amp;#181;g/mL) at a final concentration of 0.1 &amp;#181;g/mL (3x concentration = 0.3 &amp;#181;g/mL).</w:t>
      </w:r>
      <w:r>
        <w:rPr>
          <w:rFonts w:ascii="Calibri" w:hAnsi="Calibri" w:cs="Calibri" w:eastAsia="Calibri"/>
          <w:color w:val="auto"/>
          <w:spacing w:val="0"/>
          <w:position w:val="0"/>
          <w:sz w:val="24"/>
          <w:shd w:fill="FFFF00" w:val="clear"/>
        </w:rPr>
        <w:t xml:space="preserve">Add the reagents in the following order: i) antibody; ii) ALR; iii) TSM medium. Mix by pipetting.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Dilute the background suppressor reagent (BSR) in TSM medium (or appropriate cell growth media for cell line of choice) at 1.5 mM (3x) to obtain at the end of the assay a final concentration of 0.5 mM.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Perform the invasion assay directly in the ULA 96-well round-bottom plate where cells were initially seeded. Check the NS visually using an inverted microscope before starting.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Gently and slowly remove 75 &amp;#181;L/well of the medium, avoiding touching the bottom of the well where the NS sits. Check the presence of the NS visually.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Gently add 25 &amp;#181;L of the BSR to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Gently add 25 &amp;#181;L of the ALR/antibody complex to each well. Wait 2 or 3 min to let the ALR/antibody complex mix with the medium.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Check visually using an inverted microscope to ensure that each NS is centrally located at the bottom of the well. Avoid the formation of bubbles. If any bubble is present, remove it by using a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the plate on ice and wait 5 min to let the bottom of the plate become cold.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With a pre-cooled p200 tip, dispense 75 &amp;#181;L/well of basal membrane matrix (BMM), placing the pipette tip on the internal wall of the well and avoiding touching the bottom of the well. Avoid the formation of bubbles and remove with a sterile needle the existing ones.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to have thawed the BMM at 4 &amp;#176;C from the night before.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Leave the plate on ice for 5 min to let the BMM mix with the medium. Check visually using an inverted microscope the presence of the NS and that they are centrally located in the well. If not, centrifuge the plate at 4 &amp;#176;C at 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Transfer the plate in the live-cell analysis instrument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placed within the incubator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95% humidity.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Preparation of the ALR/antibody complex and setup for the migration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antibody labeling procedure, the Labeling Dyes protocol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Live-Cell Immunocytochemistry is used.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Consider the number of wells to analyze and calculate the volume needed for each reagent. Include also the wells needed for the negative controls. Check the NS visually using an inverted microscope before starting.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Use flat-bottom 96-well plates. Perform the coating procedure as described by Vinci et al., 2013</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this study, the BMM is used as a thin coating.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Once the coating is ready, remove the excess of BMM coating with a p200 tip placing the tip in the edge of the well and avoiding touching the bottom. If working with multiple wells, use a multichannel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Cut a p200 tip, take 50 &amp;#181;L of the cell medium + NS from each selected well, and transfer it to a coated flat bottom well. Check the presence and the position of the NS in each well visually.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NS must be centrally located in the well. Avoid leaning on the tip on the edge of the well during the transfer but drop the medium centrally in the well without touching the bottom. For highly migratory cells, consider a higher number of replicates than the standard three replicates. This is because when NS sits too close to the edge of the well, the migrating cells may cover a smaller area of the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Rehydrate the ALR as described above (steps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Reagent is light sensitive. See above for good handling procedures.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Mix the antibody with ALR in the appropriate complete cell growth media in a round bottom multi-well plate or in an amber tube and protect from light. Prepare enough quantity to dispense 50 &amp;#181;L/well at 3x final assay concentration. Incubate at RT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the reagents in the order as indicated above (step 2.4).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Follow the same procedure as reported in step 2.5.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Gently add 50 &amp;#181;L of the BSR to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Gently add 50 &amp;#181;L of the ALR/antibody to each well. Wait 2 or 3 min to let the reagents mix and check visually using an inverted microscope to ensure that most of the replicate NS are centrally located in the well.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Avoid the formation of bubbles and remove any existing ones by using a needle. Gently transfer the plate in the live-cell analysis instrument placed within the incubator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95% humidity.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Live-cell analysis instrument setting for image acquisition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Scan the plates using the live-cell analysis instrument  (for specifications,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scanning intervals starting from time point zero (t0) of the invasion and migration assays set up, respectively, after step 2.14. and 3.10. up to 96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Ensure to be able to dispose of the live-cell analysis instrument immediately after the starting of the invasion and migration assay. Depending on the tumor type, cells can start to invade or migrate from the NS already within 1 h from the assay setup.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On the live-cell analysis instrument software, select the option </w:t>
      </w:r>
      <w:r>
        <w:rPr>
          <w:rFonts w:ascii="Calibri" w:hAnsi="Calibri" w:cs="Calibri" w:eastAsia="Calibri"/>
          <w:b/>
          <w:color w:val="auto"/>
          <w:spacing w:val="0"/>
          <w:position w:val="0"/>
          <w:sz w:val="24"/>
          <w:shd w:fill="FFFF00" w:val="clear"/>
        </w:rPr>
        <w:t xml:space="preserve">Schedule to Acquire. </w:t>
      </w:r>
      <w:r>
        <w:rPr>
          <w:rFonts w:ascii="Calibri" w:hAnsi="Calibri" w:cs="Calibri" w:eastAsia="Calibri"/>
          <w:color w:val="auto"/>
          <w:spacing w:val="0"/>
          <w:position w:val="0"/>
          <w:sz w:val="24"/>
          <w:shd w:fill="FFFF00" w:val="clear"/>
        </w:rPr>
        <w:t xml:space="preserve">Click on the</w:t>
      </w:r>
      <w:r>
        <w:rPr>
          <w:rFonts w:ascii="Calibri" w:hAnsi="Calibri" w:cs="Calibri" w:eastAsia="Calibri"/>
          <w:b/>
          <w:color w:val="auto"/>
          <w:spacing w:val="0"/>
          <w:position w:val="0"/>
          <w:sz w:val="24"/>
          <w:shd w:fill="FFFF00" w:val="clear"/>
        </w:rPr>
        <w:t xml:space="preserve"> + </w:t>
      </w:r>
      <w:r>
        <w:rPr>
          <w:rFonts w:ascii="Calibri" w:hAnsi="Calibri" w:cs="Calibri" w:eastAsia="Calibri"/>
          <w:color w:val="auto"/>
          <w:spacing w:val="0"/>
          <w:position w:val="0"/>
          <w:sz w:val="24"/>
          <w:shd w:fill="FFFF00" w:val="clear"/>
        </w:rPr>
        <w:t xml:space="preserve">tab and select the option </w:t>
      </w:r>
      <w:r>
        <w:rPr>
          <w:rFonts w:ascii="Calibri" w:hAnsi="Calibri" w:cs="Calibri" w:eastAsia="Calibri"/>
          <w:b/>
          <w:color w:val="auto"/>
          <w:spacing w:val="0"/>
          <w:position w:val="0"/>
          <w:sz w:val="24"/>
          <w:shd w:fill="FFFF00" w:val="clear"/>
        </w:rPr>
        <w:t xml:space="preserve">Scan on Schedule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On the software window </w:t>
      </w:r>
      <w:r>
        <w:rPr>
          <w:rFonts w:ascii="Calibri" w:hAnsi="Calibri" w:cs="Calibri" w:eastAsia="Calibri"/>
          <w:b/>
          <w:color w:val="auto"/>
          <w:spacing w:val="0"/>
          <w:position w:val="0"/>
          <w:sz w:val="24"/>
          <w:shd w:fill="FFFF00" w:val="clear"/>
        </w:rPr>
        <w:t xml:space="preserve">Create or Restore Vessel</w:t>
      </w:r>
      <w:r>
        <w:rPr>
          <w:rFonts w:ascii="Calibri" w:hAnsi="Calibri" w:cs="Calibri" w:eastAsia="Calibri"/>
          <w:color w:val="auto"/>
          <w:spacing w:val="0"/>
          <w:position w:val="0"/>
          <w:sz w:val="24"/>
          <w:shd w:fill="FFFF00" w:val="clear"/>
        </w:rPr>
        <w:t xml:space="preserve">, click on the option </w:t>
      </w:r>
      <w:r>
        <w:rPr>
          <w:rFonts w:ascii="Calibri" w:hAnsi="Calibri" w:cs="Calibri" w:eastAsia="Calibri"/>
          <w:b/>
          <w:color w:val="auto"/>
          <w:spacing w:val="0"/>
          <w:position w:val="0"/>
          <w:sz w:val="24"/>
          <w:shd w:fill="FFFF00" w:val="clear"/>
        </w:rPr>
        <w:t xml:space="preserve">New.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Select the specific application in the live-cell analysis instrument for the invasion and migration acquisition. Select </w:t>
      </w:r>
      <w:r>
        <w:rPr>
          <w:rFonts w:ascii="Calibri" w:hAnsi="Calibri" w:cs="Calibri" w:eastAsia="Calibri"/>
          <w:b/>
          <w:color w:val="auto"/>
          <w:spacing w:val="0"/>
          <w:position w:val="0"/>
          <w:sz w:val="24"/>
          <w:shd w:fill="FFFF00" w:val="clear"/>
        </w:rPr>
        <w:t xml:space="preserve">Spheroid</w:t>
      </w:r>
      <w:r>
        <w:rPr>
          <w:rFonts w:ascii="Calibri" w:hAnsi="Calibri" w:cs="Calibri" w:eastAsia="Calibri"/>
          <w:color w:val="auto"/>
          <w:spacing w:val="0"/>
          <w:position w:val="0"/>
          <w:sz w:val="24"/>
          <w:shd w:fill="FFFF00" w:val="clear"/>
        </w:rPr>
        <w:t xml:space="preserve"> scan type, 4x objective, </w:t>
      </w:r>
      <w:r>
        <w:rPr>
          <w:rFonts w:ascii="Calibri" w:hAnsi="Calibri" w:cs="Calibri" w:eastAsia="Calibri"/>
          <w:b/>
          <w:color w:val="auto"/>
          <w:spacing w:val="0"/>
          <w:position w:val="0"/>
          <w:sz w:val="24"/>
          <w:shd w:fill="FFFF00" w:val="clear"/>
        </w:rPr>
        <w:t xml:space="preserve">Phase+Brightfield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Green</w:t>
      </w:r>
      <w:r>
        <w:rPr>
          <w:rFonts w:ascii="Calibri" w:hAnsi="Calibri" w:cs="Calibri" w:eastAsia="Calibri"/>
          <w:color w:val="auto"/>
          <w:spacing w:val="0"/>
          <w:position w:val="0"/>
          <w:sz w:val="24"/>
          <w:shd w:fill="FFFF00" w:val="clear"/>
        </w:rPr>
        <w:t xml:space="preserve"> image channels for the invasion assay. Select </w:t>
      </w:r>
      <w:r>
        <w:rPr>
          <w:rFonts w:ascii="Calibri" w:hAnsi="Calibri" w:cs="Calibri" w:eastAsia="Calibri"/>
          <w:b/>
          <w:color w:val="auto"/>
          <w:spacing w:val="0"/>
          <w:position w:val="0"/>
          <w:sz w:val="24"/>
          <w:shd w:fill="FFFF00" w:val="clear"/>
        </w:rPr>
        <w:t xml:space="preserve">Dilution Cloning</w:t>
      </w:r>
      <w:r>
        <w:rPr>
          <w:rFonts w:ascii="Calibri" w:hAnsi="Calibri" w:cs="Calibri" w:eastAsia="Calibri"/>
          <w:color w:val="auto"/>
          <w:spacing w:val="0"/>
          <w:position w:val="0"/>
          <w:sz w:val="24"/>
          <w:shd w:fill="FFFF00" w:val="clear"/>
        </w:rPr>
        <w:t xml:space="preserve"> scan type, 4x objective and </w:t>
      </w:r>
      <w:r>
        <w:rPr>
          <w:rFonts w:ascii="Calibri" w:hAnsi="Calibri" w:cs="Calibri" w:eastAsia="Calibri"/>
          <w:b/>
          <w:color w:val="auto"/>
          <w:spacing w:val="0"/>
          <w:position w:val="0"/>
          <w:sz w:val="24"/>
          <w:shd w:fill="FFFF00" w:val="clear"/>
        </w:rPr>
        <w:t xml:space="preserve">Phase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Green </w:t>
      </w:r>
      <w:r>
        <w:rPr>
          <w:rFonts w:ascii="Calibri" w:hAnsi="Calibri" w:cs="Calibri" w:eastAsia="Calibri"/>
          <w:color w:val="auto"/>
          <w:spacing w:val="0"/>
          <w:position w:val="0"/>
          <w:sz w:val="24"/>
          <w:shd w:fill="FFFF00" w:val="clear"/>
        </w:rPr>
        <w:t xml:space="preserve">for the migration assay.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Select the plate type and define the wells to be scanned by highlighting them on the plate map.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Set up the scanning frequency (for the experiments in this protocol scanning frequency was 15 min for invasion and 30 min for migration).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Click on </w:t>
      </w:r>
      <w:r>
        <w:rPr>
          <w:rFonts w:ascii="Calibri" w:hAnsi="Calibri" w:cs="Calibri" w:eastAsia="Calibri"/>
          <w:b/>
          <w:color w:val="auto"/>
          <w:spacing w:val="0"/>
          <w:position w:val="0"/>
          <w:sz w:val="24"/>
          <w:shd w:fill="FFFF00" w:val="clear"/>
        </w:rPr>
        <w:t xml:space="preserve">Add to Schedule</w:t>
      </w:r>
      <w:r>
        <w:rPr>
          <w:rFonts w:ascii="Calibri" w:hAnsi="Calibri" w:cs="Calibri" w:eastAsia="Calibri"/>
          <w:color w:val="auto"/>
          <w:spacing w:val="0"/>
          <w:position w:val="0"/>
          <w:sz w:val="24"/>
          <w:shd w:fill="FFFF00" w:val="clear"/>
        </w:rPr>
        <w:t xml:space="preserve"> and start the scan.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Live-cell analysis instrument setting for image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 Select the tab </w:t>
      </w:r>
      <w:r>
        <w:rPr>
          <w:rFonts w:ascii="Calibri" w:hAnsi="Calibri" w:cs="Calibri" w:eastAsia="Calibri"/>
          <w:b/>
          <w:color w:val="auto"/>
          <w:spacing w:val="0"/>
          <w:position w:val="0"/>
          <w:sz w:val="24"/>
          <w:shd w:fill="FFFF00" w:val="clear"/>
        </w:rPr>
        <w:t xml:space="preserve">Create New Analysis Definition</w:t>
      </w:r>
      <w:r>
        <w:rPr>
          <w:rFonts w:ascii="Calibri" w:hAnsi="Calibri" w:cs="Calibri" w:eastAsia="Calibri"/>
          <w:color w:val="auto"/>
          <w:spacing w:val="0"/>
          <w:position w:val="0"/>
          <w:sz w:val="24"/>
          <w:shd w:fill="FFFF00" w:val="clear"/>
        </w:rPr>
        <w:t xml:space="preserve">.</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Select </w:t>
      </w:r>
      <w:r>
        <w:rPr>
          <w:rFonts w:ascii="Calibri" w:hAnsi="Calibri" w:cs="Calibri" w:eastAsia="Calibri"/>
          <w:b/>
          <w:color w:val="auto"/>
          <w:spacing w:val="0"/>
          <w:position w:val="0"/>
          <w:sz w:val="24"/>
          <w:shd w:fill="FFFF00" w:val="clear"/>
        </w:rPr>
        <w:t xml:space="preserve">Spheroid Invasion</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Basic Analyzer</w:t>
      </w:r>
      <w:r>
        <w:rPr>
          <w:rFonts w:ascii="Calibri" w:hAnsi="Calibri" w:cs="Calibri" w:eastAsia="Calibri"/>
          <w:color w:val="auto"/>
          <w:spacing w:val="0"/>
          <w:position w:val="0"/>
          <w:sz w:val="24"/>
          <w:shd w:fill="FFFF00" w:val="clear"/>
        </w:rPr>
        <w:t xml:space="preserve"> application for invasion and migration, respectively, on the tab.</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Select the invasion and migration appropriate channels (for Invasion: </w:t>
      </w:r>
      <w:r>
        <w:rPr>
          <w:rFonts w:ascii="Calibri" w:hAnsi="Calibri" w:cs="Calibri" w:eastAsia="Calibri"/>
          <w:b/>
          <w:color w:val="auto"/>
          <w:spacing w:val="0"/>
          <w:position w:val="0"/>
          <w:sz w:val="24"/>
          <w:shd w:fill="FFFF00" w:val="clear"/>
        </w:rPr>
        <w:t xml:space="preserve">Phase+Brightfield</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Green</w:t>
      </w:r>
      <w:r>
        <w:rPr>
          <w:rFonts w:ascii="Calibri" w:hAnsi="Calibri" w:cs="Calibri" w:eastAsia="Calibri"/>
          <w:color w:val="auto"/>
          <w:spacing w:val="0"/>
          <w:position w:val="0"/>
          <w:sz w:val="24"/>
          <w:shd w:fill="FFFF00" w:val="clear"/>
        </w:rPr>
        <w:t xml:space="preserve">; for Migration: </w:t>
      </w:r>
      <w:r>
        <w:rPr>
          <w:rFonts w:ascii="Calibri" w:hAnsi="Calibri" w:cs="Calibri" w:eastAsia="Calibri"/>
          <w:b/>
          <w:color w:val="auto"/>
          <w:spacing w:val="0"/>
          <w:position w:val="0"/>
          <w:sz w:val="24"/>
          <w:shd w:fill="FFFF00" w:val="clear"/>
        </w:rPr>
        <w:t xml:space="preserve">Phase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Green</w:t>
      </w:r>
      <w:r>
        <w:rPr>
          <w:rFonts w:ascii="Calibri" w:hAnsi="Calibri" w:cs="Calibri" w:eastAsia="Calibri"/>
          <w:color w:val="auto"/>
          <w:spacing w:val="0"/>
          <w:position w:val="0"/>
          <w:sz w:val="24"/>
          <w:shd w:fill="FFFF00" w:val="clear"/>
        </w:rPr>
        <w:t xml:space="preserve">) in the image channel.</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Select few representative images from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wells for previewing and refining the analysis setting.</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For the invasion assay, in the </w:t>
      </w:r>
      <w:r>
        <w:rPr>
          <w:rFonts w:ascii="Calibri" w:hAnsi="Calibri" w:cs="Calibri" w:eastAsia="Calibri"/>
          <w:b/>
          <w:color w:val="auto"/>
          <w:spacing w:val="0"/>
          <w:position w:val="0"/>
          <w:sz w:val="24"/>
          <w:shd w:fill="FFFF00" w:val="clear"/>
        </w:rPr>
        <w:t xml:space="preserve">Analysis Definition </w:t>
      </w:r>
      <w:r>
        <w:rPr>
          <w:rFonts w:ascii="Calibri" w:hAnsi="Calibri" w:cs="Calibri" w:eastAsia="Calibri"/>
          <w:color w:val="auto"/>
          <w:spacing w:val="0"/>
          <w:position w:val="0"/>
          <w:sz w:val="24"/>
          <w:shd w:fill="FFFF00" w:val="clear"/>
        </w:rPr>
        <w:t xml:space="preserve">tab, adjust the application settings in the </w:t>
      </w:r>
      <w:r>
        <w:rPr>
          <w:rFonts w:ascii="Calibri" w:hAnsi="Calibri" w:cs="Calibri" w:eastAsia="Calibri"/>
          <w:b/>
          <w:color w:val="auto"/>
          <w:spacing w:val="0"/>
          <w:position w:val="0"/>
          <w:sz w:val="24"/>
          <w:shd w:fill="FFFF00" w:val="clear"/>
        </w:rPr>
        <w:t xml:space="preserve">Brightfield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Green</w:t>
      </w:r>
      <w:r>
        <w:rPr>
          <w:rFonts w:ascii="Calibri" w:hAnsi="Calibri" w:cs="Calibri" w:eastAsia="Calibri"/>
          <w:color w:val="auto"/>
          <w:spacing w:val="0"/>
          <w:position w:val="0"/>
          <w:sz w:val="24"/>
          <w:shd w:fill="FFFF00" w:val="clear"/>
        </w:rPr>
        <w:t xml:space="preserve"> channels with the following setting to generate a precise segmentation between the Whole Spheroid and Invading Cells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blue mask):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Brightfield Segmentation: Whole Spheroid sensitivity = 50; Invading Cell sensitivity = 100; Clean Up = default.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Whole Spheroid Filters: set all parameters as default.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Invading Cells Filters: set all parameters as default.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Green Segmentation: Radius = 900.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For migration assay, adjust the application settings in the </w:t>
      </w:r>
      <w:r>
        <w:rPr>
          <w:rFonts w:ascii="Calibri" w:hAnsi="Calibri" w:cs="Calibri" w:eastAsia="Calibri"/>
          <w:b/>
          <w:color w:val="auto"/>
          <w:spacing w:val="0"/>
          <w:position w:val="0"/>
          <w:sz w:val="24"/>
          <w:shd w:fill="FFFF00" w:val="clear"/>
        </w:rPr>
        <w:t xml:space="preserve">Phase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Green</w:t>
      </w:r>
      <w:r>
        <w:rPr>
          <w:rFonts w:ascii="Calibri" w:hAnsi="Calibri" w:cs="Calibri" w:eastAsia="Calibri"/>
          <w:color w:val="auto"/>
          <w:spacing w:val="0"/>
          <w:position w:val="0"/>
          <w:sz w:val="24"/>
          <w:shd w:fill="FFFF00" w:val="clear"/>
        </w:rPr>
        <w:t xml:space="preserve"> channels to generate a precise segmentation between the Confluence and Green Cells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yellow and pink masks) with the following setting: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Phase: set all parameters as default.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Green Segmentation: Radius = 300; Threshold = 1000</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Cleanup: Hole Fill = 400; Filters = default.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Whole Well: set all parameters as default.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Check that the analysis settings are correct for the NS by clicking randomly on several wells. The segmentation must outline the spheroid. If not, adjust the setting accordingly.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Select the wells and time points to analyze.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Save the </w:t>
      </w:r>
      <w:r>
        <w:rPr>
          <w:rFonts w:ascii="Calibri" w:hAnsi="Calibri" w:cs="Calibri" w:eastAsia="Calibri"/>
          <w:b/>
          <w:color w:val="auto"/>
          <w:spacing w:val="0"/>
          <w:position w:val="0"/>
          <w:sz w:val="24"/>
          <w:shd w:fill="FFFF00" w:val="clear"/>
        </w:rPr>
        <w:t xml:space="preserve">Analysis Definition</w:t>
      </w:r>
      <w:r>
        <w:rPr>
          <w:rFonts w:ascii="Calibri" w:hAnsi="Calibri" w:cs="Calibri" w:eastAsia="Calibri"/>
          <w:color w:val="auto"/>
          <w:spacing w:val="0"/>
          <w:position w:val="0"/>
          <w:sz w:val="24"/>
          <w:shd w:fill="FFFF00" w:val="clear"/>
        </w:rPr>
        <w:t xml:space="preserve"> and click on </w:t>
      </w:r>
      <w:r>
        <w:rPr>
          <w:rFonts w:ascii="Calibri" w:hAnsi="Calibri" w:cs="Calibri" w:eastAsia="Calibri"/>
          <w:b/>
          <w:color w:val="auto"/>
          <w:spacing w:val="0"/>
          <w:position w:val="0"/>
          <w:sz w:val="24"/>
          <w:shd w:fill="FFFF00" w:val="clear"/>
        </w:rPr>
        <w:t xml:space="preserve">Finish</w:t>
      </w:r>
      <w:r>
        <w:rPr>
          <w:rFonts w:ascii="Calibri" w:hAnsi="Calibri" w:cs="Calibri" w:eastAsia="Calibri"/>
          <w:color w:val="auto"/>
          <w:spacing w:val="0"/>
          <w:position w:val="0"/>
          <w:sz w:val="24"/>
          <w:shd w:fill="FFFF00" w:val="clear"/>
        </w:rPr>
        <w:t xml:space="preserve">.</w:t>
      </w:r>
    </w:p>
    <w:p>
      <w:pPr>
        <w:widowControl w:val="false"/>
        <w:tabs>
          <w:tab w:val="left" w:pos="720" w:leader="none"/>
        </w:tabs>
        <w:spacing w:before="0" w:after="0" w:line="240"/>
        <w:ind w:right="0" w:left="284"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Live-3D-Cell Immunocytochemistry protocol for invasion and migration is summarized in a straightforward and reproducible workflow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By seeding the DMG cells in ULA 96-well round-bottom plates, reproducible sized NS are obtained and used in the steps displayed. When the NS have reached the ideal size of ~300 &amp;#181;m (approximately 4 days post-seeding) the invasion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migration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assays are initiated. The addition of the ALR/antibody complex together with the background suppressor in the medium of the individual NS, allows following the specific marker expression on the cell membrane, in live imaging and over time. The surface marker expression during the cell invasion and migration is easily monitored at intervals starting from t = 0 up to 96 h using the live-cell analysis instrument. This imaging system allows a fully automated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primary patient-derived cell line, QCTB-R059, was used to exemplify the invasion and migration proprieties of pediatric DMG tumor dissemination. QCTB-R059 was originally indicated as a pediatric thalamic glioblastoma (GBM) cell line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Later on, it has been indicated as H3-K27M thalamic glioma cell line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diffuse midline glioma (DMG) H3-K27M cell line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following the 2016 World Health Organization classification of brain tumors with the introduction of DMG H3F3A K27M-mutant as a new entity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CD44, an adhesion molecule known to be involved in cell migration and invasion, was investigated. CD44 is expressed by QCTB-R059 cells as demonstrated by confocal images of immunofluorescent (IF) staining on 3D cell migration onto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invasion into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into consideration that 3D invasion and migration are both non-static processes, we thought to investigate the expression of CD44 over time when cells are in movement. To do this we employed the live-cell immunocytochemistry assay and adapted the protocol for 3D assays. By using the ALR in complex with an anti-CD44 antibody, we are able to follow in real-time the expression of CD44 when the protein is expressed on the cell membrane while the cells evade the neurospheres and spread onto and into the BMM.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live-3D-cell immunocytochemistry allows visualizing CD44 expression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Video 2)</w:t>
      </w:r>
      <w:r>
        <w:rPr>
          <w:rFonts w:ascii="Calibri" w:hAnsi="Calibri" w:cs="Calibri" w:eastAsia="Calibri"/>
          <w:color w:val="auto"/>
          <w:spacing w:val="0"/>
          <w:position w:val="0"/>
          <w:sz w:val="24"/>
          <w:shd w:fill="auto" w:val="clear"/>
        </w:rPr>
        <w:t xml:space="preserve">. The representative frames of the time-lapse, for both migration and invasion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 more in detail the intermittent expression of CD44 on the cell membrane. In particular, it is possible to see the green fluorescent signal to be on (green circle) and then off (black circle) on the same cell observed over time, suggesting that the expression of CD44 is on and off while cells are migrating and invading.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migration and invasion processes are followed over 96 h, and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QCTB-R059 cells show a high level of CD44, demonstrating that overall the expression observed with the live-cell immunocytochemistry is in line with the expression of CD44 obtained by IF shown on confocal images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Interestingly though, we also noticed that when the anti-CD44 antibody is used on live cells, it affects cell morphology, inducing a transition from mesenchymal-like to amoeboid-like invasion. It induces a reduction of the invasive and migratory capacity of these cells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We cannot exclude, though, that the reduction in cell migration and invasion observed is also in part due to an inhibition of cell proliferation.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automated image analysis performed on the live-cell analysis instrument shows the quantification of CD44 expression and its increase over time, measured by the overall green fluorescent signal associated with the ALR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both migration and invasion. The quantifications are achieved as exemplified in </w:t>
      </w:r>
      <w:r>
        <w:rPr>
          <w:rFonts w:ascii="Calibri" w:hAnsi="Calibri" w:cs="Calibri" w:eastAsia="Calibri"/>
          <w:b/>
          <w:color w:val="auto"/>
          <w:spacing w:val="0"/>
          <w:position w:val="0"/>
          <w:sz w:val="24"/>
          <w:shd w:fill="auto" w:val="clear"/>
        </w:rPr>
        <w:t xml:space="preserve">Figure 5B and Figure 5C</w:t>
      </w:r>
      <w:r>
        <w:rPr>
          <w:rFonts w:ascii="Calibri" w:hAnsi="Calibri" w:cs="Calibri" w:eastAsia="Calibri"/>
          <w:color w:val="auto"/>
          <w:spacing w:val="0"/>
          <w:position w:val="0"/>
          <w:sz w:val="24"/>
          <w:shd w:fill="auto" w:val="clear"/>
        </w:rPr>
        <w:t xml:space="preserve">, with the automated image analysis set to segment all the area covered by the CD44 green-migrated cells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all the spread area covered by the CD44 green-invaded cells but excluding the neurosphere core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workflow of Live-3D-Cell Immunocytochemistry Assays</w:t>
      </w:r>
      <w:r>
        <w:rPr>
          <w:rFonts w:ascii="Calibri" w:hAnsi="Calibri" w:cs="Calibri" w:eastAsia="Calibri"/>
          <w:color w:val="auto"/>
          <w:spacing w:val="0"/>
          <w:position w:val="0"/>
          <w:sz w:val="24"/>
          <w:shd w:fill="auto" w:val="clear"/>
        </w:rPr>
        <w:t xml:space="preserve">. The workflow shows the steps involved in the 3D invasion and migration live imaging methods, including representative images of pediatric primary DMG patient-derived cells (QCTB-R059) after invasion into (top panel; t = 96 h) and migration onto (bottom panel; t = 96 h) BMM. Bars = 800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CD44 expression in 3D tumor cell migration. </w:t>
      </w:r>
      <w:r>
        <w:rPr>
          <w:rFonts w:ascii="Calibri" w:hAnsi="Calibri" w:cs="Calibri" w:eastAsia="Calibri"/>
          <w:color w:val="auto"/>
          <w:spacing w:val="0"/>
          <w:position w:val="0"/>
          <w:sz w:val="24"/>
          <w:shd w:fill="auto" w:val="clear"/>
        </w:rPr>
        <w:t xml:space="preserve">Representative immunofluorescent confocal images of CD44 expression in primary DMG patient-derived cells (QCTB-R059) upon migration onto BMM. Timepoint = 96 h (red:CD44; blue: nuclei). Scale bars: 500 &amp;#181;m (upper panel) and 200 &amp;#181;m (lower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CD44 expression in 3D tumor cell invasion. </w:t>
      </w:r>
      <w:r>
        <w:rPr>
          <w:rFonts w:ascii="Calibri" w:hAnsi="Calibri" w:cs="Calibri" w:eastAsia="Calibri"/>
          <w:color w:val="auto"/>
          <w:spacing w:val="0"/>
          <w:position w:val="0"/>
          <w:sz w:val="24"/>
          <w:shd w:fill="auto" w:val="clear"/>
        </w:rPr>
        <w:t xml:space="preserve">Representative immunofluorescent confocal images of CD44 expression in primary DMG patient-derived cells (QCTB-R059) upon invasion into BMM. Time point = 96 h (red:CD44; blue: nuclei). Scale bars: 250 &amp;#181;m (upper panel)  and 100 &amp;#181;m (lower panel).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CD44 expression over time. Selected frames of QCTB-R059 migration (A) and invasion (B) time-lapse. </w:t>
      </w:r>
      <w:r>
        <w:rPr>
          <w:rFonts w:ascii="Calibri" w:hAnsi="Calibri" w:cs="Calibri" w:eastAsia="Calibri"/>
          <w:color w:val="auto"/>
          <w:spacing w:val="0"/>
          <w:position w:val="0"/>
          <w:sz w:val="24"/>
          <w:shd w:fill="auto" w:val="clear"/>
        </w:rPr>
        <w:t xml:space="preserve">Images were obtained on the live-cell imaging instrument. Green circle indicates the expression of CD44, black circle indicates no CD44 expression on the cell membrane of the same cell observed over time. Scale bars: 200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Live-3D-Cell Immunocytochemistry Assays for CD44: migration and invasion.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brightfield, fluorescent (ALR with anti-CD44 antibody), and merge images of QCTB-R059 cell immunocytochemistry migration, and invasion (96 h) are shown. Scale bars: 400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CD44 overall expression relatively to migration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invasion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determined by ALR-anti-CD44 image analysis on the live-cell imaging instrument. The curves show the Green Mean Intensity of CD44 expression over time. Values are mean &amp;plusmn; SD. The two small figures in the plots display the segmentation applied for the analysis of the migration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where all area was considered and the invasion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which the NS core part was excluded.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Effect of anti-CD44 antibody on cell morphology and degree of cell motility.</w:t>
      </w:r>
      <w:r>
        <w:rPr>
          <w:rFonts w:ascii="Calibri" w:hAnsi="Calibri" w:cs="Calibri" w:eastAsia="Calibri"/>
          <w:color w:val="auto"/>
          <w:spacing w:val="0"/>
          <w:position w:val="0"/>
          <w:sz w:val="24"/>
          <w:shd w:fill="auto" w:val="clear"/>
        </w:rPr>
        <w:t xml:space="preserve"> Representative images of QCTB-R059 invasion and migration assay show the effect of anti-CD44 antibody used for the live-3D-cell immunocytochemistry. Cells display a reduced invasion and migration capacity as well as the transition from a more mesenchymal-like to amoeboid-like invasion pattern between the negative control (without anti-CD44 antibody) and CD44 (plus anti-CD44 antibody). Lower panel shows higher power magnification displaying a more clear view on the morphological appearance of the cells in the absence and the presence of the anti-CD44 antibody (white arrows). Scale bars: 800 &amp;#181;m upper panel and 100 &amp;#181;m lower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Time-lapse video of QCTB-R059 3D cell migration on BMM in the presence of anti-CD44 antibody. Fluorescent green signal, representing the expression of CD44 on the cell membrane, is visualized over time by the conjugation of the anti-CD44 antibody with ALR.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2:</w:t>
      </w:r>
      <w:r>
        <w:rPr>
          <w:rFonts w:ascii="Calibri" w:hAnsi="Calibri" w:cs="Calibri" w:eastAsia="Calibri"/>
          <w:color w:val="auto"/>
          <w:spacing w:val="0"/>
          <w:position w:val="0"/>
          <w:sz w:val="24"/>
          <w:shd w:fill="auto" w:val="clear"/>
        </w:rPr>
        <w:t xml:space="preserve"> Time-lapse video of QCTB-R059 3D cell invasion in BMM in the presence of anti-CD44 antibody. Fluorescent green signal, representing the expression of CD44 on the cell membrane, is visualized over time by the conjugation of the anti-CD44 antibody with ALR.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live-3D-cell immunocytochemistry we have adopted here for pediatric DMG invasion and migration could be easily adapted also for other highly invasive tumor cell types, including breast and colon cancer cell 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from previously performed live-2D-cell immunocytochemistry assays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when working in 3D, it is suggested to pay attention to some critical steps. In particular, for the invasion assay we describe, it is advised to add the ALR/antibody mix directly to the medium with NS in each well, prior to the addition of the BMM, and not in the BMM or on top of the BMM once gelled. This is to allow a good mix of the reagents with the medium and ensure more direct access of the reagents to the cell surface. Moreover, to ensure a better quality of the imaging, although the protocol includes the use of the BSR, we advise using phenol red-free medium and BMM.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point to consider for the live-cell immunocytochemistry is that any antibody binding an extracellular membrane protein on live cells may affect the protein function by altering its conformation or by occupying the binding site of a ligand or of a protein on an adjacent cell, therefore acting as a “blocking agent”</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While this approach may be useful as a therapeutic strategy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may not be the primary goal of any experimental setup. Therefore, prior to performing a large set of experiments, different antibodies binding distinct epitopes of the same protein should be tested to also verify any potential “blocking” effect. In this study, we used a specific antibody to follow in real-time the expression of CD44 on the cell membrane of a highly aggressive pediatric DMG cell line in 3D invasion and migration. The protocol used allowed us to quantitatively measure the expression of CD44 over time on cells invading and migrating. Interestingly, in the presence of the anti-CD44 antibody, we also noted a reduction in cell motility in comparison to the cells with the ALR but in the absence of the antibody. We cannot exclude though also an inhibitory effect on cell proliferation. The acquisition of a different invasion pattern with a switch from mesenchymal-like to amoeboid-like cell morphology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was also observed in the presence of anti-CD44 antibodies. These unexpected results suggest that blocking CD44 may contribute to mesenchymal to amoeboid transition in pediatric DMG.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the limitations of this protocol, taking into consideration the resolution of the CCD camera of the Incucyte Live-Cell Analysis Instrument and its limited z-stack capability, the setup we present for the live-3D-cell immunocytochemistry assays may be used as a preliminary approach, on a large scale multi-well format, before moving on to a more in-depth analysis using either more powerful fluorescent imaging systems (e.g., confocal microscopes and high-content imaging system with a confocal modality such as the Operetta CLS or the Opera Phoneix) or a more refined approach for studying in real-time the expression of a surface protein via a reporter assay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broader application of the live-3d-cell immunocytochemistry presented here as a monoculture, could be a 3D co-culture assay established to image and analyze in real-time direct cell-cell interactions. In this case, two different ALR could be used with different fluorophores to bind proteins specifically expressed on the cell membrane on different cell types (e.g., tumor cell and immune cells). In this case, direct cell-cell contact may be analyzed with live imaging by the co-localization of the two different ALR/antibody complexes.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relevant affiliations or financial involvement with any organization or entity with a financial interest in or financial conflict with the subject matter or materials discussed in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Dr. Silvia Soddu and Dr. Giulia Federici (Unit of Cellular Networks and Molecular Therapeutic Targets, IRCCS-Regina Elena National Cancer Institute, Rome, Italy) for access to the IncuCyte S3 Live Cell Imaging System in the preliminary set up of the imaging protocol. Moreover, we thank Bernadett Kolozsvari for the technical advice. The study was supported by the Children with Cancer UK grant (16-234) and The Italian Ministry of Health Ricerca Corrente. M Vinci is a Children with Cancer UK Fellow. R Ferretti is a recipient of Fondazione Veronesi Fellowship (2018 and 2019). The authors acknowledge Fondazione Heal for their support and the Children’s Hospital Foundation for funding the Queensland Children’s Tumor Bank.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Hanahan, D., Weinberg, R. A. Hallmarks of cancer: the next generation.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(5), 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Weigelt, B., Peterse, J. L., van 't Veer, L. J. Breast cancer metastasis: markers and models.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Magrì, A., Bardelli, A. Does early metastatic seeding occur in colorectal cancer?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Cuddapah, V. A., Robel, S., Watkins, S., Sontheimer, H. A neurocentric perspective on glioma invasion.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Caretti,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Subventricular spread of diffuse intrinsic pontine glioma.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 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Pericoli,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Integration of multiple platforms for the analysis of multifluorescent marking technology applied to pediatric GBM and DIPG.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(18), 6763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Vinci,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diversity and cooperativity between subclonal populations of pediatric glioblastoma and diffuse intrinsic pontine glioma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1204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Shuen, W. H., Kan, R., Yu, Z., Lung, H. L., Lung, M. L. Novel lentiviral-inducible transgene expression systems and versatile single-plasmid reporters for in vitro and in vivo cancer biology studies. </w:t>
      </w:r>
      <w:r>
        <w:rPr>
          <w:rFonts w:ascii="Calibri" w:hAnsi="Calibri" w:cs="Calibri" w:eastAsia="Calibri"/>
          <w:i/>
          <w:color w:val="auto"/>
          <w:spacing w:val="0"/>
          <w:position w:val="0"/>
          <w:sz w:val="24"/>
          <w:shd w:fill="auto" w:val="clear"/>
        </w:rPr>
        <w:t xml:space="preserve">Cancer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Huang, C.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Autophagy-regulated ROS from xanthine oxidase acts as an early effector for triggering late mitochondria-dependent apoptosis in cathepsin s-targeted tumor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e0128045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Prudner, B.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Arginine starvation and docetaxel induce c-Myc-driven hENT1 surface expression to overcome gemcitabine resistance in ASS1-negative tumors.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(16), 5122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Ferretti,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Tumor cell invasion into Matrigel: optimized protocol for RNA extraction.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(6),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Vinci, M., Box, C., Eccles, S. A. Three-dimensional (3D) tumor spheroid invasion assay.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e52686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Chen, C., Zhao, S., Karnad, A., Freeman, J. W. The biology and role of CD44 in cancer progression: therapeutic implications. </w:t>
      </w:r>
      <w:r>
        <w:rPr>
          <w:rFonts w:ascii="Calibri" w:hAnsi="Calibri" w:cs="Calibri" w:eastAsia="Calibri"/>
          <w:i/>
          <w:color w:val="auto"/>
          <w:spacing w:val="0"/>
          <w:position w:val="0"/>
          <w:sz w:val="24"/>
          <w:shd w:fill="auto" w:val="clear"/>
        </w:rPr>
        <w:t xml:space="preserve">Journal of Hematology &amp;amp;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Vinci, M., Box, C., Zimmermann, M., Eccles, S. A. Tumor spheroid-based migration assays for evaluation of therapeutic agents.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986</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Taylor, K.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Recurrent activating ACVR1 mutations in diffuse intrinsic pontine glioma.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Mount, C.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Potent antitumor efficacy of anti-GD2 CAR T cells in H3-K27M.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 572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Louis, D.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2016 World Health Organization classification of tumors of the central nervous system: A summary.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(6),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Czabanka,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Junctional adhesion molecule-C mediates the recruitment of embryonic-endothelial progenitor cells to the perivascular niche during tumor angiogenesis. </w:t>
      </w:r>
      <w:r>
        <w:rPr>
          <w:rFonts w:ascii="Calibri" w:hAnsi="Calibri" w:cs="Calibri" w:eastAsia="Calibri"/>
          <w:i/>
          <w:color w:val="auto"/>
          <w:spacing w:val="0"/>
          <w:position w:val="0"/>
          <w:sz w:val="24"/>
          <w:shd w:fill="auto" w:val="clear"/>
        </w:rPr>
        <w:t xml:space="preserve">International Journal of Molecular Sciences.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1209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Pardoll, D. M. The blockade of immune checkpoints in cancer immunotherapy.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Pankov&amp;#225;, K., R&amp;#246;sel, D., Novotný, M., Br&amp;#225;bek, J. The molecular mechanisms of transition between mesenchymal and amoeboid invasiveness in tumor cells.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Cheung, K. J., Gabrielson, E., Werb, Z., Ewald, A. J. Collective invasion in breast cancer requires a conserved basal epithelial program.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(7), 1639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84" w:hanging="284"/>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