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of the Mitochondrial Glutathione Redox State in Primary Neurons using a Ratiometric Indicator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Athanasios Katsalifis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(ORCID: 0000-0003-3494-7617), Angela Maria Casaril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(ORCID: 0000-0003-4994-1891), Constanze Depp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(ORCID: 0000-0003-2868-6932), Carlos Bas-Orth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(ORCID: 0000-0002-6037-8350)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Medical Cell Biology, Institute for Anatomy and Cell Biology, Heidelberg University, Im Neuenheimer Feld 307, D-69120 Heidelberg,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Neurogenetics, Max-Planck-Institute for Experimental Medicine, </w:t>
      </w:r>
      <w:r>
        <w:rPr>
          <w:rFonts w:ascii="Calibri" w:hAnsi="Calibri" w:cs="Calibri" w:eastAsia="Calibri"/>
          <w:color w:val="auto"/>
          <w:spacing w:val="0"/>
          <w:position w:val="0"/>
          <w:sz w:val="24"/>
          <w:shd w:fill="FFFFFF" w:val="clear"/>
        </w:rPr>
        <w:t xml:space="preserve">Hermann-Rein-Stra&amp;#223;e 3, D-37075 G&amp;#246;ttingen,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Angela Maria Casaril</w:t>
      </w:r>
      <w:r>
        <w:rPr>
          <w:rFonts w:ascii="Calibri" w:hAnsi="Calibri" w:cs="Calibri" w:eastAsia="Calibri"/>
          <w:color w:val="auto"/>
          <w:spacing w:val="0"/>
          <w:position w:val="0"/>
          <w:sz w:val="24"/>
          <w:shd w:fill="FFFFFF" w:val="clear"/>
        </w:rPr>
        <w:t xml:space="preserve"> </w:t>
        <w:tab/>
        <w:tab/>
        <w:tab/>
        <w:t xml:space="preserve">(angela.casaril@uni-heidelberg.de)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Athanasios Katsalifis </w:t>
        <w:tab/>
        <w:tab/>
        <w:tab/>
        <w:t xml:space="preserve">(bio2744@edu.biology.uoc.gr)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Constanze Depp</w:t>
      </w:r>
      <w:r>
        <w:rPr>
          <w:rFonts w:ascii="Calibri" w:hAnsi="Calibri" w:cs="Calibri" w:eastAsia="Calibri"/>
          <w:color w:val="auto"/>
          <w:spacing w:val="0"/>
          <w:position w:val="0"/>
          <w:sz w:val="24"/>
          <w:shd w:fill="FFFFFF" w:val="clear"/>
        </w:rPr>
        <w:t xml:space="preserve"> </w:t>
        <w:tab/>
        <w:tab/>
        <w:tab/>
        <w:t xml:space="preserve">(depp@em.mpg.de)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Bas-Orth </w:t>
        <w:tab/>
        <w:tab/>
        <w:tab/>
        <w:t xml:space="preserve">(bas-orth@uni-heidelberg.de)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Carlos Bas-Orth</w:t>
      </w:r>
      <w:r>
        <w:rPr>
          <w:rFonts w:ascii="Calibri" w:hAnsi="Calibri" w:cs="Calibri" w:eastAsia="Calibri"/>
          <w:color w:val="auto"/>
          <w:spacing w:val="0"/>
          <w:position w:val="0"/>
          <w:sz w:val="24"/>
          <w:shd w:fill="auto" w:val="clear"/>
        </w:rPr>
        <w:tab/>
        <w:tab/>
        <w:tab/>
        <w:t xml:space="preserve">(bas-orth@uni-heidelberg.de)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Grx1-roGFP2, confocal microscopy, oxidative stress, hippocampal neurons, excitotoxicity, mitochondrial membrane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protocol to determine differences in basal redox state and redox responses to acute perturbations in primary hippocampal and cortical neurons using confocal live microscopy. The protocol can be applied to other cell types and microscopes with minimal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redox homeostasis is important for neuronal viability and function. Although mitochondria contain several redox systems, the highly abundant thiol-disulfide redox buffer glutathione is considered a central player in antioxidant defenses. Therefore, measuring the mitochondrial glutathione redox potential provides useful information about mitochondrial redox status and oxidative stress. Glutaredoxin1-roGFP2 (Grx1-roGFP2) is a genetically encoded, green fluorescent protein (GFP)-based ratiometric indicator of the glutathione redox potential that has two redox-state-sensitive excitation peaks at 400 nm and 490 nm with a single emission peak at 510 nm. This article describes how to perform confocal live microscopy of mitochondria-targeted Grx1-roGFP2 in primary hippocampal and cortical neurons. It describes how to assess steady-state mitochondrial glutathione redox potential (e.g., to compare disease states or long-term treatments) and how to measure redox changes upon acute treatments (using the excitotoxic drug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-methyl-D-aspartate (NMDA) as an example). In addition, the article presents co-imaging of Grx1-roGFP2 and the mitochondrial membrane potential indicator, tetramethylrhodamine, ethyl ester (TMRE), to demonstrate how Grx1-roGPF2 can be multiplexed with additional indicators for multiparametric analyses. This protocol provides a detailed description of how to (i) optimize confocal laser scanning microscope settings, (ii) apply drugs for stimulation followed by sensor calibration with diamide and dithiothreitol, and (iii) analyze data with ImageJ/FIJI.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important mitochondrial enzymes and signaling molecules are subject to thiol redox regulation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Moreover, mitochondria are a major cellular source of reactive oxygen species and are selectively vulnerable to oxidative damage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Accordingly, the mitochondrial redox potential directly affects bioenergetics, cell signaling, mitochondrial function, and ultimately cell viability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mitochondrial matrix contains high amounts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of the thiol-disulfide redox buffer glutathione (GSH) to maintain redox homeostasis and mount antioxidant defenses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GSH can be covalently attached to target proteins (S-glutathionylation) to control their redox status and activity and is used by a range of detoxifying enzymes that reduce oxidized proteins. Therefore, the mitochondrial glutathione redox potential is a highly informative parameter when studying mitochondrial function and pathophysiology.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roGFP2 is a variant of GFP that has been made redox-sensitive by the addition of two surface-exposed cysteines that form an artificial dithiol-disulfide pair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It has a single emission peak at ~510 nm and two excitation peaks at ~400 nm and 490 nm. Importantly, the relative amplitudes of the two excitation peaks depend on the redox state of roGFP2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making this protein a ratiometric sensor. In the Grx1-roGFP2 sensor, human glutaredoxin-1 (Grx1) has been fused to the N-terminus of roGFP2</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Covalent attachment of the Grx1 enzyme to roGFP2 affords two major improvements of the sensor: it makes the sensor response specific for the GSH/GSSG glutathione redox pair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it speeds up equilibration between GSSG and roGFP2 by a factor of at least 100,000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Grx1-roGFP2 enables specific and dynamic imaging of the cellular glutathione redox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Grx1-roGFP2 imaging can be performed on a wide range of microscopes, including widefield fluorescence microscopes, spinning disc confocal microscopes, and laser scanning confocal microscopes. Expression of the sensor in primary neurons can be achieved by various methods that include lipofection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DNA/calcium-phosphate coprecipitation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virus-mediated gene transfer, or use of transgenic animals as the cell source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Pseudotyped recombinant adeno-associated viruses (rAAV) containing a 1:1 ratio of AAV1 and AAV2 capsid proteins </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were used for the experiments in this article. With this vector, maximal sensor expression is typically reached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after infection and stays stable for at least two weeks. We have successfully used Grx1-roGFP2 in primary hippocampal and cortical neurons from mice and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rAAV-mediated expression of mitochondria-targeted Grx1-roGFP2 in primary rat hippocampal and cortical neurons is used to assess basal mitochondrial glutathione redox state and its acute perturbation. A protocol is provided for confocal live imaging with detailed instructions on how to (i) optimize laser scanning confocal microscope settings, (ii) run a live imaging experiment, and (iii) analyze data with FIJI.</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conformed to national and institutional guidelines, including the Council Directive 2010/63/EU of the European Parliament, and had full Home Office ethical approval (University of Heidelberg Animal Welfare Office and Regierungspraesidium Karlsruhe, licenses T14/21 and T13/21). Primary hippocampal and cortical neurons were prepared from newborn mouse or rat pups according to standard procedures and were maintained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as previously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Stock solutions for imaging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each stock solution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them at 4 &amp;#176;C. For long-term storage (&amp;gt;3 months), keep aliquots at -20 &amp;#176;C.</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Stock solutions of drugs and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Dissolve diamide (DA; used for calibration of maximal 405:488 ratio) in water to obtain a 0.5 M stock solution (e.g., 1 g in 11.615 mL of water).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Dissolve dithiothreitol (DTT; used for calibration of minimal 405:488 ratio) in water to obtain a 1 M stock solution (e.g., 5 g in 32.425 mL of water). Aliquot and store at -20 &amp;#176;C for a maximum of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Dissolve N-methyl-</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aspartate (NMDA; used to induce excitotoxicity and mitochondrial oxidation) in water to obtain a 10 mM stock solution (e.g., 25 mg in 16.991 mL of water). Store the aliquots at -20 &amp;#176;C. For long-term storage (&amp;gt;6 months), keep the aliquots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Tetramethylrhodamine ethyl ester perchlorate (TMRE; a small-molecule indicator of the mitochondrial membrane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w:t>
        <w:tab/>
        <w:t xml:space="preserve">Dissolve TMRE powder in methanol to obtain a 20 mM stock (e.g., 25 mg in 2.427 mL of methanol).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1.2.4.2.</w:t>
        <w:tab/>
        <w:t xml:space="preserve">Dilute the 20 mM stock 1:1,000 in methanol to obtain a 20 &amp;#181;M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1.2.4.3.</w:t>
        <w:tab/>
        <w:t xml:space="preserve">Aliquot the 20 mM and 20 &amp;#181;M stock solutions, seal with parafilm, and store protected from light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stock solutions are stable for several years. Use the 1,000x stock solution (20 &amp;#181;M) for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Imaging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100 mL of imaging buffer by adding all components from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80 mL of sterile water in a measuring cylinder. Bring the volume up to 100 mL with sterile water. Mix by carefully shaking the measuring cylinder until the solution appears homogeneous.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an osmometer to check the osmolarity of the buffer. It should be as close as possible to the growth medium of the cells. Here, this is 315 mOsmol/L. Increase or decrease the sucrose concentration as needed to match the osmolarity of the imaging buffer and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Adjust the pH to 7.4. Make aliquots and keep them at 4 &amp;#176;C for up to two weeks. For long-term storage, keep the aliquots at -20 &amp;#176;C. Let the imaging buffer reach room temperature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Solutions for stimulation and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prepare fresh stimulation solutions by adding stock solutions of indicated drugs to the imaging buffer just before the experiment. Solutions for stimulation and calibration will be added to the imaging chamber sequentially during an experiment (see sections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Depending on the type of experiment, different solutions are required to reach the same end concentration in the respective final volume in the imaging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3x NMDA solution (90 &amp;#181;M; final concentration in the chamber: 30 &amp;#181;M) by adding 63 &amp;#181;L of a 10 mM NMDA stock to 6.937 mL of imaging buffer. Add 500 &amp;#181;L of the resulting solution to the chamber (final volume: 1.5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Prepare 2x DA solution for steps 3 and 4 (1 mM; final concentration in the chamber: 0.5 mM) by adding 14 &amp;#181;L of a 0.5 M DA stock to 6.986 mL of imaging buffer. Add 1 mL to the chamber (final volume: 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Prepare 4x DA solution for step 5 (2 mM; final concentration in the chamber: 0.5 mM) by adding 28 &amp;#181;L of a 0.5 M DA stock to 6.972 mL of imaging buffer. Add 500 &amp;#181;L to the chamber (final volume: 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Prepare 1x DTT solution (5 mM; final concentration in the chamber: 5 mM) by adding 45 &amp;#181;L of 1 M DTT stock to 8955 &amp;#181;L of imaging buffer. Add 1 mL of this solution to the chamber after aspirating the imaging buffer (final volume: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Loading of cells with TMRE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TMRE is used in non-quench mode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at a final concentration of 20 nM. In general, the lowest possible concentration of TMRE that still provides sufficient signal intensity on the microscope of choice should be used. Due to uneven evaporation, the volume of medium in different wells can differ in long-term primary cultures. To ensure a consistent TMRE concentration in all wells, do not add TMRE directly to the wells. Instead, replace the medium in each well with the same amount of TMRE-containing medium. The protocol below is designed for primary neurons in 24-well plates containing ~1 mL of medium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Working in a tissue culture laminar flow hood, collect 500 &amp;#181;L of medium from each well into a single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Per well, add 0.5 &amp;#181;L of 20 &amp;#181;M TMRE stock into the conical tube (e.g., 12 &amp;#181;L for 24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Carefully aspirate the remaining medium from the first well and replace it with 500 &amp;#181;L of TMRE-containing medium. Continue, well-by-well, with the remaining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let the cells dry out and not to disturb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Return the cells to the incubator and wait for at least 60 min for dye equilibration.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Loading time can be extended to several hours without adverse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To ensure consistent TMRE concentrations and equilibration throughout the imaging experiment, make sure to include a final concentration of 20 nM TMRE in the imaging buffer and all stimulation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Optimization of scanning confocal microscope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aims to find the best compromise between image quality and cell viability during live imaging. This section describes the optimization of settings for roGFP imaging. If multiparametric imaging is performed, similar optimization, including checking for a stable baseline without signs of bleaching or phototoxicity, needs to be performed for the additional indicators. mito-Grx1-roGFP2 imaging can be performed at room temperature or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on a heated stage. The sensor will work in both cases; however, the kinetics of signaling cascades and enzyme reactions inside the cells will naturally differ based on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Start the confocal microscope and load standard settings for GFP imaging (</w:t>
      </w:r>
      <w:r>
        <w:rPr>
          <w:rFonts w:ascii="Calibri" w:hAnsi="Calibri" w:cs="Calibri" w:eastAsia="Calibri"/>
          <w:b/>
          <w:color w:val="auto"/>
          <w:spacing w:val="0"/>
          <w:position w:val="0"/>
          <w:sz w:val="24"/>
          <w:shd w:fill="auto" w:val="clear"/>
        </w:rPr>
        <w:t xml:space="preserve">488 nm excitation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550 nm emission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Set the </w:t>
      </w:r>
      <w:r>
        <w:rPr>
          <w:rFonts w:ascii="Calibri" w:hAnsi="Calibri" w:cs="Calibri" w:eastAsia="Calibri"/>
          <w:b/>
          <w:color w:val="auto"/>
          <w:spacing w:val="0"/>
          <w:position w:val="0"/>
          <w:sz w:val="24"/>
          <w:shd w:fill="FFFF00" w:val="clear"/>
        </w:rPr>
        <w:t xml:space="preserve">detector</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12 bits</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16 bits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8 bits are not sufficient for quantitative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Activate the </w:t>
      </w:r>
      <w:r>
        <w:rPr>
          <w:rFonts w:ascii="Calibri" w:hAnsi="Calibri" w:cs="Calibri" w:eastAsia="Calibri"/>
          <w:b/>
          <w:color w:val="auto"/>
          <w:spacing w:val="0"/>
          <w:position w:val="0"/>
          <w:sz w:val="24"/>
          <w:shd w:fill="FFFF00" w:val="clear"/>
        </w:rPr>
        <w:t xml:space="preserve">sequential scan</w:t>
      </w:r>
      <w:r>
        <w:rPr>
          <w:rFonts w:ascii="Calibri" w:hAnsi="Calibri" w:cs="Calibri" w:eastAsia="Calibri"/>
          <w:color w:val="auto"/>
          <w:spacing w:val="0"/>
          <w:position w:val="0"/>
          <w:sz w:val="24"/>
          <w:shd w:fill="FFFF00" w:val="clear"/>
        </w:rPr>
        <w:t xml:space="preserve"> mode and add </w:t>
      </w:r>
      <w:r>
        <w:rPr>
          <w:rFonts w:ascii="Calibri" w:hAnsi="Calibri" w:cs="Calibri" w:eastAsia="Calibri"/>
          <w:b/>
          <w:color w:val="auto"/>
          <w:spacing w:val="0"/>
          <w:position w:val="0"/>
          <w:sz w:val="24"/>
          <w:shd w:fill="FFFF00" w:val="clear"/>
        </w:rPr>
        <w:t xml:space="preserve">second sequence/track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405 nm excitation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505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550 nm emission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For both channels, select a </w:t>
      </w:r>
      <w:r>
        <w:rPr>
          <w:rFonts w:ascii="Calibri" w:hAnsi="Calibri" w:cs="Calibri" w:eastAsia="Calibri"/>
          <w:b/>
          <w:color w:val="auto"/>
          <w:spacing w:val="0"/>
          <w:position w:val="0"/>
          <w:sz w:val="24"/>
          <w:shd w:fill="FFFF00" w:val="clear"/>
        </w:rPr>
        <w:t xml:space="preserve">pseudocolor lookup table</w:t>
      </w:r>
      <w:r>
        <w:rPr>
          <w:rFonts w:ascii="Calibri" w:hAnsi="Calibri" w:cs="Calibri" w:eastAsia="Calibri"/>
          <w:color w:val="auto"/>
          <w:spacing w:val="0"/>
          <w:position w:val="0"/>
          <w:sz w:val="24"/>
          <w:shd w:fill="FFFF00" w:val="clear"/>
        </w:rPr>
        <w:t xml:space="preserve"> that indicates over- and under-exposed pixels (e.g., </w:t>
      </w:r>
      <w:r>
        <w:rPr>
          <w:rFonts w:ascii="Calibri" w:hAnsi="Calibri" w:cs="Calibri" w:eastAsia="Calibri"/>
          <w:b/>
          <w:color w:val="auto"/>
          <w:spacing w:val="0"/>
          <w:position w:val="0"/>
          <w:sz w:val="24"/>
          <w:shd w:fill="FFFF00" w:val="clear"/>
        </w:rPr>
        <w:t xml:space="preserve">GLOW OU</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an objective that is suitable for the object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40x are suitable for single-cell analysis, 63x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100x are suitable for single-mitochondrion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Mount a coverslip with cells into the imaging chamber, add 1 mL of imaging buffer, and place the chamber on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Use the eyepiece and transmitted light to focus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epifluorescence light to locate and focus cells. Even at low power, this will adversely affect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Record images with different pixel formats. </w:t>
      </w:r>
      <w:r>
        <w:rPr>
          <w:rFonts w:ascii="Calibri" w:hAnsi="Calibri" w:cs="Calibri" w:eastAsia="Calibri"/>
          <w:color w:val="auto"/>
          <w:spacing w:val="0"/>
          <w:position w:val="0"/>
          <w:sz w:val="24"/>
          <w:shd w:fill="auto" w:val="clear"/>
        </w:rPr>
        <w:t xml:space="preserve">Based on these images, select the lowest pixel number that gives an acceptable resolution of the structure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512 x 512 pixels work well for single-cell imaging with 20x and 40x objectives, and 1024 x 1024 or 2048 x2048 pixels typically work well for single-mitochondrion imaging with a 63x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Record images with different pinhole sizes. </w:t>
      </w:r>
      <w:r>
        <w:rPr>
          <w:rFonts w:ascii="Calibri" w:hAnsi="Calibri" w:cs="Calibri" w:eastAsia="Calibri"/>
          <w:color w:val="auto"/>
          <w:spacing w:val="0"/>
          <w:position w:val="0"/>
          <w:sz w:val="24"/>
          <w:shd w:fill="auto" w:val="clear"/>
        </w:rPr>
        <w:t xml:space="preserve">Based on these images, select the largest pinhole size that gives an acceptable resolution of the structure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airy units typically work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Record images with different laser intensities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r>
      <w:r>
        <w:rPr>
          <w:rFonts w:ascii="Calibri" w:hAnsi="Calibri" w:cs="Calibri" w:eastAsia="Calibri"/>
          <w:color w:val="auto"/>
          <w:spacing w:val="0"/>
          <w:position w:val="0"/>
          <w:sz w:val="24"/>
          <w:shd w:fill="FFFF00" w:val="clear"/>
        </w:rPr>
        <w:t xml:space="preserve">Adjust the detector gain and threshold accordingly</w:t>
      </w:r>
      <w:r>
        <w:rPr>
          <w:rFonts w:ascii="Calibri" w:hAnsi="Calibri" w:cs="Calibri" w:eastAsia="Calibri"/>
          <w:color w:val="auto"/>
          <w:spacing w:val="0"/>
          <w:position w:val="0"/>
          <w:sz w:val="24"/>
          <w:shd w:fill="auto" w:val="clear"/>
        </w:rPr>
        <w:t xml:space="preserve">. Based on these images, select the lowest laser intensity that gives acceptable signal intensity and signal-to-background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3.10.1.1.</w:t>
        <w:tab/>
        <w:t xml:space="preserve">To determine the signal-to-background ratio, measure the signal intensity in a region of interest (ROI) that contains cells or mitochondria (ROI1) and in an ROI without cells or mitochondria (ROI2). Then, divide the intensity of ROI1 by the intensity of ROI2.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Aim for a signal-to-background ratio of &amp;gt;3 and signal intensities of individual ROIs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for 405 nm excitation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laser power and intensities of individual ROIs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for 488 nm excitation with 1% laser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Record images with different scan speeds and number of frame averages</w:t>
      </w:r>
      <w:r>
        <w:rPr>
          <w:rFonts w:ascii="Calibri" w:hAnsi="Calibri" w:cs="Calibri" w:eastAsia="Calibri"/>
          <w:color w:val="auto"/>
          <w:spacing w:val="0"/>
          <w:position w:val="0"/>
          <w:sz w:val="24"/>
          <w:shd w:fill="auto" w:val="clear"/>
        </w:rPr>
        <w:t xml:space="preserve">. Record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images for each combination of settings. Based on these image series, select the highest speed and lowest average settings that give acceptable image noise and image-to-image variability.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scan speed of 600 Hz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frames for averaging work well in most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Using a new coverslip, record a time-lapse series with the optimized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and image interval of the series should resemble those of the planned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At the end of the time-lapse series, add 1 mL of 2x DA solution to the recording chamber. Image for additional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Aspirate the imaging buffer using a peristaltic pump or handheld pipette. Add 1 mL of 1x DTT solution. Image for additional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Analyze the time-lapse experiment (see section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Verify that none of the two channels gets over- or under-exposed during DA- and DTT-treatment with the optimized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w:t>
        <w:tab/>
        <w:t xml:space="preserve">Ensure that none of the two channels shows considerable bleaching during the time-lapse recording; aim for &amp;lt;2% loss of intensity between the first and last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3.15.3.</w:t>
        <w:tab/>
        <w:t xml:space="preserve">Verify that the 405:488 ratio does not change considerably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Repeat the whole procedure in an iterative manner, using several coverslips, until settings that consistently provide acceptable results have been defined.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Assessment of basal redox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Start the microscope and load the optimized settings from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w:t>
      </w:r>
      <w:r>
        <w:rPr>
          <w:rFonts w:ascii="Calibri" w:hAnsi="Calibri" w:cs="Calibri" w:eastAsia="Calibri"/>
          <w:b/>
          <w:color w:val="auto"/>
          <w:spacing w:val="0"/>
          <w:position w:val="0"/>
          <w:sz w:val="24"/>
          <w:shd w:fill="auto" w:val="clear"/>
        </w:rPr>
        <w:t xml:space="preserve">frame average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Mount a coverslip with cells into the imaging chamber, add 1 mL of imaging buffer, and place the chamber on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Use the eyepiece and transmitted light to focus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epifluorescence light to locate and focus cells. Even at low power, this will adversely affect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Switch to </w:t>
      </w:r>
      <w:r>
        <w:rPr>
          <w:rFonts w:ascii="Calibri" w:hAnsi="Calibri" w:cs="Calibri" w:eastAsia="Calibri"/>
          <w:b/>
          <w:color w:val="auto"/>
          <w:spacing w:val="0"/>
          <w:position w:val="0"/>
          <w:sz w:val="24"/>
          <w:shd w:fill="auto" w:val="clear"/>
        </w:rPr>
        <w:t xml:space="preserve">scanning</w:t>
      </w:r>
      <w:r>
        <w:rPr>
          <w:rFonts w:ascii="Calibri" w:hAnsi="Calibri" w:cs="Calibri" w:eastAsia="Calibri"/>
          <w:color w:val="auto"/>
          <w:spacing w:val="0"/>
          <w:position w:val="0"/>
          <w:sz w:val="24"/>
          <w:shd w:fill="auto" w:val="clear"/>
        </w:rPr>
        <w:t xml:space="preserve"> mode and use the </w:t>
      </w:r>
      <w:r>
        <w:rPr>
          <w:rFonts w:ascii="Calibri" w:hAnsi="Calibri" w:cs="Calibri" w:eastAsia="Calibri"/>
          <w:b/>
          <w:color w:val="auto"/>
          <w:spacing w:val="0"/>
          <w:position w:val="0"/>
          <w:sz w:val="24"/>
          <w:shd w:fill="auto" w:val="clear"/>
        </w:rPr>
        <w:t xml:space="preserve">488 nm channel</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to focus and locate cells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Use the </w:t>
      </w:r>
      <w:r>
        <w:rPr>
          <w:rFonts w:ascii="Calibri" w:hAnsi="Calibri" w:cs="Calibri" w:eastAsia="Calibri"/>
          <w:b/>
          <w:color w:val="auto"/>
          <w:spacing w:val="0"/>
          <w:position w:val="0"/>
          <w:sz w:val="24"/>
          <w:shd w:fill="auto" w:val="clear"/>
        </w:rPr>
        <w:t xml:space="preserve">multipoint function</w:t>
      </w:r>
      <w:r>
        <w:rPr>
          <w:rFonts w:ascii="Calibri" w:hAnsi="Calibri" w:cs="Calibri" w:eastAsia="Calibri"/>
          <w:color w:val="auto"/>
          <w:spacing w:val="0"/>
          <w:position w:val="0"/>
          <w:sz w:val="24"/>
          <w:shd w:fill="auto" w:val="clear"/>
        </w:rPr>
        <w:t xml:space="preserve"> to select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fields of view on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Record a baseline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Add 1 mL of 2x DA solution 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After 1, 2, and 3 min, use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to confirm/adjust the focus and record an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are typically fully oxidized after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Replace the buffer in the imaging chamber with 1 mL of 1x DTT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After 3 and 5 min, use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to confirm/adjust the focus and record an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are typically fully reduced after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Live imaging of acute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describes imaging of the mitochondrial redox response to NMDA treatment. Image intervals and duration of the experiment might need to be adjusted for other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Start the microscope and load the optimized settings from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Set the </w:t>
      </w:r>
      <w:r>
        <w:rPr>
          <w:rFonts w:ascii="Calibri" w:hAnsi="Calibri" w:cs="Calibri" w:eastAsia="Calibri"/>
          <w:b/>
          <w:color w:val="auto"/>
          <w:spacing w:val="0"/>
          <w:position w:val="0"/>
          <w:sz w:val="24"/>
          <w:shd w:fill="FFFF00" w:val="clear"/>
        </w:rPr>
        <w:t xml:space="preserve">time-lapse interval</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30 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25 min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a coverslip with cells into the imaging chamber, add 1 mL of imaging buffer, and </w:t>
      </w:r>
      <w:r>
        <w:rPr>
          <w:rFonts w:ascii="Calibri" w:hAnsi="Calibri" w:cs="Calibri" w:eastAsia="Calibri"/>
          <w:color w:val="auto"/>
          <w:spacing w:val="0"/>
          <w:position w:val="0"/>
          <w:sz w:val="24"/>
          <w:shd w:fill="FFFF00" w:val="clear"/>
        </w:rPr>
        <w:t xml:space="preserve">place the chamber on the microscope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thermal focus drift, leave the cells on the microscope stage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before starting time-lapse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Use the eyepiece and transmitted light to focus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epifluorescence light to locate and focus cells. Even at low power, this will adversely affect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Switch to the </w:t>
      </w:r>
      <w:r>
        <w:rPr>
          <w:rFonts w:ascii="Calibri" w:hAnsi="Calibri" w:cs="Calibri" w:eastAsia="Calibri"/>
          <w:b/>
          <w:color w:val="auto"/>
          <w:spacing w:val="0"/>
          <w:position w:val="0"/>
          <w:sz w:val="24"/>
          <w:shd w:fill="FFFF00" w:val="clear"/>
        </w:rPr>
        <w:t xml:space="preserve">scanning mode</w:t>
      </w:r>
      <w:r>
        <w:rPr>
          <w:rFonts w:ascii="Calibri" w:hAnsi="Calibri" w:cs="Calibri" w:eastAsia="Calibri"/>
          <w:color w:val="auto"/>
          <w:spacing w:val="0"/>
          <w:position w:val="0"/>
          <w:sz w:val="24"/>
          <w:shd w:fill="FFFF00" w:val="clear"/>
        </w:rPr>
        <w:t xml:space="preserve"> and use the </w:t>
      </w:r>
      <w:r>
        <w:rPr>
          <w:rFonts w:ascii="Calibri" w:hAnsi="Calibri" w:cs="Calibri" w:eastAsia="Calibri"/>
          <w:b/>
          <w:color w:val="auto"/>
          <w:spacing w:val="0"/>
          <w:position w:val="0"/>
          <w:sz w:val="24"/>
          <w:shd w:fill="FFFF00" w:val="clear"/>
        </w:rPr>
        <w:t xml:space="preserve">488 nm channel</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live view </w:t>
      </w:r>
      <w:r>
        <w:rPr>
          <w:rFonts w:ascii="Calibri" w:hAnsi="Calibri" w:cs="Calibri" w:eastAsia="Calibri"/>
          <w:color w:val="auto"/>
          <w:spacing w:val="0"/>
          <w:position w:val="0"/>
          <w:sz w:val="24"/>
          <w:shd w:fill="FFFF00" w:val="clear"/>
        </w:rPr>
        <w:t xml:space="preserve">to focus and locate cells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Optional: To increase the number of recorded cells per run, use the </w:t>
      </w:r>
      <w:r>
        <w:rPr>
          <w:rFonts w:ascii="Calibri" w:hAnsi="Calibri" w:cs="Calibri" w:eastAsia="Calibri"/>
          <w:b/>
          <w:color w:val="auto"/>
          <w:spacing w:val="0"/>
          <w:position w:val="0"/>
          <w:sz w:val="24"/>
          <w:shd w:fill="FFFF00" w:val="clear"/>
        </w:rPr>
        <w:t xml:space="preserve">multipoint function</w:t>
      </w:r>
      <w:r>
        <w:rPr>
          <w:rFonts w:ascii="Calibri" w:hAnsi="Calibri" w:cs="Calibri" w:eastAsia="Calibri"/>
          <w:color w:val="auto"/>
          <w:spacing w:val="0"/>
          <w:position w:val="0"/>
          <w:sz w:val="24"/>
          <w:shd w:fill="FFFF00" w:val="clear"/>
        </w:rPr>
        <w:t xml:space="preserve"> to image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fields of view per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Start the time-lapse acquisition and record 5 images as 2 min baseline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Add 500 &amp;#181;L of 3x NMDA solution to the chamber (final concentration 30 &amp;#181;M) and record additional 20 images as a 10 min NMDA response.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Neurons are very sensitive to changes in osmolarity. Therefore, make sure to minimize evaporation of the imaging buffer. For longer treatments, the imaging chamber should be covered with a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Add 500 &amp;#181;L of 4x DA solution to the chamber and record 6 more images (3 min maximum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Aspirate the buffer from the imaging chamber and replace it with 1 mL of 1x DTT solution. Record 10 more images (5 min minimum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End the recording and save the image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Data import and image preprocessing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Use the </w:t>
      </w:r>
      <w:r>
        <w:rPr>
          <w:rFonts w:ascii="Calibri" w:hAnsi="Calibri" w:cs="Calibri" w:eastAsia="Calibri"/>
          <w:b/>
          <w:color w:val="auto"/>
          <w:spacing w:val="0"/>
          <w:position w:val="0"/>
          <w:sz w:val="24"/>
          <w:shd w:fill="auto" w:val="clear"/>
        </w:rPr>
        <w:t xml:space="preserve">Bio-Formats Importer</w:t>
      </w:r>
      <w:r>
        <w:rPr>
          <w:rFonts w:ascii="Calibri" w:hAnsi="Calibri" w:cs="Calibri" w:eastAsia="Calibri"/>
          <w:color w:val="auto"/>
          <w:spacing w:val="0"/>
          <w:position w:val="0"/>
          <w:sz w:val="24"/>
          <w:shd w:fill="auto" w:val="clear"/>
        </w:rPr>
        <w:t xml:space="preserve"> to open a group of images from step 4 or an image file from step 5.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Plugins | Bio-Formats | Bio-Formats Importer</w:t>
      </w:r>
      <w:r>
        <w:rPr>
          <w:rFonts w:ascii="Calibri" w:hAnsi="Calibri" w:cs="Calibri" w:eastAsia="Calibri"/>
          <w:color w:val="auto"/>
          <w:spacing w:val="0"/>
          <w:position w:val="0"/>
          <w:sz w:val="24"/>
          <w:shd w:fill="FFFF00" w:val="clear"/>
        </w:rPr>
        <w:t xml:space="preserve">. In the dialog box, use </w:t>
      </w:r>
      <w:r>
        <w:rPr>
          <w:rFonts w:ascii="Calibri" w:hAnsi="Calibri" w:cs="Calibri" w:eastAsia="Calibri"/>
          <w:b/>
          <w:color w:val="auto"/>
          <w:spacing w:val="0"/>
          <w:position w:val="0"/>
          <w:sz w:val="24"/>
          <w:shd w:fill="FFFF00" w:val="clear"/>
        </w:rPr>
        <w:t xml:space="preserve">View stack with: Hyperstack</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Color mode: default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Autoscale</w:t>
      </w:r>
      <w:r>
        <w:rPr>
          <w:rFonts w:ascii="Calibri" w:hAnsi="Calibri" w:cs="Calibri" w:eastAsia="Calibri"/>
          <w:color w:val="auto"/>
          <w:spacing w:val="0"/>
          <w:position w:val="0"/>
          <w:sz w:val="24"/>
          <w:shd w:fill="auto" w:val="clear"/>
        </w:rPr>
        <w:t xml:space="preserve">, and do not split into separate windows.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Autoscale</w:t>
      </w:r>
      <w:r>
        <w:rPr>
          <w:rFonts w:ascii="Calibri" w:hAnsi="Calibri" w:cs="Calibri" w:eastAsia="Calibri"/>
          <w:color w:val="auto"/>
          <w:spacing w:val="0"/>
          <w:position w:val="0"/>
          <w:sz w:val="24"/>
          <w:shd w:fill="auto" w:val="clear"/>
        </w:rPr>
        <w:t xml:space="preserve"> optimizes the display of the data on the computer screen. It does not change pixel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If individual images from step 4 were opened, click on </w:t>
      </w:r>
      <w:r>
        <w:rPr>
          <w:rFonts w:ascii="Calibri" w:hAnsi="Calibri" w:cs="Calibri" w:eastAsia="Calibri"/>
          <w:b/>
          <w:color w:val="auto"/>
          <w:spacing w:val="0"/>
          <w:position w:val="0"/>
          <w:sz w:val="24"/>
          <w:shd w:fill="auto" w:val="clear"/>
        </w:rPr>
        <w:t xml:space="preserve">Image | Stacks | Tools | Concatenate</w:t>
      </w:r>
      <w:r>
        <w:rPr>
          <w:rFonts w:ascii="Calibri" w:hAnsi="Calibri" w:cs="Calibri" w:eastAsia="Calibri"/>
          <w:color w:val="auto"/>
          <w:spacing w:val="0"/>
          <w:position w:val="0"/>
          <w:sz w:val="24"/>
          <w:shd w:fill="auto" w:val="clear"/>
        </w:rPr>
        <w:t xml:space="preserve"> to merge them into a single-image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If there is XY-drift during the image series, click on </w:t>
      </w:r>
      <w:r>
        <w:rPr>
          <w:rFonts w:ascii="Calibri" w:hAnsi="Calibri" w:cs="Calibri" w:eastAsia="Calibri"/>
          <w:b/>
          <w:color w:val="auto"/>
          <w:spacing w:val="0"/>
          <w:position w:val="0"/>
          <w:sz w:val="24"/>
          <w:shd w:fill="auto" w:val="clear"/>
        </w:rPr>
        <w:t xml:space="preserve">Plugins | StackReg</w:t>
      </w:r>
      <w:r>
        <w:rPr>
          <w:rFonts w:ascii="Calibri" w:hAnsi="Calibri" w:cs="Calibri" w:eastAsia="Calibri"/>
          <w:color w:val="auto"/>
          <w:spacing w:val="0"/>
          <w:position w:val="0"/>
          <w:sz w:val="24"/>
          <w:shd w:fill="auto" w:val="clear"/>
        </w:rPr>
        <w:t xml:space="preserve"> to register the images. In the dialog box, select </w:t>
      </w:r>
      <w:r>
        <w:rPr>
          <w:rFonts w:ascii="Calibri" w:hAnsi="Calibri" w:cs="Calibri" w:eastAsia="Calibri"/>
          <w:b/>
          <w:color w:val="auto"/>
          <w:spacing w:val="0"/>
          <w:position w:val="0"/>
          <w:sz w:val="24"/>
          <w:shd w:fill="auto" w:val="clear"/>
        </w:rPr>
        <w:t xml:space="preserve">Rigid Body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Translation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r>
      <w:r>
        <w:rPr>
          <w:rFonts w:ascii="Calibri" w:hAnsi="Calibri" w:cs="Calibri" w:eastAsia="Calibri"/>
          <w:color w:val="auto"/>
          <w:spacing w:val="0"/>
          <w:position w:val="0"/>
          <w:sz w:val="24"/>
          <w:shd w:fill="FFFF00" w:val="clear"/>
        </w:rPr>
        <w:t xml:space="preserve">Change the image format to 32 bit by clicking on </w:t>
      </w:r>
      <w:r>
        <w:rPr>
          <w:rFonts w:ascii="Calibri" w:hAnsi="Calibri" w:cs="Calibri" w:eastAsia="Calibri"/>
          <w:b/>
          <w:color w:val="auto"/>
          <w:spacing w:val="0"/>
          <w:position w:val="0"/>
          <w:sz w:val="24"/>
          <w:shd w:fill="FFFF00" w:val="clear"/>
        </w:rPr>
        <w:t xml:space="preserve">Image | Type | 32-bit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r>
      <w:r>
        <w:rPr>
          <w:rFonts w:ascii="Calibri" w:hAnsi="Calibri" w:cs="Calibri" w:eastAsia="Calibri"/>
          <w:color w:val="auto"/>
          <w:spacing w:val="0"/>
          <w:position w:val="0"/>
          <w:sz w:val="24"/>
          <w:shd w:fill="FFFF00" w:val="clear"/>
        </w:rPr>
        <w:t xml:space="preserve">Split the color channels into separate windows by clicking on </w:t>
      </w:r>
      <w:r>
        <w:rPr>
          <w:rFonts w:ascii="Calibri" w:hAnsi="Calibri" w:cs="Calibri" w:eastAsia="Calibri"/>
          <w:b/>
          <w:color w:val="auto"/>
          <w:spacing w:val="0"/>
          <w:position w:val="0"/>
          <w:sz w:val="24"/>
          <w:shd w:fill="FFFF00" w:val="clear"/>
        </w:rPr>
        <w:t xml:space="preserve">Image | Color | Split Channels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Select </w:t>
      </w:r>
      <w:r>
        <w:rPr>
          <w:rFonts w:ascii="Calibri" w:hAnsi="Calibri" w:cs="Calibri" w:eastAsia="Calibri"/>
          <w:b/>
          <w:color w:val="auto"/>
          <w:spacing w:val="0"/>
          <w:position w:val="0"/>
          <w:sz w:val="24"/>
          <w:shd w:fill="FFFF00" w:val="clear"/>
        </w:rPr>
        <w:t xml:space="preserve">channel 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405 nm</w:t>
      </w:r>
      <w:r>
        <w:rPr>
          <w:rFonts w:ascii="Calibri" w:hAnsi="Calibri" w:cs="Calibri" w:eastAsia="Calibri"/>
          <w:color w:val="auto"/>
          <w:spacing w:val="0"/>
          <w:position w:val="0"/>
          <w:sz w:val="24"/>
          <w:shd w:fill="FFFF00" w:val="clear"/>
        </w:rPr>
        <w:t xml:space="preserve">) and adjust the threshold to select the mitochondria for analysis by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clicking on </w:t>
      </w:r>
      <w:r>
        <w:rPr>
          <w:rFonts w:ascii="Calibri" w:hAnsi="Calibri" w:cs="Calibri" w:eastAsia="Calibri"/>
          <w:b/>
          <w:color w:val="auto"/>
          <w:spacing w:val="0"/>
          <w:position w:val="0"/>
          <w:sz w:val="24"/>
          <w:shd w:fill="FFFF00" w:val="clear"/>
        </w:rPr>
        <w:t xml:space="preserve">Image | Adjust | Threshold</w:t>
      </w:r>
      <w:r>
        <w:rPr>
          <w:rFonts w:ascii="Calibri" w:hAnsi="Calibri" w:cs="Calibri" w:eastAsia="Calibri"/>
          <w:color w:val="auto"/>
          <w:spacing w:val="0"/>
          <w:position w:val="0"/>
          <w:sz w:val="24"/>
          <w:shd w:fill="FFFF00" w:val="clear"/>
        </w:rPr>
        <w:t xml:space="preserve">. In the dialog box, select </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Dark background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Stack histogram</w:t>
      </w:r>
      <w:r>
        <w:rPr>
          <w:rFonts w:ascii="Calibri" w:hAnsi="Calibri" w:cs="Calibri" w:eastAsia="Calibri"/>
          <w:color w:val="auto"/>
          <w:spacing w:val="0"/>
          <w:position w:val="0"/>
          <w:sz w:val="24"/>
          <w:shd w:fill="FFFF00" w:val="clear"/>
        </w:rPr>
        <w:t xml:space="preserve"> and wait for the selected pixels to appear red.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Background Pixels to NaN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Process all images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potential observer bias, automated threshold determination should be used. FIJI offers several automated methods (such as Default, Huang, Intermodes, Otsu) that can be selected from a dropdown menu in the threshold dialog box. Typically, the Default method gives a good result. It is recommended to compare several methods during the first analysis to find the best thresholding method for the given set of images. Once a method has been chosen, it needs to be applied to all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r>
      <w:r>
        <w:rPr>
          <w:rFonts w:ascii="Calibri" w:hAnsi="Calibri" w:cs="Calibri" w:eastAsia="Calibri"/>
          <w:color w:val="auto"/>
          <w:spacing w:val="0"/>
          <w:position w:val="0"/>
          <w:sz w:val="24"/>
          <w:shd w:fill="FFFF00" w:val="clear"/>
        </w:rPr>
        <w:t xml:space="preserve">Repeat step 6.1.6 for </w:t>
      </w:r>
      <w:r>
        <w:rPr>
          <w:rFonts w:ascii="Calibri" w:hAnsi="Calibri" w:cs="Calibri" w:eastAsia="Calibri"/>
          <w:b/>
          <w:color w:val="auto"/>
          <w:spacing w:val="0"/>
          <w:position w:val="0"/>
          <w:sz w:val="24"/>
          <w:shd w:fill="FFFF00" w:val="clear"/>
        </w:rPr>
        <w:t xml:space="preserve">channel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488 nm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w:t>
        <w:tab/>
        <w:t xml:space="preserve">Create a ratio image to visualize the 405:488 nm ratio by clicking on </w:t>
      </w:r>
      <w:r>
        <w:rPr>
          <w:rFonts w:ascii="Calibri" w:hAnsi="Calibri" w:cs="Calibri" w:eastAsia="Calibri"/>
          <w:b/>
          <w:color w:val="auto"/>
          <w:spacing w:val="0"/>
          <w:position w:val="0"/>
          <w:sz w:val="24"/>
          <w:shd w:fill="FFFF00" w:val="clear"/>
        </w:rPr>
        <w:t xml:space="preserve">Process | Image calculator</w:t>
      </w:r>
      <w:r>
        <w:rPr>
          <w:rFonts w:ascii="Calibri" w:hAnsi="Calibri" w:cs="Calibri" w:eastAsia="Calibri"/>
          <w:color w:val="auto"/>
          <w:spacing w:val="0"/>
          <w:position w:val="0"/>
          <w:sz w:val="24"/>
          <w:shd w:fill="FFFF00" w:val="clear"/>
        </w:rPr>
        <w:t xml:space="preserve">. In the dialog box, select </w:t>
      </w:r>
      <w:r>
        <w:rPr>
          <w:rFonts w:ascii="Calibri" w:hAnsi="Calibri" w:cs="Calibri" w:eastAsia="Calibri"/>
          <w:b/>
          <w:color w:val="auto"/>
          <w:spacing w:val="0"/>
          <w:position w:val="0"/>
          <w:sz w:val="24"/>
          <w:shd w:fill="FFFF00" w:val="clear"/>
        </w:rPr>
        <w:t xml:space="preserve">Image 1: channel 1, Operation: Divide, Image 2: channel 2, Create new window, Process all images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6.1.9.</w:t>
        <w:tab/>
        <w:t xml:space="preserve">Change the </w:t>
      </w:r>
      <w:r>
        <w:rPr>
          <w:rFonts w:ascii="Calibri" w:hAnsi="Calibri" w:cs="Calibri" w:eastAsia="Calibri"/>
          <w:b/>
          <w:color w:val="auto"/>
          <w:spacing w:val="0"/>
          <w:position w:val="0"/>
          <w:sz w:val="24"/>
          <w:shd w:fill="FFFF00" w:val="clear"/>
        </w:rPr>
        <w:t xml:space="preserve">lookup table</w:t>
      </w:r>
      <w:r>
        <w:rPr>
          <w:rFonts w:ascii="Calibri" w:hAnsi="Calibri" w:cs="Calibri" w:eastAsia="Calibri"/>
          <w:color w:val="auto"/>
          <w:spacing w:val="0"/>
          <w:position w:val="0"/>
          <w:sz w:val="24"/>
          <w:shd w:fill="FFFF00" w:val="clear"/>
        </w:rPr>
        <w:t xml:space="preserve"> of the ratio image to </w:t>
      </w:r>
      <w:r>
        <w:rPr>
          <w:rFonts w:ascii="Calibri" w:hAnsi="Calibri" w:cs="Calibri" w:eastAsia="Calibri"/>
          <w:b/>
          <w:color w:val="auto"/>
          <w:spacing w:val="0"/>
          <w:position w:val="0"/>
          <w:sz w:val="24"/>
          <w:shd w:fill="FFFF00" w:val="clear"/>
        </w:rPr>
        <w:t xml:space="preserve">pseudocolor</w:t>
      </w:r>
      <w:r>
        <w:rPr>
          <w:rFonts w:ascii="Calibri" w:hAnsi="Calibri" w:cs="Calibri" w:eastAsia="Calibri"/>
          <w:color w:val="auto"/>
          <w:spacing w:val="0"/>
          <w:position w:val="0"/>
          <w:sz w:val="24"/>
          <w:shd w:fill="FFFF00" w:val="clear"/>
        </w:rPr>
        <w:t xml:space="preserve">. For example, to change to </w:t>
      </w:r>
      <w:r>
        <w:rPr>
          <w:rFonts w:ascii="Calibri" w:hAnsi="Calibri" w:cs="Calibri" w:eastAsia="Calibri"/>
          <w:b/>
          <w:color w:val="auto"/>
          <w:spacing w:val="0"/>
          <w:position w:val="0"/>
          <w:sz w:val="24"/>
          <w:shd w:fill="FFFF00" w:val="clear"/>
        </w:rPr>
        <w:t xml:space="preserve">Fire</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Image | Lookup Tables | Fire.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On the ratio image, draw ROIs around individual cells or mitochondria. After drawing each ROI, add it to the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Analyze | Tools | ROI Manager | Add</w:t>
      </w:r>
      <w:r>
        <w:rPr>
          <w:rFonts w:ascii="Calibri" w:hAnsi="Calibri" w:cs="Calibri" w:eastAsia="Calibri"/>
          <w:color w:val="auto"/>
          <w:spacing w:val="0"/>
          <w:position w:val="0"/>
          <w:sz w:val="24"/>
          <w:shd w:fill="FFFF00" w:val="clear"/>
        </w:rPr>
        <w:t xml:space="preserve">. (keyboard shortcut: ‘</w:t>
      </w:r>
      <w:r>
        <w:rPr>
          <w:rFonts w:ascii="Calibri" w:hAnsi="Calibri" w:cs="Calibri" w:eastAsia="Calibri"/>
          <w:b/>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Show All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background pixels have been set to ‘not a number’ (NaN) in steps 6.1.6 and 6.1.7, they will not affect the result of the measurement. Therefore, it is acceptable to include some background pixels in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Measure the 405:488 ratios of individual cells by clicking 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ROI Manager | ctrl+A to select all ROIs | More | Multi Measure</w:t>
      </w:r>
      <w:r>
        <w:rPr>
          <w:rFonts w:ascii="Calibri" w:hAnsi="Calibri" w:cs="Calibri" w:eastAsia="Calibri"/>
          <w:color w:val="auto"/>
          <w:spacing w:val="0"/>
          <w:position w:val="0"/>
          <w:sz w:val="24"/>
          <w:shd w:fill="FFFF00" w:val="clear"/>
        </w:rPr>
        <w:t xml:space="preserve">. In the dialog box, select </w:t>
      </w:r>
      <w:r>
        <w:rPr>
          <w:rFonts w:ascii="Calibri" w:hAnsi="Calibri" w:cs="Calibri" w:eastAsia="Calibri"/>
          <w:b/>
          <w:color w:val="auto"/>
          <w:spacing w:val="0"/>
          <w:position w:val="0"/>
          <w:sz w:val="24"/>
          <w:shd w:fill="FFFF00" w:val="clear"/>
        </w:rPr>
        <w:t xml:space="preserve">Measure all slices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One row per slice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r>
      <w:r>
        <w:rPr>
          <w:rFonts w:ascii="Calibri" w:hAnsi="Calibri" w:cs="Calibri" w:eastAsia="Calibri"/>
          <w:color w:val="auto"/>
          <w:spacing w:val="0"/>
          <w:position w:val="0"/>
          <w:sz w:val="24"/>
          <w:shd w:fill="FFFF00" w:val="clear"/>
        </w:rPr>
        <w:t xml:space="preserve">Export the measurements to spreadsheet software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405 nm image</w:t>
      </w:r>
      <w:r>
        <w:rPr>
          <w:rFonts w:ascii="Calibri" w:hAnsi="Calibri" w:cs="Calibri" w:eastAsia="Calibri"/>
          <w:color w:val="auto"/>
          <w:spacing w:val="0"/>
          <w:position w:val="0"/>
          <w:sz w:val="24"/>
          <w:shd w:fill="FFFF00" w:val="clear"/>
        </w:rPr>
        <w:t xml:space="preserve">. Measure the intensities of all ROIs</w:t>
      </w:r>
      <w:r>
        <w:rPr>
          <w:rFonts w:ascii="Calibri" w:hAnsi="Calibri" w:cs="Calibri" w:eastAsia="Calibri"/>
          <w:color w:val="auto"/>
          <w:spacing w:val="0"/>
          <w:position w:val="0"/>
          <w:sz w:val="24"/>
          <w:shd w:fill="auto" w:val="clear"/>
        </w:rPr>
        <w:t xml:space="preserve"> as in step 6.2.2. using the ROIs that are stored in the ROI manager.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Export the measurements to spreadsheet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488 nm image</w:t>
      </w:r>
      <w:r>
        <w:rPr>
          <w:rFonts w:ascii="Calibri" w:hAnsi="Calibri" w:cs="Calibri" w:eastAsia="Calibri"/>
          <w:color w:val="auto"/>
          <w:spacing w:val="0"/>
          <w:position w:val="0"/>
          <w:sz w:val="24"/>
          <w:shd w:fill="FFFF00" w:val="clear"/>
        </w:rPr>
        <w:t xml:space="preserve">. Measure intensities of all ROIs</w:t>
      </w:r>
      <w:r>
        <w:rPr>
          <w:rFonts w:ascii="Calibri" w:hAnsi="Calibri" w:cs="Calibri" w:eastAsia="Calibri"/>
          <w:color w:val="auto"/>
          <w:spacing w:val="0"/>
          <w:position w:val="0"/>
          <w:sz w:val="24"/>
          <w:shd w:fill="auto" w:val="clear"/>
        </w:rPr>
        <w:t xml:space="preserve"> as in step 6.2.2. using the ROIs that are stored in the ROI manager.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6.2.7.</w:t>
        <w:tab/>
        <w:t xml:space="preserve">Export the measurements to spreadsheet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6.2.8.</w:t>
        <w:tab/>
        <w:t xml:space="preserve">Save ROIs for future reference by clicking on </w:t>
      </w:r>
      <w:r>
        <w:rPr>
          <w:rFonts w:ascii="Calibri" w:hAnsi="Calibri" w:cs="Calibri" w:eastAsia="Calibri"/>
          <w:b/>
          <w:color w:val="auto"/>
          <w:spacing w:val="0"/>
          <w:position w:val="0"/>
          <w:sz w:val="24"/>
          <w:shd w:fill="FFFF00" w:val="clear"/>
        </w:rPr>
        <w:t xml:space="preserve">ROI Manager | ctrl+A to select all ROIs | More | Save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w:t>
        <w:tab/>
        <w:t xml:space="preserve">Recommended: Generate intensity vs. time plots of the 405 and 488 nm traces. Verify that there is no marked bleaching in either of the channels (signal intensity at the end of the imaging series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of the first image) and that the two traces move into opposite directions during sensor responses (e.g., the 405 nm trace should increase during oxidation while the 488 nm trace should decrease).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Data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For each ROI from the ratio image, determine the maximum value during DA treatment (R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the minimum value during DTT treatment (R</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Calculate the normalized ratio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set the maximum ratio to 1.0 and the minimum ratio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Analysis of mitochondrial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To obtain measurements of mitochondrial morphology in parallel to roGFP intensities in step 6.2.6, go to </w:t>
      </w:r>
      <w:r>
        <w:rPr>
          <w:rFonts w:ascii="Calibri" w:hAnsi="Calibri" w:cs="Calibri" w:eastAsia="Calibri"/>
          <w:b/>
          <w:color w:val="auto"/>
          <w:spacing w:val="0"/>
          <w:position w:val="0"/>
          <w:sz w:val="24"/>
          <w:shd w:fill="auto" w:val="clear"/>
        </w:rPr>
        <w:t xml:space="preserve">Analyze | Set Measurements</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Shape descriptors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Fit ellipse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mean intensity, the measurements 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will include the length of the major axis (</w:t>
      </w:r>
      <w:r>
        <w:rPr>
          <w:rFonts w:ascii="Calibri" w:hAnsi="Calibri" w:cs="Calibri" w:eastAsia="Calibri"/>
          <w:b/>
          <w:color w:val="auto"/>
          <w:spacing w:val="0"/>
          <w:position w:val="0"/>
          <w:sz w:val="24"/>
          <w:shd w:fill="auto" w:val="clear"/>
        </w:rPr>
        <w:t xml:space="preserve">Major</w:t>
      </w:r>
      <w:r>
        <w:rPr>
          <w:rFonts w:ascii="Calibri" w:hAnsi="Calibri" w:cs="Calibri" w:eastAsia="Calibri"/>
          <w:color w:val="auto"/>
          <w:spacing w:val="0"/>
          <w:position w:val="0"/>
          <w:sz w:val="24"/>
          <w:shd w:fill="auto" w:val="clear"/>
        </w:rPr>
        <w:t xml:space="preserve">), the length of the minor axis (</w:t>
      </w:r>
      <w:r>
        <w:rPr>
          <w:rFonts w:ascii="Calibri" w:hAnsi="Calibri" w:cs="Calibri" w:eastAsia="Calibri"/>
          <w:b/>
          <w:color w:val="auto"/>
          <w:spacing w:val="0"/>
          <w:position w:val="0"/>
          <w:sz w:val="24"/>
          <w:shd w:fill="auto" w:val="clear"/>
        </w:rPr>
        <w:t xml:space="preserve">Minor</w:t>
      </w:r>
      <w:r>
        <w:rPr>
          <w:rFonts w:ascii="Calibri" w:hAnsi="Calibri" w:cs="Calibri" w:eastAsia="Calibri"/>
          <w:color w:val="auto"/>
          <w:spacing w:val="0"/>
          <w:position w:val="0"/>
          <w:sz w:val="24"/>
          <w:shd w:fill="auto" w:val="clear"/>
        </w:rPr>
        <w:t xml:space="preserve">), the aspect ratio (</w:t>
      </w:r>
      <w:r>
        <w:rPr>
          <w:rFonts w:ascii="Calibri" w:hAnsi="Calibri" w:cs="Calibri" w:eastAsia="Calibri"/>
          <w:b/>
          <w:color w:val="auto"/>
          <w:spacing w:val="0"/>
          <w:position w:val="0"/>
          <w:sz w:val="24"/>
          <w:shd w:fill="auto" w:val="clear"/>
        </w:rPr>
        <w:t xml:space="preserve">AR</w:t>
      </w:r>
      <w:r>
        <w:rPr>
          <w:rFonts w:ascii="Calibri" w:hAnsi="Calibri" w:cs="Calibri" w:eastAsia="Calibri"/>
          <w:color w:val="auto"/>
          <w:spacing w:val="0"/>
          <w:position w:val="0"/>
          <w:sz w:val="24"/>
          <w:shd w:fill="auto" w:val="clear"/>
        </w:rPr>
        <w:t xml:space="preserve">; major axis divided by minor axis; round mitochondria have an AR ~1, elongated mitochondria have a greater AR), as well as measurements of circularity (</w:t>
      </w:r>
      <w:r>
        <w:rPr>
          <w:rFonts w:ascii="Calibri" w:hAnsi="Calibri" w:cs="Calibri" w:eastAsia="Calibri"/>
          <w:b/>
          <w:color w:val="auto"/>
          <w:spacing w:val="0"/>
          <w:position w:val="0"/>
          <w:sz w:val="24"/>
          <w:shd w:fill="auto" w:val="clear"/>
        </w:rPr>
        <w:t xml:space="preserve">Circ.</w:t>
      </w:r>
      <w:r>
        <w:rPr>
          <w:rFonts w:ascii="Calibri" w:hAnsi="Calibri" w:cs="Calibri" w:eastAsia="Calibri"/>
          <w:color w:val="auto"/>
          <w:spacing w:val="0"/>
          <w:position w:val="0"/>
          <w:sz w:val="24"/>
          <w:shd w:fill="auto" w:val="clear"/>
        </w:rPr>
        <w:t xml:space="preserve">) and roundness (</w:t>
      </w:r>
      <w:r>
        <w:rPr>
          <w:rFonts w:ascii="Calibri" w:hAnsi="Calibri" w:cs="Calibri" w:eastAsia="Calibri"/>
          <w:b/>
          <w:color w:val="auto"/>
          <w:spacing w:val="0"/>
          <w:position w:val="0"/>
          <w:sz w:val="24"/>
          <w:shd w:fill="auto" w:val="clear"/>
        </w:rPr>
        <w:t xml:space="preserve">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differences in steady-state mitochondrial redox state after growth factor withdrawal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quantification of steady-state differences in mitochondrial redox state, primary neurons grown in standard medium were compared to neurons cultured without growth factors for 48 h before imaging. Growth factor withdrawal results in apoptotic neuronal cell death after 72 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Cells were imaged after 48 h to test if this is preceded by changes in mitochondrial redox state. Primary rat cortical neurons grown on poly-L-ornithine-coated coverslips were infected with rAAV-mito-Grx1-roGFP2 on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6 (DIV6) and were imaged on DIV12. Live imaging was performed at room temperature according to section 4 of this protocol on an inverted laser scanning confocal microscope equipped with a 40x/1.10 water immersion objective. Confocal settings were pinhole 7 airy units, pixel size 568.7 nm (512 x 512 pixels), scan speed 600 Hz, laser power 405 nm 3%, laser power 488 nm 1%, emission bandwidth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and frame average 4. There was no major difference between the raw 405:488 nm ratios of the two conditions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After data normalization, a subset of cells with an increased 405:488 nm ratio was detectable in the growth factor withdrawal group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indicates that mitochondrial redox changes might precede neuronal cell death, and it underscores the relevance of max/min data normalization for the comparison of basal redox states between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Dynamic changes in mitochondrial redox state upon treatment of neurons with NMDA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NMDA-type glutamate receptor (NMDAR) plays a central role in neuronal plasticity but can also mediate neuronal damage and cell death. Pathological activation of the NMDAR leads to several adverse effects on mitochondria that include matrix calcium overload, mitochondrial oxidation and fragmentation, and mitochondrial permeability transition. In a previous study, the above-described protocol was used to investigate a causal relationship between NMDA-induced mitochondrial calcium overload and mitochondrial oxidation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Primary rat hippocampal neurons grown on poly-D-lysine/laminin-coated coverslips were infected with rAAV-mito-Grx1-roGFP2 on DIV4 and imaged on DIV12. Live imaging was performed at 37 &amp;#176;C on an inverted spinning disc confocal microscope equipped with a 20x/0.75 multi immersion objective (water immersion was used) and an on-stage incubation system. Mito-Grx1-roGFP2 was sequentially excited every 20 s using the 405 nm and 488 nm laser lines, and emission was collected with a 527/55 nm emission filter for both excitation wavelengths. Treatment of neurons with 30 &amp;#181;M NMDA caused oxidation of mitochondria within a few minutes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Notably, NMDA-induced mitochondrial acidosis caused significant quenching of roGFP2 fluorescence, in line with its well-known pH-sensitivity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confirm that this pH-dependent quenching did not affect the 405:488 ratio</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mitochondria were fully oxidized by DA before the addition of NMDA in a control experiment. Pretreatment with DA precludes any further oxidation of mitochondria by NMDA and, accordingly, the 405:488 ratio did not change in this experiment despite a considerable quenching of roGFP2 fluorescence intensity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Multiparametric analysis of NMDA-induced changes of dendritic mitochondria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temporal sequence of NMDA-induced changes in mitochondrial morphology, membrane potential, and redox state, parallel imaging of TMRE- and mito-Grx1-roGFP2 fluorescence was performed at high spatial and temporal resolution. Primary rat cortical neurons grown on poly-L-ornithine-coated coverslips were infected with rAAV-mito-Grx1-roGFP2 on DIV6 and imaged on DIV12. Live imaging was performed at room temperature on an inverted confocal laser scanning microscope using a 63x/1.40 oil immersion objective, a scan speed of 600 Hz, a pixel size of 90.2 nm (1024 x 1024 pixels at 2x scan zoom), a pinhole size of 3 airy units, and a frame average of 2. Every 30 s, three images were recorded in sequential mode: 405 nm excitation/505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emission; 488 nm excitation/505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emission; 552 nm excitation/560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nm emission. Treatment of neurons with 60 &amp;#181;M NMDA resulted in a loss of TMRE signal and an increase in the 405:488 nm roGFP ratio, followed by some delayed rounding up of mitochondria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Grx1-roGFP2 function and roGFP2 excitation spectra.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Oxidative stress and the action of antioxidant defense systems oxidize the cellular glutathione pool. Grx1 in the Grx1-roGPF2 fusion protein promotes the rapid equilibration of the roGFP2 redox state with the redox state of the glutathione pool. The redox status of the roGFP2 pool can be assessed by monitoring the ratio of GFP-fluorescence emission at 510 nm after excitation at 405 nm and 488 nm. Reduced species are shown in blue; oxidized species are shown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Excitation spectra of fully reduced (blue) and oxidized (red) roGFP2. Upon oxidation of roGFP2, fluorescence emission at 400 nm excitation increases, whereas emission at 490 nm excitation decreases. This figure has been modified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Excitation spectra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drawn based 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Dotted lines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indicate the wavelengths of commonly used 405 nm and 488 nm laser lines. Abbreviations: GSH = glutathione; GSSG = oxidized glutathione; Grx = glutaredoxin; roGFP = redox-sensitive green fluorescent protein variant.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of the method.</w:t>
      </w:r>
      <w:r>
        <w:rPr>
          <w:rFonts w:ascii="Calibri" w:hAnsi="Calibri" w:cs="Calibri" w:eastAsia="Calibri"/>
          <w:color w:val="auto"/>
          <w:spacing w:val="0"/>
          <w:position w:val="0"/>
          <w:sz w:val="24"/>
          <w:shd w:fill="auto" w:val="clear"/>
        </w:rPr>
        <w:t xml:space="preserve"> Expression of the excitation-ratiometric redox-sensitive fluorescent protein roGFP2 in neurons can be achieved through several methods that include transfection, lipofection, viral gene transfer, and transgenic animals. The sensor can be used to study the neuronal redox state in cultured primary neurons,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 explants, and intact animals. roGFP2 imaging can be performed on a variety of microscopes that include widefield fluorescent microscopes, confocal microscopes, and 2-photon microscopes. Analysis of roGFP2 imaging data can be performed with the freely available software ImageJ/FIJI. Abbreviation: roGFP = redox-sensitive green fluorescent protein variant.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Growth factor withdrawal causes oxidation of neuronal mitochondria.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405:488 nm ratio images of neurons cultured in the presence (+ GF) or absence (- GF) of growth factors for 48 h before imaging. Color-coded scales represent non-normalized 405:488 nm ratios (lower ratios correspond to a reduced state; higher ratios correspond to an oxidized state).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405:488 nm ratio in individual neurons.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Max/min calibrated 405:488 nm ratio of individual neurons. Round symbols represent single cells; bar represents mean. N =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cells from 3 coverslips from one preparation. Abbreviation: GF = growth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NMDA-induced oxidation of neuronal mitochondria.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405:488 nm ratio images before and after treatment with 30 &amp;#181;M NMDA and after max/min calibration with DA and DTT. At this magnification, roGFP signal is mostly detected in the soma and proximal dendrites. The color-coded scale represents non-normalized 405:488 nm ratios (lower ratios correspond to a reduced state; higher ratios correspond to an oxidized state).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imaging run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NMDA induces a rapid and sustained mitochondrial oxidation that can be calibrated using DA and DTT.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NMDA-induced mitochondrial acidosis causes a drop of GFP fluorescence upon both 405 nm and 488 nm excitation (upper panel). To isolate the pH-driven effect and confirm that the 405:488 nm ratio is pH-insensitive, neurons were first maximally oxidized using DA and subsequently challenged with NMDA in the presence of DA (lower panel). Under these conditions, NMDA still causes mitochondrial acidosis but no further mitochondrial oxidation. Accordingly, although both the 405 nm and 488 nm trace show a pH-driven drop in fluorescence intensity, the 405:488 nm ratio remains stable. This figure is modified from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Abbreviations: GFP = green fluorescent protein; roGFP = redox-sensitive green fluorescent protein variant; NMDA = N-methyl-D-aspartate; DA = diamide; DTT = dithiothreitol.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NMDA-induced changes in membrane potential, redox state, and morphology of dendritic mitochondria.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 high-magnification images from a time-lapse experiment, acquired at t = 1, 4, and 9 min, showing dendritic and axonal mitochondria. Colorization represents TMRE intensity (see calibration bar).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405:488 nm roGFP ratio images from the same time-lapse experiment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t = 1, 4, and 9 min. Note that due to limited AAV infection efficiency, only a subset of neurons expresses mito-Grx1-roGFP2, and therefore, not all TMRE-positive mitochondria are roGFP-positive. The color-coded calibration bar represents non-normalized 405:488 nm ratios (lower ratios correspond to a reduced state; higher ratios correspond to an oxidized state).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TMRE intensity, roGFP 405:488 nm ratio, and roundness of a single mitochondrion (indicated by arrows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1 min of baseline recording, 60 &amp;#181;M NMDA was added to the bath solution. Scale bars = 5 &amp;#181;m. The y-axis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depicts the 405:488 nm roGFP ratio relative to baseline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(green dashed line), the TMRE fluorescence intensity relative to baseline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(red dotted line), and the FIJI/ImageJ shape descriptor “roundness” (black solid line). Abbreviations: GFP = roGFP = redox-sensitive green fluorescent protein variant; mito-Grx1-roGFP2 = Glutaredoxin-1 fused to N-terminus of roGFP; AAV = adeno-associated virus; TMRE = tetramethylrhodamine, ethyl ester; NMDA = N-methyl-D-aspartate.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Stock solutions for imaging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of imaging buffer. </w:t>
      </w:r>
      <w:r>
        <w:rPr>
          <w:rFonts w:ascii="Calibri" w:hAnsi="Calibri" w:cs="Calibri" w:eastAsia="Calibri"/>
          <w:color w:val="auto"/>
          <w:spacing w:val="0"/>
          <w:position w:val="0"/>
          <w:sz w:val="24"/>
          <w:shd w:fill="auto" w:val="clear"/>
        </w:rPr>
        <w:t xml:space="preserve">The indicated volumes are used for the preparation of 100 mL of imaging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and dynamic measurements of the mitochondrial redox state provide important information about mitochondrial and cellular physiology. Several fluorogenic chemical probes are available that detect reactive oxygen species, “redox stress,” or “oxidative stress.” However, the latter terms are not well-defined and often lack specificity</w:t>
      </w:r>
      <w:r>
        <w:rPr>
          <w:rFonts w:ascii="Calibri" w:hAnsi="Calibri" w:cs="Calibri" w:eastAsia="Calibri"/>
          <w:color w:val="auto"/>
          <w:spacing w:val="0"/>
          <w:position w:val="0"/>
          <w:sz w:val="24"/>
          <w:shd w:fill="auto" w:val="clear"/>
          <w:vertAlign w:val="superscript"/>
        </w:rPr>
        <w:t xml:space="preserve">9,17,18</w:t>
      </w:r>
      <w:r>
        <w:rPr>
          <w:rFonts w:ascii="Calibri" w:hAnsi="Calibri" w:cs="Calibri" w:eastAsia="Calibri"/>
          <w:color w:val="auto"/>
          <w:spacing w:val="0"/>
          <w:position w:val="0"/>
          <w:sz w:val="24"/>
          <w:shd w:fill="auto" w:val="clear"/>
        </w:rPr>
        <w:t xml:space="preserve">. Compared to chemical dyes, Grx1-roGFP2 offers several advantages</w:t>
      </w:r>
      <w:r>
        <w:rPr>
          <w:rFonts w:ascii="Calibri" w:hAnsi="Calibri" w:cs="Calibri" w:eastAsia="Calibri"/>
          <w:color w:val="auto"/>
          <w:spacing w:val="0"/>
          <w:position w:val="0"/>
          <w:sz w:val="24"/>
          <w:shd w:fill="auto" w:val="clear"/>
          <w:vertAlign w:val="superscript"/>
        </w:rPr>
        <w:t xml:space="preserve">9,19</w:t>
      </w:r>
      <w:r>
        <w:rPr>
          <w:rFonts w:ascii="Calibri" w:hAnsi="Calibri" w:cs="Calibri" w:eastAsia="Calibri"/>
          <w:color w:val="auto"/>
          <w:spacing w:val="0"/>
          <w:position w:val="0"/>
          <w:sz w:val="24"/>
          <w:shd w:fill="auto" w:val="clear"/>
        </w:rPr>
        <w:t xml:space="preserve">: (i) as an excitation-ratiometric sensor, it provides inherent normalization for sensor expression level, absolute fluorescence intensity, and cell or organelle density; (ii) as a genetically encoded probe, it can be targeted to organelles or specific subcellular compartments such as presynaptic terminals or postsynaptic dendritic spines; (iii) genetic expression of the sensor obviates the need for dye loading, which in the case of chemical dyes can be stressful for primary neurons; (iv) in contrast to general redox-sensitive chemical dyes, Grx1-roGFP2 is highly specific for the glutathione redox potential; (v) oxidation and reduction of the sensor are reversible, enabling the measurement of transient redox changes; (vi) in contrast to chemical dyes that allow for the detection of relative changes only, Grx1-roGPF2 fluorescence ratios can be calibrated to determine absolute redox potentials in mV</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dynamic measurements of the mitochondrial glutathione redox potential in primary neurons. Analysis of mitochondria within intact cells has several advantages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Compared to the study of isolated mitochondria, mitochondria within cells retain physiologically relevant contacts with other organelles (e.g., endoplasmic reticulum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mitochondria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lysosome contacts) and are exposed to cellular concentrations of signaling molecules and metabolites. Compared to the study of intact animals, primary neurons provide better accessibility for genetic and pharmacological manipulations and microscopy. However, for certain questions, analysis of isolated mitochondria will be better suited as this allows precise control over delivered substrates and inhibitors. Notably, mito-Grx1-roGFP2 can also be used in isolated mitochondria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study neuronal mitochondria within intact tissues or animals, transgenic fly and mouse lines are available that express mito-Grx1-roGFP2 in the nervous system</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Notably, the excitation spectrum of roGFP2 is amenable to two-photon excitation, enabling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two-photon imaging in tissue explants and intact animals, respectively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Spectral variants of thiol redox-sensitive fluorescent proteins are also available such as yellow rxYFP-Grx1p</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red Grx1-roCherry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.These provide additional flexibility for multiplexing and, in principle, enable the simultaneous measurement of redox-responses in different cell types or cellular compartments.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in the protocol, the 405:488 nm ratio can be calibrated by measuring maximal and minimal fluorescence ratios after the application of DA and DTT, respectively. This normalization is not essential because the sensor provides a certain degree of inherent normalization due to its ratiometric nature. However, we recommend performing max/min calibration after each imaging run, mostly for two reasons. First, it ensures that sensor responses were not saturated during the experiment. Second, the absolute 405:488 nm ratio is an arbitrary number that depends on the microscope settings of both channels. Even when keeping the same settings, one cannot be sure that laser power and detector performance will stay the same between experiments, especially when these are several weeks apart. One workaround would be to set the average baseline ratio of control cells to 1.0 within each experiment. This allows for relative quantification of treatment-induced redox perturbations in a given experiment but limits the comparability of different experiments. Especially when comparing the basal redox state of cells from different experiments or cell types, it is important to obtain max/min calibrated absolute quantification. Occasionally, the 405:488 nm ratio does not fall below the baseline ratio after DTT treatment, especially if the mitochondria were already in a relatively reduced state at baseline. This typically is a sign of sensor bleaching during prolonged time-lapse experiments. In this case, repeat the experiment with microscope settings that cause less light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paramount to use microscope settings that do not cause bleaching of the sensor or phototoxicity-induced oxidation of mitochondria. Make sure to take sufficient time for protocol optimization before starting actual experiments. Once acceptable settings have been defined, they can be used in subsequent experiments with minimal adjustments. Therefore, kinetics and amplitudes of sensor responses may vary depending on the chosen temperature. The choice of temperature is up to the user, depending on the specific needs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would like to point out two limitations of the sensor. First, the intensity of emitted light is considerably lower with excitation at 405 nm than with excitation at 488 nm, often resulting in rather noisy 405 nm images. Higher laser power is needed to improve the signal to noise in the 405 nm channel. However, excitation at 405 nm is typically more phototoxic and generates more autofluorescence than excitation at 488 nm, limiting the permissible 405 nm laser intensity. For example, in this study, weak roGFP fluorescence combined with considerable 405 nm-excited tissue autofluorescence prevented the acquisition of robust data from mito-Grx1-roGFP2-expressing ganglion cells in live retina flatmounts (Depp and Bas-Orth, unpublished observation). Second, although the 405:488 nm ratio is insensitive to pH changes within a physiological range around pH 5.5 to pH 8.5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pH-dependent quenching of roGFP2 emission can cause the typically weak 405 nm signal to drop below the detection limit of the microscope, preventing the acquisition of quantifiable ratio images. For example, this was the case during NMDA-induced acidosis in the neuronal cytosol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Deutsche Forschungsgemeinschaft (BA 3679/5-1; FOR 2289: BA 3679/4-2). A.K. is supported by an ERASMUS+ fellowship. We thank Iris B&amp;#252;nzli-Ehret, Rita Rosner, and Andrea Schlicksupp for the preparation of primary neurons. We thank Dr. Tobias Dick for providing pLPCX-mito-Grx1-roGFP2. Experiments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were performed at the Nikon Imaging Center, University of Heidelberg.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was prepared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Roede, J. R., Go, Y. M., Jones, D. P. Redox equivalents and mitochondrial bioenergetics.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810,</w:t>
      </w:r>
      <w:r>
        <w:rPr>
          <w:rFonts w:ascii="Calibri" w:hAnsi="Calibri" w:cs="Calibri" w:eastAsia="Calibri"/>
          <w:color w:val="auto"/>
          <w:spacing w:val="0"/>
          <w:position w:val="0"/>
          <w:sz w:val="24"/>
          <w:shd w:fill="auto" w:val="clear"/>
        </w:rPr>
        <w:t xml:space="preserve">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Turrens, J. F. Mitochondrial formation of reactive oxygen species.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552</w:t>
      </w:r>
      <w:r>
        <w:rPr>
          <w:rFonts w:ascii="Calibri" w:hAnsi="Calibri" w:cs="Calibri" w:eastAsia="Calibri"/>
          <w:color w:val="auto"/>
          <w:spacing w:val="0"/>
          <w:position w:val="0"/>
          <w:sz w:val="24"/>
          <w:shd w:fill="auto" w:val="clear"/>
        </w:rPr>
        <w:t xml:space="preserve"> (Pt 2),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 M. T., Beal, M. F. Mitochondrial dysfunction and oxidative stress in neurodegenerative diseases.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(7113),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Manfredi, G., Beal, M. F. The role of mitochondria in the pathogenesis of neurodegenerative diseases. </w:t>
      </w:r>
      <w:r>
        <w:rPr>
          <w:rFonts w:ascii="Calibri" w:hAnsi="Calibri" w:cs="Calibri" w:eastAsia="Calibri"/>
          <w:i/>
          <w:color w:val="auto"/>
          <w:spacing w:val="0"/>
          <w:position w:val="0"/>
          <w:sz w:val="24"/>
          <w:shd w:fill="auto" w:val="clear"/>
        </w:rPr>
        <w:t xml:space="preserve">Brain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Mari, M., Morales, A., Colell, A., Garcia-Ruiz, C., Fernandez-Checa, J. C. Mitochondrial glutathione, a key survival antioxidant.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2685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Murphy, M. P. Mitochondrial thiols in antioxidant protection and redox signaling: distinct roles for glutathionylation and other thiol modifications.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Dooley, C.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dynamic redox changes in mammalian cells with green fluorescent protein indicators.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(21), 22284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22293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Hanson, G.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Investigating mitochondrial redox potential with redox-sensitive green fluorescent protein indicators.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(13), 13044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13053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Gutscher,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Real-time imaging of the intracellular glutathione redox potential.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Morgan, B., Sobotta, M. C., Dick, T. P. Measuring E(GSH) and H2O2 with roGFP2-based redox probes.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(11),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Marwick, K. F. M., Hardingham, G. E. Transfection in primary cultured neuronal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1677</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Kohrmann,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Fast, convenient, and effective method to transiently transfect primary hippocampal neurons.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Depp, C., Bas-Orth, C., Schroeder, L., Hellwig, A., Bading, H. Synaptic activity protects neurons against calcium-mediated oxidation and contraction of mitochondria during excitotoxicity.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Hauck, B., Chen, L., Xiao, W. Generation and characterization of chimeric recombinant AAV vectors.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Brand, M. D., Nicholls, D. G. Assessing mitochondrial dysfunction in cells.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Nuclear calcium signaling controls expression of a large gene pool: identification of a gene program for acquired neuroprotection induced by synaptic activity.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e1000604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Winterbourn, C. C. The challenges of using fluorescent probes to detect and quantify specific reactive oxygen species in living cells.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(2), 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Sies, H. Oxidative stress: a concept in redox biology and medicine.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Lukyanov, K. A., Belousov, V. V. Genetically encoded fluorescent redox sensors.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(2),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Nietzel,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Redox-mediated kick-start of mitochondrial energy metabolism drives resource-efficient seed germination.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Albrecht,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Redesign of genetically encoded biosensors for monitoring mitochondrial redox status in a broad range of model eukaryotes.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Albrecht, S. C., Barata, A. G., Grosshans, J., Teleman, A. A., Dick, T. P. In vivo mapping of hydrogen peroxide and oxidized glutathione reveals chemical and regional specificity of redox homeostasis.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Breckwoldt, M.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Multiparametric optical analysis of mitochondrial redox signals during neuronal physiology and pathology in vivo.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Ricke,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dysfunction combined with high calcium load leads to impaired antioxidant defense underlying the selective loss of nigral dopaminergic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Bjornberg, O., Ostergaard, H., Winther, J. R. Mechanistic insight provided by glutaredoxin within a fusion to redox-sensitive yellow fluorescent protein.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2362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Shokhina,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 fluorescent redox-sensitive biosensor Grx1-roCherry.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101071 (2019).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