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Intratibial</w:t>
      </w:r>
      <w:r>
        <w:rPr>
          <w:rFonts w:ascii="Calibri" w:hAnsi="Calibri" w:cs="Calibri" w:eastAsia="Calibri"/>
          <w:color w:val="000000"/>
          <w:spacing w:val="0"/>
          <w:position w:val="0"/>
          <w:sz w:val="24"/>
          <w:shd w:fill="auto" w:val="clear"/>
        </w:rPr>
        <w:t xml:space="preserve"> Osteosarcoma Cell Injection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Generate </w:t>
      </w:r>
      <w:r>
        <w:rPr>
          <w:rFonts w:ascii="Calibri" w:hAnsi="Calibri" w:cs="Calibri" w:eastAsia="Calibri"/>
          <w:color w:val="000000"/>
          <w:spacing w:val="0"/>
          <w:position w:val="0"/>
          <w:sz w:val="24"/>
          <w:shd w:fill="auto" w:val="clear"/>
        </w:rPr>
        <w:t xml:space="preserve">Orthotopic Osteosarcoma and Lung Metastasis Mouse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Junli Chang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Fulai Zhao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Xingyuan Sun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Xiaoping Ma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Wenlan Zhi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Yanping Yang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Longhua Hospital, Shanghai University of Traditional Chinese Medicine, Shanghai 200032, China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Key Laboratory of theory and therapy of muscles and bones, Ministry of Education, Shanghai, 20032,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Junli Chang</w:t>
        <w:tab/>
        <w:tab/>
        <w:tab/>
        <w:t xml:space="preserve">(</w:t>
      </w:r>
      <w:r>
        <w:rPr>
          <w:rFonts w:ascii="Calibri" w:hAnsi="Calibri" w:cs="Calibri" w:eastAsia="Calibri"/>
          <w:color w:val="auto"/>
          <w:spacing w:val="0"/>
          <w:position w:val="0"/>
          <w:sz w:val="24"/>
          <w:shd w:fill="auto" w:val="clear"/>
        </w:rPr>
        <w:t xml:space="preserve">changjunli2008@shutcm.edu.cn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Fulai Zhao</w:t>
        <w:tab/>
        <w:tab/>
        <w:tab/>
        <w:t xml:space="preserve">(</w:t>
      </w:r>
      <w:r>
        <w:rPr>
          <w:rFonts w:ascii="Calibri" w:hAnsi="Calibri" w:cs="Calibri" w:eastAsia="Calibri"/>
          <w:color w:val="auto"/>
          <w:spacing w:val="0"/>
          <w:position w:val="0"/>
          <w:sz w:val="24"/>
          <w:shd w:fill="auto" w:val="clear"/>
        </w:rPr>
        <w:t xml:space="preserve">0022019215@shutcm.edu.cn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Xingyuan Sun</w:t>
        <w:tab/>
        <w:tab/>
        <w:t xml:space="preserve">(</w:t>
      </w:r>
      <w:r>
        <w:rPr>
          <w:rFonts w:ascii="Calibri" w:hAnsi="Calibri" w:cs="Calibri" w:eastAsia="Calibri"/>
          <w:color w:val="auto"/>
          <w:spacing w:val="0"/>
          <w:position w:val="0"/>
          <w:sz w:val="24"/>
          <w:shd w:fill="auto" w:val="clear"/>
        </w:rPr>
        <w:t xml:space="preserve">sunxingyuan@shutcm.edu.cn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Xiaoping Ma</w:t>
        <w:tab/>
        <w:tab/>
        <w:tab/>
        <w:t xml:space="preserve">(</w:t>
      </w:r>
      <w:r>
        <w:rPr>
          <w:rFonts w:ascii="Calibri" w:hAnsi="Calibri" w:cs="Calibri" w:eastAsia="Calibri"/>
          <w:color w:val="auto"/>
          <w:spacing w:val="0"/>
          <w:position w:val="0"/>
          <w:sz w:val="24"/>
          <w:shd w:fill="auto" w:val="clear"/>
        </w:rPr>
        <w:t xml:space="preserve">0022020210@shutcm.edu.cn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Wenlan Zhi</w:t>
        <w:tab/>
        <w:tab/>
        <w:tab/>
        <w:t xml:space="preserve">(</w:t>
      </w:r>
      <w:r>
        <w:rPr>
          <w:rFonts w:ascii="Calibri" w:hAnsi="Calibri" w:cs="Calibri" w:eastAsia="Calibri"/>
          <w:color w:val="auto"/>
          <w:spacing w:val="0"/>
          <w:position w:val="0"/>
          <w:sz w:val="24"/>
          <w:shd w:fill="auto" w:val="clear"/>
        </w:rPr>
        <w:t xml:space="preserve">0022018193@shutcm.edu.cn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Yanping Yang</w:t>
        <w:tab/>
        <w:tab/>
        <w:t xml:space="preserve">(</w:t>
      </w:r>
      <w:r>
        <w:rPr>
          <w:rFonts w:ascii="Calibri" w:hAnsi="Calibri" w:cs="Calibri" w:eastAsia="Calibri"/>
          <w:color w:val="auto"/>
          <w:spacing w:val="0"/>
          <w:position w:val="0"/>
          <w:sz w:val="24"/>
          <w:shd w:fill="auto" w:val="clear"/>
        </w:rPr>
        <w:t xml:space="preserve">yanpingyang@shutcm.edu.cn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Yanping Yang</w:t>
        <w:tab/>
        <w:tab/>
        <w:t xml:space="preserve">(</w:t>
      </w:r>
      <w:r>
        <w:rPr>
          <w:rFonts w:ascii="Calibri" w:hAnsi="Calibri" w:cs="Calibri" w:eastAsia="Calibri"/>
          <w:color w:val="auto"/>
          <w:spacing w:val="0"/>
          <w:position w:val="0"/>
          <w:sz w:val="24"/>
          <w:shd w:fill="auto" w:val="clear"/>
        </w:rPr>
        <w:t xml:space="preserve">yanpingyang@shutcm.edu.cn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intratibia osteosarcoma cell injection to </w:t>
      </w:r>
      <w:r>
        <w:rPr>
          <w:rFonts w:ascii="Calibri" w:hAnsi="Calibri" w:cs="Calibri" w:eastAsia="Calibri"/>
          <w:color w:val="auto"/>
          <w:spacing w:val="0"/>
          <w:position w:val="0"/>
          <w:sz w:val="24"/>
          <w:shd w:fill="auto" w:val="clear"/>
        </w:rPr>
        <w:t xml:space="preserve">generate m</w:t>
      </w:r>
      <w:r>
        <w:rPr>
          <w:rFonts w:ascii="Calibri" w:hAnsi="Calibri" w:cs="Calibri" w:eastAsia="Calibri"/>
          <w:color w:val="000000"/>
          <w:spacing w:val="0"/>
          <w:position w:val="0"/>
          <w:sz w:val="24"/>
          <w:shd w:fill="auto" w:val="clear"/>
        </w:rPr>
        <w:t xml:space="preserve">ouse models bearing orthotopic osteosarcoma and pulmonary metastasis lesions.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Osteosarcoma is the most common primary bone cancer in children and adolescents, with lungs as the most common metastatic site. The five-year survival rate of osteosarcoma patients with pulmonary metastasis is less than 30%.</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the utilization of mouse models mimicking the osteosarcoma development in humans is of great significance for understanding the fundamental mechanism of osteosarcoma carcinogenesis and pulmonary metastasis to develop novel therapeutics. Here, detailed procedures are reported </w:t>
      </w:r>
      <w:r>
        <w:rPr>
          <w:rFonts w:ascii="Calibri" w:hAnsi="Calibri" w:cs="Calibri" w:eastAsia="Calibri"/>
          <w:color w:val="auto"/>
          <w:spacing w:val="0"/>
          <w:position w:val="0"/>
          <w:sz w:val="24"/>
          <w:shd w:fill="auto" w:val="clear"/>
        </w:rPr>
        <w:t xml:space="preserve">to generate the </w:t>
      </w:r>
      <w:r>
        <w:rPr>
          <w:rFonts w:ascii="Calibri" w:hAnsi="Calibri" w:cs="Calibri" w:eastAsia="Calibri"/>
          <w:color w:val="000000"/>
          <w:spacing w:val="0"/>
          <w:position w:val="0"/>
          <w:sz w:val="24"/>
          <w:shd w:fill="auto" w:val="clear"/>
        </w:rPr>
        <w:t xml:space="preserve">primary osteosarcoma and pulmonary metastasis mouse models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intratibia</w:t>
      </w:r>
      <w:r>
        <w:rPr>
          <w:rFonts w:ascii="Calibri" w:hAnsi="Calibri" w:cs="Calibri" w:eastAsia="Calibri"/>
          <w:color w:val="000000"/>
          <w:spacing w:val="0"/>
          <w:position w:val="0"/>
          <w:sz w:val="24"/>
          <w:shd w:fill="auto" w:val="clear"/>
        </w:rPr>
        <w:t xml:space="preserve"> injection of osteosarcoma cells. Combined with the bioluminescence or X-ray live imaging system, these living mouse models are utilized to monitor and quantify osteosarcoma growth and metastasis. To establish this model, a basement membrane matrix containing osteosarcoma cells was loaded in a micro-volume syringe and injected into one tibia of each athymic mouse after being anesthetized. The mice were sacrificed when the primary osteosarcoma reached the size limitation in the IACUC-approved protocol. The legs bearing osteosarcoma and the lungs with metastasis lesions were separated. These models are characterized by a short incubation period, rapid growth, severe lesions, and sensitivity in monitoring the development of primary and pulmonary metastatic lesions. Therefore, these are ideal models for exploring the functions and mechanisms of specific factors in osteosarcoma carcinogenesis and pulmonary metastasis, the tumor microenvironment, and evaluating the therapeutic efficacy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Osteosarcoma is the most common primary bone cancer in children and adolescents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which mainly infiltrates the surrounding tissue, and even metastasizes to the lungs when the patients are diagnosed. Pulmonary metastasis is the main challenge for osteosarcoma therapy, and the five-year survival rate of osteosarcoma patients with pulmonary metastasis remains as low as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the five-year survival rate of primary osteosarcoma has been increased to about 70% since the 1970s due to the introduction of chemotherapy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it's urgently needed to understand the fundamental mechanism of osteosarcoma carcinogenesis and pulmonary metastasis to develop novel therapies. The application of mouse models that best mimic the osteosarcoma progression in humans is of great significance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osteosarcoma animal models </w:t>
      </w:r>
      <w:r>
        <w:rPr>
          <w:rFonts w:ascii="Calibri" w:hAnsi="Calibri" w:cs="Calibri" w:eastAsia="Calibri"/>
          <w:color w:val="auto"/>
          <w:spacing w:val="0"/>
          <w:position w:val="0"/>
          <w:sz w:val="24"/>
          <w:shd w:fill="auto" w:val="clear"/>
        </w:rPr>
        <w:t xml:space="preserve">are generated by spontaneous</w:t>
      </w:r>
      <w:r>
        <w:rPr>
          <w:rFonts w:ascii="Calibri" w:hAnsi="Calibri" w:cs="Calibri" w:eastAsia="Calibri"/>
          <w:color w:val="000000"/>
          <w:spacing w:val="0"/>
          <w:position w:val="0"/>
          <w:sz w:val="24"/>
          <w:shd w:fill="auto" w:val="clear"/>
        </w:rPr>
        <w:t xml:space="preserve">, induced genetic engineering, transplantation, and other techniques. The spontaneous osteosarcoma model is rarely used due to the long tumor formation time, inconsistent tumor occurrence rate, low morbidity, and poor stability</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Although the induced osteosarcoma model is more accessible to obtain than the spontaneous osteosarcoma, the application of the induced osteosarcoma model is limited because the inducing factor will affect the microenvironment, the pathogenesis, and pathological characteristics of osteosarcoma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Transgenic models are helping to understand the pathogenesis of cancers since they can better simulate the human physiological and pathological environments; however, the transgenic animal models also have their limitations due to the difficulty, long-term, and high cost of transgenic modification. Moreover, even in the most widely accepted transgenic animal </w:t>
      </w:r>
      <w:r>
        <w:rPr>
          <w:rFonts w:ascii="Calibri" w:hAnsi="Calibri" w:cs="Calibri" w:eastAsia="Calibri"/>
          <w:color w:val="auto"/>
          <w:spacing w:val="0"/>
          <w:position w:val="0"/>
          <w:sz w:val="24"/>
          <w:shd w:fill="auto" w:val="clear"/>
        </w:rPr>
        <w:t xml:space="preserve">models generated by p53 </w:t>
      </w:r>
      <w:r>
        <w:rPr>
          <w:rFonts w:ascii="Calibri" w:hAnsi="Calibri" w:cs="Calibri" w:eastAsia="Calibri"/>
          <w:color w:val="000000"/>
          <w:spacing w:val="0"/>
          <w:position w:val="0"/>
          <w:sz w:val="24"/>
          <w:shd w:fill="auto" w:val="clear"/>
        </w:rPr>
        <w:t xml:space="preserve">and Rb gene modification, only 16.3% of sarcoma occurred in the four limb bones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Transplantation is one of the most commonly used primary and distant metastatic cancer model-producing methods in recent years due to its simple maneuver, stable tumor formation rate, and better homogeneity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Transplantation includes heterotopic transplantation and orthotopic transplantation according to the transplantation sites. In osteosarcoma heterotopic transplantation, the osteosarcoma cells are injected outside the primary osteosarcoma sites (bone) of the animals, commonly under the skin, subcutaneously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Although the heterotopic transplantation is straightforward without the necessity to perform surgery in animals, the sites where the osteosarcoma cells are injected do not represent the actual human osteosarcoma microenvironment. Osteosarcoma orthotopic transplantation is when the osteosarcoma cells are injected into animals' bones, such as tibia</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Compared to the heterotopic grafts, orthotopic osteosarcoma grafts are characterized by a short incubation period, rapid growth, and strong erosive nature; therefore, they are ideal animal models for osteosarcoma-related studies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commonly used animals are mice, dogs, and zebrafish</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 spontaneous model of osteosarcoma is usually used in canines because osteosarcoma is one of the most common tumors in canines. However, the application of this model is limited because of the long tumor formation time, the low tumorigenesis rate, poor homogeneity, and stability. Zebrafishes are often used to construct transgenic or knockout tumor models because of their rapid reproduction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But zebrafish genes are different from human genes, so their applications are limited.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describes the detailed procedures, precautions, and representative images for producing the primary osteosarcoma in the tibia with pulmonary metastasis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intratibia injection of osteosarcoma cells in athymic mice. This method was applied to create the primary osteosarcoma in mouse tibia for therapeutic efficacy evaluation, which showed a high reproducibility</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approved by the animal welfare committee of Shanghai University of Traditional Chinese Medicine. Four-week-old male BALB/c athymic mice were adapted for a week before the surgery for orthotopic injection of osteosarcoma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On the day of osteosarcoma cell (143B-Luciferase) injection, wash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confluent cells cultured in a 10 cm cell culture dish twice with PBS (pH 7.4) and trypsinize with 1.5 mL of 0.25% trypsin for 3 min. Then, add 6 mL of 10% serum-containing MEM media to quench the trypsin, and collect the cells in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143B-Luciferase cell line is obtained from 143B cell line transfect with pLV-luciferase vector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F7F8FA" w:val="clear"/>
        </w:rPr>
      </w:pPr>
      <w:r>
        <w:rPr>
          <w:rFonts w:ascii="Calibri" w:hAnsi="Calibri" w:cs="Calibri" w:eastAsia="Calibri"/>
          <w:color w:val="333333"/>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Aspirate 20 &amp;#181;L of cell </w:t>
      </w:r>
      <w:r>
        <w:rPr>
          <w:rFonts w:ascii="Calibri" w:hAnsi="Calibri" w:cs="Calibri" w:eastAsia="Calibri"/>
          <w:color w:val="333333"/>
          <w:spacing w:val="0"/>
          <w:position w:val="0"/>
          <w:sz w:val="24"/>
          <w:shd w:fill="F7F8FA" w:val="clear"/>
        </w:rPr>
        <w:t xml:space="preserve">suspension into the chamber of cell counting plate and </w:t>
      </w:r>
      <w:r>
        <w:rPr>
          <w:rFonts w:ascii="Calibri" w:hAnsi="Calibri" w:cs="Calibri" w:eastAsia="Calibri"/>
          <w:color w:val="auto"/>
          <w:spacing w:val="0"/>
          <w:position w:val="0"/>
          <w:sz w:val="24"/>
          <w:shd w:fill="FFFF00" w:val="clear"/>
        </w:rPr>
        <w:t xml:space="preserve">calculate cell concentration using an automatic cell counter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Centrifuge the cells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Aspirate the supernatant with a pipette and resuspend the cell pellet in an 8.5 mg/mL basement membrane matrix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a final concentration of 2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Keeping the cells on ice, bring them to the surgery room. The cells are to be used within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inaccurate injection doses (for example, due to the dead space in syringes), an extra cell suspension is prepared (usually two times the required volume of cell suspension). The basement membrane matrix is kept on ice all the time since it has coagulation property above room temperature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Surgery for orthotopic injection of the osteosarcoma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surgery tools are shown in </w:t>
      </w:r>
      <w:r>
        <w:rPr>
          <w:rFonts w:ascii="Calibri" w:hAnsi="Calibri" w:cs="Calibri" w:eastAsia="Calibri"/>
          <w:b/>
          <w:color w:val="000000"/>
          <w:spacing w:val="0"/>
          <w:position w:val="0"/>
          <w:sz w:val="24"/>
          <w:shd w:fill="auto" w:val="clear"/>
        </w:rPr>
        <w:t xml:space="preserve">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Mice were raised in specific pathogen-free conditions. All procedures were done in an aseptic cabinet with sterile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Anesthetize the mice by exposing them to 2% isoflurane and 98% oxygen (oxygen flow rate, 2 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Apply a small amount of vet ointment on the eyes to prevent dryness while under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entire procedure in a well-ventilated area. Before osteosarcoma cell injection, ensure that each mouse is under deep anesthesia by gently touching the foot; if the mouse still has responses, such as twitch or jerk, wait for a long time until the above responses disappear.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Keep each mouse in a supine position. Hold the ankle of the mouse using the thumb and index finger and disinfect the injection site of the tibia with a 70% ethanol swab.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tightly hold the mouse ankle, both the thumb and index fingertips are of great importance for the subsequent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Rotate the ankle joint of each mouse outward to move the tibia and fibula, and bend the knee joint to a suitable position until the proximal tibia plateau (the top of the tibia) is clearly visible through the skin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Attach the needle to a 1 mL syringe and point the needle tip toward the injection site. Ensure that the syringe needle is parallel to the long axis of the tibia.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Percutaneously insert the needle through or adjacent to the patellar ligament as it goes through the skin/joint capsule; then, rotate the syringe (1/2 to 3/4-circle) to drill a hole through the tibia platform toward the distal end of the tibia (medullary cavity) for osteosarcoma cell injection with a micro-volume syringe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Simultaneous rotation of the tibia can be felt while drilling if the needle tip is accurate. Ensure the needling moves forward with the syringe rotation rather than being directly pushed forward until about half of the needle is in the tibia.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Check whether the syringe needle made a prominent movement into the medullary canal to ensure successful drilling.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an X-ray examination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confirm the proper position of the needle and collect the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Load 143B osteosarcoma cell suspension (from step 1.5) into a micro-volume syringe and replace the 1 mL syringe in the tibia with the 143B cell-loaded micro-volume syringe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Slowly inject ~10 &amp;#181;L (ignore pre-existing solution in the needle) of 143B cell suspension into each athymic mouse's tibia (about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without applying high pressure.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Press the injection site with a cotton swab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 when the micro-volume syringe is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Put each mouse back into a clean cage and closely monitor until the mouse is completely recovered from anesthesia (about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Monitor the tumor growth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an X-ray imaging system. Measure the longer diameter (a) and the short diameter (b) of the cancer mass every week with a caliper for tumor volume (V) calculation: V = 1/2 x a x 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Intratibia injection of luciferase or fluorescent protein labeled osteosarcoma cells enables tracking of primary and metastatic osteosarcoma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Pathologic examination (collecting primary and pulmonary metastatic osteosarcoma specimen for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Six weeks after osteosarcoma cell injection, sacrifice the mice by cervical dislocation after exposing them for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inhalation.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Keep the mouse in a supine position and stretch both the hind limbs.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Separate the whole legs bearing osteosarcoma from the inguinal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all legs are separated from the same anatomical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Prepare the histological specimen of legs bearing osteosarcoma by removing the skin, muscles, and feet, and then fix the specimen of each mouse in a 50 mL tube with 20 mL formalin solution (10%) for 24 h, followed by decalcification in 10% EDTA solution for 14 days with occasional buffer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Embed the specimen in paraffin and prepare sections for histological examination following previously published work</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Gently separate the lungs and put them into a 50 mL tube filled with 20 mL formalin solution (10%). After 24 h, transfer the lungs of each mouse into a 15 mL tube with 70% ethanol. Embed the lungs in paraffin for Hematoxylin and Eosin (H&amp;amp;E) staining and immunohistochemistry assay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Successful orthotopic (primary) osteosarcoma and metastatic pulmonary models depend on the accurate orthotopic injection of osteosarcoma cells. Here, </w:t>
      </w:r>
      <w:r>
        <w:rPr>
          <w:rFonts w:ascii="Calibri" w:hAnsi="Calibri" w:cs="Calibri" w:eastAsia="Calibri"/>
          <w:color w:val="000000"/>
          <w:spacing w:val="0"/>
          <w:position w:val="0"/>
          <w:sz w:val="24"/>
          <w:shd w:fill="auto" w:val="clear"/>
        </w:rPr>
        <w:t xml:space="preserve">an orthotopic (primary) osteosarcoma model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intratibial osteosarcoma cell injection was successfully developed.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shows a representative mouse bearing orthotopic (primary) osteosarcoma, and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a representative isolated orthotopic (primary) osteosarcoma. The tumor volume was measured once a week with a caliper and calculated as described in step 2.11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orthotopic (primary) osteosarcoma growth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was tracked by both the X-ray and the bioluminescence (when the injected cells were labeled with luciferase) live imaging system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X-ray images were obtained from the first week to the sixth week after 143B osteosarcoma cell injection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Furthermore, the image of orthotopic (primary) osteosarcoma growth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was obtained after luciferase labeled 143B cells were injected into the mouse tibia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pulmonary metastasis caused by the intratibial injection of luciferase labeled osteosarcoma cells was successfully tracked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by a bioluminescence live imaging system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metastatic colonies in the isolated lung tissues were also visualized under the stereomicroscope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metastatic lesions were further confirmed by H&amp;amp;E staining on paraffin-embedded lung tissues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Surgery Tools.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 mL scale syringe.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Micro-volume syringe.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Representation of the intratibial injection surgery.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intratibial injection site of an athymic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sterile 1 mL syringe with an accompanied needle was percutaneously inserted into the tibia toward the distal end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proximal tibia plateau (the top of the tibia).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lateral view of the drilling process. The syringe needle was parallel to the long tibia axis (solid line).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Intratibial injection with osteosarcoma cell loaded micro-volume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Visualization of the osteosarcoma growth in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Successful mouse orthotopic osteosarcoma model.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Isolated orthotopic osteosarcoma.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Tumor volume was measured with a caliper and calculated using the following formula: tumor volume = 0.5 x longer diameter x short diameter x short diameter. Error bars stand for standard deviation (n = 8).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X-ray images were obtained from the same mouse at a different time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Image obtained on the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after luciferase labeled 143B cells were injected into the mouse tibia. The red arrows indicated the luminescence intensity of the orthotopic (primary) osteosarcoma.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Pulmonary metastasis of osteosarcoma.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obtained on the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after luciferase labeled 143B cells were injected into the mouse tibia. The red arrows indicated the luminescence intensity of the pulmonary metastasis.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isolated lungs with osteosarcoma metastases. The red arrows indicated the metastatic colonies (x20).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H&amp;amp;E staining showed metastatic lesions in lung tissues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Orthotopic injection of osteosarcoma cells is an ideal model to study the function and mechanism of specific factors in osteosarcoma carcinogenesis and development to evaluate the therapeutic efficacy. To avoid differences in tumor growth, most active osteosarcoma cells at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confluent with the same number are carefully injected into the tibia of each mouse, and the cell trypsinization time is strictly controlled without affecting the cell viability. As cell clumps affect cell counting leading to inaccurate cell numbers being injected into the tibia of each mouse, the cell suspension needs to be appropriately mixed up and down with a pipette to avoid the formation of cell clumps.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Another critical</w:t>
      </w:r>
      <w:r>
        <w:rPr>
          <w:rFonts w:ascii="Calibri" w:hAnsi="Calibri" w:cs="Calibri" w:eastAsia="Calibri"/>
          <w:color w:val="auto"/>
          <w:spacing w:val="0"/>
          <w:position w:val="0"/>
          <w:sz w:val="24"/>
          <w:shd w:fill="auto" w:val="clear"/>
        </w:rPr>
        <w:t xml:space="preserve"> aspect that must be taken into consideration is the resuspended solution for </w:t>
      </w:r>
      <w:r>
        <w:rPr>
          <w:rFonts w:ascii="Calibri" w:hAnsi="Calibri" w:cs="Calibri" w:eastAsia="Calibri"/>
          <w:color w:val="000000"/>
          <w:spacing w:val="0"/>
          <w:position w:val="0"/>
          <w:sz w:val="24"/>
          <w:shd w:fill="auto" w:val="clear"/>
        </w:rPr>
        <w:t xml:space="preserve">osteosarco</w:t>
      </w:r>
      <w:r>
        <w:rPr>
          <w:rFonts w:ascii="Calibri" w:hAnsi="Calibri" w:cs="Calibri" w:eastAsia="Calibri"/>
          <w:color w:val="auto"/>
          <w:spacing w:val="0"/>
          <w:position w:val="0"/>
          <w:sz w:val="24"/>
          <w:shd w:fill="auto" w:val="clear"/>
        </w:rPr>
        <w:t xml:space="preserve">ma cells. The injected cells are resuspended in a basement membrane matrix instead of in PBS or culture medium. Moreover, a high concentration of basement membrane matrix is challenging to be pipetted and affects the accurate volume; thus, an appropriate concentration of basement membrane matrix is required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drill a hole through the tibia platform for osteosarcoma cell injection, the needling moves forward with the syringe rotation rather than being directly pushed forward until about half of the needle is in the tibia. More particularly, immunodeficient mice are applied to establish an orthotopic osteosarcoma model using human osteosarcoma cells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Meanwhile, the injection procedure is performed in biological safety cabinet using sterile surgical tools. Since mice may experience uneasiness after anesthesia and surgery, the mice must be closely monitored on the first week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Intratibia injection of osteosarcoma cells labeled with fluorescent protein or luciferase enables the tracking of primary and metastatic lesions using optical imaging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Osteosarcoma is never allowed beyond the</w:t>
      </w:r>
      <w:r>
        <w:rPr>
          <w:rFonts w:ascii="Calibri" w:hAnsi="Calibri" w:cs="Calibri" w:eastAsia="Calibri"/>
          <w:color w:val="000000"/>
          <w:spacing w:val="0"/>
          <w:position w:val="0"/>
          <w:sz w:val="24"/>
          <w:shd w:fill="auto" w:val="clear"/>
        </w:rPr>
        <w:t xml:space="preserve"> size limit as in the IACUC-approv</w:t>
      </w:r>
      <w:r>
        <w:rPr>
          <w:rFonts w:ascii="Calibri" w:hAnsi="Calibri" w:cs="Calibri" w:eastAsia="Calibri"/>
          <w:color w:val="auto"/>
          <w:spacing w:val="0"/>
          <w:position w:val="0"/>
          <w:sz w:val="24"/>
          <w:shd w:fill="auto" w:val="clear"/>
        </w:rPr>
        <w:t xml:space="preserve">ed protocol; meanwhile, ulcerations may occur in enormous size tumor mass, which may lead to failed immunohistochemical analyses. Although the primary bone tumors and bone metastasis have been recently reported to be achieved by implantation of solid tumor graft into bone, and the animals developed reproducible growth, as well as lung metastasis eventually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the authors directly implanted fresh or cryopreserved tumor fragments into the proximal tibia, which showed the disadvantage of open surgery caused potential infection and failure of developing tumor engraftment. Moreover, the volume of implanted tumor fragments without strict control will result in a significant difference in produced tumor volume, which is difficult in following application, such as evaluating the therapeutic efficacy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Here, a simple and reproducible technique is reported to establish the intratibia primary osteosarcoma with later pulmonary metastasis mouse models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intratibia injection of osteosarcoma cells. This showed the advantages of best mimicking the clinical development characteristics of osteosarcoma in humans; accurate numbers of osteosarcoma cells being directly injected into tibia using micro-volume syringe allowing identical tumor formation rate (100%) and tumor volume. The method ensures avoiding the possibilities of infection or even death using open surgery techniques and allowing lively monitor and quantifying osteosarcoma growth and metastasis using the bioluminescence live imaging system after the injected osteosarcoma cells are labeled with bioluminescence. This prevents the injected osteosarcoma cells from directly reaching the bloodstream and colonizing in the lungs to form pulmonary embolism and/or false-positive pulmonary metastasis by resuspending the injected osteosarcoma cells in appropriate concentration of basement membrane matrix since the basement membrane matrix has the property of coagulation above room temperature. The immediate coagulation support and restrict osteosarcoma cells within the basement membrane matrix after being injected into the mouse tibia.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literature has reported the bone metastasis model establishment by intracardiac inoculation or intratibial inoculation of breast cancer cells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cells used in this literature are breast cancer cells, which have different biological and clinical characteristics with osteosarcoma cells; moreover, both the intracardiac and the intratibial inoculation established cancer models in bone are formed by cancer cell colonizing directly or reaching through bloodstream rather than metastasis lesions formed by cancer cell dissemination from the primary cancer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of the current protocol. Mice used in this protocol are genetic immune system defect nude mice without thymus that prevents them from immunologically rejecting human cells and are widely used in preclinical trials, which are not applicable for immune functional research. Furthermore, we found that not all osteosarcoma cell lines are identically relevant in these models, and the tumorigenesis abilities of 143B, MNNG, MG-63, and U-2 OS cells are higher than the Saos-2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In conclusion, the present primary and pulmonary metastatic osteosarcoma models generated by orthotopic osteosarcoma cell injection are handy tools to study the tumor microenvironment, efficacy of therapeutics on osteosarcoma growth and/or metastasis. In addition, by intratibia injection of the genetically modified osteosarcoma cells specifically targeting a gene, the models are helpful to explore the key oncogenes and tumor suppressors in osteosarcoma growth and pulmonary metastasis.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grants from (1) National Key R&amp;amp;D Program of China (2018YFC1704300 and 2020YFE0201600), (2) National Nature Science Foundation (81973877 and 82174408).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Bielack, S. S. et al. Prognostic factors in high-grade osteosarcoma of the extremities or trunk: an analysis of 1,702 patients treated on neoadjuvant cooperative osteosarcoma study group protocols.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776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Yang, C. et al. Bone microenvironment and osteosarcoma metastasis.</w:t>
      </w:r>
      <w:r>
        <w:rPr>
          <w:rFonts w:ascii="Calibri" w:hAnsi="Calibri" w:cs="Calibri" w:eastAsia="Calibri"/>
          <w:i/>
          <w:color w:val="auto"/>
          <w:spacing w:val="0"/>
          <w:position w:val="0"/>
          <w:sz w:val="24"/>
          <w:shd w:fill="auto" w:val="clear"/>
        </w:rPr>
        <w:t xml:space="preserve"> 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Mirabello, L., Troisi, R. J., Savage, S. A. Osteosarcoma incidence and survival rates from 1973 to 2004: data from the Surveillance, Epidemiology, and End Results Program.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(7), 1531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B. et al. The efficacy and safety comparison of first-line chemotherapeutic agents (high-dose methotrexate, doxorubicin, cisplatin, and ifosfamide) for osteosarcoma: a network meta-analysis.</w:t>
      </w:r>
      <w:r>
        <w:rPr>
          <w:rFonts w:ascii="Calibri" w:hAnsi="Calibri" w:cs="Calibri" w:eastAsia="Calibri"/>
          <w:i/>
          <w:color w:val="auto"/>
          <w:spacing w:val="0"/>
          <w:position w:val="0"/>
          <w:sz w:val="24"/>
          <w:shd w:fill="auto" w:val="clear"/>
        </w:rPr>
        <w:t xml:space="preserve"> Journal of Orthopaedic Surgery and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Tsukamoto, S., Errani, C., Angelini, A., Mavrogenis, A. F. Current treatment considerations for osteosarcoma metastatic at presentation. </w:t>
      </w:r>
      <w:r>
        <w:rPr>
          <w:rFonts w:ascii="Calibri" w:hAnsi="Calibri" w:cs="Calibri" w:eastAsia="Calibri"/>
          <w:i/>
          <w:color w:val="auto"/>
          <w:spacing w:val="0"/>
          <w:position w:val="0"/>
          <w:sz w:val="24"/>
          <w:shd w:fill="auto" w:val="clear"/>
        </w:rPr>
        <w:t xml:space="preserve">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e345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Aljubran, A. H., Griffin, A., Pintilie, M., Blackstein, M. Osteosarcoma in adolescents and adults: survival analysis with and without lung metastases. </w:t>
      </w:r>
      <w:r>
        <w:rPr>
          <w:rFonts w:ascii="Calibri" w:hAnsi="Calibri" w:cs="Calibri" w:eastAsia="Calibri"/>
          <w:i/>
          <w:color w:val="auto"/>
          <w:spacing w:val="0"/>
          <w:position w:val="0"/>
          <w:sz w:val="24"/>
          <w:shd w:fill="auto" w:val="clear"/>
        </w:rPr>
        <w:t xml:space="preserve">Annals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Ek, E. T., Dass, C. R., Choong, P. F. Commonly used mouse models of osteosarcoma.</w:t>
      </w:r>
      <w:r>
        <w:rPr>
          <w:rFonts w:ascii="Calibri" w:hAnsi="Calibri" w:cs="Calibri" w:eastAsia="Calibri"/>
          <w:i/>
          <w:color w:val="auto"/>
          <w:spacing w:val="0"/>
          <w:position w:val="0"/>
          <w:sz w:val="24"/>
          <w:shd w:fill="auto" w:val="clear"/>
        </w:rPr>
        <w:t xml:space="preserve"> Critical Reviews in Oncology/Hematology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Castillo-Tandazo, W., Mutsaers, A. J., Walkley, C. R. Osteosarcoma in the post genome era: Preclinical models and approaches to identify tractable therapeutic targets. </w:t>
      </w:r>
      <w:r>
        <w:rPr>
          <w:rFonts w:ascii="Calibri" w:hAnsi="Calibri" w:cs="Calibri" w:eastAsia="Calibri"/>
          <w:i/>
          <w:color w:val="auto"/>
          <w:spacing w:val="0"/>
          <w:position w:val="0"/>
          <w:sz w:val="24"/>
          <w:shd w:fill="auto" w:val="clear"/>
        </w:rPr>
        <w:t xml:space="preserve">Current Osteoporosis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Mason, N. J. Comparative immunology and immunotherapy of canine osteosarcoma.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1258</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Cobb, L. M. Radiation-induced osteosarcoma in the rat as a model for osteosarcoma in man.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Walkley, C. R. et al. Conditional mouse osteosarcoma, dependent on p53 loss and potentiated by loss of Rb, mimics the human disease.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1662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Entz-Werl&amp;#233;, N. et al. Targeted apc;twist double-mutant mice: a new model of spontaneous osteosarcoma that mimics the human disease. </w:t>
      </w:r>
      <w:r>
        <w:rPr>
          <w:rFonts w:ascii="Calibri" w:hAnsi="Calibri" w:cs="Calibri" w:eastAsia="Calibri"/>
          <w:i/>
          <w:color w:val="auto"/>
          <w:spacing w:val="0"/>
          <w:position w:val="0"/>
          <w:sz w:val="24"/>
          <w:shd w:fill="auto" w:val="clear"/>
        </w:rPr>
        <w:t xml:space="preserve">Translational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Erstad, D. J. et al. Orthotopic and heterotopic murine models of pancreatic cancer and their different responses to FOLFIRINOX chemotherapy.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Chang, J. et al. MicroRNAs for osteosarcoma in the mouse: a meta-analysis.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(51), 85650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85674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Maloney, C. et al. Intratibial injection causes direct pulmonary seeding of osteosarcoma cells and is not a spontaneous model of metastasis: A mouse osteosarcoma model.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476</w:t>
      </w:r>
      <w:r>
        <w:rPr>
          <w:rFonts w:ascii="Calibri" w:hAnsi="Calibri" w:cs="Calibri" w:eastAsia="Calibri"/>
          <w:color w:val="auto"/>
          <w:spacing w:val="0"/>
          <w:position w:val="0"/>
          <w:sz w:val="24"/>
          <w:shd w:fill="auto" w:val="clear"/>
        </w:rPr>
        <w:t xml:space="preserve"> (7), 1514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Yu, Z. et al. Establishment of reproducible osteosarcoma rat model using orthotopic implantation technique.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Fidler, I. J., Naito, S., Pathak, S. Orthotopic implantation is essential for the selection, growth and metastasis of human renal cell cancer in nude mice [corrected]. </w:t>
      </w:r>
      <w:r>
        <w:rPr>
          <w:rFonts w:ascii="Calibri" w:hAnsi="Calibri" w:cs="Calibri" w:eastAsia="Calibri"/>
          <w:i/>
          <w:color w:val="auto"/>
          <w:spacing w:val="0"/>
          <w:position w:val="0"/>
          <w:sz w:val="24"/>
          <w:shd w:fill="auto" w:val="clear"/>
        </w:rPr>
        <w:t xml:space="preserve">Cancer Metastasis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Leacock, S. W. et al. A zebrafish transgenic model of Ewing's sarcoma reveals conserved mediators of EWS-FLI1 tumorigenesis.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Sharma, S., Boston, S. E., Riddle, D., Isakow, K. Osteosarcoma of the proximal tibia in a dog 6 years after tibial tuberosity advancement. </w:t>
      </w:r>
      <w:r>
        <w:rPr>
          <w:rFonts w:ascii="Calibri" w:hAnsi="Calibri" w:cs="Calibri" w:eastAsia="Calibri"/>
          <w:i/>
          <w:color w:val="auto"/>
          <w:spacing w:val="0"/>
          <w:position w:val="0"/>
          <w:sz w:val="24"/>
          <w:shd w:fill="auto" w:val="clear"/>
        </w:rPr>
        <w:t xml:space="preserve">The Canadian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 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Mohseny, A. B., Hogendoorn, P. C. Zebrafish as a model for human osteosarcoma.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804</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 S. et al. Cantharidin inhibits osteosarcoma proliferation and metastasis by directly targeting miR-214-3p/DKK3 axis to inactivate &amp;#946;-catenin nuclear translocation and LEF1 translation. </w:t>
      </w:r>
      <w:r>
        <w:rPr>
          <w:rFonts w:ascii="Calibri" w:hAnsi="Calibri" w:cs="Calibri" w:eastAsia="Calibri"/>
          <w:i/>
          <w:color w:val="auto"/>
          <w:spacing w:val="0"/>
          <w:position w:val="0"/>
          <w:sz w:val="24"/>
          <w:shd w:fill="auto" w:val="clear"/>
        </w:rPr>
        <w:t xml:space="preserve">International Journal of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2504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Chang, J. et al. Polyphyllin I suppresses human osteosarcoma growth by inactivation of Wnt/&amp;#946;-catenin pathway in vitro and in vivo.</w:t>
      </w:r>
      <w:r>
        <w:rPr>
          <w:rFonts w:ascii="Calibri" w:hAnsi="Calibri" w:cs="Calibri" w:eastAsia="Calibri"/>
          <w:i/>
          <w:color w:val="auto"/>
          <w:spacing w:val="0"/>
          <w:position w:val="0"/>
          <w:sz w:val="24"/>
          <w:shd w:fill="auto" w:val="clear"/>
        </w:rPr>
        <w:t xml:space="preserve"> 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7605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Lamar, J. M. et al. SRC tyrosine kinase activates the YAP/TAZ axis and thereby drives tumor growth and metastasis.</w:t>
      </w:r>
      <w:r>
        <w:rPr>
          <w:rFonts w:ascii="Calibri" w:hAnsi="Calibri" w:cs="Calibri" w:eastAsia="Calibri"/>
          <w:i/>
          <w:color w:val="auto"/>
          <w:spacing w:val="0"/>
          <w:position w:val="0"/>
          <w:sz w:val="24"/>
          <w:shd w:fill="auto" w:val="clear"/>
        </w:rPr>
        <w:t xml:space="preserve"> 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(7), 2302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Benton, G., Arnaoutova, I., George, J., Kleinman, H. K., Koblinski, J. Matrigel: from discovery and ECM mimicry to assays and models for cancer research.</w:t>
      </w:r>
      <w:r>
        <w:rPr>
          <w:rFonts w:ascii="Calibri" w:hAnsi="Calibri" w:cs="Calibri" w:eastAsia="Calibri"/>
          <w:i/>
          <w:color w:val="auto"/>
          <w:spacing w:val="0"/>
          <w:position w:val="0"/>
          <w:sz w:val="24"/>
          <w:shd w:fill="auto" w:val="clear"/>
        </w:rPr>
        <w:t xml:space="preserve"> Advanced Drug Delivery Reviews</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Chang, J. et al. Matrine inhibits prostate cancer via activation of the unfolded protein response/endoplasmic reticulum stress signaling and reversal of epithelial to mesenchymal transition.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Fridman, R. et al. Enhanced tumor growth of both primary and established human and murine tumor cells in athymic mice after coinjection with Matrigel.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 (11),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Kocat&amp;#252;rk, B., Versteeg, H. H. Orthotopic injection of breast cancer cells into the mammary fat pad of mice to study tumor growth.</w:t>
      </w:r>
      <w:r>
        <w:rPr>
          <w:rFonts w:ascii="Calibri" w:hAnsi="Calibri" w:cs="Calibri" w:eastAsia="Calibri"/>
          <w:i/>
          <w:color w:val="auto"/>
          <w:spacing w:val="0"/>
          <w:position w:val="0"/>
          <w:sz w:val="24"/>
          <w:shd w:fill="auto" w:val="clear"/>
        </w:rPr>
        <w:t xml:space="preserve"> Journal of Visualized Experiments.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e51967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Paschall, A. V., Liu, K. An orthotopic mouse model of spontaneous breast cancer metastasis.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e54040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Hildreth, B. E., 3rd, Palmer, C., Allen, M. J. Modeling primary bone tumors and bone metastasis with solid tumor graft implantation into bone.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e61313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Campbell, J. P., Merkel, A. R., Masood-Campbell, S. K., Elefteriou, F., Sterling, J. A. Models of bone metastasis.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e4260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