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Characterization of Mouse Primary Liver Sinusoidal Endothelial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Qianqian Guo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Kunimaro Furuta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Ahmed Aly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Samar H. Ibrahim</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Gastroenterology &amp;amp; Hepatology, Mayo Clinic, Rochester, Minnesota,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Pediatric Gastroenterology, Mayo Clinic, Rochester, Minnesota,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Qianqian Guo </w:t>
        <w:tab/>
        <w:tab/>
        <w:t xml:space="preserve">(guo.qianqian@mayo.edu)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Kunimaro Furuta </w:t>
        <w:tab/>
        <w:t xml:space="preserve">(furuta.kunimaro@mayo.edu)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Ahmed Aly </w:t>
        <w:tab/>
        <w:tab/>
        <w:t xml:space="preserve">(aly.ahmed@mayo.edu)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Samar H. Ibrahim </w:t>
        <w:tab/>
        <w:t xml:space="preserve">(ibrahim.samar@mayo.edu)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Samar H. Ibrahim </w:t>
        <w:tab/>
        <w:t xml:space="preserve">(ibrahim.samar@mayo.edu)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liver sinusoidal endothelial cells (LSECs), collagenase perfusion, magnetic beads positive selection, flow cytometry, immunohistochemistry, scanning electron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outline and demonstrate a protocol for primary mouse liver sinusoidal endothelial cell (LSEC) isolation. The protocol is based on liver collagenase perfusion, nonparenchymal cell purification by low-speed centrifugation, and CD146 magnetic bead selection. We also phenotype and characterize these isolated LSECs using flow cytometry and scanning electron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sinusoidal endothelial cells (LSECs) are  specialized endothelial cells located at the interface between the circulation and the liver parenchyma. LSECs have a distinct morphology characterized by the presence of fenestrae and the absence of basement membrane. LSECs play enthential roles in many pathological disorders in the liver, including metabolic dysregulation, inflammation, fibrosis, angiogenesis, and carcinogenesis. However, little has been published about the isolation and characterization of the LSECs. Here, this protocol discusses the isolation of LSEC from both healthy and nonalcoholic fatty liver disease (NAFLD) mice. The protocol is based on collagenase perfusion of the mouse liver and magnetic beads positive selection of nonparenchymal cells to purify LSECs. This study characterizes LSECs using specific markers by flow cytometry and identifies the characteristic phenotypic features by scanning electron microscopy. LSECs isolated following this protocol can be used for functional studies, including adhesion and permeability assays, as well as downstream studies for a particular pathway of interest. In addition, these LSECs can be pooled or used individually, allowing multi-omics data generation including RNA-seq bulk or single cell, proteomic or phospho-proteomics, and Assay for Transposase-Accessible Chromatin using sequencing (ATAC-seq), among others. This protocol will be useful for investigators studying LSECs’ communication with other liver cells in health and disease and allow an in-depth understanding of the role of LSECs in the pathogenic mechanisms of acute and chronic liver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Liver sinusoidal endothelial cells (LSECs) line the hepatic sinusoid walls and are the most abundant nonparenchymal cells in the liver</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LSECs are distinguished from other capillary endothelial cells elsewhere in the body by the presence of fenestrae and the lack of a classical basement membrane or a diaphragm</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Hence, the LSECs possess distinctive phenotypic and structural characteristics that enhance their permeability and endocytic capacity to eliminate a variety of circulating macromolecules, including lipids and lipoproteins. LSECs play a pivotal role in the crosstalk between parenchymal and nonparenchymal cells, such as stellate cells and immune cells. LSECs are key in maintaining liver homeostasis by keeping the stellate cells and Kupffer cells in a quiescent status</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LSECs modulate the composition of hepatic immune cells populations by mediating adhesion and trans-endothelial migration of circulating leukocytes</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During acute and chronic liver injury</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including ischemia-reperfusion injury (IRI)</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nonalcoholic steatohepatitis (NASH)</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and hepatocellular carcinoma (HCC), LSECs undergo phenotypic changes known as capillarization characterized by defenestration and formation of basement membrane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These phenotypic changes in LSECs are associated with LSECs dysfunction and the acquisition of pro-thrombotic, pro-inflammatory, and profibrogenic properties.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for the isolation of LSECs from mouse liver have been developed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Some techniques depend on separating nonparenchymal and parenchymal cells followed by density gradient centrifugation to purify the LSECs from nonparenchymal fractions. The limitation of this method is the presence of contaminating macrophages in the final steps of LSECs isolation, which could affect the purity of the isolated  LSECs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protocol is based on collagenase perfusion of the mouse liver and 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magnetic beads positive selection of nonparenchymal cells to purify LSECs. LSECs isolated using this method show high purity and preserved morphology and viability. These LSECs are optimum for functional studies, including permeability and adhesion assay, as well as downstream studies for pathways of interest. Moreover, with the growing interest in generating big datasets in both clinical research and discovery science, these high-quality LSECs isolated from both healthy and diseased livers with nonalcoholic steatohepatitis (NASH) or other conditions can be pooled or used individually, allowing multi-omics data generation and comparison between health and disease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addition, the isolated LSECs can be employed to develop two-dimensional as well as three-dimensional in vitro models like organoids to decipher the activated signaling pathway in LSECs and their intercellular communication with other liver cells under different noxious stimuli and in response to various therapeutic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protocols were conducted as approved by the Institutional Animal Care and Use Committee (IACUC) of Mayo Clinic. Eight-week-old C57BL/6J male mice were purchased from Jackson Laboratory. Mice were housed in a temperature-controlled 12:12-h light-dark cycle facility with free access to diet.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collagen-coated culture dish or plate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To make 50 mL of 0.02 mol/L acetic acid, add 0.6 mL of glacial acetic acid to 49.4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Make 50 &amp;#181;g/mL collagen type I in 0.02 mol/L acetic acid. Dilution depends on the concentration of the lot.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Coat 10 cm culture dishes with 3 mL of collagen solution. Incubate at room temperature (RT) for 1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a different dish or plate for culture, the volume of coating solution needs to be adjusted based on culture are, generally use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Remove excess fluid from the coated surface, and wash with Phosphate-buffered saline (PBS) 3 times. Allow the dishes to air dry.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If the collagen solution is not sterile, sterilize the collagen-coated dishes by exposure to ultraviolet (UV) light for 10 min in a sterile tissue culture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Equipment setup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Set up the heated and humidified recirculating perfusion apparatus as shown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Rinse the perfusion system using 10% bleach for 5 min followed by sterile water for another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Drain the rinsing liquid as much as possible before perfusing the collagenase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Infuse collagenase solution through the perfusion system (as shown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to prewarm it at 37 &amp;#176;C. Set the pump rate at speed 1 as shown on the speed control dial (equal to 40 mL/min).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Keep this speed the same throughout the whole procedure. Reuse the collagenase solution run in a closed circuit during the day of the LSEC isolation.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pump speed is fixed at 1 to avoid mechanical pressure that could perturb LSECs biological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Surgical procedure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Weigh the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Inject 90 mg/kg body weight of ketamine and 10 mg/kg bodyweight of xylazine intraperitoneally (IP).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auto"/>
          <w:spacing w:val="0"/>
          <w:position w:val="0"/>
          <w:sz w:val="24"/>
          <w:shd w:fill="auto" w:val="clear"/>
        </w:rPr>
        <w:t xml:space="preserve">Once the mouse is nonreactive to painful stimuli, </w:t>
      </w:r>
      <w:r>
        <w:rPr>
          <w:rFonts w:ascii="Calibri" w:hAnsi="Calibri" w:cs="Calibri" w:eastAsia="Calibri"/>
          <w:color w:val="auto"/>
          <w:spacing w:val="0"/>
          <w:position w:val="0"/>
          <w:sz w:val="24"/>
          <w:shd w:fill="FFFF00" w:val="clear"/>
        </w:rPr>
        <w:t xml:space="preserve">secure the mouse to the surgical surface, as shown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Spray the mouse abdomen with 70% ethanol. Using surgical scissors, make an incision of ~5 cm long starting from the lower part of the abdomen up to the xiphoid process.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Next, make two lateral cuts using small iris scissors on each side of the abdomen to fully expose the abdominal organs.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sheath of the intravenous (IV) catheter under the animal’s back to lift and level the abdomen.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Using a regular curved dressing forceps, gently pull the intestines and the stomach off to the left of the animal.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Place a 5-0 surgical suture under the inferior vena cava (IVC) just below the exposed left kidney.  Tie a loose hitch in the suture.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Place another 5-0 surgical suture around the hepatic portal vein (PV) just above the splenic vein branching point off the hepatic PV. Tie a loose hitch in the suture.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Using the PV suture as tension, insert the 20 G IV catheter in the hepatic PV 1 cm below where it branches to the right and left hepatic PV.</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Slide the catheter up the vein but keep it below the branching area. Allow the blood to travel down the catheter until it begins to drip out.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With some of the Buffer 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 an intravenous (IV) bottle positioned above the surgical area, use an IV line, and attach it to the catheter.  Flush the liver with this solution while avoiding air entry into the system.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Tie off the suture around the inferior vena cava below the kidney.  This will allow the liver to retro perfuse.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Cut the IVC below the suture to allow the animal to bleed out.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must be performed quickly to avoid congestion of the liver.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Secure the IV catheter with the PV suture.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Once perfusing, cut away the stomach, intestines, spleen, and other entrails attached to the liver.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Cut away the diaphragm and the major vessels from the thoracic cavity. Remove the liver from the animal and place it on the perfusion tray.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Carefully remove the IV line and hook up the collagenase solution in the recirculating chamber.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need to be done within 5 min, so the liver will not be perfused too long with Buffer A. Be very careful not to allow any air bubbles into the liver.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Allow the liver to perfuse until the capsule becomes mottled and appears mushy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or more. Period varies depending on the different lots of collagenase).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Once digested, remove the liver from the chamber and place it in a 10 cm Petri dish with about 20 mL of serum-free Dulbecco’s Modified Eagle Medium (DMEM).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Gently pick apart the liver with a couple of pipette tips and discard the biliary tree.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Filter the liver suspension through a 70 &amp;#181;m cell strainer into a 50 mL conical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Centrifuge the cell suspension at 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RT. Collect the supernatant containing nonparenchymal hepatic cells.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Hepatocytes are precipitated in the pellet, which can be further purified using gradient centrifugation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Separation of nonparenchymal hepatic cells and LSECs purification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Purify the 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LSECs using the immunomagnetic beads, following the manufacture’s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Centrifuge the supernatant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Collect the cell pellet and resuspend in 1 mL of isolation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determine the cell number using an automatic cell counter following the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the cell suspension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aspirate the supernatant completely.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Resuspend the pellet with 90 &amp;#181;L of isolation buffer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10 &amp;#181;L of CD146 microBeads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 Mix well and incubate for 15 min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To wash the cells, add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isolation buffer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centrifuge at 300 x g for 10 min, and then aspirate the supernatant completely.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Resuspend up to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cells in 500 &amp;#181;L of isolation buffer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higher cell numbers, scale up buffer volume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Prepare the separation column, rinse it with 3 mL of isolation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Apply the cell suspension onto the column stacked with 70 &amp;#181;m pre-separation filters.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Wash the column with the 3 mL of isolation buffer 3 times.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washing the column, the isolation buffer should be added as soon as the column reservoir is empty.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Remove the column from the separator and place it on a 15 mL centrifuge tube. Pipette 5 mL of isolation buffer onto the column.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To recover the magnetic beads labeled cells, firmly push the plunger into the column to flush out the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w:t>
      </w:r>
      <w:r>
        <w:rPr>
          <w:rFonts w:ascii="Calibri" w:hAnsi="Calibri" w:cs="Calibri" w:eastAsia="Calibri"/>
          <w:color w:val="auto"/>
          <w:spacing w:val="0"/>
          <w:position w:val="0"/>
          <w:sz w:val="24"/>
          <w:shd w:fill="auto" w:val="clear"/>
        </w:rPr>
        <w:t xml:space="preserve">LSECs are ready for microscopic examination and downstream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LSECs immunophenotyping and purity assessment by flow cytometry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Determine the cell numbers of isolated LSECs using an automatic cell counter following the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Centrifuge the cells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completely.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Take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cells/tube and resuspend with 90 &amp;#181;L of staining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10 &amp;#181;L/tube of mouse FcR block and 1 &amp;#181;L of viability dye, incubate at 4 &amp;#176;C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Stain the cells with a combination of CD45, CD146, and stabilin-2 antibodies diluted at 1:50 with staining buffer. Incubate at 4 &amp;#176;C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Wash the cells with 5 mL of staining buffer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then aspirate the supernatant completely.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Resuspend the cells with 300 &amp;#181;L of staining buffer and run through the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LSECs culture and examination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Seed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cells/well in a 6-well plate and culture it with endothelial cells </w:t>
      </w:r>
      <w:r>
        <w:rPr>
          <w:rFonts w:ascii="Calibri" w:hAnsi="Calibri" w:cs="Calibri" w:eastAsia="Calibri"/>
          <w:color w:val="000000"/>
          <w:spacing w:val="0"/>
          <w:position w:val="0"/>
          <w:sz w:val="24"/>
          <w:shd w:fill="auto" w:val="clear"/>
        </w:rPr>
        <w:t xml:space="preserve">growth medium consisting of 5% fetal bovine serum (FBS), 1% endothelial cells growth supplement, and 1% primocin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Examine the isolated LSECs by light microscopy. Acquire bright-field images with a 10x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LSECs morphology and fenestrae examination by scanning electron microscopy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Pre-coat the cell culture inserts (3 &amp;#181;m pore size) with collagen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Culture isolated LSECs (120,000 cells) on the insert with endothelial cells growth medium in a 24-well plate at 37 &amp;#176;C warm and humidified atmosphere. Allow cells to settle down and adhere for 2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For cell fixation, add an equivalent volume of prewarmed at 37 &amp;#176;C Trump’s fixative to the cell culture media.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After incubation for 10 min, replace 50% diluted Trump’s fixative with undiluted Trump’s fixative.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Fix the cells in Trump fixative for 2 h, then incubate for 1 h in 1% osmium tetroxides.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Proceed with samples dehydration, drying in a critical point drying device, mounting, sputter coating, and examination using a scanning electron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Experimental schematics and equipment set up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mouse liver was digested using a closed perfusion circuit, then nonparenchymal cells and hepatocytes were separated by low-speed centrifugation at 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Primary LSECs were isolated using CD146 magnetic beads selection from the nonparenchymal fraction. The experimental schematics are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cannula was placed through the PV while the inferior vena cava was tied up to ensure unidirectional perfusion of collagenase through the liver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in-house perfusion chamber is equipped with a heating and humidification system to ensure a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&amp;#176;C warm and humidified apparatus air. The perfused collagenase circulates through a closed system and can be reused for two or three mice during the isolation day to make the isolation more cost-effective.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Assessment of isolated LSECs purity and surface markers by flow cytometry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purity of the isolated LSECs was assessed by employing well-characterized specific LSEC surface markers CD146 and Stabilin-2</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Stained cells were analyzed on a flow cytometer; data were analyzed using FlowJo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LSEC population was gated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analyzed singlets for the following gating strategy; viable cells were defined using viability dye staining before labeling cells with specific markers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Then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was gated to exclude any immune cells contamination. The isolated LSECs reached 94.8% viability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percentage of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was 89.7%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92.3% of the cells were CD146 and Stabilin-2 double-positive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stabilin-2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LSECs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Morphology of the isolated LSECs: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isolated LSECs were seeded in a 6-well plate at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cells/well, cultured in a complete growth medium, </w:t>
      </w:r>
      <w:r>
        <w:rPr>
          <w:rFonts w:ascii="Calibri" w:hAnsi="Calibri" w:cs="Calibri" w:eastAsia="Calibri"/>
          <w:color w:val="202124"/>
          <w:spacing w:val="0"/>
          <w:position w:val="0"/>
          <w:sz w:val="24"/>
          <w:shd w:fill="auto" w:val="clear"/>
        </w:rPr>
        <w:t xml:space="preserve">and examined by light microscopy after 6 h of culture (</w:t>
      </w:r>
      <w:r>
        <w:rPr>
          <w:rFonts w:ascii="Calibri" w:hAnsi="Calibri" w:cs="Calibri" w:eastAsia="Calibri"/>
          <w:b/>
          <w:color w:val="202124"/>
          <w:spacing w:val="0"/>
          <w:position w:val="0"/>
          <w:sz w:val="24"/>
          <w:shd w:fill="auto" w:val="clear"/>
        </w:rPr>
        <w:t xml:space="preserve">Figure 3A</w:t>
      </w:r>
      <w:r>
        <w:rPr>
          <w:rFonts w:ascii="Calibri" w:hAnsi="Calibri" w:cs="Calibri" w:eastAsia="Calibri"/>
          <w:color w:val="202124"/>
          <w:spacing w:val="0"/>
          <w:position w:val="0"/>
          <w:sz w:val="24"/>
          <w:shd w:fill="auto" w:val="clear"/>
        </w:rPr>
        <w:t xml:space="preserve">)</w:t>
      </w:r>
      <w:r>
        <w:rPr>
          <w:rFonts w:ascii="Calibri" w:hAnsi="Calibri" w:cs="Calibri" w:eastAsia="Calibri"/>
          <w:i/>
          <w:color w:val="202124"/>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LSECs were plated on a 3 &amp;#181;m pore-sized culture insert to visualize the LSECs fenestrae by scanning electron microscope (SEM). After fixation and processing, the fenestrae were identified, as shown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As previously reported, LSECs lose their fenestrae in culture overnight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hence, it is recommended to process the cells as soon as possible after the isolation for downstream studies to avoid dedifferentiation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schematics and equipment set 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schematics were designed using Bio render.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Equipment setup and process. The liver was harvested and perfused in a closed collagenase perfusion apparatus.  The liver was then transferred into a dish and dissociated. The liver suspension was collected. The nonparenchymal cell fraction was separated by centrifugation at 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LSECs were purified using magnetic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Assessment of isolated LSECs purity and surface markers by flow cytometry</w:t>
      </w:r>
      <w:r>
        <w:rPr>
          <w:rFonts w:ascii="Calibri" w:hAnsi="Calibri" w:cs="Calibri" w:eastAsia="Calibri"/>
          <w:color w:val="auto"/>
          <w:spacing w:val="0"/>
          <w:position w:val="0"/>
          <w:sz w:val="24"/>
          <w:shd w:fill="auto" w:val="clear"/>
        </w:rPr>
        <w:t xml:space="preserve">. Data analysis and gating strategy as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gated LSECs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singlets based on forward scatter (FSC)/side scatter (SSC). Isolated LSECs were stained with a viability dye and a combination of CD45, CD146, and Stabilin-2 antibodies. Singlets were gated and analyzed,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viable LSECs were gated 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CD45 population and analyzed for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CD146 and Stabilin-2 expression. All gates were determined by fluorescence minus one (FMO).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Morphology of isolated LSECs.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 field picture of cultured LSECs. Isolated LSECs were cultured in the complete growth medium for 6 h and examined by light microscopy (Scale bar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LSEC was examined by scanning electron microscope (SEM). White arrows indicate LSEC fenestrae (Scale bar, left panel 5 &amp;#181;m, right panel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recipe.</w:t>
      </w:r>
      <w:r>
        <w:rPr>
          <w:rFonts w:ascii="Calibri" w:hAnsi="Calibri" w:cs="Calibri" w:eastAsia="Calibri"/>
          <w:color w:val="auto"/>
          <w:spacing w:val="0"/>
          <w:position w:val="0"/>
          <w:sz w:val="24"/>
          <w:shd w:fill="auto" w:val="clear"/>
        </w:rPr>
        <w:t xml:space="preserve"> The table comprises the composition of the buffers and solutions used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manuscript, we describe a protocol for LSEC isolation from mouse liver consisting of two-step collagenase perfusion and subsequent magnetic-activated cell sorting (MACS). This protocol consists of the following three steps: (1) Perfusion through the PV with a calcium-free buffer followed by a collagenase-containing buffer to achieve liver cell dispersion; (2) Exclusion of hepatocytes with low-speed centrifugation; and (3) MACS-based positive selection of LSECs from nonparenchymal cells (NPCs) using anti-CD146 magnetic beads. The whole procedure could be completed within 3 h. Furthermore, the cost for this procedure, including all the consumable supplies, is around 150 USD per mouse, suggesting that this method of LSEC isolation is overall efficient and cost-effective. We use steps (1) and (2) for isolation of primary mouse hepatocytes as well, which is beyond the scope of the current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critical steps in portal cannulation and liver perfusion: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Catheter positioning: the catheter tip should be placed no less than 3 mm distal to the PV bifurcation of an adult mouse, which is usually identified in the hilum of the liver. Deep placement of the catheter tip in the PV will compromise the perfusion of some lobes of the liver. Poor perfusion of a lobe manifests as an absence of a color change of the lobe and can be rectified if noticed immediately by a slight repositioning of the catheter into the distal PV. This maneuver could possibly optimize lobe perfusion. (ii) Air bubbles: the infusion route between the pump and the PV should be kept completely free from air bubbles. Minute air entry into the PV can cause an air embolism, which results in incomplete liver perfusion. To eliminate air in the catheter after removing the inner needle, Buffer A is injected with a syringe proximal to the bubble to expel any air before connecting the infusion line to the catheter. (iii) Collagenase strength: To maintain collagenase activity during the perfusion, it is essential to assure that Buffer B infused into the PV has the precise concentration of collagenase and pH and is kept at approximately 37 &amp;#176;C.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customized chamber is used to keep the whole perfusion system in a 37 &amp;#176;C warm and humidified atmosphere; in addition, the oxygen supply is maintained during collagenase perfusion to achieve complete digestion. An alternative option includes a water bath to pre-warm the collagenase solution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an open collagenase perfusion system in situ where the collagenase solution drains out of the liver through the cut IVC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protocol uses relatively bold catheters (20 G) to secure an adequate perfusion flow, a thinner catheter will also work well based on previous reports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it is sometimes difficult to successfully cannulate the PV especially when mice are used for specific disease models or if they have PV anomalies. If PV cannulation fails, mechanical and enzymatic liver digestion using an enzyme kit and gentle tissue dissociator is an alternative method for steps (1) and (2) to obtain nonparenchymal cell (NPC) suspension. We have confirmed that the cell yield and viability in this alternative method of dissociation without liver perfusion was comparable to the original method (data not shown). Portal vein perfusion for liver digestion has been employed by others and us</w:t>
      </w:r>
      <w:r>
        <w:rPr>
          <w:rFonts w:ascii="Calibri" w:hAnsi="Calibri" w:cs="Calibri" w:eastAsia="Calibri"/>
          <w:color w:val="auto"/>
          <w:spacing w:val="0"/>
          <w:position w:val="0"/>
          <w:sz w:val="24"/>
          <w:shd w:fill="auto" w:val="clear"/>
          <w:vertAlign w:val="superscript"/>
        </w:rPr>
        <w:t xml:space="preserve">13,16,20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Furthermore, this method avoids the theoretical risk of LSECs phenotypic or functional alterations induced by mechanical force during liver digestion. Therefore, the use of the PV perfusion-based method depicted in this protocol is so far highly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optimum LSEC yield and purity when employing the current protocol are shown. We obtained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mouse from both healthy mice and mice with diet-induced NASH using the current protocol. As for purity, the positivity of the same surface marker used for immunomagnetic separation (CD146) supports the accuracy of our isolation technique. In addition, there are several well recognized LSEC surface markers, such as lymphatic vessel endothelial hyaluronic acid receptor 1 (LYVE-1), CD32b, and Stabilin-2. Controversies still exist around these markers; for example, i) LYVE-1 is present also in lymphatic endothelial cells, and ii) LSECs in a periportal area lack CD32b expression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to examine the purity of these isolated LSECs with flow cytometry, Stabilin-2 was employed as an established specific LSEC marker in addition to CD146.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this methodology, we confirmed that the isolated LSECs had &amp;gt;94% viability and &amp;gt;90% purity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LSEC-specific phenotype of the isolated cells was further confirmed using SEM, where most of the cells have fenestrae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characteristic morphological feature of LSECs.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LSECs isolation methodologies, immunomagnetic beads selection is the technique used the most to isolate the LSECs from the NPC fraction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contrast, other</w:t>
      </w:r>
      <w:r>
        <w:rPr>
          <w:rFonts w:ascii="Calibri" w:hAnsi="Calibri" w:cs="Calibri" w:eastAsia="Calibri"/>
          <w:color w:val="auto"/>
          <w:spacing w:val="0"/>
          <w:position w:val="0"/>
          <w:sz w:val="24"/>
          <w:shd w:fill="auto" w:val="clear"/>
        </w:rPr>
        <w:t xml:space="preserve"> methods include centrifugal elutriation and selective adhesion-based </w:t>
      </w:r>
      <w:r>
        <w:rPr>
          <w:rFonts w:ascii="Calibri" w:hAnsi="Calibri" w:cs="Calibri" w:eastAsia="Calibri"/>
          <w:color w:val="000000"/>
          <w:spacing w:val="0"/>
          <w:position w:val="0"/>
          <w:sz w:val="24"/>
          <w:shd w:fill="auto" w:val="clear"/>
        </w:rPr>
        <w:t xml:space="preserve">separation</w:t>
      </w:r>
      <w:r>
        <w:rPr>
          <w:rFonts w:ascii="Calibri" w:hAnsi="Calibri" w:cs="Calibri" w:eastAsia="Calibri"/>
          <w:color w:val="000000"/>
          <w:spacing w:val="0"/>
          <w:position w:val="0"/>
          <w:sz w:val="24"/>
          <w:shd w:fill="auto" w:val="clear"/>
          <w:vertAlign w:val="superscript"/>
        </w:rPr>
        <w:t xml:space="preserve">22,28,29</w:t>
      </w:r>
      <w:r>
        <w:rPr>
          <w:rFonts w:ascii="Calibri" w:hAnsi="Calibri" w:cs="Calibri" w:eastAsia="Calibri"/>
          <w:color w:val="auto"/>
          <w:spacing w:val="0"/>
          <w:position w:val="0"/>
          <w:sz w:val="24"/>
          <w:shd w:fill="auto" w:val="clear"/>
        </w:rPr>
        <w:t xml:space="preserve">. The non-immunomagnetic methods have been shown to deliver high yields of LSECs (approximately 9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mouse)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Hence, a relatively lower yield of isolated LSEC could be a limitation of the current protocol. On the other hand, the non-immunomagnetic selection-based methods require high technical expertise and sometimes show inconsistent results on cell yields and purities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while the immunomagnetic selection-based method holds the advantage of consistent yield and purity over other existing methods. Moreover, for immunomagnetic beads selection-based cell isolation, the specificity of cell surface markers used is always a matter of concern. For example, CD31, which has been used previously as a marker for immunomagnetic LSEC separation, is dominantly expressed on the PV endothelium and capillarized LSECs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CD146 has been reported to be expressed also on natural killer cells and hepatic stellate cells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,the high purity of LSECs isolated using this protocol mitigates concerns regarding the specificity of the endothelial marker CD146. Comparison of the pros and cons of various methodologies for LSEC isolation is discussed elsewhere</w:t>
      </w:r>
      <w:r>
        <w:rPr>
          <w:rFonts w:ascii="Calibri" w:hAnsi="Calibri" w:cs="Calibri" w:eastAsia="Calibri"/>
          <w:color w:val="auto"/>
          <w:spacing w:val="0"/>
          <w:position w:val="0"/>
          <w:sz w:val="24"/>
          <w:shd w:fill="auto" w:val="clear"/>
          <w:vertAlign w:val="superscript"/>
        </w:rPr>
        <w:t xml:space="preserve">11,18,32</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Comparison of cell yields and purities between other methods and this method is beyond the scope of the current manuscript and warrants future investigations.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 a primary mouse LSEC isolation protocol based on one of the most widely used and accepted approaches. Isolated LSECs display high purity and preserved function. Moreover, this protocol is efficient and applicable to the healthy mouse liver as well as the liver from different disease mouse models. High-quality LSECs from these mice can be employed for multiomics data set generation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Thus, this approach facilitates the identification of molecular mechanisms regulating the function of LSEC and improves our understanding of their roles in intercellular communication in the liver in health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have no conflicts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 of Diabetes and Digestive and Kidney Diseases of the NIH (1RO1DK122948 to SHI) and the NIH Silvio O. Conte Digestive Diseases Research Core Centers P30 grant mechanism (DK084567). Support was also provided to KF by the Japan Society for the Promotion of Science (JSPS) Overseas Research Fellowships. We would also like to acknowledge Dr. Gregory J. Gores and Steven Bronk for their original design and optimization of the collagenase perfusion apparatus.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Morin, O., Goulet, F., Normand, C. Liver sinusoidal endothelial cells: isolation, purification, characterization and interaction with hepatocytes. </w:t>
      </w:r>
      <w:r>
        <w:rPr>
          <w:rFonts w:ascii="Calibri" w:hAnsi="Calibri" w:cs="Calibri" w:eastAsia="Calibri"/>
          <w:i/>
          <w:color w:val="auto"/>
          <w:spacing w:val="0"/>
          <w:position w:val="0"/>
          <w:sz w:val="24"/>
          <w:shd w:fill="auto" w:val="clear"/>
        </w:rPr>
        <w:t xml:space="preserve">Revisiones Sobre Biologia Celular: RBC.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Ibrahim, S. H. Sinusoidal endotheliopathy in nonalcoholic steatohepatitis: therapeutic implications.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(1), G67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G74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Poisson,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Liver sinusoidal endothelial cells: Physiology and role in liver diseases.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Marrone, G., Shah, V. H., Gracia-Sancho, J. Sinusoidal communication in liver fibrosis and regeneration.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Shetty, S., Lalor, P. F., Adams, D. H. Liver sinusoidal endothelial cells - gatekeepers of hepatic immunity.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Smedsrød, B., Pertoft, H., Gustafson, S., Laurent, T. C. Scavenger functions of the liver endothelial cell. </w:t>
      </w:r>
      <w:r>
        <w:rPr>
          <w:rFonts w:ascii="Calibri" w:hAnsi="Calibri" w:cs="Calibri" w:eastAsia="Calibri"/>
          <w:i/>
          <w:color w:val="auto"/>
          <w:spacing w:val="0"/>
          <w:position w:val="0"/>
          <w:sz w:val="24"/>
          <w:shd w:fill="auto" w:val="clear"/>
        </w:rPr>
        <w:t xml:space="preserv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(2),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DeLeve, L. D. Liver sinusoidal endothelial cells in hepatic fibrosis.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1740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Dar, W. A., Sullivan, E., Bynon, J. S., Eltzschig, H., Ju, C. Ischaemia reperfusion injury in liver transplantation: Cellular and molecular mechanisms. </w:t>
      </w:r>
      <w:r>
        <w:rPr>
          <w:rFonts w:ascii="Calibri" w:hAnsi="Calibri" w:cs="Calibri" w:eastAsia="Calibri"/>
          <w:i/>
          <w:color w:val="auto"/>
          <w:spacing w:val="0"/>
          <w:position w:val="0"/>
          <w:sz w:val="24"/>
          <w:shd w:fill="auto" w:val="clear"/>
        </w:rPr>
        <w:t xml:space="preserve">Liver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Furuta, K., Guo, Q., Hirsova, P., Ibrahim, S. H. Emerging Roles of Liver Sinusoidal Endothelial Cells in Nonalcoholic Steatohepatitis. </w:t>
      </w:r>
      <w:r>
        <w:rPr>
          <w:rFonts w:ascii="Calibri" w:hAnsi="Calibri" w:cs="Calibri" w:eastAsia="Calibri"/>
          <w:i/>
          <w:color w:val="auto"/>
          <w:spacing w:val="0"/>
          <w:position w:val="0"/>
          <w:sz w:val="24"/>
          <w:shd w:fill="auto" w:val="clear"/>
        </w:rPr>
        <w:t xml:space="preserve">Biology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395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Wu, L.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Phenotypic and functional differences between human liver cancer endothelial cells and liver sinusoidal endothelial cells. </w:t>
      </w:r>
      <w:r>
        <w:rPr>
          <w:rFonts w:ascii="Calibri" w:hAnsi="Calibri" w:cs="Calibri" w:eastAsia="Calibri"/>
          <w:i/>
          <w:color w:val="auto"/>
          <w:spacing w:val="0"/>
          <w:position w:val="0"/>
          <w:sz w:val="24"/>
          <w:shd w:fill="auto" w:val="clear"/>
        </w:rPr>
        <w:t xml:space="preserve">Journal of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Meyer, J., Gonelle-Gispert, C., Morel, P., B&amp;#252;hler, L. Methods for isolation and purification of murine liver sinusoidal endothelial cells: A systematic review.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e0151945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Meyer, J., Lacotte, S., Morel, P., Gonelle-Gispert, C., Buhler, L. An optimized method for mouse liver sinusoidal endothelial cell isolation.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(2),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Furuta,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Lipid-induced endothelial vascular cell adhesion molecule 1 promotes nonalcoholic steatohepatitis pathogenesis.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Guo,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Integrin &amp;#946;(1)-enriched extracellular vesicles mediate monocyte adhesion and promote liver inflammation in murine NASH.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(6),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Hirsova, P., Ibrahim, S. H., Bronk, S. F., Yagita, H., Gores, G. J. Vismodegib suppresses TRAIL-mediated liver injury in a mouse model of nonalcoholic steatohepatitis.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e70599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Schrage,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Murine CD146 is widely expressed on endothelial cells and is recognized by the monoclonal antibody ME-9F1.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(4),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Olsavszky,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Exploring the transcriptomic network of multi-ligand scavenger receptor Stabilin-1- and Stabilin-2-deficient liver sinusoidal endothelial cells.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768</w:t>
      </w:r>
      <w:r>
        <w:rPr>
          <w:rFonts w:ascii="Calibri" w:hAnsi="Calibri" w:cs="Calibri" w:eastAsia="Calibri"/>
          <w:color w:val="auto"/>
          <w:spacing w:val="0"/>
          <w:position w:val="0"/>
          <w:sz w:val="24"/>
          <w:shd w:fill="auto" w:val="clear"/>
        </w:rPr>
        <w:t xml:space="preserve"> 145284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DeLeve, L. D., Maretti-Mira, A. C. Liver sinusoidal endothelial cell: An update. </w:t>
      </w:r>
      <w:r>
        <w:rPr>
          <w:rFonts w:ascii="Calibri" w:hAnsi="Calibri" w:cs="Calibri" w:eastAsia="Calibri"/>
          <w:i/>
          <w:color w:val="auto"/>
          <w:spacing w:val="0"/>
          <w:position w:val="0"/>
          <w:sz w:val="24"/>
          <w:shd w:fill="auto" w:val="clear"/>
        </w:rPr>
        <w:t xml:space="preserve">Seminars in Liver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DeLeve, L. D., Wang, X., Hu, L., McCuskey, M. K., McCuskey, R. S. Rat liver sinusoidal endothelial cell phenotype is maintained by paracrine and autocrine regulation.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(4), G757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Cabral,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Purification of hepatocytes and sinusoidal endothelial cells from mouse liver perfusion.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56993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Ishiguro, K., Yan, I. K., Patel, T. Isolation of tissue extracellular vesicles from the liver.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58649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Topp, S. A., Upadhya, G. A., Strasberg, S. M. Cold preservation of isolated sinusoidal endothelial cells in MMP 9 knockout mice: effect on morphology and platelet adhesion. </w:t>
      </w:r>
      <w:r>
        <w:rPr>
          <w:rFonts w:ascii="Calibri" w:hAnsi="Calibri" w:cs="Calibri" w:eastAsia="Calibri"/>
          <w:i/>
          <w:color w:val="auto"/>
          <w:spacing w:val="0"/>
          <w:position w:val="0"/>
          <w:sz w:val="24"/>
          <w:shd w:fill="auto" w:val="clear"/>
        </w:rPr>
        <w:t xml:space="preserve">Liver Transplantation.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Katz, S. C., Pillarisetty, V. G., Bleier, J. I., Shah, A. B., DeMatteo, R. P. Liver sinusoidal endothelial cells are insufficient to activate T 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Sample preparation method for isolation of single-cell types from mouse liver for proteomic studies.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(17), 3556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Do, H., Healey, J. F., Waller, E. K., Lollar, P. Expression of factor VIII by murine liver sinusoidal endothelial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(28), 19587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19592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Schrage,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Enhanced T cell transmigration across the murine liver sinusoidal endothelium is mediated by transcytosis and surface presentation of chemokines. </w:t>
      </w:r>
      <w:r>
        <w:rPr>
          <w:rFonts w:ascii="Calibri" w:hAnsi="Calibri" w:cs="Calibri" w:eastAsia="Calibri"/>
          <w:i/>
          <w:color w:val="auto"/>
          <w:spacing w:val="0"/>
          <w:position w:val="0"/>
          <w:sz w:val="24"/>
          <w:shd w:fill="auto" w:val="clear"/>
        </w:rPr>
        <w:t xml:space="preserve">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1262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Chou,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Lysophosphatidic acid alters the expression profiles of angiogenic factors, cytokines, and chemokines in mouse liver sinusoidal endothelial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e0122060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Deleve, L. D. Dacarbazine toxicity in murine liver cells: a model of hepatic endothelial injury and glutathione defense.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(3), 1261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Smedsrød, B., Pertoft, H., Eggertsen, G., Sundstr&amp;#246;m, C. Functional and morphological characterization of cultures of Kupffer cells and liver endothelial cells prepared by means of density separation in Percoll, and selective substrate adherence.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(3),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Despoix,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Mouse CD146/MCAM is a marker of natural killer cell maturation.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2855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Strauss, O., Phillips, A., Ruggiero, K., Bartlett, A., Dunbar, P. R. Immunofluorescence identifies distinct subsets of endothelial cells in the human liver.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44356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Halpern, K.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Paired-cell sequencing enables spatial gene expression mapping of liver endothelial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962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