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BA" w:rsidRPr="003A4AB7" w:rsidRDefault="007A7ABA" w:rsidP="007A7ABA">
      <w:pPr>
        <w:rPr>
          <w:rFonts w:asciiTheme="majorHAnsi" w:hAnsiTheme="majorHAnsi" w:cstheme="majorHAnsi"/>
        </w:rPr>
      </w:pPr>
      <w:r w:rsidRPr="003A4AB7">
        <w:rPr>
          <w:rFonts w:asciiTheme="majorHAnsi" w:hAnsiTheme="majorHAnsi" w:cstheme="majorHAnsi"/>
          <w:b/>
        </w:rPr>
        <w:t>PROTOCOL:</w:t>
      </w:r>
      <w:r w:rsidRPr="003A4AB7">
        <w:rPr>
          <w:rFonts w:asciiTheme="majorHAnsi" w:hAnsiTheme="majorHAnsi" w:cstheme="majorHAnsi"/>
        </w:rPr>
        <w:t xml:space="preserve"> </w:t>
      </w:r>
    </w:p>
    <w:p w:rsidR="007A7ABA" w:rsidRPr="003A4AB7" w:rsidRDefault="007A7ABA" w:rsidP="007A7ABA">
      <w:pPr>
        <w:rPr>
          <w:rFonts w:asciiTheme="majorHAnsi" w:hAnsiTheme="majorHAnsi" w:cstheme="majorHAnsi"/>
        </w:rPr>
      </w:pPr>
    </w:p>
    <w:p w:rsidR="007A7ABA" w:rsidRPr="003A4AB7" w:rsidRDefault="007A7ABA" w:rsidP="007A7ABA">
      <w:pPr>
        <w:rPr>
          <w:rFonts w:asciiTheme="majorHAnsi" w:hAnsiTheme="majorHAnsi" w:cstheme="majorHAnsi"/>
        </w:rPr>
      </w:pPr>
      <w:r w:rsidRPr="003A4AB7">
        <w:rPr>
          <w:rFonts w:asciiTheme="majorHAnsi" w:hAnsiTheme="majorHAnsi" w:cstheme="majorHAnsi"/>
        </w:rPr>
        <w:t>All mouse experiments were carried out under the Hebrew University Institutional Animal Care and Use Committee-approved protocol MD-21-16429-5. In addition, the Hebrew University is certified by the Association for Assessment and Accreditation of Laboratory Animal Care (AAALAC).</w:t>
      </w:r>
    </w:p>
    <w:p w:rsidR="007A7ABA" w:rsidRPr="003A4AB7" w:rsidRDefault="007A7ABA" w:rsidP="007A7ABA">
      <w:pPr>
        <w:rPr>
          <w:rFonts w:asciiTheme="majorHAnsi" w:hAnsiTheme="majorHAnsi" w:cstheme="majorHAnsi"/>
        </w:rPr>
      </w:pPr>
    </w:p>
    <w:p w:rsidR="007A7ABA" w:rsidRPr="003A4AB7" w:rsidRDefault="007A7ABA" w:rsidP="007A7ABA">
      <w:pPr>
        <w:pStyle w:val="Heading3"/>
        <w:spacing w:before="0"/>
        <w:ind w:left="0" w:firstLine="0"/>
        <w:rPr>
          <w:color w:val="auto"/>
        </w:rPr>
      </w:pPr>
      <w:r w:rsidRPr="003A4AB7">
        <w:rPr>
          <w:color w:val="auto"/>
        </w:rPr>
        <w:t>Cell line maintenance</w:t>
      </w:r>
    </w:p>
    <w:p w:rsidR="007A7ABA" w:rsidRPr="003A4AB7" w:rsidRDefault="007A7ABA" w:rsidP="007A7ABA">
      <w:pPr>
        <w:rPr>
          <w:rFonts w:asciiTheme="majorHAnsi" w:hAnsiTheme="majorHAnsi" w:cstheme="majorHAnsi"/>
        </w:rPr>
      </w:pPr>
    </w:p>
    <w:p w:rsidR="007A7ABA" w:rsidRPr="003A4AB7" w:rsidRDefault="007A7ABA" w:rsidP="007A7ABA">
      <w:pPr>
        <w:rPr>
          <w:rFonts w:asciiTheme="majorHAnsi" w:hAnsiTheme="majorHAnsi" w:cstheme="majorHAnsi"/>
        </w:rPr>
      </w:pPr>
      <w:r w:rsidRPr="003A4AB7">
        <w:rPr>
          <w:rFonts w:asciiTheme="majorHAnsi" w:hAnsiTheme="majorHAnsi" w:cstheme="majorHAnsi"/>
        </w:rPr>
        <w:t xml:space="preserve">NOTE: The human breast cancer cell lines (MCF-7, MDA-MB-468, and MDA-MB-231) were used in this protocol. </w:t>
      </w:r>
    </w:p>
    <w:p w:rsidR="007A7ABA" w:rsidRPr="003A4AB7" w:rsidRDefault="007A7ABA" w:rsidP="007A7ABA">
      <w:pPr>
        <w:rPr>
          <w:rFonts w:asciiTheme="majorHAnsi" w:hAnsiTheme="majorHAnsi" w:cstheme="majorHAnsi"/>
        </w:rPr>
      </w:pPr>
    </w:p>
    <w:p w:rsidR="007A7ABA" w:rsidRPr="003A4AB7" w:rsidRDefault="007A7ABA" w:rsidP="007A7ABA">
      <w:pPr>
        <w:pStyle w:val="ListParagraph"/>
        <w:numPr>
          <w:ilvl w:val="1"/>
          <w:numId w:val="3"/>
        </w:numPr>
        <w:pBdr>
          <w:top w:val="nil"/>
          <w:left w:val="nil"/>
          <w:bottom w:val="nil"/>
          <w:right w:val="nil"/>
          <w:between w:val="nil"/>
        </w:pBdr>
        <w:spacing w:after="0" w:line="240" w:lineRule="auto"/>
        <w:ind w:left="0" w:firstLine="0"/>
        <w:rPr>
          <w:color w:val="auto"/>
        </w:rPr>
      </w:pPr>
      <w:r w:rsidRPr="003A4AB7">
        <w:rPr>
          <w:color w:val="auto"/>
        </w:rPr>
        <w:t>Culture all the breast cancer cell lines in Dulbecco's modified Eagle's medium (DMEM), supplemented with 10% fetal bovine serum (FBS) and 1% penicillin-streptomycin at 37 °C in a humidified carbon dioxide (5% CO</w:t>
      </w:r>
      <w:r w:rsidRPr="003A4AB7">
        <w:rPr>
          <w:color w:val="auto"/>
          <w:vertAlign w:val="subscript"/>
        </w:rPr>
        <w:t>2</w:t>
      </w:r>
      <w:r w:rsidRPr="003A4AB7">
        <w:rPr>
          <w:color w:val="auto"/>
        </w:rPr>
        <w:t xml:space="preserve">) incubator. </w:t>
      </w:r>
    </w:p>
    <w:p w:rsidR="007A7ABA" w:rsidRPr="003A4AB7" w:rsidRDefault="007A7ABA" w:rsidP="007A7ABA">
      <w:pPr>
        <w:widowControl/>
        <w:pBdr>
          <w:top w:val="nil"/>
          <w:left w:val="nil"/>
          <w:bottom w:val="nil"/>
          <w:right w:val="nil"/>
          <w:between w:val="nil"/>
        </w:pBdr>
        <w:rPr>
          <w:rFonts w:asciiTheme="majorHAnsi" w:hAnsiTheme="majorHAnsi" w:cstheme="majorHAnsi"/>
        </w:rPr>
      </w:pPr>
    </w:p>
    <w:p w:rsidR="007A7ABA" w:rsidRPr="003A4AB7" w:rsidRDefault="007A7ABA" w:rsidP="007A7ABA">
      <w:pPr>
        <w:widowControl/>
        <w:pBdr>
          <w:top w:val="nil"/>
          <w:left w:val="nil"/>
          <w:bottom w:val="nil"/>
          <w:right w:val="nil"/>
          <w:between w:val="nil"/>
        </w:pBdr>
        <w:rPr>
          <w:rFonts w:asciiTheme="majorHAnsi" w:hAnsiTheme="majorHAnsi" w:cstheme="majorHAnsi"/>
        </w:rPr>
      </w:pPr>
      <w:r w:rsidRPr="003A4AB7">
        <w:rPr>
          <w:rFonts w:asciiTheme="majorHAnsi" w:hAnsiTheme="majorHAnsi" w:cstheme="majorHAnsi"/>
        </w:rPr>
        <w:t xml:space="preserve">NOTE: Check the cell density regularly; split and expand for future usage when they reach 70% </w:t>
      </w:r>
      <w:proofErr w:type="spellStart"/>
      <w:r w:rsidRPr="003A4AB7">
        <w:rPr>
          <w:rFonts w:asciiTheme="majorHAnsi" w:hAnsiTheme="majorHAnsi" w:cstheme="majorHAnsi"/>
        </w:rPr>
        <w:t>confluency</w:t>
      </w:r>
      <w:proofErr w:type="spellEnd"/>
      <w:r w:rsidRPr="003A4AB7">
        <w:rPr>
          <w:rFonts w:asciiTheme="majorHAnsi" w:hAnsiTheme="majorHAnsi" w:cstheme="majorHAnsi"/>
        </w:rPr>
        <w:t>.</w:t>
      </w:r>
    </w:p>
    <w:p w:rsidR="007A7ABA" w:rsidRPr="003A4AB7" w:rsidRDefault="007A7ABA" w:rsidP="007A7ABA">
      <w:pPr>
        <w:widowControl/>
        <w:pBdr>
          <w:top w:val="nil"/>
          <w:left w:val="nil"/>
          <w:bottom w:val="nil"/>
          <w:right w:val="nil"/>
          <w:between w:val="nil"/>
        </w:pBdr>
        <w:rPr>
          <w:rFonts w:asciiTheme="majorHAnsi" w:hAnsiTheme="majorHAnsi" w:cstheme="majorHAnsi"/>
        </w:rPr>
      </w:pPr>
    </w:p>
    <w:p w:rsidR="007A7ABA" w:rsidRPr="003A4AB7" w:rsidRDefault="007A7ABA" w:rsidP="007A7ABA">
      <w:pPr>
        <w:pStyle w:val="Heading3"/>
        <w:spacing w:before="0"/>
        <w:ind w:left="0" w:firstLine="0"/>
        <w:rPr>
          <w:color w:val="auto"/>
        </w:rPr>
      </w:pPr>
      <w:r w:rsidRPr="003A4AB7">
        <w:rPr>
          <w:color w:val="auto"/>
        </w:rPr>
        <w:t>Virus preparation</w:t>
      </w:r>
    </w:p>
    <w:p w:rsidR="007A7ABA" w:rsidRPr="003A4AB7" w:rsidRDefault="007A7ABA" w:rsidP="007A7ABA">
      <w:pPr>
        <w:rPr>
          <w:rFonts w:asciiTheme="majorHAnsi" w:hAnsiTheme="majorHAnsi" w:cstheme="majorHAnsi"/>
        </w:rPr>
      </w:pPr>
    </w:p>
    <w:p w:rsidR="007A7ABA" w:rsidRPr="003A4AB7" w:rsidRDefault="007A7ABA" w:rsidP="007A7ABA">
      <w:pPr>
        <w:pStyle w:val="ListParagraph"/>
        <w:numPr>
          <w:ilvl w:val="1"/>
          <w:numId w:val="4"/>
        </w:numPr>
        <w:pBdr>
          <w:top w:val="nil"/>
          <w:left w:val="nil"/>
          <w:bottom w:val="nil"/>
          <w:right w:val="nil"/>
          <w:between w:val="nil"/>
        </w:pBdr>
        <w:spacing w:after="0" w:line="240" w:lineRule="auto"/>
        <w:ind w:left="0" w:firstLine="0"/>
        <w:rPr>
          <w:color w:val="auto"/>
        </w:rPr>
      </w:pPr>
      <w:r w:rsidRPr="003A4AB7">
        <w:rPr>
          <w:color w:val="auto"/>
        </w:rPr>
        <w:t>Treat the HEK293T cells with 1 mL of trypsin until they detach.</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pStyle w:val="ListParagraph"/>
        <w:numPr>
          <w:ilvl w:val="1"/>
          <w:numId w:val="4"/>
        </w:numPr>
        <w:pBdr>
          <w:top w:val="nil"/>
          <w:left w:val="nil"/>
          <w:bottom w:val="nil"/>
          <w:right w:val="nil"/>
          <w:between w:val="nil"/>
        </w:pBdr>
        <w:spacing w:after="0" w:line="240" w:lineRule="auto"/>
        <w:ind w:left="0" w:firstLine="0"/>
        <w:rPr>
          <w:color w:val="auto"/>
        </w:rPr>
      </w:pPr>
      <w:r w:rsidRPr="003A4AB7">
        <w:rPr>
          <w:color w:val="auto"/>
        </w:rPr>
        <w:t xml:space="preserve">Add 10 mL of DMEM (10% FBS) to neutralize the trypsin activity, and transfer the cell suspension to a new 15 mL centrifuge tube. </w:t>
      </w:r>
    </w:p>
    <w:p w:rsidR="007A7ABA" w:rsidRPr="003A4AB7" w:rsidRDefault="007A7ABA" w:rsidP="007A7ABA">
      <w:pPr>
        <w:pBdr>
          <w:top w:val="nil"/>
          <w:left w:val="nil"/>
          <w:bottom w:val="nil"/>
          <w:right w:val="nil"/>
          <w:between w:val="nil"/>
        </w:pBdr>
        <w:rPr>
          <w:rFonts w:asciiTheme="majorHAnsi" w:hAnsiTheme="majorHAnsi" w:cstheme="majorHAnsi"/>
        </w:rPr>
      </w:pPr>
    </w:p>
    <w:p w:rsidR="007A7ABA" w:rsidRPr="003A4AB7" w:rsidRDefault="007A7ABA" w:rsidP="007A7ABA">
      <w:pPr>
        <w:pStyle w:val="ListParagraph"/>
        <w:numPr>
          <w:ilvl w:val="1"/>
          <w:numId w:val="4"/>
        </w:numPr>
        <w:pBdr>
          <w:top w:val="nil"/>
          <w:left w:val="nil"/>
          <w:bottom w:val="nil"/>
          <w:right w:val="nil"/>
          <w:between w:val="nil"/>
        </w:pBdr>
        <w:spacing w:after="0" w:line="240" w:lineRule="auto"/>
        <w:ind w:left="0" w:firstLine="0"/>
        <w:rPr>
          <w:color w:val="auto"/>
        </w:rPr>
      </w:pPr>
      <w:r w:rsidRPr="003A4AB7">
        <w:rPr>
          <w:color w:val="auto"/>
        </w:rPr>
        <w:t xml:space="preserve">Centrifuge at ~150 × </w:t>
      </w:r>
      <w:r w:rsidRPr="003A4AB7">
        <w:rPr>
          <w:i/>
          <w:iCs/>
          <w:color w:val="auto"/>
        </w:rPr>
        <w:t>g</w:t>
      </w:r>
      <w:r w:rsidRPr="003A4AB7">
        <w:rPr>
          <w:color w:val="auto"/>
        </w:rPr>
        <w:t xml:space="preserve"> for 5 min to sediment the cells. Discard the supernatant after the centrifugation and add 1 mL of fresh DMEM medium.</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pStyle w:val="ListParagraph"/>
        <w:numPr>
          <w:ilvl w:val="1"/>
          <w:numId w:val="4"/>
        </w:numPr>
        <w:pBdr>
          <w:top w:val="nil"/>
          <w:left w:val="nil"/>
          <w:bottom w:val="nil"/>
          <w:right w:val="nil"/>
          <w:between w:val="nil"/>
        </w:pBdr>
        <w:spacing w:after="0" w:line="240" w:lineRule="auto"/>
        <w:ind w:left="0" w:firstLine="0"/>
        <w:rPr>
          <w:color w:val="auto"/>
        </w:rPr>
      </w:pPr>
      <w:r w:rsidRPr="003A4AB7">
        <w:rPr>
          <w:color w:val="auto"/>
        </w:rPr>
        <w:t>Determine the cell concentration and seed 1.2 × 10</w:t>
      </w:r>
      <w:r w:rsidRPr="003A4AB7">
        <w:rPr>
          <w:color w:val="auto"/>
          <w:vertAlign w:val="superscript"/>
        </w:rPr>
        <w:t>6</w:t>
      </w:r>
      <w:r w:rsidRPr="003A4AB7">
        <w:rPr>
          <w:color w:val="auto"/>
        </w:rPr>
        <w:t xml:space="preserve"> cells/well in a six-well plate.</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pStyle w:val="ListParagraph"/>
        <w:numPr>
          <w:ilvl w:val="1"/>
          <w:numId w:val="4"/>
        </w:numPr>
        <w:pBdr>
          <w:top w:val="nil"/>
          <w:left w:val="nil"/>
          <w:bottom w:val="nil"/>
          <w:right w:val="nil"/>
          <w:between w:val="nil"/>
        </w:pBdr>
        <w:spacing w:after="0" w:line="240" w:lineRule="auto"/>
        <w:ind w:left="0" w:firstLine="0"/>
        <w:rPr>
          <w:color w:val="auto"/>
        </w:rPr>
      </w:pPr>
      <w:r w:rsidRPr="003A4AB7">
        <w:rPr>
          <w:color w:val="auto"/>
        </w:rPr>
        <w:t xml:space="preserve">On the following day, </w:t>
      </w:r>
      <w:proofErr w:type="spellStart"/>
      <w:r w:rsidRPr="003A4AB7">
        <w:rPr>
          <w:color w:val="auto"/>
        </w:rPr>
        <w:t>prewarm</w:t>
      </w:r>
      <w:proofErr w:type="spellEnd"/>
      <w:r w:rsidRPr="003A4AB7">
        <w:rPr>
          <w:color w:val="auto"/>
        </w:rPr>
        <w:t xml:space="preserve"> all the necessary reagents, including transfection reagent, serum-free DMEM, envelope plasmid (VSV-G), lentivirus packaging plasmid (</w:t>
      </w:r>
      <w:r w:rsidRPr="003A4AB7">
        <w:rPr>
          <w:rFonts w:eastAsia="Symbol"/>
          <w:color w:val="auto"/>
        </w:rPr>
        <w:sym w:font="Symbol" w:char="F044"/>
      </w:r>
      <w:r w:rsidRPr="003A4AB7">
        <w:rPr>
          <w:color w:val="auto"/>
        </w:rPr>
        <w:t>VPR), and pLX304 Luciferase-V5 blast plasmid</w:t>
      </w:r>
      <w:r w:rsidRPr="003A4AB7">
        <w:rPr>
          <w:color w:val="auto"/>
          <w:rtl/>
        </w:rPr>
        <w:t xml:space="preserve"> </w:t>
      </w:r>
      <w:r w:rsidRPr="003A4AB7">
        <w:rPr>
          <w:color w:val="auto"/>
        </w:rPr>
        <w:t>or FUW GFP plasmid.</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pStyle w:val="ListParagraph"/>
        <w:numPr>
          <w:ilvl w:val="1"/>
          <w:numId w:val="4"/>
        </w:numPr>
        <w:pBdr>
          <w:top w:val="nil"/>
          <w:left w:val="nil"/>
          <w:bottom w:val="nil"/>
          <w:right w:val="nil"/>
          <w:between w:val="nil"/>
        </w:pBdr>
        <w:spacing w:after="0" w:line="240" w:lineRule="auto"/>
        <w:ind w:left="0" w:firstLine="0"/>
        <w:rPr>
          <w:color w:val="auto"/>
        </w:rPr>
      </w:pPr>
      <w:r w:rsidRPr="003A4AB7">
        <w:rPr>
          <w:color w:val="auto"/>
        </w:rPr>
        <w:t xml:space="preserve">In a 1.5 mL autoclaved centrifuge tube, mix 50 µL of serum-free DMEM with 0.3 µg of VSV-G plasmid, 1 µg of </w:t>
      </w:r>
      <w:r w:rsidRPr="003A4AB7">
        <w:rPr>
          <w:rFonts w:eastAsia="Symbol"/>
          <w:color w:val="auto"/>
        </w:rPr>
        <w:sym w:font="Symbol" w:char="F044"/>
      </w:r>
      <w:r w:rsidRPr="003A4AB7">
        <w:rPr>
          <w:color w:val="auto"/>
        </w:rPr>
        <w:t xml:space="preserve">VPR, and 1.2 µg of pLX304 Luciferase-V5 blast plasmid or FUW GFP plasmid. </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pStyle w:val="ListParagraph"/>
        <w:numPr>
          <w:ilvl w:val="1"/>
          <w:numId w:val="4"/>
        </w:numPr>
        <w:pBdr>
          <w:top w:val="nil"/>
          <w:left w:val="nil"/>
          <w:bottom w:val="nil"/>
          <w:right w:val="nil"/>
          <w:between w:val="nil"/>
        </w:pBdr>
        <w:spacing w:after="0" w:line="240" w:lineRule="auto"/>
        <w:ind w:left="0" w:firstLine="0"/>
        <w:rPr>
          <w:color w:val="auto"/>
        </w:rPr>
      </w:pPr>
      <w:r w:rsidRPr="003A4AB7">
        <w:rPr>
          <w:color w:val="auto"/>
        </w:rPr>
        <w:t xml:space="preserve">After thoroughly mixing these plasmids with the medium, add 5 µL of </w:t>
      </w:r>
      <w:r>
        <w:rPr>
          <w:color w:val="auto"/>
        </w:rPr>
        <w:t xml:space="preserve">the </w:t>
      </w:r>
      <w:r w:rsidRPr="003A4AB7">
        <w:rPr>
          <w:color w:val="auto"/>
        </w:rPr>
        <w:t xml:space="preserve">transfection reagent, mix gently, and incubate the mixture at room temperature for 15 min.  </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pStyle w:val="ListParagraph"/>
        <w:numPr>
          <w:ilvl w:val="1"/>
          <w:numId w:val="4"/>
        </w:numPr>
        <w:pBdr>
          <w:top w:val="nil"/>
          <w:left w:val="nil"/>
          <w:bottom w:val="nil"/>
          <w:right w:val="nil"/>
          <w:between w:val="nil"/>
        </w:pBdr>
        <w:spacing w:after="0" w:line="240" w:lineRule="auto"/>
        <w:ind w:left="0" w:firstLine="0"/>
        <w:rPr>
          <w:color w:val="auto"/>
        </w:rPr>
      </w:pPr>
      <w:r w:rsidRPr="003A4AB7">
        <w:rPr>
          <w:color w:val="auto"/>
        </w:rPr>
        <w:t xml:space="preserve">Following incubation, add the mixture dropwise to the HEK293T cells. </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pStyle w:val="ListParagraph"/>
        <w:numPr>
          <w:ilvl w:val="1"/>
          <w:numId w:val="4"/>
        </w:numPr>
        <w:pBdr>
          <w:top w:val="nil"/>
          <w:left w:val="nil"/>
          <w:bottom w:val="nil"/>
          <w:right w:val="nil"/>
          <w:between w:val="nil"/>
        </w:pBdr>
        <w:spacing w:after="0" w:line="240" w:lineRule="auto"/>
        <w:ind w:left="0" w:firstLine="0"/>
        <w:rPr>
          <w:color w:val="auto"/>
        </w:rPr>
      </w:pPr>
      <w:r w:rsidRPr="003A4AB7">
        <w:rPr>
          <w:color w:val="auto"/>
        </w:rPr>
        <w:lastRenderedPageBreak/>
        <w:t>After 24 h, replace the growth medium with 2 mL of (30% FBS) DMEM. On the following day (48 h post-transfection), harvest the medium containing the viruses</w:t>
      </w:r>
      <w:r w:rsidRPr="003A4AB7">
        <w:rPr>
          <w:b/>
          <w:bCs/>
          <w:color w:val="auto"/>
        </w:rPr>
        <w:t xml:space="preserve"> </w:t>
      </w:r>
      <w:r w:rsidRPr="003A4AB7">
        <w:rPr>
          <w:color w:val="auto"/>
        </w:rPr>
        <w:t xml:space="preserve">("pLX304 Luciferase-V5 or the FUW GFP viruses"). </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r w:rsidRPr="003A4AB7">
        <w:rPr>
          <w:color w:val="auto"/>
        </w:rPr>
        <w:t>NOTE: The use of 30% FBS enhances the virus production efficiency.</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pStyle w:val="ListParagraph"/>
        <w:numPr>
          <w:ilvl w:val="1"/>
          <w:numId w:val="4"/>
        </w:numPr>
        <w:pBdr>
          <w:top w:val="nil"/>
          <w:left w:val="nil"/>
          <w:bottom w:val="nil"/>
          <w:right w:val="nil"/>
          <w:between w:val="nil"/>
        </w:pBdr>
        <w:spacing w:after="0" w:line="240" w:lineRule="auto"/>
        <w:ind w:left="0" w:firstLine="0"/>
        <w:rPr>
          <w:color w:val="auto"/>
        </w:rPr>
      </w:pPr>
      <w:r w:rsidRPr="003A4AB7">
        <w:rPr>
          <w:color w:val="auto"/>
        </w:rPr>
        <w:t xml:space="preserve">To avoid any HEK293T cell residues, pass the virus-containing medium through a 0.45 µm syringe filter or centrifuge at ~150 × </w:t>
      </w:r>
      <w:r w:rsidRPr="003A4AB7">
        <w:rPr>
          <w:i/>
          <w:iCs/>
          <w:color w:val="auto"/>
        </w:rPr>
        <w:t>g</w:t>
      </w:r>
      <w:r w:rsidRPr="003A4AB7">
        <w:rPr>
          <w:color w:val="auto"/>
        </w:rPr>
        <w:t xml:space="preserve"> for 5 min, and collect the supernatant.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r w:rsidRPr="003A4AB7">
        <w:rPr>
          <w:color w:val="auto"/>
        </w:rPr>
        <w:t>NOTE: For long-term storage, keep the working aliquots of the virus at -80 °C.</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pStyle w:val="Heading3"/>
        <w:spacing w:before="0"/>
        <w:ind w:left="0" w:firstLine="0"/>
        <w:rPr>
          <w:color w:val="auto"/>
        </w:rPr>
      </w:pPr>
      <w:r w:rsidRPr="003A4AB7">
        <w:rPr>
          <w:color w:val="auto"/>
        </w:rPr>
        <w:t>Establishing cells stably expressing GFP and luciferase ("GFP</w:t>
      </w:r>
      <w:r w:rsidRPr="003A4AB7">
        <w:rPr>
          <w:color w:val="auto"/>
          <w:vertAlign w:val="superscript"/>
        </w:rPr>
        <w:t>+</w:t>
      </w:r>
      <w:r w:rsidRPr="003A4AB7">
        <w:rPr>
          <w:color w:val="auto"/>
        </w:rPr>
        <w:t xml:space="preserve"> Luc</w:t>
      </w:r>
      <w:r w:rsidRPr="003A4AB7">
        <w:rPr>
          <w:color w:val="auto"/>
          <w:vertAlign w:val="superscript"/>
        </w:rPr>
        <w:t>+</w:t>
      </w:r>
      <w:r w:rsidRPr="003A4AB7">
        <w:rPr>
          <w:color w:val="auto"/>
        </w:rPr>
        <w:t xml:space="preserve"> cells")</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widowControl/>
        <w:pBdr>
          <w:top w:val="nil"/>
          <w:left w:val="nil"/>
          <w:bottom w:val="nil"/>
          <w:right w:val="nil"/>
          <w:between w:val="nil"/>
        </w:pBdr>
        <w:rPr>
          <w:rFonts w:asciiTheme="majorHAnsi" w:hAnsiTheme="majorHAnsi" w:cstheme="majorHAnsi"/>
        </w:rPr>
      </w:pPr>
      <w:r w:rsidRPr="003A4AB7">
        <w:rPr>
          <w:rFonts w:asciiTheme="majorHAnsi" w:hAnsiTheme="majorHAnsi" w:cstheme="majorHAnsi"/>
        </w:rPr>
        <w:t>3.1. The day before infecting the cells, seed 8 × 10</w:t>
      </w:r>
      <w:r w:rsidRPr="003A4AB7">
        <w:rPr>
          <w:rFonts w:asciiTheme="majorHAnsi" w:hAnsiTheme="majorHAnsi" w:cstheme="majorHAnsi"/>
          <w:vertAlign w:val="superscript"/>
        </w:rPr>
        <w:t>5</w:t>
      </w:r>
      <w:r w:rsidRPr="003A4AB7">
        <w:rPr>
          <w:rFonts w:asciiTheme="majorHAnsi" w:hAnsiTheme="majorHAnsi" w:cstheme="majorHAnsi"/>
        </w:rPr>
        <w:t xml:space="preserve"> cells per well in a six-well plate. </w:t>
      </w:r>
    </w:p>
    <w:p w:rsidR="007A7ABA" w:rsidRPr="003A4AB7" w:rsidRDefault="007A7ABA" w:rsidP="007A7ABA">
      <w:pPr>
        <w:widowControl/>
        <w:pBdr>
          <w:top w:val="nil"/>
          <w:left w:val="nil"/>
          <w:bottom w:val="nil"/>
          <w:right w:val="nil"/>
          <w:between w:val="nil"/>
        </w:pBdr>
        <w:rPr>
          <w:rFonts w:asciiTheme="majorHAnsi" w:hAnsiTheme="majorHAnsi" w:cstheme="majorHAnsi"/>
        </w:rPr>
      </w:pPr>
    </w:p>
    <w:p w:rsidR="007A7ABA" w:rsidRPr="003A4AB7" w:rsidRDefault="007A7ABA" w:rsidP="007A7ABA">
      <w:pPr>
        <w:pStyle w:val="ListParagraph"/>
        <w:numPr>
          <w:ilvl w:val="1"/>
          <w:numId w:val="5"/>
        </w:numPr>
        <w:pBdr>
          <w:top w:val="nil"/>
          <w:left w:val="nil"/>
          <w:bottom w:val="nil"/>
          <w:right w:val="nil"/>
          <w:between w:val="nil"/>
        </w:pBdr>
        <w:spacing w:after="0" w:line="240" w:lineRule="auto"/>
        <w:ind w:left="0" w:firstLine="0"/>
        <w:rPr>
          <w:color w:val="auto"/>
        </w:rPr>
      </w:pPr>
      <w:r w:rsidRPr="003A4AB7">
        <w:rPr>
          <w:color w:val="auto"/>
        </w:rPr>
        <w:t xml:space="preserve">After overnight incubation, replace the growth medium with fresh medium containing 8 µg/mL of </w:t>
      </w:r>
      <w:proofErr w:type="spellStart"/>
      <w:r w:rsidRPr="003A4AB7">
        <w:rPr>
          <w:color w:val="auto"/>
        </w:rPr>
        <w:t>polybrene</w:t>
      </w:r>
      <w:proofErr w:type="spellEnd"/>
      <w:r w:rsidRPr="003A4AB7">
        <w:rPr>
          <w:color w:val="auto"/>
        </w:rPr>
        <w:t xml:space="preserve">. Add 200 µL of FUW GFP viruses dropwise to the cells.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pStyle w:val="ListParagraph"/>
        <w:numPr>
          <w:ilvl w:val="1"/>
          <w:numId w:val="5"/>
        </w:numPr>
        <w:pBdr>
          <w:top w:val="nil"/>
          <w:left w:val="nil"/>
          <w:bottom w:val="nil"/>
          <w:right w:val="nil"/>
          <w:between w:val="nil"/>
        </w:pBdr>
        <w:spacing w:after="0" w:line="240" w:lineRule="auto"/>
        <w:ind w:left="0" w:firstLine="0"/>
        <w:rPr>
          <w:color w:val="auto"/>
        </w:rPr>
      </w:pPr>
      <w:r w:rsidRPr="003A4AB7">
        <w:rPr>
          <w:color w:val="auto"/>
        </w:rPr>
        <w:t xml:space="preserve">Optional: To enhance the virus efficiency, centrifuge the plate at 560 × </w:t>
      </w:r>
      <w:r w:rsidRPr="003A4AB7">
        <w:rPr>
          <w:i/>
          <w:iCs/>
          <w:color w:val="auto"/>
        </w:rPr>
        <w:t>g</w:t>
      </w:r>
      <w:r w:rsidRPr="003A4AB7">
        <w:rPr>
          <w:color w:val="auto"/>
        </w:rPr>
        <w:t xml:space="preserve"> for 30 min (37 °C) (spin infection).  </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widowControl/>
        <w:numPr>
          <w:ilvl w:val="1"/>
          <w:numId w:val="5"/>
        </w:numPr>
        <w:pBdr>
          <w:top w:val="nil"/>
          <w:left w:val="nil"/>
          <w:bottom w:val="nil"/>
          <w:right w:val="nil"/>
          <w:between w:val="nil"/>
        </w:pBdr>
        <w:ind w:left="0" w:firstLine="0"/>
        <w:rPr>
          <w:rFonts w:asciiTheme="majorHAnsi" w:hAnsiTheme="majorHAnsi" w:cstheme="majorHAnsi"/>
        </w:rPr>
      </w:pPr>
      <w:r w:rsidRPr="003A4AB7">
        <w:rPr>
          <w:rFonts w:asciiTheme="majorHAnsi" w:hAnsiTheme="majorHAnsi" w:cstheme="majorHAnsi"/>
        </w:rPr>
        <w:t xml:space="preserve">Incubate the cells for 48 h, and verify the GFP expression by fluorescence microscopy. </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widowControl/>
        <w:numPr>
          <w:ilvl w:val="1"/>
          <w:numId w:val="5"/>
        </w:numPr>
        <w:pBdr>
          <w:top w:val="nil"/>
          <w:left w:val="nil"/>
          <w:bottom w:val="nil"/>
          <w:right w:val="nil"/>
          <w:between w:val="nil"/>
        </w:pBdr>
        <w:ind w:left="0" w:firstLine="0"/>
        <w:rPr>
          <w:rFonts w:asciiTheme="majorHAnsi" w:hAnsiTheme="majorHAnsi" w:cstheme="majorHAnsi"/>
        </w:rPr>
      </w:pPr>
      <w:r w:rsidRPr="003A4AB7">
        <w:rPr>
          <w:rFonts w:asciiTheme="majorHAnsi" w:hAnsiTheme="majorHAnsi" w:cstheme="majorHAnsi"/>
        </w:rPr>
        <w:t>Sort the GFP-expressing cells by fluorescence-activated cell sorting (FACS) (GFP</w:t>
      </w:r>
      <w:r w:rsidRPr="003A4AB7">
        <w:rPr>
          <w:rFonts w:asciiTheme="majorHAnsi" w:hAnsiTheme="majorHAnsi" w:cstheme="majorHAnsi"/>
          <w:vertAlign w:val="superscript"/>
        </w:rPr>
        <w:t>+</w:t>
      </w:r>
      <w:r w:rsidRPr="003A4AB7">
        <w:rPr>
          <w:rFonts w:asciiTheme="majorHAnsi" w:hAnsiTheme="majorHAnsi" w:cstheme="majorHAnsi"/>
        </w:rPr>
        <w:t>) (</w:t>
      </w:r>
      <w:r w:rsidRPr="003A4AB7">
        <w:rPr>
          <w:rFonts w:asciiTheme="majorHAnsi" w:hAnsiTheme="majorHAnsi" w:cstheme="majorHAnsi"/>
          <w:b/>
          <w:bCs/>
        </w:rPr>
        <w:t>Figure 1A</w:t>
      </w:r>
      <w:r w:rsidRPr="003A4AB7">
        <w:rPr>
          <w:rFonts w:asciiTheme="majorHAnsi" w:hAnsiTheme="majorHAnsi" w:cstheme="majorHAnsi"/>
        </w:rPr>
        <w:t>).</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widowControl/>
        <w:numPr>
          <w:ilvl w:val="1"/>
          <w:numId w:val="5"/>
        </w:numPr>
        <w:pBdr>
          <w:top w:val="nil"/>
          <w:left w:val="nil"/>
          <w:bottom w:val="nil"/>
          <w:right w:val="nil"/>
          <w:between w:val="nil"/>
        </w:pBdr>
        <w:ind w:left="0" w:firstLine="0"/>
        <w:rPr>
          <w:rFonts w:asciiTheme="majorHAnsi" w:hAnsiTheme="majorHAnsi" w:cstheme="majorHAnsi"/>
        </w:rPr>
      </w:pPr>
      <w:r w:rsidRPr="003A4AB7">
        <w:rPr>
          <w:rFonts w:asciiTheme="majorHAnsi" w:hAnsiTheme="majorHAnsi" w:cstheme="majorHAnsi"/>
        </w:rPr>
        <w:t xml:space="preserve">Infect the GFP-sorted cells with the pLX304 Luciferase-V5 blast viruses as described in step 3.2. </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widowControl/>
        <w:numPr>
          <w:ilvl w:val="1"/>
          <w:numId w:val="5"/>
        </w:numPr>
        <w:pBdr>
          <w:top w:val="nil"/>
          <w:left w:val="nil"/>
          <w:bottom w:val="nil"/>
          <w:right w:val="nil"/>
          <w:between w:val="nil"/>
        </w:pBdr>
        <w:ind w:left="0" w:firstLine="0"/>
        <w:rPr>
          <w:rFonts w:asciiTheme="majorHAnsi" w:hAnsiTheme="majorHAnsi" w:cstheme="majorHAnsi"/>
        </w:rPr>
      </w:pPr>
      <w:r w:rsidRPr="003A4AB7">
        <w:rPr>
          <w:rFonts w:asciiTheme="majorHAnsi" w:hAnsiTheme="majorHAnsi" w:cstheme="majorHAnsi"/>
        </w:rPr>
        <w:t xml:space="preserve">Treat the cells with </w:t>
      </w:r>
      <w:proofErr w:type="spellStart"/>
      <w:r w:rsidRPr="003A4AB7">
        <w:rPr>
          <w:rFonts w:asciiTheme="majorHAnsi" w:hAnsiTheme="majorHAnsi" w:cstheme="majorHAnsi"/>
        </w:rPr>
        <w:t>blasticidin</w:t>
      </w:r>
      <w:proofErr w:type="spellEnd"/>
      <w:r w:rsidRPr="003A4AB7">
        <w:rPr>
          <w:rFonts w:asciiTheme="majorHAnsi" w:hAnsiTheme="majorHAnsi" w:cstheme="majorHAnsi"/>
        </w:rPr>
        <w:t xml:space="preserve"> (10 µg/mL) 30 h post-infection to enrich for pLX304 Luciferase-V5 blast-expressing cells (GFP</w:t>
      </w:r>
      <w:r w:rsidRPr="003A4AB7">
        <w:rPr>
          <w:rFonts w:asciiTheme="majorHAnsi" w:hAnsiTheme="majorHAnsi" w:cstheme="majorHAnsi"/>
          <w:vertAlign w:val="superscript"/>
        </w:rPr>
        <w:t>+</w:t>
      </w:r>
      <w:r w:rsidRPr="003A4AB7">
        <w:rPr>
          <w:rFonts w:asciiTheme="majorHAnsi" w:hAnsiTheme="majorHAnsi" w:cstheme="majorHAnsi"/>
        </w:rPr>
        <w:t>, Luc</w:t>
      </w:r>
      <w:r w:rsidRPr="003A4AB7">
        <w:rPr>
          <w:rFonts w:asciiTheme="majorHAnsi" w:hAnsiTheme="majorHAnsi" w:cstheme="majorHAnsi"/>
          <w:vertAlign w:val="superscript"/>
        </w:rPr>
        <w:t>+</w:t>
      </w:r>
      <w:r w:rsidRPr="003A4AB7">
        <w:rPr>
          <w:rFonts w:asciiTheme="majorHAnsi" w:hAnsiTheme="majorHAnsi" w:cstheme="majorHAnsi"/>
        </w:rPr>
        <w:t xml:space="preserve"> cells). Then, every two days, replace with fresh medium containing </w:t>
      </w:r>
      <w:proofErr w:type="spellStart"/>
      <w:r w:rsidRPr="003A4AB7">
        <w:rPr>
          <w:rFonts w:asciiTheme="majorHAnsi" w:hAnsiTheme="majorHAnsi" w:cstheme="majorHAnsi"/>
        </w:rPr>
        <w:t>blasticidin</w:t>
      </w:r>
      <w:proofErr w:type="spellEnd"/>
      <w:r w:rsidRPr="003A4AB7">
        <w:rPr>
          <w:rFonts w:asciiTheme="majorHAnsi" w:hAnsiTheme="majorHAnsi" w:cstheme="majorHAnsi"/>
        </w:rPr>
        <w:t xml:space="preserve">. Additionally, as a control, treat naïve cells with the same </w:t>
      </w:r>
      <w:proofErr w:type="spellStart"/>
      <w:r w:rsidRPr="003A4AB7">
        <w:rPr>
          <w:rFonts w:asciiTheme="majorHAnsi" w:hAnsiTheme="majorHAnsi" w:cstheme="majorHAnsi"/>
        </w:rPr>
        <w:t>blasticidin</w:t>
      </w:r>
      <w:proofErr w:type="spellEnd"/>
      <w:r w:rsidRPr="003A4AB7">
        <w:rPr>
          <w:rFonts w:asciiTheme="majorHAnsi" w:hAnsiTheme="majorHAnsi" w:cstheme="majorHAnsi"/>
        </w:rPr>
        <w:t xml:space="preserve">-containing medium. </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widowControl/>
        <w:pBdr>
          <w:top w:val="nil"/>
          <w:left w:val="nil"/>
          <w:bottom w:val="nil"/>
          <w:right w:val="nil"/>
          <w:between w:val="nil"/>
        </w:pBdr>
        <w:rPr>
          <w:rFonts w:asciiTheme="majorHAnsi" w:hAnsiTheme="majorHAnsi" w:cstheme="majorHAnsi"/>
        </w:rPr>
      </w:pPr>
      <w:r w:rsidRPr="003A4AB7">
        <w:rPr>
          <w:rFonts w:asciiTheme="majorHAnsi" w:hAnsiTheme="majorHAnsi" w:cstheme="majorHAnsi"/>
        </w:rPr>
        <w:t xml:space="preserve">NOTE: A clear difference between the infected and control cells should be observed after a few days of </w:t>
      </w:r>
      <w:proofErr w:type="spellStart"/>
      <w:r w:rsidRPr="003A4AB7">
        <w:rPr>
          <w:rFonts w:asciiTheme="majorHAnsi" w:hAnsiTheme="majorHAnsi" w:cstheme="majorHAnsi"/>
        </w:rPr>
        <w:t>blasticidin</w:t>
      </w:r>
      <w:proofErr w:type="spellEnd"/>
      <w:r w:rsidRPr="003A4AB7">
        <w:rPr>
          <w:rFonts w:asciiTheme="majorHAnsi" w:hAnsiTheme="majorHAnsi" w:cstheme="majorHAnsi"/>
        </w:rPr>
        <w:t xml:space="preserve"> treatment. This effect is cell line-dependent and usually takes ~8–10 days. A poor survival rate will indicate a low viral production yield. If so, produce a new batch of viruses as low efficiency may affect future experiments. </w:t>
      </w:r>
    </w:p>
    <w:p w:rsidR="007A7ABA" w:rsidRPr="003A4AB7" w:rsidRDefault="007A7ABA" w:rsidP="007A7ABA">
      <w:pPr>
        <w:widowControl/>
        <w:pBdr>
          <w:top w:val="nil"/>
          <w:left w:val="nil"/>
          <w:bottom w:val="nil"/>
          <w:right w:val="nil"/>
          <w:between w:val="nil"/>
        </w:pBdr>
        <w:rPr>
          <w:rFonts w:asciiTheme="majorHAnsi" w:hAnsiTheme="majorHAnsi" w:cstheme="majorHAnsi"/>
        </w:rPr>
      </w:pPr>
    </w:p>
    <w:p w:rsidR="007A7ABA" w:rsidRPr="003A4AB7" w:rsidRDefault="007A7ABA" w:rsidP="007A7ABA">
      <w:pPr>
        <w:pStyle w:val="Heading3"/>
        <w:spacing w:before="0"/>
        <w:ind w:left="0" w:firstLine="0"/>
        <w:rPr>
          <w:color w:val="auto"/>
        </w:rPr>
      </w:pPr>
      <w:r w:rsidRPr="003A4AB7">
        <w:rPr>
          <w:color w:val="auto"/>
        </w:rPr>
        <w:t xml:space="preserve">Validating </w:t>
      </w:r>
      <w:r w:rsidRPr="003A4AB7">
        <w:rPr>
          <w:i/>
          <w:iCs/>
          <w:color w:val="auto"/>
        </w:rPr>
        <w:t>in vitro</w:t>
      </w:r>
      <w:r w:rsidRPr="003A4AB7">
        <w:rPr>
          <w:color w:val="auto"/>
        </w:rPr>
        <w:t xml:space="preserve"> luciferase activity</w:t>
      </w:r>
    </w:p>
    <w:p w:rsidR="007A7ABA" w:rsidRPr="003A4AB7" w:rsidRDefault="007A7ABA" w:rsidP="007A7ABA">
      <w:pPr>
        <w:rPr>
          <w:rFonts w:asciiTheme="majorHAnsi" w:hAnsiTheme="majorHAnsi" w:cstheme="majorHAnsi"/>
        </w:rPr>
      </w:pPr>
    </w:p>
    <w:p w:rsidR="007A7ABA" w:rsidRPr="003A4AB7" w:rsidRDefault="007A7ABA" w:rsidP="007A7ABA">
      <w:pPr>
        <w:pStyle w:val="ListParagraph"/>
        <w:numPr>
          <w:ilvl w:val="1"/>
          <w:numId w:val="6"/>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Grow the MCF-7, MDA-MB-468, and MDA-MB-231 GFP</w:t>
      </w:r>
      <w:r w:rsidRPr="003A4AB7">
        <w:rPr>
          <w:color w:val="auto"/>
          <w:highlight w:val="yellow"/>
          <w:vertAlign w:val="superscript"/>
        </w:rPr>
        <w:t>+</w:t>
      </w:r>
      <w:r w:rsidRPr="003A4AB7">
        <w:rPr>
          <w:color w:val="auto"/>
          <w:highlight w:val="yellow"/>
        </w:rPr>
        <w:t xml:space="preserve"> Luc</w:t>
      </w:r>
      <w:r w:rsidRPr="003A4AB7">
        <w:rPr>
          <w:color w:val="auto"/>
          <w:highlight w:val="yellow"/>
          <w:vertAlign w:val="superscript"/>
        </w:rPr>
        <w:t>+</w:t>
      </w:r>
      <w:r w:rsidRPr="003A4AB7">
        <w:rPr>
          <w:color w:val="auto"/>
          <w:highlight w:val="yellow"/>
        </w:rPr>
        <w:t xml:space="preserve"> cells in a 15 cm plate to 80% </w:t>
      </w:r>
      <w:proofErr w:type="spellStart"/>
      <w:r w:rsidRPr="003A4AB7">
        <w:rPr>
          <w:color w:val="auto"/>
          <w:highlight w:val="yellow"/>
        </w:rPr>
        <w:t>confluency</w:t>
      </w:r>
      <w:proofErr w:type="spellEnd"/>
      <w:r w:rsidRPr="003A4AB7">
        <w:rPr>
          <w:color w:val="auto"/>
          <w:highlight w:val="yellow"/>
        </w:rPr>
        <w:t xml:space="preserve">. Harvest the cells by </w:t>
      </w:r>
      <w:proofErr w:type="spellStart"/>
      <w:r w:rsidRPr="003A4AB7">
        <w:rPr>
          <w:color w:val="auto"/>
          <w:highlight w:val="yellow"/>
        </w:rPr>
        <w:t>trypsinization</w:t>
      </w:r>
      <w:proofErr w:type="spellEnd"/>
      <w:r w:rsidRPr="003A4AB7">
        <w:rPr>
          <w:color w:val="auto"/>
          <w:highlight w:val="yellow"/>
        </w:rPr>
        <w:t xml:space="preserve">, as described in steps 2.1–2.2.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highlight w:val="yellow"/>
        </w:rPr>
      </w:pPr>
    </w:p>
    <w:p w:rsidR="007A7ABA" w:rsidRPr="003A4AB7" w:rsidRDefault="007A7ABA" w:rsidP="007A7ABA">
      <w:pPr>
        <w:pStyle w:val="ListParagraph"/>
        <w:numPr>
          <w:ilvl w:val="1"/>
          <w:numId w:val="6"/>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lastRenderedPageBreak/>
        <w:t>Seed an increasing number of cells in each well (0.1, 0.5, 1, 2, 3, 4 × 10</w:t>
      </w:r>
      <w:r w:rsidRPr="003A4AB7">
        <w:rPr>
          <w:color w:val="auto"/>
          <w:highlight w:val="yellow"/>
          <w:vertAlign w:val="superscript"/>
        </w:rPr>
        <w:t>4</w:t>
      </w:r>
      <w:r w:rsidRPr="003A4AB7">
        <w:rPr>
          <w:color w:val="auto"/>
          <w:highlight w:val="yellow"/>
        </w:rPr>
        <w:t xml:space="preserve">) into a black 96-well plate. </w:t>
      </w:r>
    </w:p>
    <w:p w:rsidR="007A7ABA" w:rsidRPr="003A4AB7" w:rsidRDefault="007A7ABA" w:rsidP="007A7ABA">
      <w:pPr>
        <w:pStyle w:val="ListParagraph"/>
        <w:numPr>
          <w:ilvl w:val="0"/>
          <w:numId w:val="0"/>
        </w:numPr>
        <w:spacing w:after="0" w:line="240" w:lineRule="auto"/>
        <w:rPr>
          <w:color w:val="auto"/>
          <w:highlight w:val="yellow"/>
        </w:rPr>
      </w:pP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r w:rsidRPr="003A4AB7">
        <w:rPr>
          <w:color w:val="auto"/>
        </w:rPr>
        <w:t xml:space="preserve">NOTE: Black 96-well plates are more suited for measuring luciferase levels as white or transparent plates will produce </w:t>
      </w:r>
      <w:proofErr w:type="spellStart"/>
      <w:r w:rsidRPr="003A4AB7">
        <w:rPr>
          <w:color w:val="auto"/>
        </w:rPr>
        <w:t>autoluminescence</w:t>
      </w:r>
      <w:proofErr w:type="spellEnd"/>
      <w:r w:rsidRPr="003A4AB7">
        <w:rPr>
          <w:color w:val="auto"/>
        </w:rPr>
        <w:t xml:space="preserve"> signals. As a control, use phosphate-buffered saline (PBS) alone in one well to ensure there is no </w:t>
      </w:r>
      <w:proofErr w:type="spellStart"/>
      <w:r w:rsidRPr="003A4AB7">
        <w:rPr>
          <w:color w:val="auto"/>
        </w:rPr>
        <w:t>autoluminescence</w:t>
      </w:r>
      <w:proofErr w:type="spellEnd"/>
      <w:r w:rsidRPr="003A4AB7">
        <w:rPr>
          <w:color w:val="auto"/>
        </w:rPr>
        <w:t xml:space="preserve"> from PBS.</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pStyle w:val="ListParagraph"/>
        <w:numPr>
          <w:ilvl w:val="1"/>
          <w:numId w:val="6"/>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Fill all the wells with 100 µL of DMEM and incubate for 16–24 h.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highlight w:val="yellow"/>
        </w:rPr>
      </w:pPr>
    </w:p>
    <w:p w:rsidR="007A7ABA" w:rsidRPr="003A4AB7" w:rsidRDefault="007A7ABA" w:rsidP="007A7ABA">
      <w:pPr>
        <w:pStyle w:val="ListParagraph"/>
        <w:numPr>
          <w:ilvl w:val="1"/>
          <w:numId w:val="6"/>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Prepare luciferin solution in PBS at a 1.5 mg/mL concentration. Aliquot and store this luciferin solution at -20 °C. </w:t>
      </w:r>
    </w:p>
    <w:p w:rsidR="007A7ABA" w:rsidRPr="003A4AB7" w:rsidRDefault="007A7ABA" w:rsidP="007A7ABA">
      <w:pPr>
        <w:pBdr>
          <w:top w:val="nil"/>
          <w:left w:val="nil"/>
          <w:bottom w:val="nil"/>
          <w:right w:val="nil"/>
          <w:between w:val="nil"/>
        </w:pBdr>
        <w:rPr>
          <w:rFonts w:asciiTheme="majorHAnsi" w:hAnsiTheme="majorHAnsi" w:cstheme="majorHAnsi"/>
          <w:highlight w:val="yellow"/>
        </w:rPr>
      </w:pPr>
    </w:p>
    <w:p w:rsidR="007A7ABA" w:rsidRPr="003A4AB7" w:rsidRDefault="007A7ABA" w:rsidP="007A7ABA">
      <w:pPr>
        <w:pStyle w:val="ListParagraph"/>
        <w:numPr>
          <w:ilvl w:val="1"/>
          <w:numId w:val="6"/>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Wash the cells once with PBS gently, add 100 µL of luciferin solution into each well, and wait for 2 min. Finally, measure the luciferase activity in all the breast cancer cells using bioluminescence. </w:t>
      </w:r>
    </w:p>
    <w:p w:rsidR="007A7ABA" w:rsidRPr="003A4AB7" w:rsidRDefault="007A7ABA" w:rsidP="007A7ABA">
      <w:pPr>
        <w:pStyle w:val="ListParagraph"/>
        <w:numPr>
          <w:ilvl w:val="0"/>
          <w:numId w:val="0"/>
        </w:numPr>
        <w:spacing w:after="0" w:line="240" w:lineRule="auto"/>
        <w:rPr>
          <w:color w:val="auto"/>
          <w:highlight w:val="yellow"/>
        </w:rPr>
      </w:pP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r w:rsidRPr="003A4AB7">
        <w:rPr>
          <w:color w:val="auto"/>
        </w:rPr>
        <w:t xml:space="preserve">NOTE: Examining </w:t>
      </w:r>
      <w:r w:rsidRPr="003A4AB7">
        <w:rPr>
          <w:i/>
          <w:color w:val="auto"/>
        </w:rPr>
        <w:t>in vitro</w:t>
      </w:r>
      <w:r w:rsidRPr="003A4AB7">
        <w:rPr>
          <w:color w:val="auto"/>
        </w:rPr>
        <w:t xml:space="preserve"> GFP and luciferase expression prior to animal experiments is crucial. Additionally, blank wells are used to subtract the background.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pStyle w:val="Heading3"/>
        <w:spacing w:before="0"/>
        <w:ind w:left="0" w:firstLine="0"/>
        <w:rPr>
          <w:color w:val="auto"/>
          <w:highlight w:val="yellow"/>
        </w:rPr>
      </w:pPr>
      <w:r w:rsidRPr="003A4AB7">
        <w:rPr>
          <w:color w:val="auto"/>
          <w:highlight w:val="yellow"/>
        </w:rPr>
        <w:t>Injecting mice with GFP</w:t>
      </w:r>
      <w:r w:rsidRPr="003A4AB7">
        <w:rPr>
          <w:color w:val="auto"/>
          <w:highlight w:val="yellow"/>
          <w:vertAlign w:val="superscript"/>
        </w:rPr>
        <w:t>+</w:t>
      </w:r>
      <w:r w:rsidRPr="003A4AB7">
        <w:rPr>
          <w:color w:val="auto"/>
          <w:highlight w:val="yellow"/>
        </w:rPr>
        <w:t xml:space="preserve"> Luc</w:t>
      </w:r>
      <w:r w:rsidRPr="003A4AB7">
        <w:rPr>
          <w:color w:val="auto"/>
          <w:highlight w:val="yellow"/>
          <w:vertAlign w:val="superscript"/>
        </w:rPr>
        <w:t>+</w:t>
      </w:r>
      <w:r w:rsidRPr="003A4AB7">
        <w:rPr>
          <w:color w:val="auto"/>
          <w:highlight w:val="yellow"/>
        </w:rPr>
        <w:t xml:space="preserve"> cells</w:t>
      </w:r>
    </w:p>
    <w:p w:rsidR="007A7ABA" w:rsidRPr="003A4AB7" w:rsidRDefault="007A7ABA" w:rsidP="007A7ABA">
      <w:pPr>
        <w:rPr>
          <w:rFonts w:asciiTheme="majorHAnsi" w:hAnsiTheme="majorHAnsi" w:cstheme="majorHAnsi"/>
          <w:highlight w:val="yellow"/>
        </w:rPr>
      </w:pPr>
    </w:p>
    <w:p w:rsidR="007A7ABA" w:rsidRPr="003A4AB7" w:rsidRDefault="007A7ABA" w:rsidP="007A7ABA">
      <w:pPr>
        <w:pStyle w:val="ListParagraph"/>
        <w:numPr>
          <w:ilvl w:val="1"/>
          <w:numId w:val="7"/>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Transfer 5 × 10</w:t>
      </w:r>
      <w:r w:rsidRPr="003A4AB7">
        <w:rPr>
          <w:color w:val="auto"/>
          <w:highlight w:val="yellow"/>
          <w:vertAlign w:val="superscript"/>
        </w:rPr>
        <w:t>6</w:t>
      </w:r>
      <w:r w:rsidRPr="003A4AB7">
        <w:rPr>
          <w:color w:val="auto"/>
          <w:highlight w:val="yellow"/>
        </w:rPr>
        <w:t xml:space="preserve"> (MCF7 and MDA-MB-468) or 2 × 10</w:t>
      </w:r>
      <w:r w:rsidRPr="003A4AB7">
        <w:rPr>
          <w:color w:val="auto"/>
          <w:highlight w:val="yellow"/>
          <w:vertAlign w:val="superscript"/>
        </w:rPr>
        <w:t>6</w:t>
      </w:r>
      <w:r w:rsidRPr="003A4AB7">
        <w:rPr>
          <w:color w:val="auto"/>
          <w:highlight w:val="yellow"/>
        </w:rPr>
        <w:t xml:space="preserve"> (MDA-MB-231) GFP</w:t>
      </w:r>
      <w:r w:rsidRPr="003A4AB7">
        <w:rPr>
          <w:color w:val="auto"/>
          <w:highlight w:val="yellow"/>
          <w:vertAlign w:val="superscript"/>
        </w:rPr>
        <w:t>+</w:t>
      </w:r>
      <w:r w:rsidRPr="003A4AB7">
        <w:rPr>
          <w:color w:val="auto"/>
          <w:highlight w:val="yellow"/>
        </w:rPr>
        <w:t xml:space="preserve"> Luc</w:t>
      </w:r>
      <w:r w:rsidRPr="003A4AB7">
        <w:rPr>
          <w:color w:val="auto"/>
          <w:highlight w:val="yellow"/>
          <w:vertAlign w:val="superscript"/>
        </w:rPr>
        <w:t>+</w:t>
      </w:r>
      <w:r w:rsidRPr="003A4AB7">
        <w:rPr>
          <w:color w:val="auto"/>
          <w:highlight w:val="yellow"/>
        </w:rPr>
        <w:t xml:space="preserve"> cells into 200 µL or 100 µL PBS, respectively.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highlight w:val="yellow"/>
        </w:rPr>
      </w:pPr>
    </w:p>
    <w:p w:rsidR="007A7ABA" w:rsidRPr="003A4AB7" w:rsidRDefault="007A7ABA" w:rsidP="007A7ABA">
      <w:pPr>
        <w:pStyle w:val="ListParagraph"/>
        <w:numPr>
          <w:ilvl w:val="1"/>
          <w:numId w:val="7"/>
        </w:numPr>
        <w:pBdr>
          <w:top w:val="nil"/>
          <w:left w:val="nil"/>
          <w:bottom w:val="nil"/>
          <w:right w:val="nil"/>
          <w:between w:val="nil"/>
        </w:pBdr>
        <w:spacing w:after="0" w:line="240" w:lineRule="auto"/>
        <w:ind w:left="0" w:firstLine="0"/>
        <w:rPr>
          <w:color w:val="auto"/>
        </w:rPr>
      </w:pPr>
      <w:r w:rsidRPr="003A4AB7">
        <w:rPr>
          <w:color w:val="auto"/>
        </w:rPr>
        <w:t xml:space="preserve">Before injection, clean the sterile biological hood with 5% disinfectant solution (see the </w:t>
      </w:r>
      <w:r w:rsidRPr="003A4AB7">
        <w:rPr>
          <w:b/>
          <w:bCs/>
          <w:color w:val="auto"/>
        </w:rPr>
        <w:t>Table of Materials</w:t>
      </w:r>
      <w:r w:rsidRPr="003A4AB7">
        <w:rPr>
          <w:color w:val="auto"/>
        </w:rPr>
        <w:t xml:space="preserve">). Then, anesthetize the mice with filtered (0.2 µm) air containing 4% isoflurane at an airflow rate of 1 L/min for 2−3 min. </w:t>
      </w:r>
    </w:p>
    <w:p w:rsidR="007A7ABA" w:rsidRPr="003A4AB7" w:rsidRDefault="007A7ABA" w:rsidP="007A7ABA">
      <w:pPr>
        <w:pStyle w:val="ListParagraph"/>
        <w:numPr>
          <w:ilvl w:val="0"/>
          <w:numId w:val="0"/>
        </w:numPr>
        <w:spacing w:after="0" w:line="240" w:lineRule="auto"/>
        <w:rPr>
          <w:color w:val="auto"/>
          <w:highlight w:val="yellow"/>
        </w:rPr>
      </w:pP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r w:rsidRPr="003A4AB7">
        <w:rPr>
          <w:color w:val="auto"/>
        </w:rPr>
        <w:t>NOTE: It is essential to confirm proper anesthetization; pinch the mouse's toe and look for any response.</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widowControl/>
        <w:numPr>
          <w:ilvl w:val="1"/>
          <w:numId w:val="7"/>
        </w:numPr>
        <w:pBdr>
          <w:top w:val="nil"/>
          <w:left w:val="nil"/>
          <w:bottom w:val="nil"/>
          <w:right w:val="nil"/>
          <w:between w:val="nil"/>
        </w:pBdr>
        <w:ind w:left="0" w:firstLine="0"/>
        <w:rPr>
          <w:rFonts w:asciiTheme="majorHAnsi" w:hAnsiTheme="majorHAnsi" w:cstheme="majorHAnsi"/>
        </w:rPr>
      </w:pPr>
      <w:r w:rsidRPr="003A4AB7">
        <w:rPr>
          <w:rFonts w:asciiTheme="majorHAnsi" w:hAnsiTheme="majorHAnsi" w:cstheme="majorHAnsi"/>
          <w:highlight w:val="yellow"/>
        </w:rPr>
        <w:t xml:space="preserve">Place a cone over the anesthetized mouse head in a supine position. </w:t>
      </w:r>
      <w:r w:rsidRPr="003A4AB7">
        <w:rPr>
          <w:rFonts w:asciiTheme="majorHAnsi" w:hAnsiTheme="majorHAnsi" w:cstheme="majorHAnsi"/>
        </w:rPr>
        <w:t>Apply vet ointment to its eyes to prevent dryness while under anesthesia.</w:t>
      </w:r>
    </w:p>
    <w:p w:rsidR="007A7ABA" w:rsidRPr="003A4AB7" w:rsidRDefault="007A7ABA" w:rsidP="007A7ABA">
      <w:pPr>
        <w:widowControl/>
        <w:pBdr>
          <w:top w:val="nil"/>
          <w:left w:val="nil"/>
          <w:bottom w:val="nil"/>
          <w:right w:val="nil"/>
          <w:between w:val="nil"/>
        </w:pBdr>
        <w:rPr>
          <w:rFonts w:asciiTheme="majorHAnsi" w:hAnsiTheme="majorHAnsi" w:cstheme="majorHAnsi"/>
          <w:highlight w:val="yellow"/>
        </w:rPr>
      </w:pPr>
    </w:p>
    <w:p w:rsidR="007A7ABA" w:rsidRPr="003A4AB7" w:rsidRDefault="007A7ABA" w:rsidP="007A7ABA">
      <w:pPr>
        <w:widowControl/>
        <w:numPr>
          <w:ilvl w:val="1"/>
          <w:numId w:val="7"/>
        </w:numPr>
        <w:pBdr>
          <w:top w:val="nil"/>
          <w:left w:val="nil"/>
          <w:bottom w:val="nil"/>
          <w:right w:val="nil"/>
          <w:between w:val="nil"/>
        </w:pBdr>
        <w:ind w:left="0" w:firstLine="0"/>
        <w:rPr>
          <w:rFonts w:asciiTheme="majorHAnsi" w:hAnsiTheme="majorHAnsi" w:cstheme="majorHAnsi"/>
          <w:highlight w:val="yellow"/>
        </w:rPr>
      </w:pPr>
      <w:r w:rsidRPr="003A4AB7">
        <w:rPr>
          <w:rFonts w:asciiTheme="majorHAnsi" w:hAnsiTheme="majorHAnsi" w:cstheme="majorHAnsi"/>
          <w:highlight w:val="yellow"/>
        </w:rPr>
        <w:t>Wipe the abdominal area of the mouse, above the mammary gland, with ethanol using a cotton swab and lift the 4</w:t>
      </w:r>
      <w:r w:rsidRPr="003A4AB7">
        <w:rPr>
          <w:rFonts w:asciiTheme="majorHAnsi" w:hAnsiTheme="majorHAnsi" w:cstheme="majorHAnsi"/>
          <w:highlight w:val="yellow"/>
          <w:vertAlign w:val="superscript"/>
        </w:rPr>
        <w:t>th</w:t>
      </w:r>
      <w:r w:rsidRPr="003A4AB7">
        <w:rPr>
          <w:rFonts w:asciiTheme="majorHAnsi" w:hAnsiTheme="majorHAnsi" w:cstheme="majorHAnsi"/>
          <w:highlight w:val="yellow"/>
        </w:rPr>
        <w:t xml:space="preserve"> mammary gland with forceps. </w:t>
      </w:r>
    </w:p>
    <w:p w:rsidR="007A7ABA" w:rsidRPr="003A4AB7" w:rsidRDefault="007A7ABA" w:rsidP="007A7ABA">
      <w:pPr>
        <w:widowControl/>
        <w:pBdr>
          <w:top w:val="nil"/>
          <w:left w:val="nil"/>
          <w:bottom w:val="nil"/>
          <w:right w:val="nil"/>
          <w:between w:val="nil"/>
        </w:pBdr>
        <w:rPr>
          <w:rFonts w:asciiTheme="majorHAnsi" w:hAnsiTheme="majorHAnsi" w:cstheme="majorHAnsi"/>
          <w:highlight w:val="yellow"/>
        </w:rPr>
      </w:pPr>
    </w:p>
    <w:p w:rsidR="007A7ABA" w:rsidRPr="003A4AB7" w:rsidRDefault="007A7ABA" w:rsidP="007A7ABA">
      <w:pPr>
        <w:widowControl/>
        <w:numPr>
          <w:ilvl w:val="1"/>
          <w:numId w:val="7"/>
        </w:numPr>
        <w:pBdr>
          <w:top w:val="nil"/>
          <w:left w:val="nil"/>
          <w:bottom w:val="nil"/>
          <w:right w:val="nil"/>
          <w:between w:val="nil"/>
        </w:pBdr>
        <w:ind w:left="0" w:firstLine="0"/>
        <w:rPr>
          <w:rFonts w:asciiTheme="majorHAnsi" w:hAnsiTheme="majorHAnsi" w:cstheme="majorHAnsi"/>
          <w:highlight w:val="yellow"/>
        </w:rPr>
      </w:pPr>
      <w:r w:rsidRPr="003A4AB7">
        <w:rPr>
          <w:rFonts w:asciiTheme="majorHAnsi" w:hAnsiTheme="majorHAnsi" w:cstheme="majorHAnsi"/>
          <w:highlight w:val="yellow"/>
        </w:rPr>
        <w:t xml:space="preserve">Insert the needle 27 G x 3/4 (0.4 x 19 mm) under the fat pad and slowly inject 100 µL of the cell suspension. </w:t>
      </w:r>
    </w:p>
    <w:p w:rsidR="007A7ABA" w:rsidRPr="003A4AB7" w:rsidRDefault="007A7ABA" w:rsidP="007A7ABA">
      <w:pPr>
        <w:pStyle w:val="ListParagraph"/>
        <w:numPr>
          <w:ilvl w:val="0"/>
          <w:numId w:val="0"/>
        </w:numPr>
        <w:spacing w:after="0" w:line="240" w:lineRule="auto"/>
        <w:rPr>
          <w:color w:val="auto"/>
          <w:highlight w:val="yellow"/>
        </w:rPr>
      </w:pPr>
    </w:p>
    <w:p w:rsidR="007A7ABA" w:rsidRPr="003A4AB7" w:rsidRDefault="007A7ABA" w:rsidP="007A7ABA">
      <w:pPr>
        <w:widowControl/>
        <w:pBdr>
          <w:top w:val="nil"/>
          <w:left w:val="nil"/>
          <w:bottom w:val="nil"/>
          <w:right w:val="nil"/>
          <w:between w:val="nil"/>
        </w:pBdr>
        <w:rPr>
          <w:rFonts w:asciiTheme="majorHAnsi" w:hAnsiTheme="majorHAnsi" w:cstheme="majorHAnsi"/>
        </w:rPr>
      </w:pPr>
      <w:r w:rsidRPr="003A4AB7">
        <w:rPr>
          <w:rFonts w:asciiTheme="majorHAnsi" w:hAnsiTheme="majorHAnsi" w:cstheme="majorHAnsi"/>
        </w:rPr>
        <w:t>NOTE</w:t>
      </w:r>
      <w:r w:rsidRPr="003A4AB7">
        <w:rPr>
          <w:rFonts w:asciiTheme="majorHAnsi" w:hAnsiTheme="majorHAnsi" w:cstheme="majorHAnsi"/>
          <w:b/>
        </w:rPr>
        <w:t>:</w:t>
      </w:r>
      <w:r w:rsidRPr="003A4AB7">
        <w:rPr>
          <w:rFonts w:asciiTheme="majorHAnsi" w:hAnsiTheme="majorHAnsi" w:cstheme="majorHAnsi"/>
        </w:rPr>
        <w:t xml:space="preserve"> A round bulge will appear under the skin. In addition, an improper injection may lead to deviation in the tumor growth rate or absence of tumor in the same experimental group.</w:t>
      </w:r>
    </w:p>
    <w:p w:rsidR="007A7ABA" w:rsidRPr="003A4AB7" w:rsidRDefault="007A7ABA" w:rsidP="007A7ABA">
      <w:pPr>
        <w:widowControl/>
        <w:pBdr>
          <w:top w:val="nil"/>
          <w:left w:val="nil"/>
          <w:bottom w:val="nil"/>
          <w:right w:val="nil"/>
          <w:between w:val="nil"/>
        </w:pBdr>
        <w:rPr>
          <w:rFonts w:asciiTheme="majorHAnsi" w:hAnsiTheme="majorHAnsi" w:cstheme="majorHAnsi"/>
          <w:highlight w:val="yellow"/>
        </w:rPr>
      </w:pPr>
    </w:p>
    <w:p w:rsidR="007A7ABA" w:rsidRPr="003A4AB7" w:rsidRDefault="007A7ABA" w:rsidP="007A7ABA">
      <w:pPr>
        <w:pStyle w:val="ListParagraph"/>
        <w:numPr>
          <w:ilvl w:val="1"/>
          <w:numId w:val="7"/>
        </w:numPr>
        <w:spacing w:after="0" w:line="240" w:lineRule="auto"/>
        <w:ind w:left="0" w:firstLine="0"/>
        <w:rPr>
          <w:color w:val="auto"/>
          <w:highlight w:val="yellow"/>
        </w:rPr>
      </w:pPr>
      <w:r w:rsidRPr="003A4AB7">
        <w:rPr>
          <w:color w:val="auto"/>
          <w:highlight w:val="yellow"/>
        </w:rPr>
        <w:t xml:space="preserve">After the injection procedure, take the mice out of the hood and transfer them to a new cage. Monitor the mice until they return to consciousness. </w:t>
      </w:r>
    </w:p>
    <w:p w:rsidR="007A7ABA" w:rsidRPr="003A4AB7" w:rsidRDefault="007A7ABA" w:rsidP="007A7ABA">
      <w:pPr>
        <w:pStyle w:val="ListParagraph"/>
        <w:numPr>
          <w:ilvl w:val="0"/>
          <w:numId w:val="0"/>
        </w:numPr>
        <w:spacing w:after="0" w:line="240" w:lineRule="auto"/>
        <w:rPr>
          <w:color w:val="auto"/>
          <w:highlight w:val="yellow"/>
        </w:rPr>
      </w:pPr>
    </w:p>
    <w:p w:rsidR="007A7ABA" w:rsidRPr="003A4AB7" w:rsidRDefault="007A7ABA" w:rsidP="007A7ABA">
      <w:pPr>
        <w:pStyle w:val="ListParagraph"/>
        <w:numPr>
          <w:ilvl w:val="0"/>
          <w:numId w:val="0"/>
        </w:numPr>
        <w:spacing w:after="0" w:line="240" w:lineRule="auto"/>
        <w:rPr>
          <w:color w:val="auto"/>
        </w:rPr>
      </w:pPr>
      <w:r w:rsidRPr="003A4AB7">
        <w:rPr>
          <w:color w:val="auto"/>
        </w:rPr>
        <w:t xml:space="preserve">NOTE: Ensure that all the used needles and syringes are discarded in the sharps box.   </w:t>
      </w:r>
    </w:p>
    <w:p w:rsidR="007A7ABA" w:rsidRPr="003A4AB7" w:rsidRDefault="007A7ABA" w:rsidP="007A7ABA">
      <w:pPr>
        <w:pStyle w:val="ListParagraph"/>
        <w:numPr>
          <w:ilvl w:val="0"/>
          <w:numId w:val="0"/>
        </w:numPr>
        <w:spacing w:after="0" w:line="240" w:lineRule="auto"/>
        <w:rPr>
          <w:color w:val="auto"/>
        </w:rPr>
      </w:pPr>
    </w:p>
    <w:p w:rsidR="007A7ABA" w:rsidRPr="003A4AB7" w:rsidRDefault="007A7ABA" w:rsidP="007A7ABA">
      <w:pPr>
        <w:pStyle w:val="Heading3"/>
        <w:spacing w:before="0"/>
        <w:ind w:left="0" w:firstLine="0"/>
        <w:rPr>
          <w:color w:val="auto"/>
          <w:highlight w:val="yellow"/>
        </w:rPr>
      </w:pPr>
      <w:r w:rsidRPr="003A4AB7">
        <w:rPr>
          <w:color w:val="auto"/>
          <w:highlight w:val="yellow"/>
        </w:rPr>
        <w:t>Measuring the luciferase levels in GFP</w:t>
      </w:r>
      <w:r w:rsidRPr="003A4AB7">
        <w:rPr>
          <w:color w:val="auto"/>
          <w:highlight w:val="yellow"/>
          <w:vertAlign w:val="superscript"/>
        </w:rPr>
        <w:t>+</w:t>
      </w:r>
      <w:r w:rsidRPr="003A4AB7">
        <w:rPr>
          <w:color w:val="auto"/>
          <w:highlight w:val="yellow"/>
        </w:rPr>
        <w:t xml:space="preserve"> Luc</w:t>
      </w:r>
      <w:r w:rsidRPr="003A4AB7">
        <w:rPr>
          <w:color w:val="auto"/>
          <w:highlight w:val="yellow"/>
          <w:vertAlign w:val="superscript"/>
        </w:rPr>
        <w:t>+</w:t>
      </w:r>
      <w:r w:rsidRPr="003A4AB7">
        <w:rPr>
          <w:color w:val="auto"/>
          <w:highlight w:val="yellow"/>
        </w:rPr>
        <w:t xml:space="preserve"> mice</w:t>
      </w:r>
    </w:p>
    <w:p w:rsidR="007A7ABA" w:rsidRPr="003A4AB7" w:rsidRDefault="007A7ABA" w:rsidP="007A7ABA">
      <w:pPr>
        <w:rPr>
          <w:rFonts w:asciiTheme="majorHAnsi" w:hAnsiTheme="majorHAnsi" w:cstheme="majorHAnsi"/>
          <w:highlight w:val="yellow"/>
        </w:rPr>
      </w:pPr>
    </w:p>
    <w:p w:rsidR="007A7ABA" w:rsidRPr="003A4AB7" w:rsidRDefault="007A7ABA" w:rsidP="007A7ABA">
      <w:pPr>
        <w:pStyle w:val="ListParagraph"/>
        <w:numPr>
          <w:ilvl w:val="1"/>
          <w:numId w:val="8"/>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Before the bioluminescence detection, restrain the conscious mouse by holding its neck with the left hand. Then, tilt the hand to the left, resulting in the mouse face upward with the lower body in a supine position.</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highlight w:val="yellow"/>
        </w:rPr>
      </w:pPr>
    </w:p>
    <w:p w:rsidR="007A7ABA" w:rsidRPr="003A4AB7" w:rsidRDefault="007A7ABA" w:rsidP="007A7ABA">
      <w:pPr>
        <w:pStyle w:val="ListParagraph"/>
        <w:numPr>
          <w:ilvl w:val="1"/>
          <w:numId w:val="8"/>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Inject 100 µL of luciferin (30 mg/mL) </w:t>
      </w:r>
      <w:proofErr w:type="spellStart"/>
      <w:r w:rsidRPr="003A4AB7">
        <w:rPr>
          <w:color w:val="auto"/>
          <w:highlight w:val="yellow"/>
        </w:rPr>
        <w:t>intraperitoneally</w:t>
      </w:r>
      <w:proofErr w:type="spellEnd"/>
      <w:r w:rsidRPr="003A4AB7">
        <w:rPr>
          <w:color w:val="auto"/>
          <w:highlight w:val="yellow"/>
        </w:rPr>
        <w:t xml:space="preserve"> (</w:t>
      </w:r>
      <w:proofErr w:type="spellStart"/>
      <w:r w:rsidRPr="003A4AB7">
        <w:rPr>
          <w:color w:val="auto"/>
          <w:highlight w:val="yellow"/>
        </w:rPr>
        <w:t>i.p</w:t>
      </w:r>
      <w:proofErr w:type="spellEnd"/>
      <w:r w:rsidRPr="003A4AB7">
        <w:rPr>
          <w:color w:val="auto"/>
          <w:highlight w:val="yellow"/>
        </w:rPr>
        <w:t>.) into the abdominal surface of the mouse in the lower</w:t>
      </w:r>
      <w:r>
        <w:rPr>
          <w:color w:val="auto"/>
          <w:highlight w:val="yellow"/>
        </w:rPr>
        <w:t>-</w:t>
      </w:r>
      <w:r w:rsidRPr="003A4AB7">
        <w:rPr>
          <w:color w:val="auto"/>
          <w:highlight w:val="yellow"/>
        </w:rPr>
        <w:t xml:space="preserve">left abdominal quadrant using a 1.0 mL syringe with needle size 27 G x 3/4 (0.4 x 19 mm). </w:t>
      </w:r>
    </w:p>
    <w:p w:rsidR="007A7ABA" w:rsidRPr="003A4AB7" w:rsidRDefault="007A7ABA" w:rsidP="007A7ABA">
      <w:pPr>
        <w:pStyle w:val="ListParagraph"/>
        <w:numPr>
          <w:ilvl w:val="0"/>
          <w:numId w:val="0"/>
        </w:numPr>
        <w:spacing w:after="0" w:line="240" w:lineRule="auto"/>
        <w:rPr>
          <w:color w:val="auto"/>
          <w:highlight w:val="yellow"/>
        </w:rPr>
      </w:pP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r w:rsidRPr="003A4AB7">
        <w:rPr>
          <w:color w:val="auto"/>
        </w:rPr>
        <w:t xml:space="preserve">NOTE: The tip of the needle should not be inserted more than 3–5 mm from the abdominal wall, as it might penetrate visceral organs. Additionally, it is recommended to perform </w:t>
      </w:r>
      <w:proofErr w:type="spellStart"/>
      <w:r w:rsidRPr="003A4AB7">
        <w:rPr>
          <w:color w:val="auto"/>
        </w:rPr>
        <w:t>i.p</w:t>
      </w:r>
      <w:proofErr w:type="spellEnd"/>
      <w:r w:rsidRPr="003A4AB7">
        <w:rPr>
          <w:color w:val="auto"/>
        </w:rPr>
        <w:t xml:space="preserve">. injection without anesthesia as luciferin distribution in the body of anesthetized mice is slower than in conscious mice. Thus, monitoring luciferase levels in conscious mice is a faster procedure.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pStyle w:val="ListParagraph"/>
        <w:numPr>
          <w:ilvl w:val="1"/>
          <w:numId w:val="8"/>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Keep the mouse for 7 min without anesthesia followed by 3 min within the anesthesia chamber before measuring the tumor kinetics.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highlight w:val="yellow"/>
        </w:rPr>
      </w:pP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r w:rsidRPr="003A4AB7">
        <w:rPr>
          <w:color w:val="auto"/>
        </w:rPr>
        <w:t xml:space="preserve">NOTE: The incubation time varies between the different experiments, cell lines, and species to species. Thus, it is recommended to calibrate the incubation time before starting the experiments.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p>
    <w:p w:rsidR="007A7ABA" w:rsidRPr="003A4AB7" w:rsidRDefault="007A7ABA" w:rsidP="007A7ABA">
      <w:pPr>
        <w:pStyle w:val="ListParagraph"/>
        <w:numPr>
          <w:ilvl w:val="1"/>
          <w:numId w:val="8"/>
        </w:numPr>
        <w:pBdr>
          <w:top w:val="nil"/>
          <w:left w:val="nil"/>
          <w:bottom w:val="nil"/>
          <w:right w:val="nil"/>
          <w:between w:val="nil"/>
        </w:pBdr>
        <w:spacing w:after="0" w:line="240" w:lineRule="auto"/>
        <w:ind w:left="0" w:firstLine="0"/>
        <w:rPr>
          <w:color w:val="auto"/>
        </w:rPr>
      </w:pPr>
      <w:r w:rsidRPr="003A4AB7">
        <w:rPr>
          <w:color w:val="auto"/>
        </w:rPr>
        <w:t xml:space="preserve">Anesthetize the mice as described in steps 5.2–5.3.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highlight w:val="yellow"/>
        </w:rPr>
      </w:pPr>
    </w:p>
    <w:p w:rsidR="007A7ABA" w:rsidRPr="003A4AB7" w:rsidRDefault="007A7ABA" w:rsidP="00F426CE">
      <w:pPr>
        <w:pStyle w:val="ListParagraph"/>
        <w:numPr>
          <w:ilvl w:val="1"/>
          <w:numId w:val="8"/>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Open the software (</w:t>
      </w:r>
      <w:r w:rsidRPr="003A4AB7">
        <w:rPr>
          <w:b/>
          <w:bCs/>
          <w:color w:val="auto"/>
        </w:rPr>
        <w:t>Table of Materials</w:t>
      </w:r>
      <w:r w:rsidRPr="003A4AB7">
        <w:rPr>
          <w:color w:val="auto"/>
          <w:highlight w:val="yellow"/>
        </w:rPr>
        <w:t xml:space="preserve">) during the incubation, initialize the imaging system, and click the </w:t>
      </w:r>
      <w:r w:rsidRPr="003A4AB7">
        <w:rPr>
          <w:b/>
          <w:bCs/>
          <w:color w:val="auto"/>
          <w:highlight w:val="yellow"/>
        </w:rPr>
        <w:t>Initialize</w:t>
      </w:r>
      <w:r w:rsidRPr="003A4AB7">
        <w:rPr>
          <w:color w:val="auto"/>
          <w:highlight w:val="yellow"/>
        </w:rPr>
        <w:t xml:space="preserve"> button.</w:t>
      </w:r>
      <w:r>
        <w:rPr>
          <w:color w:val="auto"/>
          <w:highlight w:val="yellow"/>
        </w:rPr>
        <w:t xml:space="preserve"> </w:t>
      </w:r>
      <w:r>
        <w:rPr>
          <w:color w:val="auto"/>
        </w:rPr>
        <w:t xml:space="preserve"> </w:t>
      </w:r>
      <w:r w:rsidRPr="007A7ABA">
        <w:rPr>
          <w:color w:val="FF0000"/>
        </w:rPr>
        <w:t>00:</w:t>
      </w:r>
      <w:r>
        <w:rPr>
          <w:color w:val="FF0000"/>
        </w:rPr>
        <w:t>0</w:t>
      </w:r>
      <w:r w:rsidR="00F426CE">
        <w:rPr>
          <w:color w:val="FF0000"/>
        </w:rPr>
        <w:t>0</w:t>
      </w:r>
      <w:r>
        <w:rPr>
          <w:color w:val="FF0000"/>
        </w:rPr>
        <w:t>-</w:t>
      </w:r>
      <w:r w:rsidR="00F426CE">
        <w:rPr>
          <w:color w:val="FF0000"/>
        </w:rPr>
        <w:t>04:17</w:t>
      </w:r>
      <w:r w:rsidRPr="007A7ABA">
        <w:rPr>
          <w:color w:val="FF0000"/>
        </w:rPr>
        <w:t xml:space="preserve"> </w:t>
      </w:r>
    </w:p>
    <w:p w:rsidR="007A7ABA" w:rsidRPr="003A4AB7" w:rsidRDefault="007A7ABA" w:rsidP="007A7ABA">
      <w:pPr>
        <w:pStyle w:val="ListParagraph"/>
        <w:numPr>
          <w:ilvl w:val="0"/>
          <w:numId w:val="0"/>
        </w:numPr>
        <w:spacing w:after="0" w:line="240" w:lineRule="auto"/>
        <w:rPr>
          <w:color w:val="auto"/>
          <w:highlight w:val="yellow"/>
        </w:rPr>
      </w:pP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r w:rsidRPr="003A4AB7">
        <w:rPr>
          <w:color w:val="auto"/>
        </w:rPr>
        <w:t xml:space="preserve">NOTE: Be aware that </w:t>
      </w:r>
      <w:r>
        <w:rPr>
          <w:color w:val="auto"/>
        </w:rPr>
        <w:t xml:space="preserve">the camera </w:t>
      </w:r>
      <w:r w:rsidRPr="003A4AB7">
        <w:rPr>
          <w:color w:val="auto"/>
        </w:rPr>
        <w:t>will take ~10 min to cool down and reach -90 °C. Additionally, as background control, measure the luciferase levels in naïve mice (</w:t>
      </w:r>
      <w:r w:rsidRPr="003A4AB7">
        <w:rPr>
          <w:i/>
          <w:iCs/>
          <w:color w:val="auto"/>
        </w:rPr>
        <w:t>i.e.,</w:t>
      </w:r>
      <w:r w:rsidRPr="003A4AB7">
        <w:rPr>
          <w:color w:val="auto"/>
        </w:rPr>
        <w:t xml:space="preserve"> GFP</w:t>
      </w:r>
      <w:r w:rsidRPr="003A4AB7">
        <w:rPr>
          <w:color w:val="auto"/>
          <w:vertAlign w:val="superscript"/>
        </w:rPr>
        <w:t>+</w:t>
      </w:r>
      <w:r w:rsidRPr="003A4AB7">
        <w:rPr>
          <w:color w:val="auto"/>
        </w:rPr>
        <w:t xml:space="preserve"> mice injected with cells that do not express the luciferase gene).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highlight w:val="yellow"/>
        </w:rPr>
      </w:pPr>
    </w:p>
    <w:p w:rsidR="007A7ABA" w:rsidRPr="003A4AB7" w:rsidRDefault="007A7ABA" w:rsidP="007A7ABA">
      <w:pPr>
        <w:pStyle w:val="ListParagraph"/>
        <w:numPr>
          <w:ilvl w:val="1"/>
          <w:numId w:val="8"/>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Keep the setup in auto exposure using the following settings: exposure time auto, 60 s; Binning Medium, F/Stop 1; Excitation filter blocked; Emission filter open. When </w:t>
      </w:r>
      <w:r>
        <w:rPr>
          <w:b/>
          <w:bCs/>
          <w:color w:val="auto"/>
          <w:highlight w:val="yellow"/>
        </w:rPr>
        <w:t>I</w:t>
      </w:r>
      <w:r w:rsidRPr="003A4AB7">
        <w:rPr>
          <w:b/>
          <w:bCs/>
          <w:color w:val="auto"/>
          <w:highlight w:val="yellow"/>
        </w:rPr>
        <w:t>nitialization</w:t>
      </w:r>
      <w:r w:rsidRPr="003A4AB7">
        <w:rPr>
          <w:color w:val="auto"/>
          <w:highlight w:val="yellow"/>
        </w:rPr>
        <w:t xml:space="preserve"> ends, select </w:t>
      </w:r>
      <w:r>
        <w:rPr>
          <w:b/>
          <w:bCs/>
          <w:color w:val="auto"/>
          <w:highlight w:val="yellow"/>
        </w:rPr>
        <w:t>I</w:t>
      </w:r>
      <w:r w:rsidRPr="003A4AB7">
        <w:rPr>
          <w:b/>
          <w:bCs/>
          <w:color w:val="auto"/>
          <w:highlight w:val="yellow"/>
        </w:rPr>
        <w:t xml:space="preserve">maging </w:t>
      </w:r>
      <w:r>
        <w:rPr>
          <w:b/>
          <w:bCs/>
          <w:color w:val="auto"/>
          <w:highlight w:val="yellow"/>
        </w:rPr>
        <w:t>W</w:t>
      </w:r>
      <w:r w:rsidRPr="003A4AB7">
        <w:rPr>
          <w:b/>
          <w:bCs/>
          <w:color w:val="auto"/>
          <w:highlight w:val="yellow"/>
        </w:rPr>
        <w:t>izard</w:t>
      </w:r>
      <w:r w:rsidRPr="003A4AB7">
        <w:rPr>
          <w:color w:val="auto"/>
          <w:highlight w:val="yellow"/>
        </w:rPr>
        <w:t xml:space="preserve"> | </w:t>
      </w:r>
      <w:r w:rsidRPr="003A4AB7">
        <w:rPr>
          <w:b/>
          <w:bCs/>
          <w:color w:val="auto"/>
          <w:highlight w:val="yellow"/>
        </w:rPr>
        <w:t>Bioluminescence</w:t>
      </w:r>
      <w:r w:rsidRPr="003A4AB7">
        <w:rPr>
          <w:color w:val="auto"/>
          <w:highlight w:val="yellow"/>
        </w:rPr>
        <w:t xml:space="preserve"> and then click </w:t>
      </w:r>
      <w:r w:rsidRPr="003A4AB7">
        <w:rPr>
          <w:b/>
          <w:bCs/>
          <w:color w:val="auto"/>
          <w:highlight w:val="yellow"/>
        </w:rPr>
        <w:t xml:space="preserve">Next | </w:t>
      </w:r>
      <w:r>
        <w:rPr>
          <w:b/>
          <w:bCs/>
          <w:color w:val="auto"/>
          <w:highlight w:val="yellow"/>
        </w:rPr>
        <w:t>O</w:t>
      </w:r>
      <w:r w:rsidRPr="003A4AB7">
        <w:rPr>
          <w:b/>
          <w:bCs/>
          <w:color w:val="auto"/>
          <w:highlight w:val="yellow"/>
        </w:rPr>
        <w:t xml:space="preserve">pen </w:t>
      </w:r>
      <w:r>
        <w:rPr>
          <w:b/>
          <w:bCs/>
          <w:color w:val="auto"/>
          <w:highlight w:val="yellow"/>
        </w:rPr>
        <w:t>F</w:t>
      </w:r>
      <w:r w:rsidRPr="003A4AB7">
        <w:rPr>
          <w:b/>
          <w:bCs/>
          <w:color w:val="auto"/>
          <w:highlight w:val="yellow"/>
        </w:rPr>
        <w:t xml:space="preserve">ilter </w:t>
      </w:r>
      <w:r w:rsidRPr="003A4AB7">
        <w:rPr>
          <w:color w:val="auto"/>
          <w:highlight w:val="yellow"/>
        </w:rPr>
        <w:t xml:space="preserve">| select </w:t>
      </w:r>
      <w:r>
        <w:rPr>
          <w:b/>
          <w:bCs/>
          <w:color w:val="auto"/>
          <w:highlight w:val="yellow"/>
        </w:rPr>
        <w:t>M</w:t>
      </w:r>
      <w:r w:rsidRPr="003A4AB7">
        <w:rPr>
          <w:b/>
          <w:bCs/>
          <w:color w:val="auto"/>
          <w:highlight w:val="yellow"/>
        </w:rPr>
        <w:t>ouse</w:t>
      </w:r>
      <w:r w:rsidRPr="003A4AB7">
        <w:rPr>
          <w:color w:val="auto"/>
          <w:highlight w:val="yellow"/>
        </w:rPr>
        <w:t xml:space="preserve"> in the image subject.</w:t>
      </w:r>
      <w:r>
        <w:rPr>
          <w:color w:val="auto"/>
          <w:highlight w:val="yellow"/>
        </w:rPr>
        <w:t xml:space="preserve"> </w:t>
      </w:r>
      <w:r w:rsidRPr="00D8021C">
        <w:rPr>
          <w:color w:val="FF0000"/>
        </w:rPr>
        <w:t>04</w:t>
      </w:r>
      <w:r w:rsidR="00F426CE">
        <w:rPr>
          <w:color w:val="FF0000"/>
        </w:rPr>
        <w:t>:18 – 04:</w:t>
      </w:r>
      <w:r w:rsidR="00D8021C" w:rsidRPr="00D8021C">
        <w:rPr>
          <w:color w:val="FF0000"/>
        </w:rPr>
        <w:t>28</w:t>
      </w:r>
    </w:p>
    <w:p w:rsidR="007A7ABA" w:rsidRPr="003A4AB7" w:rsidRDefault="007A7ABA" w:rsidP="007A7ABA">
      <w:pPr>
        <w:pBdr>
          <w:top w:val="nil"/>
          <w:left w:val="nil"/>
          <w:bottom w:val="nil"/>
          <w:right w:val="nil"/>
          <w:between w:val="nil"/>
        </w:pBdr>
        <w:rPr>
          <w:rFonts w:asciiTheme="majorHAnsi" w:hAnsiTheme="majorHAnsi" w:cstheme="majorHAnsi"/>
          <w:highlight w:val="yellow"/>
        </w:rPr>
      </w:pPr>
    </w:p>
    <w:p w:rsidR="007A7ABA" w:rsidRPr="003A4AB7" w:rsidRDefault="007A7ABA" w:rsidP="007A7ABA">
      <w:pPr>
        <w:pStyle w:val="ListParagraph"/>
        <w:numPr>
          <w:ilvl w:val="1"/>
          <w:numId w:val="8"/>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In </w:t>
      </w:r>
      <w:r>
        <w:rPr>
          <w:b/>
          <w:bCs/>
          <w:color w:val="auto"/>
          <w:highlight w:val="yellow"/>
        </w:rPr>
        <w:t>F</w:t>
      </w:r>
      <w:r w:rsidRPr="003A4AB7">
        <w:rPr>
          <w:b/>
          <w:bCs/>
          <w:color w:val="auto"/>
          <w:highlight w:val="yellow"/>
        </w:rPr>
        <w:t xml:space="preserve">ield </w:t>
      </w:r>
      <w:r>
        <w:rPr>
          <w:b/>
          <w:bCs/>
          <w:color w:val="auto"/>
          <w:highlight w:val="yellow"/>
        </w:rPr>
        <w:t>V</w:t>
      </w:r>
      <w:r w:rsidRPr="003A4AB7">
        <w:rPr>
          <w:b/>
          <w:bCs/>
          <w:color w:val="auto"/>
          <w:highlight w:val="yellow"/>
        </w:rPr>
        <w:t>iew</w:t>
      </w:r>
      <w:r w:rsidRPr="003A4AB7">
        <w:rPr>
          <w:color w:val="auto"/>
          <w:highlight w:val="yellow"/>
        </w:rPr>
        <w:t xml:space="preserve">, select stage </w:t>
      </w:r>
      <w:r w:rsidRPr="003A4AB7">
        <w:rPr>
          <w:b/>
          <w:bCs/>
          <w:color w:val="auto"/>
          <w:highlight w:val="yellow"/>
        </w:rPr>
        <w:t>C</w:t>
      </w:r>
      <w:r w:rsidRPr="003A4AB7">
        <w:rPr>
          <w:color w:val="auto"/>
          <w:highlight w:val="yellow"/>
        </w:rPr>
        <w:t xml:space="preserve"> (10 cm) and </w:t>
      </w:r>
      <w:r>
        <w:rPr>
          <w:b/>
          <w:bCs/>
          <w:color w:val="auto"/>
          <w:highlight w:val="yellow"/>
        </w:rPr>
        <w:t>S</w:t>
      </w:r>
      <w:r w:rsidRPr="003A4AB7">
        <w:rPr>
          <w:b/>
          <w:bCs/>
          <w:color w:val="auto"/>
          <w:highlight w:val="yellow"/>
        </w:rPr>
        <w:t xml:space="preserve">ubject </w:t>
      </w:r>
      <w:r>
        <w:rPr>
          <w:b/>
          <w:bCs/>
          <w:color w:val="auto"/>
          <w:highlight w:val="yellow"/>
        </w:rPr>
        <w:t>H</w:t>
      </w:r>
      <w:r w:rsidRPr="003A4AB7">
        <w:rPr>
          <w:b/>
          <w:bCs/>
          <w:color w:val="auto"/>
          <w:highlight w:val="yellow"/>
        </w:rPr>
        <w:t>eight</w:t>
      </w:r>
      <w:r w:rsidRPr="003A4AB7">
        <w:rPr>
          <w:color w:val="auto"/>
          <w:highlight w:val="yellow"/>
        </w:rPr>
        <w:t>: 1.50 cm.</w:t>
      </w:r>
      <w:r w:rsidR="00D8021C">
        <w:rPr>
          <w:color w:val="auto"/>
          <w:highlight w:val="yellow"/>
        </w:rPr>
        <w:t xml:space="preserve"> </w:t>
      </w:r>
      <w:r w:rsidR="00D8021C" w:rsidRPr="00D8021C">
        <w:rPr>
          <w:color w:val="FF0000"/>
        </w:rPr>
        <w:t>04</w:t>
      </w:r>
      <w:r w:rsidR="00F426CE">
        <w:rPr>
          <w:color w:val="FF0000"/>
        </w:rPr>
        <w:t>:</w:t>
      </w:r>
      <w:r w:rsidR="00D8021C" w:rsidRPr="00D8021C">
        <w:rPr>
          <w:color w:val="FF0000"/>
        </w:rPr>
        <w:t>30</w:t>
      </w:r>
      <w:r w:rsidR="00F426CE">
        <w:rPr>
          <w:color w:val="FF0000"/>
        </w:rPr>
        <w:t>-4</w:t>
      </w:r>
      <w:r w:rsidR="00D8021C" w:rsidRPr="00D8021C">
        <w:rPr>
          <w:color w:val="FF0000"/>
        </w:rPr>
        <w:t>:36</w:t>
      </w:r>
    </w:p>
    <w:p w:rsidR="007A7ABA" w:rsidRPr="003A4AB7" w:rsidRDefault="007A7ABA" w:rsidP="007A7ABA">
      <w:pPr>
        <w:pBdr>
          <w:top w:val="nil"/>
          <w:left w:val="nil"/>
          <w:bottom w:val="nil"/>
          <w:right w:val="nil"/>
          <w:between w:val="nil"/>
        </w:pBdr>
        <w:rPr>
          <w:rFonts w:asciiTheme="majorHAnsi" w:hAnsiTheme="majorHAnsi" w:cstheme="majorHAnsi"/>
          <w:highlight w:val="yellow"/>
        </w:rPr>
      </w:pPr>
    </w:p>
    <w:p w:rsidR="007A7ABA" w:rsidRPr="003A4AB7" w:rsidRDefault="007A7ABA" w:rsidP="00D8021C">
      <w:pPr>
        <w:pStyle w:val="ListParagraph"/>
        <w:numPr>
          <w:ilvl w:val="1"/>
          <w:numId w:val="8"/>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Click </w:t>
      </w:r>
      <w:r>
        <w:rPr>
          <w:b/>
          <w:bCs/>
          <w:color w:val="auto"/>
          <w:highlight w:val="yellow"/>
        </w:rPr>
        <w:t>I</w:t>
      </w:r>
      <w:r w:rsidRPr="003A4AB7">
        <w:rPr>
          <w:b/>
          <w:bCs/>
          <w:color w:val="auto"/>
          <w:highlight w:val="yellow"/>
        </w:rPr>
        <w:t xml:space="preserve">mage </w:t>
      </w:r>
      <w:r>
        <w:rPr>
          <w:b/>
          <w:bCs/>
          <w:color w:val="auto"/>
          <w:highlight w:val="yellow"/>
        </w:rPr>
        <w:t>S</w:t>
      </w:r>
      <w:r w:rsidRPr="003A4AB7">
        <w:rPr>
          <w:b/>
          <w:bCs/>
          <w:color w:val="auto"/>
          <w:highlight w:val="yellow"/>
        </w:rPr>
        <w:t xml:space="preserve">etup </w:t>
      </w:r>
      <w:r>
        <w:rPr>
          <w:b/>
          <w:bCs/>
          <w:color w:val="auto"/>
          <w:highlight w:val="yellow"/>
        </w:rPr>
        <w:t>S</w:t>
      </w:r>
      <w:r w:rsidRPr="003A4AB7">
        <w:rPr>
          <w:b/>
          <w:bCs/>
          <w:color w:val="auto"/>
          <w:highlight w:val="yellow"/>
        </w:rPr>
        <w:t>tage</w:t>
      </w:r>
      <w:r w:rsidRPr="003A4AB7">
        <w:rPr>
          <w:color w:val="auto"/>
          <w:highlight w:val="yellow"/>
        </w:rPr>
        <w:t xml:space="preserve"> to </w:t>
      </w:r>
      <w:r w:rsidRPr="003A4AB7">
        <w:rPr>
          <w:b/>
          <w:bCs/>
          <w:color w:val="auto"/>
          <w:highlight w:val="yellow"/>
        </w:rPr>
        <w:t>C</w:t>
      </w:r>
      <w:r w:rsidRPr="003A4AB7">
        <w:rPr>
          <w:color w:val="auto"/>
          <w:highlight w:val="yellow"/>
        </w:rPr>
        <w:t xml:space="preserve">, and before clicking the </w:t>
      </w:r>
      <w:r>
        <w:rPr>
          <w:b/>
          <w:bCs/>
          <w:color w:val="auto"/>
          <w:highlight w:val="yellow"/>
        </w:rPr>
        <w:t>A</w:t>
      </w:r>
      <w:r w:rsidRPr="003A4AB7">
        <w:rPr>
          <w:b/>
          <w:bCs/>
          <w:color w:val="auto"/>
          <w:highlight w:val="yellow"/>
        </w:rPr>
        <w:t>cquire</w:t>
      </w:r>
      <w:r w:rsidRPr="003A4AB7">
        <w:rPr>
          <w:color w:val="auto"/>
          <w:highlight w:val="yellow"/>
        </w:rPr>
        <w:t xml:space="preserve"> button, ensure that the mouse is placed on the stage in the proper supine position. </w:t>
      </w:r>
      <w:r w:rsidR="00D8021C">
        <w:rPr>
          <w:color w:val="auto"/>
          <w:highlight w:val="yellow"/>
        </w:rPr>
        <w:t xml:space="preserve"> </w:t>
      </w:r>
      <w:r w:rsidR="00D8021C" w:rsidRPr="00D8021C">
        <w:rPr>
          <w:color w:val="FF0000"/>
        </w:rPr>
        <w:t>04</w:t>
      </w:r>
      <w:r w:rsidR="00F426CE">
        <w:rPr>
          <w:color w:val="FF0000"/>
        </w:rPr>
        <w:t>:</w:t>
      </w:r>
      <w:r w:rsidR="00D8021C">
        <w:rPr>
          <w:color w:val="FF0000"/>
        </w:rPr>
        <w:t>37</w:t>
      </w:r>
      <w:r w:rsidR="00F426CE">
        <w:rPr>
          <w:color w:val="FF0000"/>
        </w:rPr>
        <w:t>-05:</w:t>
      </w:r>
      <w:r w:rsidR="004A5B1B">
        <w:rPr>
          <w:color w:val="FF0000"/>
        </w:rPr>
        <w:t>16</w:t>
      </w:r>
    </w:p>
    <w:p w:rsidR="007A7ABA" w:rsidRPr="003A4AB7" w:rsidRDefault="007A7ABA" w:rsidP="007A7ABA">
      <w:pPr>
        <w:pBdr>
          <w:top w:val="nil"/>
          <w:left w:val="nil"/>
          <w:bottom w:val="nil"/>
          <w:right w:val="nil"/>
          <w:between w:val="nil"/>
        </w:pBdr>
        <w:rPr>
          <w:rFonts w:asciiTheme="majorHAnsi" w:hAnsiTheme="majorHAnsi" w:cstheme="majorHAnsi"/>
          <w:highlight w:val="yellow"/>
        </w:rPr>
      </w:pPr>
    </w:p>
    <w:p w:rsidR="007A7ABA" w:rsidRPr="003A4AB7" w:rsidRDefault="007A7ABA" w:rsidP="007A7ABA">
      <w:pPr>
        <w:pStyle w:val="ListParagraph"/>
        <w:numPr>
          <w:ilvl w:val="1"/>
          <w:numId w:val="8"/>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Close the door, click the </w:t>
      </w:r>
      <w:r>
        <w:rPr>
          <w:b/>
          <w:bCs/>
          <w:color w:val="auto"/>
          <w:highlight w:val="yellow"/>
        </w:rPr>
        <w:t>A</w:t>
      </w:r>
      <w:r w:rsidRPr="003A4AB7">
        <w:rPr>
          <w:b/>
          <w:bCs/>
          <w:color w:val="auto"/>
          <w:highlight w:val="yellow"/>
        </w:rPr>
        <w:t>cquire</w:t>
      </w:r>
      <w:r w:rsidRPr="003A4AB7">
        <w:rPr>
          <w:color w:val="auto"/>
          <w:highlight w:val="yellow"/>
        </w:rPr>
        <w:t xml:space="preserve"> button, and wait for an image to appear on the screen. </w:t>
      </w:r>
      <w:r w:rsidR="00D8021C">
        <w:rPr>
          <w:color w:val="FF0000"/>
        </w:rPr>
        <w:t xml:space="preserve"> </w:t>
      </w:r>
      <w:r w:rsidR="004A5B1B">
        <w:rPr>
          <w:color w:val="FF0000"/>
        </w:rPr>
        <w:t>05:</w:t>
      </w:r>
      <w:r w:rsidR="00D8021C" w:rsidRPr="00D8021C">
        <w:rPr>
          <w:color w:val="FF0000"/>
        </w:rPr>
        <w:t>17</w:t>
      </w:r>
      <w:r w:rsidR="004A5B1B">
        <w:rPr>
          <w:color w:val="FF0000"/>
        </w:rPr>
        <w:t>-</w:t>
      </w:r>
      <w:r w:rsidR="00D8021C" w:rsidRPr="00D8021C">
        <w:rPr>
          <w:color w:val="FF0000"/>
        </w:rPr>
        <w:t xml:space="preserve"> </w:t>
      </w:r>
      <w:r w:rsidR="004A5B1B">
        <w:rPr>
          <w:color w:val="FF0000"/>
        </w:rPr>
        <w:t>06:</w:t>
      </w:r>
      <w:r w:rsidR="00D8021C" w:rsidRPr="00D8021C">
        <w:rPr>
          <w:color w:val="FF0000"/>
        </w:rPr>
        <w:t>15</w:t>
      </w:r>
    </w:p>
    <w:p w:rsidR="007A7ABA" w:rsidRPr="003A4AB7" w:rsidRDefault="007A7ABA" w:rsidP="007A7ABA">
      <w:pPr>
        <w:pStyle w:val="ListParagraph"/>
        <w:numPr>
          <w:ilvl w:val="0"/>
          <w:numId w:val="0"/>
        </w:numPr>
        <w:spacing w:after="0" w:line="240" w:lineRule="auto"/>
        <w:rPr>
          <w:color w:val="auto"/>
          <w:highlight w:val="yellow"/>
        </w:rPr>
      </w:pP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rPr>
      </w:pPr>
      <w:r w:rsidRPr="003A4AB7">
        <w:rPr>
          <w:color w:val="auto"/>
        </w:rPr>
        <w:t xml:space="preserve">NOTE: With the </w:t>
      </w:r>
      <w:r>
        <w:rPr>
          <w:b/>
          <w:bCs/>
          <w:color w:val="auto"/>
        </w:rPr>
        <w:t>A</w:t>
      </w:r>
      <w:r w:rsidRPr="003A4AB7">
        <w:rPr>
          <w:b/>
          <w:bCs/>
          <w:color w:val="auto"/>
        </w:rPr>
        <w:t>uto-</w:t>
      </w:r>
      <w:r>
        <w:rPr>
          <w:b/>
          <w:bCs/>
          <w:color w:val="auto"/>
        </w:rPr>
        <w:t>E</w:t>
      </w:r>
      <w:r w:rsidRPr="003A4AB7">
        <w:rPr>
          <w:b/>
          <w:bCs/>
          <w:color w:val="auto"/>
        </w:rPr>
        <w:t>xposure</w:t>
      </w:r>
      <w:r w:rsidRPr="003A4AB7">
        <w:rPr>
          <w:color w:val="auto"/>
        </w:rPr>
        <w:t xml:space="preserve"> option, a strong signal takes 5–20 s depending on the signal; a weak signal will take around 60 s. </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highlight w:val="yellow"/>
        </w:rPr>
      </w:pPr>
    </w:p>
    <w:p w:rsidR="007A7ABA" w:rsidRPr="003A4AB7" w:rsidRDefault="007A7ABA" w:rsidP="002F17A7">
      <w:pPr>
        <w:pStyle w:val="ListParagraph"/>
        <w:numPr>
          <w:ilvl w:val="1"/>
          <w:numId w:val="8"/>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Repeat this step for the other mice.</w:t>
      </w:r>
      <w:r w:rsidR="00D8021C">
        <w:rPr>
          <w:color w:val="auto"/>
          <w:highlight w:val="yellow"/>
        </w:rPr>
        <w:t xml:space="preserve"> </w:t>
      </w:r>
      <w:r w:rsidR="004A5B1B">
        <w:rPr>
          <w:color w:val="FF0000"/>
        </w:rPr>
        <w:t>06:15- 07:</w:t>
      </w:r>
      <w:r w:rsidR="002F17A7" w:rsidRPr="002F17A7">
        <w:rPr>
          <w:color w:val="FF0000"/>
        </w:rPr>
        <w:t>15</w:t>
      </w:r>
    </w:p>
    <w:p w:rsidR="007A7ABA" w:rsidRPr="003A4AB7" w:rsidRDefault="007A7ABA" w:rsidP="007A7ABA">
      <w:pPr>
        <w:pStyle w:val="ListParagraph"/>
        <w:numPr>
          <w:ilvl w:val="0"/>
          <w:numId w:val="0"/>
        </w:numPr>
        <w:pBdr>
          <w:top w:val="nil"/>
          <w:left w:val="nil"/>
          <w:bottom w:val="nil"/>
          <w:right w:val="nil"/>
          <w:between w:val="nil"/>
        </w:pBdr>
        <w:spacing w:after="0" w:line="240" w:lineRule="auto"/>
        <w:rPr>
          <w:color w:val="auto"/>
          <w:highlight w:val="yellow"/>
        </w:rPr>
      </w:pPr>
    </w:p>
    <w:p w:rsidR="007A7ABA" w:rsidRPr="003A4AB7" w:rsidRDefault="007A7ABA" w:rsidP="007A7ABA">
      <w:pPr>
        <w:pStyle w:val="ListParagraph"/>
        <w:numPr>
          <w:ilvl w:val="1"/>
          <w:numId w:val="8"/>
        </w:numPr>
        <w:pBdr>
          <w:top w:val="nil"/>
          <w:left w:val="nil"/>
          <w:bottom w:val="nil"/>
          <w:right w:val="nil"/>
          <w:between w:val="nil"/>
        </w:pBdr>
        <w:spacing w:after="0" w:line="240" w:lineRule="auto"/>
        <w:ind w:left="0" w:firstLine="0"/>
        <w:rPr>
          <w:color w:val="auto"/>
          <w:highlight w:val="yellow"/>
        </w:rPr>
      </w:pPr>
      <w:r w:rsidRPr="003A4AB7">
        <w:rPr>
          <w:color w:val="auto"/>
          <w:highlight w:val="yellow"/>
        </w:rPr>
        <w:t xml:space="preserve">To detect lung metastasis, cover the strong signal of the primary tumor using thick black cardboard paper and expose only the ventral side of the lungs towards the camera. Capture the image using the same parameters described above. </w:t>
      </w:r>
    </w:p>
    <w:p w:rsidR="0052568B" w:rsidRDefault="0052568B" w:rsidP="007A7ABA">
      <w:bookmarkStart w:id="0" w:name="_GoBack"/>
      <w:bookmarkEnd w:id="0"/>
    </w:p>
    <w:sectPr w:rsidR="0052568B" w:rsidSect="002B7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143EB"/>
    <w:multiLevelType w:val="multilevel"/>
    <w:tmpl w:val="8696C0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28401B"/>
    <w:multiLevelType w:val="multilevel"/>
    <w:tmpl w:val="3C90F04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268F6A4F"/>
    <w:multiLevelType w:val="multilevel"/>
    <w:tmpl w:val="48D445E8"/>
    <w:lvl w:ilvl="0">
      <w:start w:val="1"/>
      <w:numFmt w:val="decimal"/>
      <w:pStyle w:val="ListParagraph"/>
      <w:lvlText w:val="7.%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346EBD"/>
    <w:multiLevelType w:val="multilevel"/>
    <w:tmpl w:val="1682D050"/>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ED848D1"/>
    <w:multiLevelType w:val="multilevel"/>
    <w:tmpl w:val="7DD24B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0B24D1"/>
    <w:multiLevelType w:val="multilevel"/>
    <w:tmpl w:val="57327F18"/>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5FAA4B90"/>
    <w:multiLevelType w:val="multilevel"/>
    <w:tmpl w:val="36D4D5BE"/>
    <w:lvl w:ilvl="0">
      <w:start w:val="1"/>
      <w:numFmt w:val="decimal"/>
      <w:pStyle w:val="Heading3"/>
      <w:lvlText w:val="%1."/>
      <w:lvlJc w:val="left"/>
      <w:pPr>
        <w:ind w:left="72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7DE478C1"/>
    <w:multiLevelType w:val="multilevel"/>
    <w:tmpl w:val="95E62E2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
  </w:num>
  <w:num w:numId="2">
    <w:abstractNumId w:val="6"/>
  </w:num>
  <w:num w:numId="3">
    <w:abstractNumId w:val="1"/>
  </w:num>
  <w:num w:numId="4">
    <w:abstractNumId w:val="7"/>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BA"/>
    <w:rsid w:val="002B7C1C"/>
    <w:rsid w:val="002F17A7"/>
    <w:rsid w:val="004A5B1B"/>
    <w:rsid w:val="0052568B"/>
    <w:rsid w:val="007A7ABA"/>
    <w:rsid w:val="00D8021C"/>
    <w:rsid w:val="00F426C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EDC9"/>
  <w15:chartTrackingRefBased/>
  <w15:docId w15:val="{2AF817E5-6C0B-4191-B3C6-CC916889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ABA"/>
    <w:pPr>
      <w:widowControl w:val="0"/>
      <w:spacing w:after="0" w:line="240" w:lineRule="auto"/>
      <w:jc w:val="both"/>
    </w:pPr>
    <w:rPr>
      <w:rFonts w:ascii="Calibri" w:eastAsia="Calibri" w:hAnsi="Calibri" w:cs="Calibri"/>
      <w:sz w:val="24"/>
      <w:szCs w:val="24"/>
    </w:rPr>
  </w:style>
  <w:style w:type="paragraph" w:styleId="Heading3">
    <w:name w:val="heading 3"/>
    <w:basedOn w:val="Normal"/>
    <w:next w:val="Normal"/>
    <w:link w:val="Heading3Char"/>
    <w:uiPriority w:val="9"/>
    <w:unhideWhenUsed/>
    <w:qFormat/>
    <w:rsid w:val="007A7ABA"/>
    <w:pPr>
      <w:keepNext/>
      <w:keepLines/>
      <w:numPr>
        <w:numId w:val="2"/>
      </w:numPr>
      <w:spacing w:before="240"/>
      <w:outlineLvl w:val="2"/>
    </w:pPr>
    <w:rPr>
      <w:rFonts w:asciiTheme="majorHAnsi" w:eastAsia="Cambria" w:hAnsiTheme="majorHAnsi" w:cstheme="majorHAnsi"/>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7ABA"/>
    <w:rPr>
      <w:rFonts w:asciiTheme="majorHAnsi" w:eastAsia="Cambria" w:hAnsiTheme="majorHAnsi" w:cstheme="majorHAnsi"/>
      <w:b/>
      <w:color w:val="4F81BD"/>
      <w:sz w:val="24"/>
      <w:szCs w:val="24"/>
    </w:rPr>
  </w:style>
  <w:style w:type="paragraph" w:styleId="ListParagraph">
    <w:name w:val="List Paragraph"/>
    <w:basedOn w:val="Normal"/>
    <w:uiPriority w:val="34"/>
    <w:qFormat/>
    <w:rsid w:val="007A7ABA"/>
    <w:pPr>
      <w:widowControl/>
      <w:numPr>
        <w:numId w:val="1"/>
      </w:numPr>
      <w:spacing w:after="160" w:line="259" w:lineRule="auto"/>
      <w:contextualSpacing/>
    </w:pPr>
    <w:rPr>
      <w:rFonts w:asciiTheme="majorHAnsi" w:eastAsiaTheme="minorHAnsi" w:hAnsiTheme="majorHAnsi" w:cstheme="maj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1483</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Solaimut Balakrishna</dc:creator>
  <cp:keywords/>
  <dc:description/>
  <cp:lastModifiedBy>Solaimut Balakrishna</cp:lastModifiedBy>
  <cp:revision>3</cp:revision>
  <dcterms:created xsi:type="dcterms:W3CDTF">2021-10-05T07:05:00Z</dcterms:created>
  <dcterms:modified xsi:type="dcterms:W3CDTF">2021-10-05T11:51:00Z</dcterms:modified>
</cp:coreProperties>
</file>