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1A086" w14:textId="77777777" w:rsidR="005F1A3A" w:rsidRPr="005F1A3A" w:rsidRDefault="005F1A3A" w:rsidP="005F1A3A">
      <w:pPr>
        <w:contextualSpacing/>
        <w:jc w:val="center"/>
        <w:rPr>
          <w:rFonts w:asciiTheme="minorHAnsi" w:hAnsiTheme="minorHAnsi" w:cstheme="minorHAnsi"/>
          <w:color w:val="000000" w:themeColor="text1"/>
          <w:lang w:val="en-US"/>
        </w:rPr>
      </w:pPr>
      <w:r w:rsidRPr="005F1A3A">
        <w:rPr>
          <w:rFonts w:asciiTheme="minorHAnsi" w:hAnsiTheme="minorHAnsi" w:cstheme="minorHAnsi"/>
          <w:color w:val="000000" w:themeColor="text1"/>
          <w:lang w:val="en-US"/>
        </w:rPr>
        <w:t>Measurement of protein import capacity of skeletal muscle mitochondria</w:t>
      </w:r>
    </w:p>
    <w:p w14:paraId="1BD819B0" w14:textId="77777777" w:rsidR="005F1A3A" w:rsidRPr="005F1A3A" w:rsidRDefault="005F1A3A" w:rsidP="005F1A3A">
      <w:pPr>
        <w:contextualSpacing/>
        <w:jc w:val="center"/>
        <w:rPr>
          <w:rFonts w:asciiTheme="minorHAnsi" w:hAnsiTheme="minorHAnsi" w:cstheme="minorHAnsi"/>
          <w:color w:val="000000" w:themeColor="text1"/>
          <w:vertAlign w:val="superscript"/>
          <w:lang w:val="en-US"/>
        </w:rPr>
      </w:pPr>
      <w:r w:rsidRPr="005F1A3A">
        <w:rPr>
          <w:rFonts w:asciiTheme="minorHAnsi" w:hAnsiTheme="minorHAnsi" w:cstheme="minorHAnsi"/>
          <w:color w:val="000000" w:themeColor="text1"/>
          <w:lang w:val="en-US"/>
        </w:rPr>
        <w:t>Ashley N. Oliveira, Brandon J. Richards &amp; David A. Hood</w:t>
      </w:r>
    </w:p>
    <w:p w14:paraId="4C5E22B8" w14:textId="1AE40E95" w:rsidR="005F1A3A" w:rsidRPr="005F1A3A" w:rsidRDefault="005F1A3A" w:rsidP="005F1A3A">
      <w:pPr>
        <w:contextualSpacing/>
        <w:jc w:val="center"/>
        <w:rPr>
          <w:rFonts w:asciiTheme="minorHAnsi" w:hAnsiTheme="minorHAnsi" w:cstheme="minorHAnsi"/>
          <w:color w:val="000000" w:themeColor="text1"/>
          <w:vertAlign w:val="superscript"/>
          <w:lang w:val="en-US"/>
        </w:rPr>
      </w:pPr>
      <w:r w:rsidRPr="005F1A3A">
        <w:rPr>
          <w:rFonts w:asciiTheme="minorHAnsi" w:hAnsiTheme="minorHAnsi" w:cstheme="minorHAnsi"/>
          <w:color w:val="000000" w:themeColor="text1"/>
          <w:shd w:val="clear" w:color="auto" w:fill="FFFFFF"/>
        </w:rPr>
        <w:t xml:space="preserve">Permissions for </w:t>
      </w:r>
      <w:r>
        <w:rPr>
          <w:rFonts w:asciiTheme="minorHAnsi" w:hAnsiTheme="minorHAnsi" w:cstheme="minorHAnsi"/>
          <w:color w:val="000000" w:themeColor="text1"/>
          <w:shd w:val="clear" w:color="auto" w:fill="FFFFFF"/>
        </w:rPr>
        <w:t>R</w:t>
      </w:r>
      <w:r w:rsidRPr="005F1A3A">
        <w:rPr>
          <w:rFonts w:asciiTheme="minorHAnsi" w:hAnsiTheme="minorHAnsi" w:cstheme="minorHAnsi"/>
          <w:color w:val="000000" w:themeColor="text1"/>
          <w:shd w:val="clear" w:color="auto" w:fill="FFFFFF"/>
        </w:rPr>
        <w:t>epublication</w:t>
      </w:r>
    </w:p>
    <w:p w14:paraId="4BC71A69" w14:textId="59152899" w:rsidR="00CE3747" w:rsidRPr="005F1A3A" w:rsidRDefault="00FA43FB">
      <w:pPr>
        <w:rPr>
          <w:rFonts w:asciiTheme="minorHAnsi" w:hAnsiTheme="minorHAnsi" w:cstheme="minorHAnsi"/>
          <w:color w:val="000000" w:themeColor="text1"/>
          <w:shd w:val="clear" w:color="auto" w:fill="FFFFFF"/>
        </w:rPr>
      </w:pPr>
    </w:p>
    <w:p w14:paraId="1E41F131" w14:textId="77777777" w:rsidR="005F1A3A" w:rsidRPr="005F1A3A" w:rsidRDefault="005F1A3A" w:rsidP="005F1A3A">
      <w:pPr>
        <w:jc w:val="both"/>
        <w:rPr>
          <w:rFonts w:asciiTheme="minorHAnsi" w:hAnsiTheme="minorHAnsi" w:cs="Calibri"/>
          <w:bCs/>
          <w:color w:val="000000" w:themeColor="text1"/>
        </w:rPr>
      </w:pPr>
      <w:r w:rsidRPr="005F1A3A">
        <w:rPr>
          <w:rFonts w:asciiTheme="minorHAnsi" w:hAnsiTheme="minorHAnsi" w:cstheme="minorHAnsi"/>
          <w:b/>
          <w:bCs/>
          <w:color w:val="000000" w:themeColor="text1"/>
          <w:shd w:val="clear" w:color="auto" w:fill="FFFFFF"/>
        </w:rPr>
        <w:t>Figure 2:</w:t>
      </w:r>
      <w:r w:rsidRPr="005F1A3A">
        <w:rPr>
          <w:rFonts w:asciiTheme="minorHAnsi" w:hAnsiTheme="minorHAnsi" w:cstheme="minorHAnsi"/>
          <w:color w:val="000000" w:themeColor="text1"/>
          <w:shd w:val="clear" w:color="auto" w:fill="FFFFFF"/>
        </w:rPr>
        <w:t xml:space="preserve"> Adapted from </w:t>
      </w:r>
      <w:proofErr w:type="spellStart"/>
      <w:r w:rsidRPr="005F1A3A">
        <w:rPr>
          <w:rFonts w:asciiTheme="minorHAnsi" w:hAnsiTheme="minorHAnsi" w:cs="Calibri"/>
          <w:bCs/>
          <w:color w:val="000000" w:themeColor="text1"/>
        </w:rPr>
        <w:t>from</w:t>
      </w:r>
      <w:proofErr w:type="spellEnd"/>
      <w:r w:rsidRPr="005F1A3A">
        <w:rPr>
          <w:rFonts w:asciiTheme="minorHAnsi" w:hAnsiTheme="minorHAnsi" w:cs="Calibri"/>
          <w:bCs/>
          <w:color w:val="000000" w:themeColor="text1"/>
        </w:rPr>
        <w:t xml:space="preserve"> Takahashi M &amp; Hood DA</w:t>
      </w:r>
      <w:r w:rsidRPr="005F1A3A">
        <w:rPr>
          <w:rFonts w:asciiTheme="minorHAnsi" w:hAnsiTheme="minorHAnsi" w:cs="Calibri"/>
          <w:bCs/>
          <w:color w:val="000000" w:themeColor="text1"/>
        </w:rPr>
        <w:fldChar w:fldCharType="begin" w:fldLock="1"/>
      </w:r>
      <w:r w:rsidRPr="005F1A3A">
        <w:rPr>
          <w:rFonts w:asciiTheme="minorHAnsi" w:hAnsiTheme="minorHAnsi" w:cs="Calibri"/>
          <w:bCs/>
          <w:color w:val="000000" w:themeColor="text1"/>
        </w:rPr>
        <w:instrText>ADDIN CSL_CITATION {"citationItems":[{"id":"ITEM-1","itemData":{"ISSN":"0021-9258 (Print)","PMID":"8910303","abstract":"To date, no studies have described the import of proteins in mitochondria obtained from skeletal muscle. In this tissue, mitochondria consist of the functionally and biochemically distinct intermyofibrillar (IMF) and subsarcolemmal (SS) subfractions, which are localized in specialized cellular compartments. This mitochondrial heterogeneity in muscle could be due, in part, to differential rates of protein import. To evaluate this possibility, the import of precursor malate dehydrogenase and ornithine carbamyltransferase proteins was investigated in isolated IMF and SS mitochondria in vitro. Import of these was 3-4-fold greater in IMF compared with SS mitochondria as a function of time. This could account for the higher malate dehydrogenase enzyme activity in IMF mitochondria. Divergent import rates in IMF and SS mitochondria likely result from a differential reliance on various components of the import pathway. SS mitochondria possess a greater content of the molecular chaperones hsp60 and Grp75, yet import is lower than in IMF mitochondria. On the other hand, adriamycin inhibition studies illustrated a greater reliance on acidic phospholipids (i.e. cardiolipin) for the import process in SS mitochondria. Matrix ATP levels were 3-fold higher in IMF mitochondria, but experiments in which ATP depletion was performed with atractyloside and oligomycin illustrated a dissociation between import rates and levels of ATP. In contrast, a close relationship was found between the rate of ATP production (i.e. mitochondrial respiration) and protein import. When respiratory rates in IMF and SS mitochondria were equalized, import rates in both subfractions were similar. These data indicate that 1) import rates are more closely related to the rate of ATP production than the steady state ATP level, 2) import into IMF and SS mitochondrial subfractions is regulated differently, and 3) mitochondrial heterogeneity within a cell type can be due to differences in the rates of protein import, suggesting that this step is a potentially regulatable event in determining the final mitochondrial phenotype.","author":[{"dropping-particle":"","family":"Takahashi","given":"M","non-dropping-particle":"","parse-names":false,"suffix":""},{"dropping-particle":"","family":"Hood","given":"D A","non-dropping-particle":"","parse-names":false,"suffix":""}],"container-title":"The Journal of biological chemistry","id":"ITEM-1","issue":"44","issued":{"date-parts":[["1996","11"]]},"language":"eng","page":"27285-27291","publisher-place":"United States","title":"Protein import into subsarcolemmal and intermyofibrillar skeletal muscle mitochondria. Differential import regulation in distinct subcellular regions.","type":"article-journal","volume":"271"},"uris":["http://www.mendeley.com/documents/?uuid=42cb584e-7b6b-402f-be01-a3caa6c00981"]}],"mendeley":{"formattedCitation":"&lt;sup&gt;20&lt;/sup&gt;","plainTextFormattedCitation":"20","previouslyFormattedCitation":"&lt;sup&gt;20&lt;/sup&gt;"},"properties":{"noteIndex":0},"schema":"https://github.com/citation-style-language/schema/raw/master/csl-citation.json"}</w:instrText>
      </w:r>
      <w:r w:rsidRPr="005F1A3A">
        <w:rPr>
          <w:rFonts w:asciiTheme="minorHAnsi" w:hAnsiTheme="minorHAnsi" w:cs="Calibri"/>
          <w:bCs/>
          <w:color w:val="000000" w:themeColor="text1"/>
        </w:rPr>
        <w:fldChar w:fldCharType="separate"/>
      </w:r>
      <w:r w:rsidRPr="005F1A3A">
        <w:rPr>
          <w:rFonts w:asciiTheme="minorHAnsi" w:hAnsiTheme="minorHAnsi" w:cs="Calibri"/>
          <w:bCs/>
          <w:noProof/>
          <w:color w:val="000000" w:themeColor="text1"/>
          <w:vertAlign w:val="superscript"/>
        </w:rPr>
        <w:t>20</w:t>
      </w:r>
      <w:r w:rsidRPr="005F1A3A">
        <w:rPr>
          <w:rFonts w:asciiTheme="minorHAnsi" w:hAnsiTheme="minorHAnsi" w:cs="Calibri"/>
          <w:bCs/>
          <w:color w:val="000000" w:themeColor="text1"/>
        </w:rPr>
        <w:fldChar w:fldCharType="end"/>
      </w:r>
      <w:r w:rsidRPr="005F1A3A">
        <w:rPr>
          <w:rFonts w:asciiTheme="minorHAnsi" w:hAnsiTheme="minorHAnsi" w:cs="Calibri"/>
          <w:bCs/>
          <w:color w:val="000000" w:themeColor="text1"/>
        </w:rPr>
        <w:t>.</w:t>
      </w:r>
    </w:p>
    <w:p w14:paraId="1BC36AB3" w14:textId="7F2D44E2" w:rsidR="005F1A3A" w:rsidRPr="005F1A3A" w:rsidRDefault="005F1A3A">
      <w:pPr>
        <w:rPr>
          <w:rFonts w:asciiTheme="minorHAnsi" w:hAnsiTheme="minorHAnsi"/>
          <w:color w:val="000000" w:themeColor="text1"/>
        </w:rPr>
      </w:pPr>
      <w:r w:rsidRPr="005F1A3A">
        <w:rPr>
          <w:rFonts w:asciiTheme="minorHAnsi" w:hAnsiTheme="minorHAnsi"/>
          <w:color w:val="000000" w:themeColor="text1"/>
        </w:rPr>
        <w:t xml:space="preserve"> </w:t>
      </w:r>
    </w:p>
    <w:p w14:paraId="06B88618" w14:textId="7C811463" w:rsidR="005F1A3A" w:rsidRPr="005F1A3A" w:rsidRDefault="005F1A3A">
      <w:pPr>
        <w:rPr>
          <w:rFonts w:asciiTheme="minorHAnsi" w:hAnsiTheme="minorHAnsi"/>
          <w:color w:val="000000" w:themeColor="text1"/>
          <w:lang w:val="fr-CA"/>
        </w:rPr>
      </w:pPr>
      <w:r w:rsidRPr="005F1A3A">
        <w:rPr>
          <w:rFonts w:asciiTheme="minorHAnsi" w:hAnsiTheme="minorHAnsi"/>
          <w:color w:val="000000" w:themeColor="text1"/>
          <w:u w:val="single"/>
        </w:rPr>
        <w:t>Reference:</w:t>
      </w:r>
      <w:r w:rsidRPr="005F1A3A">
        <w:rPr>
          <w:rFonts w:asciiTheme="minorHAnsi" w:hAnsiTheme="minorHAnsi"/>
          <w:color w:val="000000" w:themeColor="text1"/>
        </w:rPr>
        <w:t xml:space="preserve"> </w:t>
      </w:r>
      <w:r w:rsidRPr="005F1A3A">
        <w:rPr>
          <w:rFonts w:asciiTheme="minorHAnsi" w:hAnsiTheme="minorHAnsi"/>
          <w:color w:val="000000" w:themeColor="text1"/>
        </w:rPr>
        <w:t xml:space="preserve">M. Takahashi, D.A. Hood, Protein Import into Subsarcolemmal and Intermyofibrillar Skeletal Muscle Mitochondria, J. Biol. Chem. 271 (1996) 27285–27291. </w:t>
      </w:r>
      <w:hyperlink r:id="rId4" w:history="1">
        <w:r w:rsidRPr="005F1A3A">
          <w:rPr>
            <w:rStyle w:val="Hyperlink"/>
            <w:rFonts w:asciiTheme="minorHAnsi" w:hAnsiTheme="minorHAnsi"/>
            <w:color w:val="000000" w:themeColor="text1"/>
            <w:lang w:val="fr-CA"/>
          </w:rPr>
          <w:t>https://doi.org/10.1074/jbc.271.44.27285</w:t>
        </w:r>
      </w:hyperlink>
      <w:r w:rsidRPr="005F1A3A">
        <w:rPr>
          <w:rFonts w:asciiTheme="minorHAnsi" w:hAnsiTheme="minorHAnsi"/>
          <w:color w:val="000000" w:themeColor="text1"/>
          <w:lang w:val="fr-CA"/>
        </w:rPr>
        <w:t>.</w:t>
      </w:r>
    </w:p>
    <w:p w14:paraId="7113C349" w14:textId="77777777" w:rsidR="005F1A3A" w:rsidRDefault="005F1A3A">
      <w:pPr>
        <w:rPr>
          <w:rFonts w:asciiTheme="minorHAnsi" w:hAnsiTheme="minorHAnsi"/>
          <w:color w:val="000000" w:themeColor="text1"/>
          <w:u w:val="single"/>
          <w:lang w:val="fr-CA"/>
        </w:rPr>
      </w:pPr>
    </w:p>
    <w:p w14:paraId="7F05E757" w14:textId="1E37BD02" w:rsidR="005F1A3A" w:rsidRPr="005F1A3A" w:rsidRDefault="005F1A3A">
      <w:pPr>
        <w:rPr>
          <w:rFonts w:asciiTheme="minorHAnsi" w:hAnsiTheme="minorHAnsi"/>
          <w:color w:val="000000" w:themeColor="text1"/>
          <w:u w:val="single"/>
          <w:lang w:val="fr-CA"/>
        </w:rPr>
      </w:pPr>
      <w:r w:rsidRPr="005F1A3A">
        <w:rPr>
          <w:rFonts w:asciiTheme="minorHAnsi" w:hAnsiTheme="minorHAnsi"/>
          <w:color w:val="000000" w:themeColor="text1"/>
          <w:u w:val="single"/>
          <w:lang w:val="fr-CA"/>
        </w:rPr>
        <w:t>Permission Information Link:</w:t>
      </w:r>
    </w:p>
    <w:p w14:paraId="4CE44E09" w14:textId="08AEC1B2" w:rsidR="005F1A3A" w:rsidRPr="005F1A3A" w:rsidRDefault="005F1A3A">
      <w:pPr>
        <w:rPr>
          <w:rStyle w:val="Hyperlink"/>
          <w:rFonts w:asciiTheme="minorHAnsi" w:hAnsiTheme="minorHAnsi"/>
          <w:color w:val="000000" w:themeColor="text1"/>
          <w:lang w:val="fr-CA"/>
        </w:rPr>
      </w:pPr>
      <w:hyperlink r:id="rId5" w:history="1">
        <w:r w:rsidRPr="005F1A3A">
          <w:rPr>
            <w:rStyle w:val="Hyperlink"/>
            <w:rFonts w:asciiTheme="minorHAnsi" w:hAnsiTheme="minorHAnsi"/>
            <w:color w:val="000000" w:themeColor="text1"/>
            <w:lang w:val="fr-CA"/>
          </w:rPr>
          <w:t>https://s100.copyright.com/AppDispatchServlet?publisherName=ELS&amp;contentID=S0021925818352311&amp;orderBeanReset=true&amp;orderSource</w:t>
        </w:r>
        <w:r w:rsidRPr="005F1A3A">
          <w:rPr>
            <w:rStyle w:val="Hyperlink"/>
            <w:rFonts w:asciiTheme="minorHAnsi" w:hAnsiTheme="minorHAnsi"/>
            <w:color w:val="000000" w:themeColor="text1"/>
            <w:lang w:val="fr-CA"/>
          </w:rPr>
          <w:t>=</w:t>
        </w:r>
        <w:r w:rsidRPr="005F1A3A">
          <w:rPr>
            <w:rStyle w:val="Hyperlink"/>
            <w:rFonts w:asciiTheme="minorHAnsi" w:hAnsiTheme="minorHAnsi"/>
            <w:color w:val="000000" w:themeColor="text1"/>
            <w:lang w:val="fr-CA"/>
          </w:rPr>
          <w:t>Phoenix</w:t>
        </w:r>
      </w:hyperlink>
    </w:p>
    <w:p w14:paraId="332BE716" w14:textId="364CF928" w:rsidR="005F1A3A" w:rsidRPr="005F1A3A" w:rsidRDefault="005F1A3A" w:rsidP="005F1A3A">
      <w:pPr>
        <w:rPr>
          <w:rFonts w:asciiTheme="minorHAnsi" w:hAnsiTheme="minorHAnsi"/>
          <w:color w:val="000000" w:themeColor="text1"/>
          <w:lang w:val="en-US"/>
        </w:rPr>
      </w:pPr>
      <w:r w:rsidRPr="005F1A3A">
        <w:rPr>
          <w:rFonts w:asciiTheme="minorHAnsi" w:hAnsiTheme="minorHAnsi"/>
          <w:color w:val="000000" w:themeColor="text1"/>
          <w:lang w:val="en-US"/>
        </w:rPr>
        <w:t>“</w:t>
      </w:r>
      <w:r w:rsidRPr="005F1A3A">
        <w:rPr>
          <w:rFonts w:asciiTheme="minorHAnsi" w:hAnsiTheme="minorHAnsi"/>
          <w:color w:val="000000" w:themeColor="text1"/>
          <w:shd w:val="clear" w:color="auto" w:fill="FFFFFF"/>
        </w:rPr>
        <w:t>This is an open access article distributed under the terms of the </w:t>
      </w:r>
      <w:hyperlink r:id="rId6" w:tgtFrame="_blank" w:history="1">
        <w:r w:rsidRPr="005F1A3A">
          <w:rPr>
            <w:rStyle w:val="Hyperlink"/>
            <w:rFonts w:asciiTheme="minorHAnsi" w:hAnsiTheme="minorHAnsi"/>
            <w:color w:val="000000" w:themeColor="text1"/>
            <w:shd w:val="clear" w:color="auto" w:fill="FFFFFF"/>
          </w:rPr>
          <w:t>Creative Commons CC-BY</w:t>
        </w:r>
      </w:hyperlink>
      <w:r w:rsidRPr="005F1A3A">
        <w:rPr>
          <w:rFonts w:asciiTheme="minorHAnsi" w:hAnsiTheme="minorHAnsi"/>
          <w:color w:val="000000" w:themeColor="text1"/>
          <w:shd w:val="clear" w:color="auto" w:fill="FFFFFF"/>
        </w:rPr>
        <w:t> license, which permits unrestricted use, distribution, and reproduction in any medium, provided the original work is properly cited.</w:t>
      </w:r>
      <w:r w:rsidRPr="005F1A3A">
        <w:rPr>
          <w:rFonts w:asciiTheme="minorHAnsi" w:hAnsiTheme="minorHAnsi"/>
          <w:color w:val="000000" w:themeColor="text1"/>
        </w:rPr>
        <w:br/>
      </w:r>
      <w:r w:rsidRPr="005F1A3A">
        <w:rPr>
          <w:rFonts w:asciiTheme="minorHAnsi" w:hAnsiTheme="minorHAnsi"/>
          <w:color w:val="000000" w:themeColor="text1"/>
          <w:shd w:val="clear" w:color="auto" w:fill="FFFFFF"/>
        </w:rPr>
        <w:t>You are not required to obtain permission to reuse this article.”</w:t>
      </w:r>
    </w:p>
    <w:p w14:paraId="75074696" w14:textId="41FF35EB" w:rsidR="005F1A3A" w:rsidRPr="005F1A3A" w:rsidRDefault="005F1A3A">
      <w:pPr>
        <w:rPr>
          <w:rFonts w:asciiTheme="minorHAnsi" w:hAnsiTheme="minorHAnsi"/>
          <w:color w:val="000000" w:themeColor="text1"/>
        </w:rPr>
      </w:pPr>
    </w:p>
    <w:p w14:paraId="033302E3" w14:textId="387911A5" w:rsidR="005F1A3A" w:rsidRPr="005F1A3A" w:rsidRDefault="005F1A3A" w:rsidP="005F1A3A">
      <w:pPr>
        <w:jc w:val="both"/>
        <w:rPr>
          <w:rFonts w:asciiTheme="minorHAnsi" w:hAnsiTheme="minorHAnsi" w:cs="Calibri"/>
          <w:bCs/>
          <w:color w:val="000000" w:themeColor="text1"/>
        </w:rPr>
      </w:pPr>
      <w:r w:rsidRPr="005F1A3A">
        <w:rPr>
          <w:rFonts w:asciiTheme="minorHAnsi" w:hAnsiTheme="minorHAnsi"/>
          <w:b/>
          <w:bCs/>
          <w:color w:val="000000" w:themeColor="text1"/>
        </w:rPr>
        <w:t>Figure 3:</w:t>
      </w:r>
      <w:r w:rsidRPr="005F1A3A">
        <w:rPr>
          <w:rFonts w:asciiTheme="minorHAnsi" w:hAnsiTheme="minorHAnsi"/>
          <w:color w:val="000000" w:themeColor="text1"/>
        </w:rPr>
        <w:t xml:space="preserve"> </w:t>
      </w:r>
      <w:r w:rsidRPr="005F1A3A">
        <w:rPr>
          <w:rFonts w:asciiTheme="minorHAnsi" w:hAnsiTheme="minorHAnsi" w:cs="Calibri"/>
          <w:bCs/>
          <w:color w:val="000000" w:themeColor="text1"/>
        </w:rPr>
        <w:t>Figures 3A and 3B were adapted from Joseph A-M &amp; Hood DA</w:t>
      </w:r>
      <w:r w:rsidRPr="005F1A3A">
        <w:rPr>
          <w:rFonts w:asciiTheme="minorHAnsi" w:hAnsiTheme="minorHAnsi" w:cs="Calibri"/>
          <w:bCs/>
          <w:color w:val="000000" w:themeColor="text1"/>
        </w:rPr>
        <w:fldChar w:fldCharType="begin" w:fldLock="1"/>
      </w:r>
      <w:r w:rsidRPr="005F1A3A">
        <w:rPr>
          <w:rFonts w:asciiTheme="minorHAnsi" w:hAnsiTheme="minorHAnsi" w:cs="Calibri"/>
          <w:bCs/>
          <w:color w:val="000000" w:themeColor="text1"/>
        </w:rPr>
        <w:instrText>ADDIN CSL_CITATION {"citationItems":[{"id":"ITEM-1","itemData":{"DOI":"10.1016/j.mito.2011.11.005","ISSN":"1567-7249","author":[{"dropping-particle":"","family":"Joseph","given":"Anna-maria","non-dropping-particle":"","parse-names":false,"suffix":""},{"dropping-particle":"","family":"Hood","given":"David A","non-dropping-particle":"","parse-names":false,"suffix":""}],"container-title":"Mitochondrion","id":"ITEM-1","issue":"2","issued":{"date-parts":[["2012"]]},"page":"305-312","publisher":"Elsevier B.V. and Mitochondria Research Society. All rights reserved.","title":"Mitochondrion Plasticity of TOM complex assembly in skeletal muscle mitochondria in response to chronic contractile activity","type":"article-journal","volume":"12"},"uris":["http://www.mendeley.com/documents/?uuid=a894de8a-4bfd-4280-8e69-c90f2542eb94"]}],"mendeley":{"formattedCitation":"&lt;sup&gt;22&lt;/sup&gt;","plainTextFormattedCitation":"22","previouslyFormattedCitation":"&lt;sup&gt;22&lt;/sup&gt;"},"properties":{"noteIndex":0},"schema":"https://github.com/citation-style-language/schema/raw/master/csl-citation.json"}</w:instrText>
      </w:r>
      <w:r w:rsidRPr="005F1A3A">
        <w:rPr>
          <w:rFonts w:asciiTheme="minorHAnsi" w:hAnsiTheme="minorHAnsi" w:cs="Calibri"/>
          <w:bCs/>
          <w:color w:val="000000" w:themeColor="text1"/>
        </w:rPr>
        <w:fldChar w:fldCharType="separate"/>
      </w:r>
      <w:r w:rsidRPr="005F1A3A">
        <w:rPr>
          <w:rFonts w:asciiTheme="minorHAnsi" w:hAnsiTheme="minorHAnsi" w:cs="Calibri"/>
          <w:bCs/>
          <w:noProof/>
          <w:color w:val="000000" w:themeColor="text1"/>
          <w:vertAlign w:val="superscript"/>
        </w:rPr>
        <w:t>22</w:t>
      </w:r>
      <w:r w:rsidRPr="005F1A3A">
        <w:rPr>
          <w:rFonts w:asciiTheme="minorHAnsi" w:hAnsiTheme="minorHAnsi" w:cs="Calibri"/>
          <w:bCs/>
          <w:color w:val="000000" w:themeColor="text1"/>
        </w:rPr>
        <w:fldChar w:fldCharType="end"/>
      </w:r>
      <w:r w:rsidRPr="005F1A3A">
        <w:rPr>
          <w:rFonts w:asciiTheme="minorHAnsi" w:hAnsiTheme="minorHAnsi" w:cs="Calibri"/>
          <w:bCs/>
          <w:color w:val="000000" w:themeColor="text1"/>
        </w:rPr>
        <w:t xml:space="preserve"> and 3C from Singh B &amp; Hood DA</w:t>
      </w:r>
      <w:r w:rsidRPr="005F1A3A">
        <w:rPr>
          <w:rFonts w:asciiTheme="minorHAnsi" w:hAnsiTheme="minorHAnsi" w:cs="Calibri"/>
          <w:bCs/>
          <w:color w:val="000000" w:themeColor="text1"/>
          <w:vertAlign w:val="superscript"/>
        </w:rPr>
        <w:t>23</w:t>
      </w:r>
      <w:r w:rsidRPr="005F1A3A">
        <w:rPr>
          <w:rFonts w:asciiTheme="minorHAnsi" w:hAnsiTheme="minorHAnsi" w:cs="Calibri"/>
          <w:bCs/>
          <w:color w:val="000000" w:themeColor="text1"/>
        </w:rPr>
        <w:t>.</w:t>
      </w:r>
    </w:p>
    <w:p w14:paraId="7326DD37" w14:textId="77777777" w:rsidR="005F1A3A" w:rsidRDefault="005F1A3A" w:rsidP="005F1A3A">
      <w:pPr>
        <w:rPr>
          <w:rFonts w:asciiTheme="minorHAnsi" w:hAnsiTheme="minorHAnsi"/>
          <w:color w:val="000000" w:themeColor="text1"/>
          <w:u w:val="single"/>
        </w:rPr>
      </w:pPr>
    </w:p>
    <w:p w14:paraId="321DB585" w14:textId="44C5CBC3" w:rsidR="005F1A3A" w:rsidRPr="005F1A3A" w:rsidRDefault="005F1A3A" w:rsidP="005F1A3A">
      <w:pPr>
        <w:rPr>
          <w:rFonts w:asciiTheme="minorHAnsi" w:hAnsiTheme="minorHAnsi"/>
          <w:color w:val="000000" w:themeColor="text1"/>
        </w:rPr>
      </w:pPr>
      <w:r w:rsidRPr="005F1A3A">
        <w:rPr>
          <w:rFonts w:asciiTheme="minorHAnsi" w:hAnsiTheme="minorHAnsi"/>
          <w:color w:val="000000" w:themeColor="text1"/>
          <w:u w:val="single"/>
        </w:rPr>
        <w:t>Reference:</w:t>
      </w:r>
      <w:r w:rsidRPr="005F1A3A">
        <w:rPr>
          <w:rFonts w:asciiTheme="minorHAnsi" w:hAnsiTheme="minorHAnsi"/>
          <w:color w:val="000000" w:themeColor="text1"/>
        </w:rPr>
        <w:t xml:space="preserve"> </w:t>
      </w:r>
      <w:r w:rsidRPr="005F1A3A">
        <w:rPr>
          <w:rFonts w:asciiTheme="minorHAnsi" w:hAnsiTheme="minorHAnsi"/>
          <w:color w:val="000000" w:themeColor="text1"/>
        </w:rPr>
        <w:t xml:space="preserve">A.-M. Joseph, D.A. Hood, Plasticity of TOM complex assembly in skeletal muscle mitochondria in response to chronic contractile activity, Mitochondrion. 12 (2012) 305–312. </w:t>
      </w:r>
      <w:hyperlink r:id="rId7" w:history="1">
        <w:r w:rsidRPr="005F1A3A">
          <w:rPr>
            <w:rStyle w:val="Hyperlink"/>
            <w:rFonts w:asciiTheme="minorHAnsi" w:hAnsiTheme="minorHAnsi"/>
            <w:color w:val="000000" w:themeColor="text1"/>
          </w:rPr>
          <w:t>https://doi.org/10.1016/j.mito.2011.11.005</w:t>
        </w:r>
      </w:hyperlink>
      <w:r w:rsidRPr="005F1A3A">
        <w:rPr>
          <w:rFonts w:asciiTheme="minorHAnsi" w:hAnsiTheme="minorHAnsi"/>
          <w:color w:val="000000" w:themeColor="text1"/>
        </w:rPr>
        <w:t>.</w:t>
      </w:r>
    </w:p>
    <w:p w14:paraId="3E692E55" w14:textId="64233676" w:rsidR="005F1A3A" w:rsidRPr="005F1A3A" w:rsidRDefault="005F1A3A" w:rsidP="005F1A3A">
      <w:pPr>
        <w:rPr>
          <w:rFonts w:asciiTheme="minorHAnsi" w:hAnsiTheme="minorHAnsi"/>
          <w:color w:val="000000" w:themeColor="text1"/>
        </w:rPr>
      </w:pPr>
    </w:p>
    <w:p w14:paraId="35ED46ED" w14:textId="7061E853" w:rsidR="005F1A3A" w:rsidRPr="005F1A3A" w:rsidRDefault="005F1A3A" w:rsidP="005F1A3A">
      <w:pPr>
        <w:rPr>
          <w:rFonts w:asciiTheme="minorHAnsi" w:hAnsiTheme="minorHAnsi"/>
          <w:color w:val="000000" w:themeColor="text1"/>
          <w:u w:val="single"/>
        </w:rPr>
      </w:pPr>
      <w:r w:rsidRPr="005F1A3A">
        <w:rPr>
          <w:rFonts w:asciiTheme="minorHAnsi" w:hAnsiTheme="minorHAnsi"/>
          <w:color w:val="000000" w:themeColor="text1"/>
          <w:u w:val="single"/>
        </w:rPr>
        <w:t xml:space="preserve">Permission Information Link: </w:t>
      </w:r>
    </w:p>
    <w:p w14:paraId="771AA4DF" w14:textId="1C73EB40" w:rsidR="005F1A3A" w:rsidRPr="005F1A3A" w:rsidRDefault="005F1A3A" w:rsidP="005F1A3A">
      <w:pPr>
        <w:rPr>
          <w:rStyle w:val="Hyperlink"/>
          <w:rFonts w:asciiTheme="minorHAnsi" w:hAnsiTheme="minorHAnsi"/>
          <w:color w:val="000000" w:themeColor="text1"/>
          <w:lang w:val="en-US"/>
        </w:rPr>
      </w:pPr>
      <w:hyperlink r:id="rId8" w:history="1">
        <w:r w:rsidRPr="005F1A3A">
          <w:rPr>
            <w:rStyle w:val="Hyperlink"/>
            <w:rFonts w:asciiTheme="minorHAnsi" w:hAnsiTheme="minorHAnsi"/>
            <w:color w:val="000000" w:themeColor="text1"/>
            <w:lang w:val="en-US"/>
          </w:rPr>
          <w:t>https://www.elsevier.com/about/policies/copyright</w:t>
        </w:r>
      </w:hyperlink>
    </w:p>
    <w:p w14:paraId="1EFA483A" w14:textId="019F67DE" w:rsidR="005F1A3A" w:rsidRPr="005F1A3A" w:rsidRDefault="005F1A3A" w:rsidP="005F1A3A">
      <w:pPr>
        <w:rPr>
          <w:rStyle w:val="Hyperlink"/>
          <w:rFonts w:asciiTheme="minorHAnsi" w:hAnsiTheme="minorHAnsi"/>
          <w:color w:val="000000" w:themeColor="text1"/>
          <w:u w:val="none"/>
          <w:lang w:val="en-US"/>
        </w:rPr>
      </w:pPr>
      <w:r w:rsidRPr="005F1A3A">
        <w:rPr>
          <w:rStyle w:val="Hyperlink"/>
          <w:rFonts w:asciiTheme="minorHAnsi" w:hAnsiTheme="minorHAnsi"/>
          <w:color w:val="000000" w:themeColor="text1"/>
          <w:u w:val="none"/>
          <w:lang w:val="en-US"/>
        </w:rPr>
        <w:t>“Reuse their own material in new works without permission or payment (with full acknowledgement of the original article).”</w:t>
      </w:r>
    </w:p>
    <w:p w14:paraId="5B606B5D" w14:textId="1D03C613" w:rsidR="005F1A3A" w:rsidRPr="005F1A3A" w:rsidRDefault="005F1A3A" w:rsidP="005F1A3A">
      <w:pPr>
        <w:rPr>
          <w:rStyle w:val="Hyperlink"/>
          <w:rFonts w:asciiTheme="minorHAnsi" w:hAnsiTheme="minorHAnsi"/>
          <w:color w:val="000000" w:themeColor="text1"/>
          <w:lang w:val="en-US"/>
        </w:rPr>
      </w:pPr>
    </w:p>
    <w:p w14:paraId="0E497E7E" w14:textId="77777777" w:rsidR="005F1A3A" w:rsidRPr="005F1A3A" w:rsidRDefault="005F1A3A" w:rsidP="005F1A3A">
      <w:pPr>
        <w:rPr>
          <w:rFonts w:asciiTheme="minorHAnsi" w:hAnsiTheme="minorHAnsi"/>
          <w:color w:val="000000" w:themeColor="text1"/>
        </w:rPr>
      </w:pPr>
      <w:r w:rsidRPr="005F1A3A">
        <w:rPr>
          <w:rStyle w:val="Hyperlink"/>
          <w:rFonts w:asciiTheme="minorHAnsi" w:hAnsiTheme="minorHAnsi"/>
          <w:color w:val="000000" w:themeColor="text1"/>
          <w:lang w:val="en-US"/>
        </w:rPr>
        <w:t xml:space="preserve">Reference: </w:t>
      </w:r>
      <w:r w:rsidRPr="005F1A3A">
        <w:rPr>
          <w:rFonts w:asciiTheme="minorHAnsi" w:hAnsiTheme="minorHAnsi"/>
          <w:color w:val="000000" w:themeColor="text1"/>
        </w:rPr>
        <w:t xml:space="preserve">K. Singh, D.A. Hood, Effect of denervation-induced muscle disuse on mitochondrial protein import, Am. J. Physiol.-Cell Physiol. 300 (2011) C138–C145. </w:t>
      </w:r>
      <w:hyperlink r:id="rId9" w:history="1">
        <w:r w:rsidRPr="005F1A3A">
          <w:rPr>
            <w:rStyle w:val="Hyperlink"/>
            <w:rFonts w:asciiTheme="minorHAnsi" w:hAnsiTheme="minorHAnsi"/>
            <w:color w:val="000000" w:themeColor="text1"/>
          </w:rPr>
          <w:t>https://doi.org/10.1152/ajpcell.00181.2010</w:t>
        </w:r>
      </w:hyperlink>
      <w:r w:rsidRPr="005F1A3A">
        <w:rPr>
          <w:rFonts w:asciiTheme="minorHAnsi" w:hAnsiTheme="minorHAnsi"/>
          <w:color w:val="000000" w:themeColor="text1"/>
        </w:rPr>
        <w:t>.</w:t>
      </w:r>
    </w:p>
    <w:p w14:paraId="34D28C70" w14:textId="791CDCE5" w:rsidR="005F1A3A" w:rsidRPr="005F1A3A" w:rsidRDefault="005F1A3A" w:rsidP="005F1A3A">
      <w:pPr>
        <w:rPr>
          <w:rFonts w:asciiTheme="minorHAnsi" w:hAnsiTheme="minorHAnsi"/>
          <w:color w:val="000000" w:themeColor="text1"/>
        </w:rPr>
      </w:pPr>
    </w:p>
    <w:p w14:paraId="6353390C" w14:textId="4E70314F" w:rsidR="005F1A3A" w:rsidRPr="005F1A3A" w:rsidRDefault="005F1A3A" w:rsidP="005F1A3A">
      <w:pPr>
        <w:rPr>
          <w:rFonts w:asciiTheme="minorHAnsi" w:hAnsiTheme="minorHAnsi"/>
          <w:color w:val="000000" w:themeColor="text1"/>
          <w:u w:val="single"/>
          <w:lang w:val="fr-CA"/>
        </w:rPr>
      </w:pPr>
      <w:r w:rsidRPr="005F1A3A">
        <w:rPr>
          <w:rFonts w:asciiTheme="minorHAnsi" w:hAnsiTheme="minorHAnsi"/>
          <w:color w:val="000000" w:themeColor="text1"/>
          <w:u w:val="single"/>
          <w:lang w:val="fr-CA"/>
        </w:rPr>
        <w:t>Permission Information Link:</w:t>
      </w:r>
    </w:p>
    <w:p w14:paraId="7C47BF59" w14:textId="77777777" w:rsidR="005F1A3A" w:rsidRPr="005F1A3A" w:rsidRDefault="005F1A3A" w:rsidP="005F1A3A">
      <w:pPr>
        <w:rPr>
          <w:rFonts w:asciiTheme="minorHAnsi" w:hAnsiTheme="minorHAnsi"/>
          <w:color w:val="000000" w:themeColor="text1"/>
          <w:lang w:val="fr-CA"/>
        </w:rPr>
      </w:pPr>
      <w:hyperlink r:id="rId10" w:history="1">
        <w:r w:rsidRPr="005F1A3A">
          <w:rPr>
            <w:rStyle w:val="Hyperlink"/>
            <w:rFonts w:asciiTheme="minorHAnsi" w:hAnsiTheme="minorHAnsi"/>
            <w:color w:val="000000" w:themeColor="text1"/>
            <w:lang w:val="fr-CA"/>
          </w:rPr>
          <w:t>https://journals.physiology.org/author-info.permissions</w:t>
        </w:r>
      </w:hyperlink>
    </w:p>
    <w:p w14:paraId="69197696" w14:textId="355B5F13" w:rsidR="005F1A3A" w:rsidRPr="005F1A3A" w:rsidRDefault="005F1A3A" w:rsidP="005F1A3A">
      <w:pPr>
        <w:rPr>
          <w:rFonts w:asciiTheme="minorHAnsi" w:hAnsiTheme="minorHAnsi"/>
          <w:color w:val="000000" w:themeColor="text1"/>
          <w:lang w:val="en-US"/>
        </w:rPr>
      </w:pPr>
      <w:r w:rsidRPr="005F1A3A">
        <w:rPr>
          <w:rFonts w:asciiTheme="minorHAnsi" w:hAnsiTheme="minorHAnsi"/>
          <w:color w:val="000000" w:themeColor="text1"/>
          <w:lang w:val="en-US"/>
        </w:rPr>
        <w:t>“Authors may republish parts of their final-submitted work (e.g. figures, tables), without charge and without requesting permission, provided that the full citation of the source is given in the new work.”</w:t>
      </w:r>
    </w:p>
    <w:p w14:paraId="0D5B2928" w14:textId="64771652" w:rsidR="005F1A3A" w:rsidRPr="005F1A3A" w:rsidRDefault="005F1A3A" w:rsidP="005F1A3A">
      <w:pPr>
        <w:rPr>
          <w:rFonts w:asciiTheme="minorHAnsi" w:hAnsiTheme="minorHAnsi"/>
          <w:color w:val="000000" w:themeColor="text1"/>
          <w:lang w:val="en-US"/>
        </w:rPr>
      </w:pPr>
    </w:p>
    <w:p w14:paraId="2ABDBC23" w14:textId="007B3903" w:rsidR="005F1A3A" w:rsidRPr="005F1A3A" w:rsidRDefault="005F1A3A" w:rsidP="005F1A3A">
      <w:pPr>
        <w:jc w:val="both"/>
        <w:rPr>
          <w:rFonts w:asciiTheme="minorHAnsi" w:hAnsiTheme="minorHAnsi" w:cs="Calibri"/>
          <w:bCs/>
          <w:color w:val="000000" w:themeColor="text1"/>
          <w:lang w:val="fr-CA"/>
        </w:rPr>
      </w:pPr>
      <w:r w:rsidRPr="005F1A3A">
        <w:rPr>
          <w:rFonts w:asciiTheme="minorHAnsi" w:hAnsiTheme="minorHAnsi"/>
          <w:b/>
          <w:bCs/>
          <w:color w:val="000000" w:themeColor="text1"/>
          <w:lang w:val="en-US"/>
        </w:rPr>
        <w:t>Figure 4:</w:t>
      </w:r>
      <w:r w:rsidRPr="005F1A3A">
        <w:rPr>
          <w:rFonts w:asciiTheme="minorHAnsi" w:hAnsiTheme="minorHAnsi" w:cs="Calibri"/>
          <w:bCs/>
          <w:color w:val="000000" w:themeColor="text1"/>
          <w:lang w:val="fr-CA"/>
        </w:rPr>
        <w:t xml:space="preserve"> </w:t>
      </w:r>
      <w:proofErr w:type="spellStart"/>
      <w:r w:rsidRPr="005F1A3A">
        <w:rPr>
          <w:rFonts w:asciiTheme="minorHAnsi" w:hAnsiTheme="minorHAnsi" w:cs="Calibri"/>
          <w:bCs/>
          <w:color w:val="000000" w:themeColor="text1"/>
          <w:lang w:val="fr-CA"/>
        </w:rPr>
        <w:t>A</w:t>
      </w:r>
      <w:r w:rsidRPr="005F1A3A">
        <w:rPr>
          <w:rFonts w:asciiTheme="minorHAnsi" w:hAnsiTheme="minorHAnsi" w:cs="Calibri"/>
          <w:bCs/>
          <w:color w:val="000000" w:themeColor="text1"/>
          <w:lang w:val="fr-CA"/>
        </w:rPr>
        <w:t>dapted</w:t>
      </w:r>
      <w:proofErr w:type="spellEnd"/>
      <w:r w:rsidRPr="005F1A3A">
        <w:rPr>
          <w:rFonts w:asciiTheme="minorHAnsi" w:hAnsiTheme="minorHAnsi" w:cs="Calibri"/>
          <w:bCs/>
          <w:color w:val="000000" w:themeColor="text1"/>
          <w:lang w:val="fr-CA"/>
        </w:rPr>
        <w:t xml:space="preserve"> </w:t>
      </w:r>
      <w:proofErr w:type="spellStart"/>
      <w:r w:rsidRPr="005F1A3A">
        <w:rPr>
          <w:rFonts w:asciiTheme="minorHAnsi" w:hAnsiTheme="minorHAnsi" w:cs="Calibri"/>
          <w:bCs/>
          <w:color w:val="000000" w:themeColor="text1"/>
          <w:lang w:val="fr-CA"/>
        </w:rPr>
        <w:t>from</w:t>
      </w:r>
      <w:proofErr w:type="spellEnd"/>
      <w:r w:rsidRPr="005F1A3A">
        <w:rPr>
          <w:rFonts w:asciiTheme="minorHAnsi" w:hAnsiTheme="minorHAnsi" w:cs="Calibri"/>
          <w:bCs/>
          <w:color w:val="000000" w:themeColor="text1"/>
          <w:lang w:val="fr-CA"/>
        </w:rPr>
        <w:t xml:space="preserve"> Zhang Y et al.</w:t>
      </w:r>
      <w:r w:rsidRPr="005F1A3A">
        <w:rPr>
          <w:rFonts w:asciiTheme="minorHAnsi" w:hAnsiTheme="minorHAnsi" w:cs="Calibri"/>
          <w:bCs/>
          <w:color w:val="000000" w:themeColor="text1"/>
          <w:lang w:val="fr-CA"/>
        </w:rPr>
        <w:fldChar w:fldCharType="begin" w:fldLock="1"/>
      </w:r>
      <w:r w:rsidRPr="005F1A3A">
        <w:rPr>
          <w:rFonts w:asciiTheme="minorHAnsi" w:hAnsiTheme="minorHAnsi" w:cs="Calibri"/>
          <w:bCs/>
          <w:color w:val="000000" w:themeColor="text1"/>
          <w:lang w:val="fr-CA"/>
        </w:rPr>
        <w:instrText>ADDIN CSL_CITATION {"citationItems":[{"id":"ITEM-1","itemData":{"DOI":"10.1152/ajpcell.00058.2013","ISSN":"1522-1563","PMID":"23784543","abstract":"The function Bax and/or Bak in constituting a gateway for mitochondrial apoptosis in response to apoptotic stimuli has been unequivocally demonstrated. However, recent work has suggested that Bax/Bak may have unrecognized nonapoptotic functions related to mitochondrial function in nonstressful environments. Wild-type (WT) and Bax/Bak double knockout (DKO) mice were used to determine alternative roles for Bax and Bak in mitochondrial morphology and protein import in skeletal muscle. The absence of Bax and/or Bak altered mitochondrial dynamics by regulating protein components of the organelle fission and fusion machinery. Moreover, DKO mice exhibited defective mitochondrial protein import, both into the matrix and outer membrane compartments, which was consistent with our observations of impaired membrane potential and attenuated expression of protein import machinery (PIM) components in intermyofibrillar mitochondria. Furthermore, the cytosolic chaperones heat-shock protein 90 (Hsp90) and binding immunoglobulin protein (BiP) were markedly increased with the deletion of Bax/Bak, indicating that the cytosolic environment related to protein folding may be changed in DKO mice. Interestingly, endurance training fully restored the deficiency of protein import in DKO mice, likely via the upregulation of PIM components and through improved cytosolic chaperone protein expression. Thus our results emphasize novel roles for Bax and/or Bak in mitochondrial function and provide evidence, for the first time, of a curative function of exercise training in ameliorating a condition of defective mitochondrial protein import.","author":[{"dropping-particle":"","family":"Zhang","given":"Yuan","non-dropping-particle":"","parse-names":false,"suffix":""},{"dropping-particle":"","family":"Iqbal","given":"Sobia","non-dropping-particle":"","parse-names":false,"suffix":""},{"dropping-particle":"","family":"O'Leary","given":"Michael F N","non-dropping-particle":"","parse-names":false,"suffix":""},{"dropping-particle":"","family":"Menzies","given":"Keir J","non-dropping-particle":"","parse-names":false,"suffix":""},{"dropping-particle":"","family":"Saleem","given":"Ayesha","non-dropping-particle":"","parse-names":false,"suffix":""},{"dropping-particle":"","family":"Ding","given":"Shuzhe","non-dropping-particle":"","parse-names":false,"suffix":""},{"dropping-particle":"","family":"Hood","given":"David A","non-dropping-particle":"","parse-names":false,"suffix":""}],"container-title":"American journal of physiology. Cell physiology","id":"ITEM-1","issue":"5","issued":{"date-parts":[["2013"]]},"page":"C502-11","title":"Altered mitochondrial morphology and defective protein import reveal novel roles for Bax and/or Bak in skeletal muscle.","type":"article-journal","volume":"305"},"uris":["http://www.mendeley.com/documents/?uuid=6eee8d62-2521-4b5b-bca3-5ddc2b276ba7"]}],"mendeley":{"formattedCitation":"&lt;sup&gt;24&lt;/sup&gt;","plainTextFormattedCitation":"24","previouslyFormattedCitation":"&lt;sup&gt;24&lt;/sup&gt;"},"properties":{"noteIndex":0},"schema":"https://github.com/citation-style-language/schema/raw/master/csl-citation.json"}</w:instrText>
      </w:r>
      <w:r w:rsidRPr="005F1A3A">
        <w:rPr>
          <w:rFonts w:asciiTheme="minorHAnsi" w:hAnsiTheme="minorHAnsi" w:cs="Calibri"/>
          <w:bCs/>
          <w:color w:val="000000" w:themeColor="text1"/>
          <w:lang w:val="fr-CA"/>
        </w:rPr>
        <w:fldChar w:fldCharType="separate"/>
      </w:r>
      <w:r w:rsidRPr="005F1A3A">
        <w:rPr>
          <w:rFonts w:asciiTheme="minorHAnsi" w:hAnsiTheme="minorHAnsi" w:cs="Calibri"/>
          <w:bCs/>
          <w:noProof/>
          <w:color w:val="000000" w:themeColor="text1"/>
          <w:vertAlign w:val="superscript"/>
          <w:lang w:val="fr-CA"/>
        </w:rPr>
        <w:t>24</w:t>
      </w:r>
      <w:r w:rsidRPr="005F1A3A">
        <w:rPr>
          <w:rFonts w:asciiTheme="minorHAnsi" w:hAnsiTheme="minorHAnsi" w:cs="Calibri"/>
          <w:bCs/>
          <w:color w:val="000000" w:themeColor="text1"/>
          <w:lang w:val="fr-CA"/>
        </w:rPr>
        <w:fldChar w:fldCharType="end"/>
      </w:r>
      <w:r w:rsidRPr="005F1A3A">
        <w:rPr>
          <w:rFonts w:asciiTheme="minorHAnsi" w:hAnsiTheme="minorHAnsi" w:cs="Calibri"/>
          <w:bCs/>
          <w:color w:val="000000" w:themeColor="text1"/>
          <w:lang w:val="fr-CA"/>
        </w:rPr>
        <w:t>.</w:t>
      </w:r>
    </w:p>
    <w:p w14:paraId="47A02AB2" w14:textId="4BE75545" w:rsidR="005F1A3A" w:rsidRPr="005F1A3A" w:rsidRDefault="005F1A3A" w:rsidP="005F1A3A">
      <w:pPr>
        <w:rPr>
          <w:rFonts w:asciiTheme="minorHAnsi" w:hAnsiTheme="minorHAnsi"/>
          <w:color w:val="000000" w:themeColor="text1"/>
          <w:lang w:val="en-US"/>
        </w:rPr>
      </w:pPr>
    </w:p>
    <w:p w14:paraId="28C8597B" w14:textId="77777777" w:rsidR="005F1A3A" w:rsidRPr="005F1A3A" w:rsidRDefault="005F1A3A" w:rsidP="005F1A3A">
      <w:pPr>
        <w:rPr>
          <w:rFonts w:asciiTheme="minorHAnsi" w:hAnsiTheme="minorHAnsi"/>
          <w:color w:val="000000" w:themeColor="text1"/>
          <w:lang w:val="en-US"/>
        </w:rPr>
      </w:pPr>
    </w:p>
    <w:p w14:paraId="483482EF" w14:textId="218FE81D" w:rsidR="005F1A3A" w:rsidRPr="005F1A3A" w:rsidRDefault="005F1A3A" w:rsidP="005F1A3A">
      <w:pPr>
        <w:rPr>
          <w:rFonts w:asciiTheme="minorHAnsi" w:hAnsiTheme="minorHAnsi"/>
          <w:color w:val="000000" w:themeColor="text1"/>
        </w:rPr>
      </w:pPr>
      <w:r w:rsidRPr="005F1A3A">
        <w:rPr>
          <w:rFonts w:asciiTheme="minorHAnsi" w:hAnsiTheme="minorHAnsi"/>
          <w:color w:val="000000" w:themeColor="text1"/>
          <w:u w:val="single"/>
          <w:lang w:val="en-US"/>
        </w:rPr>
        <w:lastRenderedPageBreak/>
        <w:t>Reference:</w:t>
      </w:r>
      <w:r w:rsidRPr="005F1A3A">
        <w:rPr>
          <w:rFonts w:asciiTheme="minorHAnsi" w:hAnsiTheme="minorHAnsi"/>
          <w:color w:val="000000" w:themeColor="text1"/>
          <w:lang w:val="en-US"/>
        </w:rPr>
        <w:t xml:space="preserve"> </w:t>
      </w:r>
      <w:r w:rsidRPr="005F1A3A">
        <w:rPr>
          <w:rFonts w:asciiTheme="minorHAnsi" w:hAnsiTheme="minorHAnsi"/>
          <w:color w:val="000000" w:themeColor="text1"/>
        </w:rPr>
        <w:t xml:space="preserve">Y. Zhang, S. Iqbal, M.F.N. O’Leary, K.J. Menzies, A. Saleem, S. Ding, D.A. Hood, </w:t>
      </w:r>
      <w:proofErr w:type="gramStart"/>
      <w:r w:rsidRPr="005F1A3A">
        <w:rPr>
          <w:rFonts w:asciiTheme="minorHAnsi" w:hAnsiTheme="minorHAnsi"/>
          <w:color w:val="000000" w:themeColor="text1"/>
        </w:rPr>
        <w:t>Altered</w:t>
      </w:r>
      <w:proofErr w:type="gramEnd"/>
      <w:r w:rsidRPr="005F1A3A">
        <w:rPr>
          <w:rFonts w:asciiTheme="minorHAnsi" w:hAnsiTheme="minorHAnsi"/>
          <w:color w:val="000000" w:themeColor="text1"/>
        </w:rPr>
        <w:t xml:space="preserve"> mitochondrial morphology and defective protein import reveal novel roles for </w:t>
      </w:r>
      <w:proofErr w:type="spellStart"/>
      <w:r w:rsidRPr="005F1A3A">
        <w:rPr>
          <w:rFonts w:asciiTheme="minorHAnsi" w:hAnsiTheme="minorHAnsi"/>
          <w:color w:val="000000" w:themeColor="text1"/>
        </w:rPr>
        <w:t>Bax</w:t>
      </w:r>
      <w:proofErr w:type="spellEnd"/>
      <w:r w:rsidRPr="005F1A3A">
        <w:rPr>
          <w:rFonts w:asciiTheme="minorHAnsi" w:hAnsiTheme="minorHAnsi"/>
          <w:color w:val="000000" w:themeColor="text1"/>
        </w:rPr>
        <w:t xml:space="preserve"> and/or </w:t>
      </w:r>
      <w:proofErr w:type="spellStart"/>
      <w:r w:rsidRPr="005F1A3A">
        <w:rPr>
          <w:rFonts w:asciiTheme="minorHAnsi" w:hAnsiTheme="minorHAnsi"/>
          <w:color w:val="000000" w:themeColor="text1"/>
        </w:rPr>
        <w:t>Bak</w:t>
      </w:r>
      <w:proofErr w:type="spellEnd"/>
      <w:r w:rsidRPr="005F1A3A">
        <w:rPr>
          <w:rFonts w:asciiTheme="minorHAnsi" w:hAnsiTheme="minorHAnsi"/>
          <w:color w:val="000000" w:themeColor="text1"/>
        </w:rPr>
        <w:t xml:space="preserve"> in skeletal muscle, Am. J. Physiol.-Cell Physiol. 305 (2013) C502–C511. </w:t>
      </w:r>
      <w:hyperlink r:id="rId11" w:history="1">
        <w:r w:rsidRPr="005F1A3A">
          <w:rPr>
            <w:rStyle w:val="Hyperlink"/>
            <w:rFonts w:asciiTheme="minorHAnsi" w:hAnsiTheme="minorHAnsi"/>
            <w:color w:val="000000" w:themeColor="text1"/>
          </w:rPr>
          <w:t>https://doi.org/10.1152/ajpcell.00058.2013</w:t>
        </w:r>
      </w:hyperlink>
      <w:r w:rsidRPr="005F1A3A">
        <w:rPr>
          <w:rFonts w:asciiTheme="minorHAnsi" w:hAnsiTheme="minorHAnsi"/>
          <w:color w:val="000000" w:themeColor="text1"/>
        </w:rPr>
        <w:t>.</w:t>
      </w:r>
    </w:p>
    <w:p w14:paraId="246B6CAA" w14:textId="336B8429" w:rsidR="005F1A3A" w:rsidRPr="005F1A3A" w:rsidRDefault="005F1A3A" w:rsidP="005F1A3A">
      <w:pPr>
        <w:rPr>
          <w:rFonts w:asciiTheme="minorHAnsi" w:hAnsiTheme="minorHAnsi"/>
          <w:color w:val="000000" w:themeColor="text1"/>
          <w:lang w:val="en-US"/>
        </w:rPr>
      </w:pPr>
    </w:p>
    <w:p w14:paraId="295FD133" w14:textId="0EFD93C2" w:rsidR="005F1A3A" w:rsidRPr="005F1A3A" w:rsidRDefault="005F1A3A" w:rsidP="005F1A3A">
      <w:pPr>
        <w:rPr>
          <w:rFonts w:asciiTheme="minorHAnsi" w:hAnsiTheme="minorHAnsi"/>
          <w:color w:val="000000" w:themeColor="text1"/>
          <w:u w:val="single"/>
          <w:lang w:eastAsia="en-CA"/>
        </w:rPr>
      </w:pPr>
      <w:r w:rsidRPr="005F1A3A">
        <w:rPr>
          <w:rFonts w:asciiTheme="minorHAnsi" w:hAnsiTheme="minorHAnsi"/>
          <w:color w:val="000000" w:themeColor="text1"/>
          <w:u w:val="single"/>
          <w:lang w:eastAsia="en-CA"/>
        </w:rPr>
        <w:t>Permission Information Link:</w:t>
      </w:r>
    </w:p>
    <w:p w14:paraId="311A3CFD" w14:textId="35017DF8" w:rsidR="005F1A3A" w:rsidRPr="005F1A3A" w:rsidRDefault="005F1A3A" w:rsidP="005F1A3A">
      <w:pPr>
        <w:rPr>
          <w:rFonts w:asciiTheme="minorHAnsi" w:hAnsiTheme="minorHAnsi"/>
          <w:color w:val="000000" w:themeColor="text1"/>
          <w:lang w:val="en-US"/>
        </w:rPr>
      </w:pPr>
      <w:hyperlink r:id="rId12" w:history="1">
        <w:r w:rsidRPr="005F1A3A">
          <w:rPr>
            <w:rStyle w:val="Hyperlink"/>
            <w:rFonts w:asciiTheme="minorHAnsi" w:hAnsiTheme="minorHAnsi"/>
            <w:color w:val="000000" w:themeColor="text1"/>
            <w:lang w:val="en-US"/>
          </w:rPr>
          <w:t>https://journals.physiology.org/author-info.permissions</w:t>
        </w:r>
      </w:hyperlink>
    </w:p>
    <w:p w14:paraId="3EB9E3E6" w14:textId="2C70ECED" w:rsidR="005F1A3A" w:rsidRPr="005F1A3A" w:rsidRDefault="005F1A3A" w:rsidP="005F1A3A">
      <w:pPr>
        <w:rPr>
          <w:rFonts w:asciiTheme="minorHAnsi" w:hAnsiTheme="minorHAnsi"/>
          <w:color w:val="000000" w:themeColor="text1"/>
          <w:lang w:val="en-US"/>
        </w:rPr>
      </w:pPr>
      <w:r w:rsidRPr="005F1A3A">
        <w:rPr>
          <w:rFonts w:asciiTheme="minorHAnsi" w:hAnsiTheme="minorHAnsi"/>
          <w:color w:val="000000" w:themeColor="text1"/>
          <w:lang w:eastAsia="en-CA"/>
        </w:rPr>
        <w:t>“</w:t>
      </w:r>
      <w:r w:rsidRPr="005F1A3A">
        <w:rPr>
          <w:rFonts w:asciiTheme="minorHAnsi" w:hAnsiTheme="minorHAnsi"/>
          <w:color w:val="000000" w:themeColor="text1"/>
          <w:lang w:eastAsia="en-CA"/>
        </w:rPr>
        <w:t>Authors may republish parts of their final-published work (e.g., figures, tables), without charge and without requesting permission, provided that full citation of the source is given in the new work.</w:t>
      </w:r>
      <w:r w:rsidRPr="005F1A3A">
        <w:rPr>
          <w:rFonts w:asciiTheme="minorHAnsi" w:hAnsiTheme="minorHAnsi"/>
          <w:color w:val="000000" w:themeColor="text1"/>
          <w:lang w:eastAsia="en-CA"/>
        </w:rPr>
        <w:t>”</w:t>
      </w:r>
    </w:p>
    <w:sectPr w:rsidR="005F1A3A" w:rsidRPr="005F1A3A" w:rsidSect="006A0C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3A"/>
    <w:rsid w:val="001624E3"/>
    <w:rsid w:val="005F1A3A"/>
    <w:rsid w:val="006A0C9D"/>
    <w:rsid w:val="00FA43F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0E44C4D"/>
  <w15:chartTrackingRefBased/>
  <w15:docId w15:val="{F3CEDF83-1B8E-7046-8842-96D490A6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A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A3A"/>
    <w:rPr>
      <w:sz w:val="18"/>
      <w:szCs w:val="18"/>
    </w:rPr>
  </w:style>
  <w:style w:type="character" w:customStyle="1" w:styleId="BalloonTextChar">
    <w:name w:val="Balloon Text Char"/>
    <w:basedOn w:val="DefaultParagraphFont"/>
    <w:link w:val="BalloonText"/>
    <w:uiPriority w:val="99"/>
    <w:semiHidden/>
    <w:rsid w:val="005F1A3A"/>
    <w:rPr>
      <w:rFonts w:ascii="Times New Roman" w:eastAsia="Times New Roman" w:hAnsi="Times New Roman" w:cs="Times New Roman"/>
      <w:sz w:val="18"/>
      <w:szCs w:val="18"/>
    </w:rPr>
  </w:style>
  <w:style w:type="character" w:styleId="Hyperlink">
    <w:name w:val="Hyperlink"/>
    <w:basedOn w:val="DefaultParagraphFont"/>
    <w:uiPriority w:val="99"/>
    <w:unhideWhenUsed/>
    <w:rsid w:val="005F1A3A"/>
    <w:rPr>
      <w:color w:val="0563C1" w:themeColor="hyperlink"/>
      <w:u w:val="single"/>
    </w:rPr>
  </w:style>
  <w:style w:type="character" w:styleId="FollowedHyperlink">
    <w:name w:val="FollowedHyperlink"/>
    <w:basedOn w:val="DefaultParagraphFont"/>
    <w:uiPriority w:val="99"/>
    <w:semiHidden/>
    <w:unhideWhenUsed/>
    <w:rsid w:val="005F1A3A"/>
    <w:rPr>
      <w:color w:val="954F72" w:themeColor="followedHyperlink"/>
      <w:u w:val="single"/>
    </w:rPr>
  </w:style>
  <w:style w:type="character" w:styleId="UnresolvedMention">
    <w:name w:val="Unresolved Mention"/>
    <w:basedOn w:val="DefaultParagraphFont"/>
    <w:uiPriority w:val="99"/>
    <w:semiHidden/>
    <w:unhideWhenUsed/>
    <w:rsid w:val="005F1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evier.com/about/policies/copyrigh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mito.2011.11.005" TargetMode="External"/><Relationship Id="rId12" Type="http://schemas.openxmlformats.org/officeDocument/2006/relationships/hyperlink" Target="https://journals.physiology.org/author-info.permiss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doi.org/10.1152/ajpcell.00058.2013" TargetMode="External"/><Relationship Id="rId5" Type="http://schemas.openxmlformats.org/officeDocument/2006/relationships/hyperlink" Target="https://s100.copyright.com/AppDispatchServlet?publisherName=ELS&amp;contentID=S0021925818352311&amp;orderBeanReset=true&amp;orderSource=Phoenix" TargetMode="External"/><Relationship Id="rId10" Type="http://schemas.openxmlformats.org/officeDocument/2006/relationships/hyperlink" Target="https://journals.physiology.org/author-info.permissions" TargetMode="External"/><Relationship Id="rId4" Type="http://schemas.openxmlformats.org/officeDocument/2006/relationships/hyperlink" Target="https://doi.org/10.1074/jbc.271.44.27285" TargetMode="External"/><Relationship Id="rId9" Type="http://schemas.openxmlformats.org/officeDocument/2006/relationships/hyperlink" Target="https://doi.org/10.1152/ajpcell.00181.20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Oliveira</dc:creator>
  <cp:keywords/>
  <dc:description/>
  <cp:lastModifiedBy>Ashley Oliveira</cp:lastModifiedBy>
  <cp:revision>1</cp:revision>
  <dcterms:created xsi:type="dcterms:W3CDTF">2021-08-30T17:51:00Z</dcterms:created>
  <dcterms:modified xsi:type="dcterms:W3CDTF">2021-08-30T18:08:00Z</dcterms:modified>
</cp:coreProperties>
</file>