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Modified Simple Method for Induction of Myocardial Infarction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Chenglin Jiang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Jianqing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Yichao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Dasheng 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Hongju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Pu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The First Affiliated Hospital of Bengbu Medical College, Bengbu 233004, Anhui,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Cardiology, Ren Ji Hospital, School of Medicine, Shanghai Jiao Tong University, Shanghai 200127, China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Chenglin Jiang</w:t>
        <w:tab/>
        <w:tab/>
        <w:tab/>
        <w:tab/>
        <w:t xml:space="preserve">(alisajiang@126.com)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Jianqing Chen</w:t>
        <w:tab/>
        <w:tab/>
        <w:tab/>
        <w:tab/>
        <w:t xml:space="preserve">(chjq5879@hotmail.com)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Yichao Zhao</w:t>
        <w:tab/>
        <w:tab/>
        <w:tab/>
        <w:tab/>
        <w:tab/>
        <w:t xml:space="preserve">(frankysuperior@hotmail.com)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Dasheng Gao</w:t>
        <w:tab/>
        <w:tab/>
        <w:tab/>
        <w:tab/>
        <w:t xml:space="preserve">(gaodasheng612@163.com)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Hongju Wang</w:t>
        <w:tab/>
        <w:tab/>
        <w:tab/>
        <w:tab/>
        <w:t xml:space="preserve">(hongjuwang@outlook.com)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Pu</w:t>
        <w:tab/>
        <w:tab/>
        <w:tab/>
        <w:tab/>
        <w:tab/>
        <w:tab/>
        <w:t xml:space="preserve">(pujun310@hotmail.com)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Hongju Wang</w:t>
        <w:tab/>
        <w:tab/>
        <w:tab/>
        <w:tab/>
        <w:t xml:space="preserve">(hongjuwang@outlook.com)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Pu</w:t>
        <w:tab/>
        <w:tab/>
        <w:tab/>
        <w:tab/>
        <w:tab/>
        <w:tab/>
        <w:t xml:space="preserve">(pujun310@hotmail.com)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mouse, myocardial infarction, cardiac remodeling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adequate anesthesia with a simplified anesthesia device, the mouse heart was externalized through the intercostal space, and myocardial infarction was successfully induced by ligating the left anterior descending artery (LAD) using materials readily available in most laboratories.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Myocardial infarction (MI) represents one of the leading causes of death. </w:t>
      </w:r>
      <w:r>
        <w:rPr>
          <w:rFonts w:ascii="Calibri" w:hAnsi="Calibri" w:cs="Calibri" w:eastAsia="Calibri"/>
          <w:color w:val="auto"/>
          <w:spacing w:val="0"/>
          <w:position w:val="0"/>
          <w:sz w:val="24"/>
          <w:shd w:fill="auto" w:val="clear"/>
        </w:rPr>
        <w:t xml:space="preserve">MI models are widely used for investigating the pathomechanisms of post-MI remodeling and evaluation of novel therapeutics. Different methods (e.g., isoproterenol treatment, cryoinjury, coronary artery ligation, etc.) have been used to induce MI. Compared with isoproterenol treatment and cryoinjury, coronary artery ligation may better reflect the ischemic response and chronic remodeling after MI. However, traditional methods for coronary ligation in mice are technically challenging and require commercially available apparatus</w:t>
      </w:r>
      <w:r>
        <w:rPr>
          <w:rFonts w:ascii="Calibri" w:hAnsi="Calibri" w:cs="Calibri" w:eastAsia="Calibri"/>
          <w:color w:val="333333"/>
          <w:spacing w:val="0"/>
          <w:position w:val="0"/>
          <w:sz w:val="24"/>
          <w:shd w:fill="auto" w:val="clear"/>
        </w:rPr>
        <w:t xml:space="preserve">. The current study describes a simple and efficient process for induction of MI in mice with readily available materials. The mouse chest skin was cut open under stable anesthesia with a simplified anesthesia device made of centrifuge tubes. The heart was immediately externalized through the intercostal space after blunt separation of the pectoralis major and pectoralis minor. The left anterior descending branch (LAD) was ligated with a 6-0 suture 3 mm from its origin. Following LAD ligation, </w:t>
      </w:r>
      <w:r>
        <w:rPr>
          <w:rFonts w:ascii="Calibri" w:hAnsi="Calibri" w:cs="Calibri" w:eastAsia="Calibri"/>
          <w:color w:val="auto"/>
          <w:spacing w:val="0"/>
          <w:position w:val="0"/>
          <w:sz w:val="24"/>
          <w:shd w:fill="auto" w:val="clear"/>
        </w:rPr>
        <w:t xml:space="preserve">staining with 2,3,5-Triphenyl tetrazolium chloride (TTC) indicated successful induction of MI and temporal changes of post-MI scar size. Meanwhile, survival analysis results showed overt mortality within 7 days after MI, mainly due to cardiac rupture. Moreover, post-MI echocardiographic assessment demonstrated successful induction of contractile dysfunction and ventricular remodeling. Once mastered, an MI model can be established in mice within 2-3 min with readily available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333333"/>
          <w:spacing w:val="0"/>
          <w:position w:val="0"/>
          <w:sz w:val="24"/>
          <w:shd w:fill="auto" w:val="clear"/>
        </w:rPr>
      </w:pPr>
      <w:r>
        <w:rPr>
          <w:rFonts w:ascii="Calibri" w:hAnsi="Calibri" w:cs="Calibri" w:eastAsia="Calibri"/>
          <w:b/>
          <w:color w:val="333333"/>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Myocardial infarction (MI) represents one of the significant causes of death and</w:t>
      </w:r>
      <w:r>
        <w:rPr>
          <w:rFonts w:ascii="Calibri" w:hAnsi="Calibri" w:cs="Calibri" w:eastAsia="Calibri"/>
          <w:color w:val="auto"/>
          <w:spacing w:val="0"/>
          <w:position w:val="0"/>
          <w:sz w:val="24"/>
          <w:shd w:fill="auto" w:val="clear"/>
        </w:rPr>
        <w:t xml:space="preserve"> disability worldwide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333333"/>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Despite timely reperfusion, </w:t>
      </w:r>
      <w:r>
        <w:rPr>
          <w:rFonts w:ascii="Calibri" w:hAnsi="Calibri" w:cs="Calibri" w:eastAsia="Calibri"/>
          <w:color w:val="333333"/>
          <w:spacing w:val="0"/>
          <w:position w:val="0"/>
          <w:sz w:val="24"/>
          <w:shd w:fill="auto" w:val="clear"/>
        </w:rPr>
        <w:t xml:space="preserve">there is currently a lack of effective therapies to treat post-MI cardiac remodeling. Correspondingly, considerable efforts have been made to mechanistic exploration and therapy exploitation for MI</w:t>
      </w:r>
      <w:r>
        <w:rPr>
          <w:rFonts w:ascii="Calibri" w:hAnsi="Calibri" w:cs="Calibri" w:eastAsia="Calibri"/>
          <w:color w:val="333333"/>
          <w:spacing w:val="0"/>
          <w:position w:val="0"/>
          <w:sz w:val="24"/>
          <w:shd w:fill="auto" w:val="clear"/>
          <w:vertAlign w:val="superscript"/>
        </w:rPr>
        <w:t xml:space="preserve">6-8</w:t>
      </w:r>
      <w:r>
        <w:rPr>
          <w:rFonts w:ascii="Calibri" w:hAnsi="Calibri" w:cs="Calibri" w:eastAsia="Calibri"/>
          <w:color w:val="333333"/>
          <w:spacing w:val="0"/>
          <w:position w:val="0"/>
          <w:sz w:val="24"/>
          <w:shd w:fill="auto" w:val="clear"/>
        </w:rPr>
        <w:t xml:space="preserve">. Of note, the establishment of MI models is a prerequisite to meet these 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w:t>
      </w:r>
      <w:r>
        <w:rPr>
          <w:rFonts w:ascii="Calibri" w:hAnsi="Calibri" w:cs="Calibri" w:eastAsia="Calibri"/>
          <w:color w:val="333333"/>
          <w:spacing w:val="0"/>
          <w:position w:val="0"/>
          <w:sz w:val="24"/>
          <w:shd w:fill="auto" w:val="clear"/>
        </w:rPr>
        <w:t xml:space="preserve">methods (e.g., isoproterenol treatment, cryoinjury,</w:t>
      </w:r>
      <w:r>
        <w:rPr>
          <w:rFonts w:ascii="Calibri" w:hAnsi="Calibri" w:cs="Calibri" w:eastAsia="Calibri"/>
          <w:color w:val="auto"/>
          <w:spacing w:val="0"/>
          <w:position w:val="0"/>
          <w:sz w:val="24"/>
          <w:shd w:fill="auto" w:val="clear"/>
        </w:rPr>
        <w:t xml:space="preserve"> coronary artery ligation, etc.) have been proposed to induce MI models in small animals. Isoproterenol treatment is a simple method for MI induction, but it cannot induce infarction of the targeted area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Cryoinjury leads to myocardial necrosis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generation of ice crystals and disruption of the cell membrane rather than direct ischemia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By contrast, coronary artery ligation permits precise control of occlusion site and extent of infarct area and faithfully recapitulates remodeling response following infarction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Coronary artery ligation is typically performed following intubation, mechanical ventilation, and thoracotomy, which is technically challenging</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Several modified protocols for coronary artery ligation (eg., ventilation free) were reported and potentiated the induction of MI, but commercial apparatus is required</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333333"/>
          <w:spacing w:val="0"/>
          <w:position w:val="0"/>
          <w:sz w:val="24"/>
          <w:shd w:fill="auto" w:val="clear"/>
        </w:rPr>
        <w:t xml:space="preserve">. These issues pose a significant financial and technical barrier for groups wishing to engage in research using MI models. This report presents a unique approach f</w:t>
      </w:r>
      <w:r>
        <w:rPr>
          <w:rFonts w:ascii="Calibri" w:hAnsi="Calibri" w:cs="Calibri" w:eastAsia="Calibri"/>
          <w:color w:val="auto"/>
          <w:spacing w:val="0"/>
          <w:position w:val="0"/>
          <w:sz w:val="24"/>
          <w:shd w:fill="auto" w:val="clear"/>
        </w:rPr>
        <w:t xml:space="preserve">or induction of MI in mice. The current method is easy, timesaving, and uses surgical tools and equipment</w:t>
      </w:r>
      <w:r>
        <w:rPr>
          <w:rFonts w:ascii="Calibri" w:hAnsi="Calibri" w:cs="Calibri" w:eastAsia="Calibri"/>
          <w:color w:val="333333"/>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found readily in most laboratories.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involving animal work are performed with all necessary approvals from the Laboratory Animal Welfare Ethics Committee of Renji Hospital, Shanghai Jiao Tong University, School of Medicine (R52021-0506). </w:t>
      </w:r>
      <w:r>
        <w:rPr>
          <w:rFonts w:ascii="Calibri" w:hAnsi="Calibri" w:cs="Calibri" w:eastAsia="Calibri"/>
          <w:color w:val="000000"/>
          <w:spacing w:val="0"/>
          <w:position w:val="0"/>
          <w:sz w:val="24"/>
          <w:shd w:fill="auto" w:val="clear"/>
        </w:rPr>
        <w:t xml:space="preserve">Female and</w:t>
      </w:r>
      <w:r>
        <w:rPr>
          <w:rFonts w:ascii="Calibri" w:hAnsi="Calibri" w:cs="Calibri" w:eastAsia="Calibri"/>
          <w:color w:val="auto"/>
          <w:spacing w:val="0"/>
          <w:position w:val="0"/>
          <w:sz w:val="24"/>
          <w:shd w:fill="auto" w:val="clear"/>
        </w:rPr>
        <w:t xml:space="preserve"> male C57BL/6J mice aged between 8-10 weeks were used in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the simplified anesthesia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Take a 15 mL centrifuge tube, and make a cut perpendicular to the long axis of the tube about 3 cm from the opening (</w:t>
      </w:r>
      <w:r>
        <w:rPr>
          <w:rFonts w:ascii="Calibri" w:hAnsi="Calibri" w:cs="Calibri" w:eastAsia="Calibri"/>
          <w:b/>
          <w:color w:val="auto"/>
          <w:spacing w:val="0"/>
          <w:position w:val="0"/>
          <w:sz w:val="24"/>
          <w:shd w:fill="FFFF00" w:val="clear"/>
        </w:rPr>
        <w:t xml:space="preserve">Figure 1A-a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cut is greater than half of the circular circumference of the tube lumen so that the valve can be successfully inserted.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Drill holes (diameter, 2 mm) at the centrifuge tube wall between the cut and the tube opening (</w:t>
      </w:r>
      <w:r>
        <w:rPr>
          <w:rFonts w:ascii="Calibri" w:hAnsi="Calibri" w:cs="Calibri" w:eastAsia="Calibri"/>
          <w:b/>
          <w:color w:val="auto"/>
          <w:spacing w:val="0"/>
          <w:position w:val="0"/>
          <w:sz w:val="24"/>
          <w:shd w:fill="FFFF00" w:val="clear"/>
        </w:rPr>
        <w:t xml:space="preserve">Figure 1A-a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Cut a suitably sized piece of the valve from a plastic sheet and insert the valve into the cut on the tube wall (</w:t>
      </w:r>
      <w:r>
        <w:rPr>
          <w:rFonts w:ascii="Calibri" w:hAnsi="Calibri" w:cs="Calibri" w:eastAsia="Calibri"/>
          <w:b/>
          <w:color w:val="auto"/>
          <w:spacing w:val="0"/>
          <w:position w:val="0"/>
          <w:sz w:val="24"/>
          <w:shd w:fill="FFFF00" w:val="clear"/>
        </w:rPr>
        <w:t xml:space="preserve">Figure 1A-a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valve can be used to control the release rate of isoflurane by changing the depth of the insertion.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Fill the bottom of the tube with a cotton ball; add 0.5 mL of isoflurane (as obtained,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the cotton ball and close the valve.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Test the anesthesia efficacy by masking the mice with tubes prepared as described above. Monitor the breathing rate and anesthesia depth by toe pinch response.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breathing rate less than 10 times/10 s suggests excessive anesthesia, and the insertion depth of the valve should be adjusted. In the current study, the tube with 20 holes was used for subsequent study. For all the procedures involving anesthesia, a gas filter filled with activated charcoal sheets must be used (</w:t>
      </w:r>
      <w:r>
        <w:rPr>
          <w:rFonts w:ascii="Calibri" w:hAnsi="Calibri" w:cs="Calibri" w:eastAsia="Calibri"/>
          <w:b/>
          <w:color w:val="auto"/>
          <w:spacing w:val="0"/>
          <w:position w:val="0"/>
          <w:sz w:val="24"/>
          <w:shd w:fill="auto" w:val="clear"/>
        </w:rPr>
        <w:t xml:space="preserve">Figure 1A-j</w:t>
      </w:r>
      <w:r>
        <w:rPr>
          <w:rFonts w:ascii="Calibri" w:hAnsi="Calibri" w:cs="Calibri" w:eastAsia="Calibri"/>
          <w:color w:val="auto"/>
          <w:spacing w:val="0"/>
          <w:position w:val="0"/>
          <w:sz w:val="24"/>
          <w:shd w:fill="auto" w:val="clear"/>
        </w:rPr>
        <w:t xml:space="preserve">), and surgery should be performed within a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Operative preparation and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and sterilize all the required instruments on the day of surgery, including a pair of forceps, a micro-mosquito hemostat, a pair of surgical scissors, two pairs of needle holders, 4-0 silk surgical suture, 6-0 silk surgical suture, a gas filter, and a light source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Put on a surgical mask and sterile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Apply the depilatory cream to the mouse chest and wait for 1 min. Gently wipe off the depilatory cream and hair with wet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Hold the mouse with the dominant hand after depilation, open the valve in the anesthesia tube and mask the mouse with the tube. Confirm adequate anesthesia by the lack of toe pinch response.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Masking the mouse with the anesthesia tube for about 15 s will be adequate to induce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Apply sterile eye cream to both eyes to prevent corneal dryness.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Secure the mice on a surgery platform in the supine position. Apply povidone-iodine swabs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chest three times and cover the disinfected chest with a sterile drape.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Induction of myocardial infarction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Change the contaminated gloves to ensure sterility.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Make a 0.5 cm skin cut along the line connecting the xiphoid and armpit.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Bluntly separate the pectoral major and pectoral minor muscles using forceps and a micro-mosquito hemostat to expose the fourth intercostal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Open the fourth intercostal space using a micro-mosquito hemostat.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Externalize the heart by pushing the heart toward the fourth intercostal space with the index finger of the left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Secure the heart with the left hand, and ligate the left anterior descending branch with a 6-0 suture 3 mm from its origin.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heart back into the thoracic cavity quickly.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safe to externalize the heart for less than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Evacuate the air out of the thoracic cavity by a gentle press of the chest cavity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Close the skin with a 4-0 silk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Place the mice on a pad (37 &amp;#176;C) immediately after the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Return the operated mice to cages when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mice will be fully recovered within 3-5 min after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Inject buprenorphine (3 mg/kg) subcutaneously twice a day to reduce post-operative pain for the first 48 h after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Harvesting the tissues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Sacrifice the mice at different time points after MI establishment by cervical dislocation.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Secure the sacrificed mice on the surgery platform in the supine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Make a ventral incision (~3-4 cm) in the upper abdomen. Cut off the ribs from both sides of the thorax cavity, and remove the diaphragm.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Perfuse the heart with 10 mL cold phosphate-buffered saline (1x PBS, 4 &amp;#176;C) through intraventricular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Collect the heart by cutting off the aortic root and immediately store the heart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authors' experience, it is feasible to perform TTC staining within two weeks of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Stain the heart with 2,3,5-Triphenyte-trazoliumchloride (TTC).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Slice the frozen heart into 1 mm thick sections on ice using razor blades.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Incubate the prepared heart slices in 1% TTC solution (dissolved in 1x PBS) at 37 &amp;#176;C for 10-15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15 min incubation, discard the TTC solution and immerse the stained heart slices into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Photograph the slices using a digital camera.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and some of the critical steps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simplified anesthesia equipment induced anesthesia.</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anesthesia was stable, as reflected by the regular breathing rates (varied from 90-107</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breaths/min in the tested mice). </w:t>
      </w:r>
      <w:r>
        <w:rPr>
          <w:rFonts w:ascii="Calibri" w:hAnsi="Calibri" w:cs="Calibri" w:eastAsia="Calibri"/>
          <w:color w:val="333333"/>
          <w:spacing w:val="0"/>
          <w:position w:val="0"/>
          <w:sz w:val="24"/>
          <w:shd w:fill="auto" w:val="clear"/>
        </w:rPr>
        <w:t xml:space="preserve">Following coronary artery ligation, </w:t>
      </w:r>
      <w:r>
        <w:rPr>
          <w:rFonts w:ascii="Calibri" w:hAnsi="Calibri" w:cs="Calibri" w:eastAsia="Calibri"/>
          <w:color w:val="auto"/>
          <w:spacing w:val="0"/>
          <w:position w:val="0"/>
          <w:sz w:val="24"/>
          <w:shd w:fill="auto" w:val="clear"/>
        </w:rPr>
        <w:t xml:space="preserve">TTC staining analysis indicated successful induction of myocardial infarction and temporal changes of post-MI scar size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Meanwhile, survival analysis results showed overt mortality within 7 days after MI</w:t>
      </w:r>
      <w:r>
        <w:rPr>
          <w:rFonts w:ascii="Calibri" w:hAnsi="Calibri" w:cs="Calibri" w:eastAsia="Calibri"/>
          <w:color w:val="000000"/>
          <w:spacing w:val="0"/>
          <w:position w:val="0"/>
          <w:sz w:val="24"/>
          <w:shd w:fill="auto" w:val="clear"/>
        </w:rPr>
        <w:t xml:space="preserve"> in male and female </w:t>
      </w:r>
      <w:r>
        <w:rPr>
          <w:rFonts w:ascii="Calibri" w:hAnsi="Calibri" w:cs="Calibri" w:eastAsia="Calibri"/>
          <w:color w:val="auto"/>
          <w:spacing w:val="0"/>
          <w:position w:val="0"/>
          <w:sz w:val="24"/>
          <w:shd w:fill="auto" w:val="clear"/>
        </w:rPr>
        <w:t xml:space="preserve">C57BL/6J mice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Ventricular rupture (56% in male mice; 40% in female mice) was a common reason for post-MI death. Moreover, post-MI echocardiographic assessment demonstrated successful induction of contractile dysfunction and ventricular remodeling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Materials and critical steps in the modified methods for MI induction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Surgical instruments and materials needed for this protocol.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simplified anesthesia device was made from a 15 mL centrifuge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 silk suture.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 silk suture.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Forceps.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Scissors. (</w:t>
      </w:r>
      <w:r>
        <w:rPr>
          <w:rFonts w:ascii="Calibri" w:hAnsi="Calibri" w:cs="Calibri" w:eastAsia="Calibri"/>
          <w:b/>
          <w:color w:val="auto"/>
          <w:spacing w:val="0"/>
          <w:position w:val="0"/>
          <w:sz w:val="24"/>
          <w:shd w:fill="auto" w:val="clear"/>
        </w:rPr>
        <w:t xml:space="preserve">f-g</w:t>
      </w:r>
      <w:r>
        <w:rPr>
          <w:rFonts w:ascii="Calibri" w:hAnsi="Calibri" w:cs="Calibri" w:eastAsia="Calibri"/>
          <w:color w:val="auto"/>
          <w:spacing w:val="0"/>
          <w:position w:val="0"/>
          <w:sz w:val="24"/>
          <w:shd w:fill="auto" w:val="clear"/>
        </w:rPr>
        <w:t xml:space="preserve">) Needle holders.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Micro-mosquito hemostat.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Light source.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Gas filter.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showing key steps for inducing MI in mice.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mouse is held with the dominant hand after depilation, and anesthesia was induced by masking the mouse with the anesthesia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mouse was secured, and povidone-iodine was applied to the surgical site.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surgical site is draped.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0.5 cm cut at the surgical site.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Exposed ribs. The arrow indicates the ribs.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Dissected the pectoral major and pectoral minor muscles to expose the fourth intercostal space.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Externalized heart. (</w:t>
      </w:r>
      <w:r>
        <w:rPr>
          <w:rFonts w:ascii="Calibri" w:hAnsi="Calibri" w:cs="Calibri" w:eastAsia="Calibri"/>
          <w:b/>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Ligated LAD with a 6-0 silk suture. The arrow indicates LAD.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heart is placed back into the chest cavity.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Air was evacuated from the thoracic cavity.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The skin closed with 4-0 silk sutures.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Histological and functional changes after coronary artery ligation.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Breathing rates in mice anesthetized by the simplified anesthesia equipment (n=10).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TTC staining results of heart slices (4 slices from each heart) were collected at different time points post-MI. The white area indicated an infarcted area, and the red area revealed viable myocardium.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Kaplan-Meier curve shows the post-MI mortality rate in male mice (n=20 per group).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Kaplan-Meier curve shows the post-MI mortality rate in female mice (n=20 per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echocardiographic analysis at different time points after MI (sham, 3 days, 7 days, 21 days, and 28 days post-MI).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quantitative analysis of the left ventricular ejection fraction (LVEF), left ventricular fractional shortening (LVFS), left ventricular end-systolic diameter (LVsD), and left ventricular end-diastolic dimension (LVdD) values among the indicated groups (n=5 per group). **p&amp;lt;0.01 or ***p&amp;lt;0.001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##p&amp;lt;0.01 or ###p&amp;lt;0.001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3 days post MI. One-way analysis of variance with posthoc Tukey HSD (Honestly Significant Difference) test was performed for statistical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report demonstrated a new protocol for MI induction in mice with readily available materials, which was modified from a method reported by Gao</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Murine MI models are indispensable for mechanistic exploration and drug screen for post-MI dysfunction and remodeling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Among the existing techniques for MI induction, coronary artery ligation represents the most commonly practiced one. Coronary artery ligation faithfully recapitulates the ischemia nature of myocardial infarction and leads to a scar healing and remodeling response similar to the clinical scenari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H</w:t>
      </w:r>
      <w:r>
        <w:rPr>
          <w:rFonts w:ascii="Calibri" w:hAnsi="Calibri" w:cs="Calibri" w:eastAsia="Calibri"/>
          <w:color w:val="auto"/>
          <w:spacing w:val="0"/>
          <w:position w:val="0"/>
          <w:sz w:val="24"/>
          <w:shd w:fill="auto" w:val="clear"/>
        </w:rPr>
        <w:t xml:space="preserve">owever, the conventional protocol for coronary artery ligation involves intubation, ventilation, and a wide opening of the chest, which is technically challenging and time-consuming. Over the past years, different protocols for coronary artery ligation have been reported and potentiated the establishment of MI to some extent</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current study presented a simple and efficient protocol using surgical tools and equipment</w:t>
      </w:r>
      <w:r>
        <w:rPr>
          <w:rFonts w:ascii="Calibri" w:hAnsi="Calibri" w:cs="Calibri" w:eastAsia="Calibri"/>
          <w:color w:val="333333"/>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readily found in most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optimal performance in practicing this method, several key steps are worth noting. To externalize the heart, the chest cavity should not be squeezed fiercely, which would negatively affect the coronary blood flow and obscure the coronary artery, leading to the invisibility of the coronary artery and failure of LAD ligation. Moreover, this may result in severe lung injury. For most cases, a gentle push against the right side of the chest wall will successfully externalize the heart through the opened intercostal space. Occasionally, a feeling of resistance during heart externalization may indicate a mismatch of the heart apex and the intercostal opening. This may be addressed by slight movements of the micro-mosquito hemostat along the midaxillary line. Another critical point is the adequate evacuation of the residual air in the thorax cavity before suturing the skin. Failing to do so will increase post-operative mortality due to pneumothorax.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methods for coronary ligation require intubation, mechanical ventilation, ribs being cut, and are not easy for coronary artery identification due to high heart rate. These issues dramatically prolong the operation time and increase operation-related mortality. Compared to conventional methods, the modified protocol presents the following advantages: (1) it is free from ventilation, which is one of the causes of operation-related death in conventional practice; (2) it is timesaving (i.e., it takes approximately 3 min from anesthesia, LAD ligation to successful skin suturing); (3) the surgical tools and materials</w:t>
      </w:r>
      <w:r>
        <w:rPr>
          <w:rFonts w:ascii="Calibri" w:hAnsi="Calibri" w:cs="Calibri" w:eastAsia="Calibri"/>
          <w:color w:val="333333"/>
          <w:spacing w:val="0"/>
          <w:position w:val="0"/>
          <w:sz w:val="24"/>
          <w:shd w:fill="auto" w:val="clear"/>
        </w:rPr>
        <w:t xml:space="preserve"> required are </w:t>
      </w:r>
      <w:r>
        <w:rPr>
          <w:rFonts w:ascii="Calibri" w:hAnsi="Calibri" w:cs="Calibri" w:eastAsia="Calibri"/>
          <w:color w:val="auto"/>
          <w:spacing w:val="0"/>
          <w:position w:val="0"/>
          <w:sz w:val="24"/>
          <w:shd w:fill="auto" w:val="clear"/>
        </w:rPr>
        <w:t xml:space="preserve">readily available in most laboratories. However, a significant limitation of this unique method is the limited time allowed for LAD ligation after heart externalization due to the lack of mechanical ventilation support. Thus, high mortality caused by pneumothorax may be expected for beginners. Based on the authors' experience, heart externalization for less than 30 s is well tolerated by all the tested mice. This time window is adequate for an experienced technician to finish MI induction with low perioperative mortality (&amp;lt;5%).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Natural Science Foundation of China (81930007, 81625002, 81800307, 81470389, 81500221, 81770238), the Shanghai Outstanding Academic Leaders Program (18XD1402400), the Science and Technology Commission of Shanghai Municipality (201409005200), Shanghai Pujiang Talent Program (2020PJD030), and China Postdoctoral Science Foundation (2020M671161, BX20190216).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Fu,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simple and efficient method for in vivo cardiac-specific gene manipulation by intramyocardial injection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e57074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Pell, S., Fayerweather, W. E. Trends in the incidence of myocardial infarction and in associated mortality and morbidity in a large employed population, 1957-1983.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(16), 1005-1011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Ramunddal, T., Gizurarson, S., Lorentzon, M., Omerovic, E. Antiarrhythmic effects of growth hormone--in vivo evidence from small-animal models of acute myocardial infarction and invasive electrophysiology. </w:t>
      </w:r>
      <w:r>
        <w:rPr>
          <w:rFonts w:ascii="Calibri" w:hAnsi="Calibri" w:cs="Calibri" w:eastAsia="Calibri"/>
          <w:i/>
          <w:color w:val="auto"/>
          <w:spacing w:val="0"/>
          <w:position w:val="0"/>
          <w:sz w:val="24"/>
          <w:shd w:fill="auto" w:val="clear"/>
        </w:rPr>
        <w:t xml:space="preserve">Journal of Electrocardiology.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144-151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Tabrizchi, R. &amp;#946;-blocker therapy after acute myocardial infarction. </w:t>
      </w:r>
      <w:r>
        <w:rPr>
          <w:rFonts w:ascii="Calibri" w:hAnsi="Calibri" w:cs="Calibri" w:eastAsia="Calibri"/>
          <w:i/>
          <w:color w:val="auto"/>
          <w:spacing w:val="0"/>
          <w:position w:val="0"/>
          <w:sz w:val="24"/>
          <w:shd w:fill="auto" w:val="clear"/>
        </w:rPr>
        <w:t xml:space="preserve">Expert Review of Cardiovascular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293-296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Virani,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Heart disease and stroke statistics-2020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 </w:t>
      </w:r>
      <w:r>
        <w:rPr>
          <w:rFonts w:ascii="Calibri" w:hAnsi="Calibri" w:cs="Calibri" w:eastAsia="Calibri"/>
          <w:color w:val="auto"/>
          <w:spacing w:val="0"/>
          <w:position w:val="0"/>
          <w:sz w:val="24"/>
          <w:shd w:fill="auto" w:val="clear"/>
        </w:rPr>
        <w:t xml:space="preserve">(9), e139-e596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Cahill, T. J., Choudhury, R. P., Riley, P. R. Heart regeneration and repair after myocardial infarction: Translational opportunities for novel therapeutics.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699-717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Froese,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Anti-androgenic therapy with finasteride improves cardiac function, attenuates remodeling and reverts pathologic gene-expression after myocardial infarction in mice.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114-124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Defective branched chain amino acid catabolism contributes to cardiac dysfunction and remodeling following myocardial infarction.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(5), H1160-H1169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Acikel,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Protective effects of dantrolene against myocardial injury induced by isoproterenol in rats: Biochemical and histological findings.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389-394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den Bos, E. J., Mees, B. M. E., de Waard, M. C., de Crom, R., Duncker, D. J. A novel model of cryoinjury-induced myocardial infarction in the mouse: A comparison with coronary artery ligation.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 H1291-H1300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Demonstration of an early and a late phase of ischemic preconditioning in mice.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(4), H1375-H1387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Kumar,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Animal models of myocardial infarction: Mainstay in clinical translation. </w:t>
      </w:r>
      <w:r>
        <w:rPr>
          <w:rFonts w:ascii="Calibri" w:hAnsi="Calibri" w:cs="Calibri" w:eastAsia="Calibri"/>
          <w:i/>
          <w:color w:val="auto"/>
          <w:spacing w:val="0"/>
          <w:position w:val="0"/>
          <w:sz w:val="24"/>
          <w:shd w:fill="auto" w:val="clear"/>
        </w:rPr>
        <w:t xml:space="preserve">Regulatory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221-230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Das, S., MacDonald, K., Chang, H. Y., Mitzner, W. A simple method of mouse lung intubation.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e50318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Johns, T. N., Olson, B. J. Experimental myocardial infarction. I. A method of coronary occlusion in small animals.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(5), 675-682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Ahn,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Induction of myocardial infarcts of a predictable size and location by branch pattern probability-assisted coronary ligation in C57BL/6 mice.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(3), H1201-1207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Gao, E., Koch, W. J. A novel and efficient model of coronary artery ligation in the mouse.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1037</w:t>
      </w:r>
      <w:r>
        <w:rPr>
          <w:rFonts w:ascii="Calibri" w:hAnsi="Calibri" w:cs="Calibri" w:eastAsia="Calibri"/>
          <w:color w:val="auto"/>
          <w:spacing w:val="0"/>
          <w:position w:val="0"/>
          <w:sz w:val="24"/>
          <w:shd w:fill="auto" w:val="clear"/>
        </w:rPr>
        <w:t xml:space="preserve">, 299-311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Most,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Cardiac S100A1 protein levels determine contractile performance and propensity toward heart failure after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(12), 1258-1268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Christia, P. et al. Systematic characterization of myocardial inflammation, repair, and remodeling in a mouse model of reperfused myocardial infarction. </w:t>
      </w:r>
      <w:r>
        <w:rPr>
          <w:rFonts w:ascii="Calibri" w:hAnsi="Calibri" w:cs="Calibri" w:eastAsia="Calibri"/>
          <w:i/>
          <w:color w:val="auto"/>
          <w:spacing w:val="0"/>
          <w:position w:val="0"/>
          <w:sz w:val="24"/>
          <w:shd w:fill="auto" w:val="clear"/>
        </w:rPr>
        <w:t xml:space="preserve">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555-570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Frantz, S., Bauersachs, J., Ertl, G. Post-infarct remodelling: Contribution of wound healing and inflammation.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474-481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