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88CBA" w14:textId="4A3A4B70" w:rsidR="00334647" w:rsidRPr="00B573DA" w:rsidRDefault="00334647" w:rsidP="00B573DA">
      <w:pPr>
        <w:pStyle w:val="NormalWeb"/>
        <w:jc w:val="center"/>
        <w:rPr>
          <w:rFonts w:ascii="Arial" w:hAnsi="Arial" w:cs="Arial"/>
          <w:b/>
          <w:bCs/>
          <w:color w:val="2F5496" w:themeColor="accent1" w:themeShade="BF"/>
          <w:sz w:val="22"/>
          <w:szCs w:val="22"/>
        </w:rPr>
      </w:pPr>
      <w:r w:rsidRPr="00B573DA">
        <w:rPr>
          <w:rFonts w:ascii="Arial" w:hAnsi="Arial" w:cs="Arial"/>
          <w:b/>
          <w:bCs/>
          <w:color w:val="2F5496" w:themeColor="accent1" w:themeShade="BF"/>
          <w:sz w:val="22"/>
          <w:szCs w:val="22"/>
        </w:rPr>
        <w:t>Authors response to Editorial and Reviewer comments</w:t>
      </w:r>
    </w:p>
    <w:p w14:paraId="1E31DC84" w14:textId="24ADDF94" w:rsidR="00D13D85" w:rsidRDefault="00D13D85" w:rsidP="00342C84">
      <w:pPr>
        <w:pStyle w:val="NormalWeb"/>
        <w:jc w:val="both"/>
        <w:rPr>
          <w:rFonts w:ascii="Arial" w:hAnsi="Arial" w:cs="Arial"/>
          <w:color w:val="2F5496" w:themeColor="accent1" w:themeShade="BF"/>
          <w:sz w:val="22"/>
          <w:szCs w:val="22"/>
        </w:rPr>
      </w:pPr>
      <w:r w:rsidRPr="00D13D85">
        <w:rPr>
          <w:rFonts w:ascii="Arial" w:hAnsi="Arial" w:cs="Arial"/>
          <w:color w:val="2F5496" w:themeColor="accent1" w:themeShade="BF"/>
          <w:sz w:val="22"/>
          <w:szCs w:val="22"/>
        </w:rPr>
        <w:t xml:space="preserve">Thank you very much to the </w:t>
      </w:r>
      <w:r w:rsidR="00334647">
        <w:rPr>
          <w:rFonts w:ascii="Arial" w:hAnsi="Arial" w:cs="Arial"/>
          <w:color w:val="2F5496" w:themeColor="accent1" w:themeShade="BF"/>
          <w:sz w:val="22"/>
          <w:szCs w:val="22"/>
        </w:rPr>
        <w:t>E</w:t>
      </w:r>
      <w:r w:rsidRPr="00D13D85">
        <w:rPr>
          <w:rFonts w:ascii="Arial" w:hAnsi="Arial" w:cs="Arial"/>
          <w:color w:val="2F5496" w:themeColor="accent1" w:themeShade="BF"/>
          <w:sz w:val="22"/>
          <w:szCs w:val="22"/>
        </w:rPr>
        <w:t xml:space="preserve">ditor and </w:t>
      </w:r>
      <w:r w:rsidR="00334647">
        <w:rPr>
          <w:rFonts w:ascii="Arial" w:hAnsi="Arial" w:cs="Arial"/>
          <w:color w:val="2F5496" w:themeColor="accent1" w:themeShade="BF"/>
          <w:sz w:val="22"/>
          <w:szCs w:val="22"/>
        </w:rPr>
        <w:t>R</w:t>
      </w:r>
      <w:r w:rsidRPr="00D13D85">
        <w:rPr>
          <w:rFonts w:ascii="Arial" w:hAnsi="Arial" w:cs="Arial"/>
          <w:color w:val="2F5496" w:themeColor="accent1" w:themeShade="BF"/>
          <w:sz w:val="22"/>
          <w:szCs w:val="22"/>
        </w:rPr>
        <w:t xml:space="preserve">eviewers for their helpful suggestions and detailed feedback on our manuscript. We have addressed the points </w:t>
      </w:r>
      <w:r>
        <w:rPr>
          <w:rFonts w:ascii="Arial" w:hAnsi="Arial" w:cs="Arial"/>
          <w:color w:val="2F5496" w:themeColor="accent1" w:themeShade="BF"/>
          <w:sz w:val="22"/>
          <w:szCs w:val="22"/>
        </w:rPr>
        <w:t xml:space="preserve">as outlined below in our point-by-point </w:t>
      </w:r>
      <w:r w:rsidR="00334647">
        <w:rPr>
          <w:rFonts w:ascii="Arial" w:hAnsi="Arial" w:cs="Arial"/>
          <w:color w:val="2F5496" w:themeColor="accent1" w:themeShade="BF"/>
          <w:sz w:val="22"/>
          <w:szCs w:val="22"/>
        </w:rPr>
        <w:t>response</w:t>
      </w:r>
      <w:r>
        <w:rPr>
          <w:rFonts w:ascii="Arial" w:hAnsi="Arial" w:cs="Arial"/>
          <w:color w:val="2F5496" w:themeColor="accent1" w:themeShade="BF"/>
          <w:sz w:val="22"/>
          <w:szCs w:val="22"/>
        </w:rPr>
        <w:t>.</w:t>
      </w:r>
    </w:p>
    <w:p w14:paraId="47CF8103" w14:textId="3D66EA76" w:rsidR="003D722C" w:rsidRDefault="003D722C" w:rsidP="00342C84">
      <w:pPr>
        <w:pStyle w:val="NormalWeb"/>
        <w:jc w:val="both"/>
        <w:rPr>
          <w:rFonts w:ascii="Arial" w:hAnsi="Arial" w:cs="Arial"/>
          <w:color w:val="2F5496" w:themeColor="accent1" w:themeShade="BF"/>
          <w:sz w:val="22"/>
          <w:szCs w:val="22"/>
        </w:rPr>
      </w:pPr>
      <w:r>
        <w:rPr>
          <w:rFonts w:ascii="Arial" w:hAnsi="Arial" w:cs="Arial"/>
          <w:color w:val="2F5496" w:themeColor="accent1" w:themeShade="BF"/>
          <w:sz w:val="22"/>
          <w:szCs w:val="22"/>
        </w:rPr>
        <w:t>In brief, we have</w:t>
      </w:r>
      <w:r w:rsidR="00334647">
        <w:rPr>
          <w:rFonts w:ascii="Arial" w:hAnsi="Arial" w:cs="Arial"/>
          <w:color w:val="2F5496" w:themeColor="accent1" w:themeShade="BF"/>
          <w:sz w:val="22"/>
          <w:szCs w:val="22"/>
        </w:rPr>
        <w:t xml:space="preserve"> now:</w:t>
      </w:r>
    </w:p>
    <w:p w14:paraId="04A01FDF" w14:textId="303D8576" w:rsidR="006A019E" w:rsidRDefault="006A019E" w:rsidP="006A019E">
      <w:pPr>
        <w:pStyle w:val="NormalWeb"/>
        <w:numPr>
          <w:ilvl w:val="0"/>
          <w:numId w:val="1"/>
        </w:numPr>
        <w:jc w:val="both"/>
        <w:rPr>
          <w:rFonts w:ascii="Arial" w:hAnsi="Arial" w:cs="Arial"/>
          <w:color w:val="2F5496" w:themeColor="accent1" w:themeShade="BF"/>
          <w:sz w:val="22"/>
          <w:szCs w:val="22"/>
        </w:rPr>
      </w:pPr>
      <w:r>
        <w:rPr>
          <w:rFonts w:ascii="Arial" w:hAnsi="Arial" w:cs="Arial"/>
          <w:color w:val="2F5496" w:themeColor="accent1" w:themeShade="BF"/>
          <w:sz w:val="22"/>
          <w:szCs w:val="22"/>
        </w:rPr>
        <w:t>Updated our title to reflect the focus of the protocol on drug sensitivity profiling in EGFR-mutant NSCLC organoids</w:t>
      </w:r>
    </w:p>
    <w:p w14:paraId="0C004224" w14:textId="094281F0" w:rsidR="006A019E" w:rsidRDefault="006A019E" w:rsidP="006A019E">
      <w:pPr>
        <w:pStyle w:val="NormalWeb"/>
        <w:numPr>
          <w:ilvl w:val="0"/>
          <w:numId w:val="1"/>
        </w:numPr>
        <w:jc w:val="both"/>
        <w:rPr>
          <w:rFonts w:ascii="Arial" w:hAnsi="Arial" w:cs="Arial"/>
          <w:color w:val="2F5496" w:themeColor="accent1" w:themeShade="BF"/>
          <w:sz w:val="22"/>
          <w:szCs w:val="22"/>
        </w:rPr>
      </w:pPr>
      <w:r>
        <w:rPr>
          <w:rFonts w:ascii="Arial" w:hAnsi="Arial" w:cs="Arial"/>
          <w:color w:val="2F5496" w:themeColor="accent1" w:themeShade="BF"/>
          <w:sz w:val="22"/>
          <w:szCs w:val="22"/>
        </w:rPr>
        <w:t>Included a paragraph regarding organoid establishment linking to previously published work and methods we are using in collaboration with research partners (</w:t>
      </w:r>
      <w:r w:rsidR="00E57917">
        <w:rPr>
          <w:rFonts w:ascii="Arial" w:hAnsi="Arial" w:cs="Arial"/>
          <w:color w:val="2F5496" w:themeColor="accent1" w:themeShade="BF"/>
          <w:sz w:val="22"/>
          <w:szCs w:val="22"/>
        </w:rPr>
        <w:t>page 3, line 87-90</w:t>
      </w:r>
      <w:r>
        <w:rPr>
          <w:rFonts w:ascii="Arial" w:hAnsi="Arial" w:cs="Arial"/>
          <w:color w:val="2F5496" w:themeColor="accent1" w:themeShade="BF"/>
          <w:sz w:val="22"/>
          <w:szCs w:val="22"/>
        </w:rPr>
        <w:t>)</w:t>
      </w:r>
    </w:p>
    <w:p w14:paraId="6E954D26" w14:textId="13602852" w:rsidR="006A019E" w:rsidRDefault="006A019E" w:rsidP="006A019E">
      <w:pPr>
        <w:pStyle w:val="NormalWeb"/>
        <w:numPr>
          <w:ilvl w:val="0"/>
          <w:numId w:val="1"/>
        </w:numPr>
        <w:jc w:val="both"/>
        <w:rPr>
          <w:rFonts w:ascii="Arial" w:hAnsi="Arial" w:cs="Arial"/>
          <w:color w:val="2F5496" w:themeColor="accent1" w:themeShade="BF"/>
          <w:sz w:val="22"/>
          <w:szCs w:val="22"/>
        </w:rPr>
      </w:pPr>
      <w:r>
        <w:rPr>
          <w:rFonts w:ascii="Arial" w:hAnsi="Arial" w:cs="Arial"/>
          <w:color w:val="2F5496" w:themeColor="accent1" w:themeShade="BF"/>
          <w:sz w:val="22"/>
          <w:szCs w:val="22"/>
        </w:rPr>
        <w:t>Added a note regarding viability assessment of organoids during seeding (</w:t>
      </w:r>
      <w:r w:rsidR="00E57917">
        <w:rPr>
          <w:rFonts w:ascii="Arial" w:hAnsi="Arial" w:cs="Arial"/>
          <w:color w:val="2F5496" w:themeColor="accent1" w:themeShade="BF"/>
          <w:sz w:val="22"/>
          <w:szCs w:val="22"/>
        </w:rPr>
        <w:t>page 4, line 161-163</w:t>
      </w:r>
      <w:r>
        <w:rPr>
          <w:rFonts w:ascii="Arial" w:hAnsi="Arial" w:cs="Arial"/>
          <w:color w:val="2F5496" w:themeColor="accent1" w:themeShade="BF"/>
          <w:sz w:val="22"/>
          <w:szCs w:val="22"/>
        </w:rPr>
        <w:t>)</w:t>
      </w:r>
    </w:p>
    <w:p w14:paraId="555D5E80" w14:textId="045821A5" w:rsidR="006A019E" w:rsidRDefault="006A019E" w:rsidP="006A019E">
      <w:pPr>
        <w:pStyle w:val="NormalWeb"/>
        <w:numPr>
          <w:ilvl w:val="0"/>
          <w:numId w:val="1"/>
        </w:numPr>
        <w:jc w:val="both"/>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Presented new quantitative data for the </w:t>
      </w:r>
      <w:r w:rsidR="00334647">
        <w:rPr>
          <w:rFonts w:ascii="Arial" w:hAnsi="Arial" w:cs="Arial"/>
          <w:color w:val="2F5496" w:themeColor="accent1" w:themeShade="BF"/>
          <w:sz w:val="22"/>
          <w:szCs w:val="22"/>
        </w:rPr>
        <w:t xml:space="preserve">assessment </w:t>
      </w:r>
      <w:r>
        <w:rPr>
          <w:rFonts w:ascii="Arial" w:hAnsi="Arial" w:cs="Arial"/>
          <w:color w:val="2F5496" w:themeColor="accent1" w:themeShade="BF"/>
          <w:sz w:val="22"/>
          <w:szCs w:val="22"/>
        </w:rPr>
        <w:t xml:space="preserve">of organoid size, a comparison to a second organoid model and </w:t>
      </w:r>
      <w:r w:rsidR="00334647">
        <w:rPr>
          <w:rFonts w:ascii="Arial" w:hAnsi="Arial" w:cs="Arial"/>
          <w:color w:val="2F5496" w:themeColor="accent1" w:themeShade="BF"/>
          <w:sz w:val="22"/>
          <w:szCs w:val="22"/>
        </w:rPr>
        <w:t xml:space="preserve">images </w:t>
      </w:r>
      <w:r>
        <w:rPr>
          <w:rFonts w:ascii="Arial" w:hAnsi="Arial" w:cs="Arial"/>
          <w:color w:val="2F5496" w:themeColor="accent1" w:themeShade="BF"/>
          <w:sz w:val="22"/>
          <w:szCs w:val="22"/>
        </w:rPr>
        <w:t>of original cultures prior to dissociation and seeding in Figure 1B</w:t>
      </w:r>
    </w:p>
    <w:p w14:paraId="423DB3CB" w14:textId="49D7484D" w:rsidR="006A019E" w:rsidRDefault="006A019E" w:rsidP="006A019E">
      <w:pPr>
        <w:pStyle w:val="NormalWeb"/>
        <w:numPr>
          <w:ilvl w:val="0"/>
          <w:numId w:val="1"/>
        </w:numPr>
        <w:jc w:val="both"/>
        <w:rPr>
          <w:rFonts w:ascii="Arial" w:hAnsi="Arial" w:cs="Arial"/>
          <w:color w:val="2F5496" w:themeColor="accent1" w:themeShade="BF"/>
          <w:sz w:val="22"/>
          <w:szCs w:val="22"/>
        </w:rPr>
      </w:pPr>
      <w:r>
        <w:rPr>
          <w:rFonts w:ascii="Arial" w:hAnsi="Arial" w:cs="Arial"/>
          <w:color w:val="2F5496" w:themeColor="accent1" w:themeShade="BF"/>
          <w:sz w:val="22"/>
          <w:szCs w:val="22"/>
        </w:rPr>
        <w:t>Expanded our discussion regarding organoid size assessment and doubling time (</w:t>
      </w:r>
      <w:r w:rsidR="00E57917">
        <w:rPr>
          <w:rFonts w:ascii="Arial" w:hAnsi="Arial" w:cs="Arial"/>
          <w:color w:val="2F5496" w:themeColor="accent1" w:themeShade="BF"/>
          <w:sz w:val="22"/>
          <w:szCs w:val="22"/>
        </w:rPr>
        <w:t>page 10, line 427-434</w:t>
      </w:r>
      <w:r>
        <w:rPr>
          <w:rFonts w:ascii="Arial" w:hAnsi="Arial" w:cs="Arial"/>
          <w:color w:val="2F5496" w:themeColor="accent1" w:themeShade="BF"/>
          <w:sz w:val="22"/>
          <w:szCs w:val="22"/>
        </w:rPr>
        <w:t>), increased standard deviations when assessing drug response in organoid models (</w:t>
      </w:r>
      <w:r w:rsidR="00E57917">
        <w:rPr>
          <w:rFonts w:ascii="Arial" w:hAnsi="Arial" w:cs="Arial"/>
          <w:color w:val="2F5496" w:themeColor="accent1" w:themeShade="BF"/>
          <w:sz w:val="22"/>
          <w:szCs w:val="22"/>
        </w:rPr>
        <w:t>page 10, line 446-451</w:t>
      </w:r>
      <w:r>
        <w:rPr>
          <w:rFonts w:ascii="Arial" w:hAnsi="Arial" w:cs="Arial"/>
          <w:color w:val="2F5496" w:themeColor="accent1" w:themeShade="BF"/>
          <w:sz w:val="22"/>
          <w:szCs w:val="22"/>
        </w:rPr>
        <w:t>), methods to profile combinatorial treatments (</w:t>
      </w:r>
      <w:r w:rsidR="00E57917">
        <w:rPr>
          <w:rFonts w:ascii="Arial" w:hAnsi="Arial" w:cs="Arial"/>
          <w:color w:val="2F5496" w:themeColor="accent1" w:themeShade="BF"/>
          <w:sz w:val="22"/>
          <w:szCs w:val="22"/>
        </w:rPr>
        <w:t>page 11, line 509-512</w:t>
      </w:r>
      <w:r>
        <w:rPr>
          <w:rFonts w:ascii="Arial" w:hAnsi="Arial" w:cs="Arial"/>
          <w:color w:val="2F5496" w:themeColor="accent1" w:themeShade="BF"/>
          <w:sz w:val="22"/>
          <w:szCs w:val="22"/>
        </w:rPr>
        <w:t>)</w:t>
      </w:r>
    </w:p>
    <w:p w14:paraId="078003B0" w14:textId="05C232C3" w:rsidR="006A019E" w:rsidRDefault="006A019E" w:rsidP="006A019E">
      <w:pPr>
        <w:pStyle w:val="NormalWeb"/>
        <w:numPr>
          <w:ilvl w:val="0"/>
          <w:numId w:val="1"/>
        </w:numPr>
        <w:jc w:val="both"/>
        <w:rPr>
          <w:rFonts w:ascii="Arial" w:hAnsi="Arial" w:cs="Arial"/>
          <w:color w:val="2F5496" w:themeColor="accent1" w:themeShade="BF"/>
          <w:sz w:val="22"/>
          <w:szCs w:val="22"/>
        </w:rPr>
      </w:pPr>
      <w:r>
        <w:rPr>
          <w:rFonts w:ascii="Arial" w:hAnsi="Arial" w:cs="Arial"/>
          <w:color w:val="2F5496" w:themeColor="accent1" w:themeShade="BF"/>
          <w:sz w:val="22"/>
          <w:szCs w:val="22"/>
        </w:rPr>
        <w:t>Removed commercial terminology and corrected the wording for matrigel to BME2 across the manuscript</w:t>
      </w:r>
    </w:p>
    <w:p w14:paraId="7BCEC372" w14:textId="06E5191D" w:rsidR="00343B8C" w:rsidRPr="00B573DA" w:rsidRDefault="00CA16D0" w:rsidP="00C852D9">
      <w:pPr>
        <w:pStyle w:val="NormalWeb"/>
        <w:rPr>
          <w:rFonts w:ascii="Arial" w:hAnsi="Arial" w:cs="Arial"/>
          <w:color w:val="2F5496" w:themeColor="accent1" w:themeShade="BF"/>
          <w:sz w:val="22"/>
          <w:szCs w:val="22"/>
        </w:rPr>
      </w:pPr>
      <w:r>
        <w:rPr>
          <w:rStyle w:val="Strong"/>
          <w:color w:val="FF0000"/>
        </w:rPr>
        <w:br/>
      </w:r>
      <w:r w:rsidR="00764EF3">
        <w:rPr>
          <w:rStyle w:val="Strong"/>
          <w:color w:val="FF0000"/>
        </w:rPr>
        <w:t>Editorial comments:</w:t>
      </w:r>
      <w:r w:rsidR="00764EF3">
        <w:br/>
        <w:t>Changes to be made by the Author(s):</w:t>
      </w:r>
      <w:r w:rsidR="00764EF3">
        <w:br/>
        <w:t>1. Please take this opportunity to thoroughly proofread the manuscript to ensure that there are no spelling or grammar issues.</w:t>
      </w:r>
      <w:r w:rsidR="00343B8C">
        <w:br/>
      </w:r>
      <w:r w:rsidR="00332E9F">
        <w:rPr>
          <w:rFonts w:ascii="Arial" w:hAnsi="Arial" w:cs="Arial"/>
          <w:color w:val="2F5496" w:themeColor="accent1" w:themeShade="BF"/>
          <w:sz w:val="22"/>
          <w:szCs w:val="22"/>
        </w:rPr>
        <w:t xml:space="preserve">Author response:  </w:t>
      </w:r>
      <w:r w:rsidR="00111B79" w:rsidRPr="00111B79">
        <w:rPr>
          <w:rFonts w:ascii="Arial" w:hAnsi="Arial" w:cs="Arial"/>
          <w:color w:val="2F5496" w:themeColor="accent1" w:themeShade="BF"/>
          <w:sz w:val="22"/>
          <w:szCs w:val="22"/>
        </w:rPr>
        <w:t xml:space="preserve">We have thoroughly proofread the manuscript. To the best of our knowledge, there are no spelling or grammatical errors. </w:t>
      </w:r>
    </w:p>
    <w:p w14:paraId="712AB70E" w14:textId="1378E62C" w:rsidR="00CF6350" w:rsidRDefault="00764EF3" w:rsidP="00C852D9">
      <w:pPr>
        <w:pStyle w:val="NormalWeb"/>
      </w:pPr>
      <w:r>
        <w:t>2. 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(including reagents, instruments, software, etc.). Please sort the Materials Table alphabetically by the name of the material</w:t>
      </w:r>
      <w:r w:rsidR="0098160E">
        <w:t xml:space="preserve"> </w:t>
      </w:r>
      <w:r w:rsidR="00CF6350">
        <w:br/>
      </w:r>
      <w:r w:rsidR="00332E9F">
        <w:rPr>
          <w:rFonts w:ascii="Arial" w:hAnsi="Arial" w:cs="Arial"/>
          <w:color w:val="2F5496" w:themeColor="accent1" w:themeShade="BF"/>
          <w:sz w:val="22"/>
          <w:szCs w:val="22"/>
        </w:rPr>
        <w:t>Author response:</w:t>
      </w:r>
      <w:r w:rsidR="00332E9F" w:rsidRPr="00332E9F">
        <w:rPr>
          <w:rFonts w:ascii="Arial" w:hAnsi="Arial" w:cs="Arial"/>
          <w:color w:val="2F5496" w:themeColor="accent1" w:themeShade="BF"/>
          <w:sz w:val="22"/>
          <w:szCs w:val="22"/>
        </w:rPr>
        <w:t xml:space="preserve">  </w:t>
      </w:r>
      <w:r w:rsidR="00CF6350">
        <w:rPr>
          <w:rFonts w:ascii="Arial" w:hAnsi="Arial" w:cs="Arial"/>
          <w:color w:val="2F5496" w:themeColor="accent1" w:themeShade="BF"/>
          <w:sz w:val="22"/>
          <w:szCs w:val="22"/>
        </w:rPr>
        <w:t xml:space="preserve">This has been corrected. </w:t>
      </w:r>
      <w:r w:rsidR="008722AC">
        <w:rPr>
          <w:rFonts w:ascii="Arial" w:hAnsi="Arial" w:cs="Arial"/>
          <w:color w:val="2F5496" w:themeColor="accent1" w:themeShade="BF"/>
          <w:sz w:val="22"/>
          <w:szCs w:val="22"/>
        </w:rPr>
        <w:t xml:space="preserve">Thank you. </w:t>
      </w:r>
      <w:r w:rsidR="00B87BF2">
        <w:rPr>
          <w:rFonts w:ascii="Arial" w:hAnsi="Arial" w:cs="Arial"/>
          <w:color w:val="2F5496" w:themeColor="accent1" w:themeShade="BF"/>
          <w:sz w:val="22"/>
          <w:szCs w:val="22"/>
        </w:rPr>
        <w:t xml:space="preserve">  </w:t>
      </w:r>
    </w:p>
    <w:p w14:paraId="7A40C065" w14:textId="3836F109" w:rsidR="00CE5143" w:rsidRDefault="00764EF3" w:rsidP="00CE5143">
      <w:pPr>
        <w:pStyle w:val="NormalWeb"/>
      </w:pPr>
      <w:r>
        <w:t>3. Please note that your protocol will be used to generate the script for the video and must contain everything that you would like shown in the video. Please ensure you answer the “how” question, i.e., how is the step performed? Alternatively, add references to published material specifying how to perform the protocol action. There should be enough detail in each step to supplement the actions seen in the video so that viewers can easily replicate the protocol.</w:t>
      </w:r>
      <w:r w:rsidR="00CF6350">
        <w:br/>
      </w:r>
      <w:r w:rsidR="00332E9F">
        <w:rPr>
          <w:rFonts w:ascii="Arial" w:hAnsi="Arial" w:cs="Arial"/>
          <w:color w:val="2F5496" w:themeColor="accent1" w:themeShade="BF"/>
          <w:sz w:val="22"/>
          <w:szCs w:val="22"/>
        </w:rPr>
        <w:t xml:space="preserve">Author response:  </w:t>
      </w:r>
      <w:r w:rsidR="00A63A71">
        <w:rPr>
          <w:rFonts w:ascii="Arial" w:hAnsi="Arial" w:cs="Arial"/>
          <w:color w:val="2F5496" w:themeColor="accent1" w:themeShade="BF"/>
          <w:sz w:val="22"/>
          <w:szCs w:val="22"/>
        </w:rPr>
        <w:t>We hope the</w:t>
      </w:r>
      <w:r w:rsidR="00CE5143">
        <w:rPr>
          <w:rFonts w:ascii="Arial" w:hAnsi="Arial" w:cs="Arial"/>
          <w:color w:val="2F5496" w:themeColor="accent1" w:themeShade="BF"/>
          <w:sz w:val="22"/>
          <w:szCs w:val="22"/>
        </w:rPr>
        <w:t xml:space="preserve"> protocol </w:t>
      </w:r>
      <w:r w:rsidR="00332E9F">
        <w:rPr>
          <w:rFonts w:ascii="Arial" w:hAnsi="Arial" w:cs="Arial"/>
          <w:color w:val="2F5496" w:themeColor="accent1" w:themeShade="BF"/>
          <w:sz w:val="22"/>
          <w:szCs w:val="22"/>
        </w:rPr>
        <w:t>provides</w:t>
      </w:r>
      <w:r w:rsidR="00CE5143">
        <w:rPr>
          <w:rFonts w:ascii="Arial" w:hAnsi="Arial" w:cs="Arial"/>
          <w:color w:val="2F5496" w:themeColor="accent1" w:themeShade="BF"/>
          <w:sz w:val="22"/>
          <w:szCs w:val="22"/>
        </w:rPr>
        <w:t xml:space="preserve"> enough detail to be replicated </w:t>
      </w:r>
      <w:r w:rsidR="00332E9F">
        <w:rPr>
          <w:rFonts w:ascii="Arial" w:hAnsi="Arial" w:cs="Arial"/>
          <w:color w:val="2F5496" w:themeColor="accent1" w:themeShade="BF"/>
          <w:sz w:val="22"/>
          <w:szCs w:val="22"/>
        </w:rPr>
        <w:t xml:space="preserve">easily </w:t>
      </w:r>
      <w:r w:rsidR="00CE5143">
        <w:rPr>
          <w:rFonts w:ascii="Arial" w:hAnsi="Arial" w:cs="Arial"/>
          <w:color w:val="2F5496" w:themeColor="accent1" w:themeShade="BF"/>
          <w:sz w:val="22"/>
          <w:szCs w:val="22"/>
        </w:rPr>
        <w:t>by reader</w:t>
      </w:r>
      <w:r w:rsidR="00332E9F">
        <w:rPr>
          <w:rFonts w:ascii="Arial" w:hAnsi="Arial" w:cs="Arial"/>
          <w:color w:val="2F5496" w:themeColor="accent1" w:themeShade="BF"/>
          <w:sz w:val="22"/>
          <w:szCs w:val="22"/>
        </w:rPr>
        <w:t>s.</w:t>
      </w:r>
    </w:p>
    <w:p w14:paraId="6203119D" w14:textId="2527930B" w:rsidR="00536A50" w:rsidRDefault="00764EF3" w:rsidP="00CE5143">
      <w:pPr>
        <w:pStyle w:val="NormalWeb"/>
      </w:pPr>
      <w:r>
        <w:lastRenderedPageBreak/>
        <w:t>4. Please add more details to your protocol steps:</w:t>
      </w:r>
    </w:p>
    <w:p w14:paraId="1707CBD1" w14:textId="36070F14" w:rsidR="00536A50" w:rsidRDefault="00764EF3" w:rsidP="00536A50">
      <w:pPr>
        <w:jc w:val="both"/>
        <w:rPr>
          <w:rFonts w:ascii="Arial" w:hAnsi="Arial" w:cs="Arial"/>
          <w:sz w:val="22"/>
          <w:szCs w:val="22"/>
        </w:rPr>
      </w:pPr>
      <w:r>
        <w:t>Step 1.3/2.2.2/4.1/4.2: Please remove the commercial term.</w:t>
      </w:r>
      <w:r w:rsidR="00C852D9" w:rsidRPr="00C852D9">
        <w:rPr>
          <w:rFonts w:ascii="Arial" w:hAnsi="Arial" w:cs="Arial"/>
          <w:sz w:val="22"/>
          <w:szCs w:val="22"/>
        </w:rPr>
        <w:t xml:space="preserve"> </w:t>
      </w:r>
    </w:p>
    <w:p w14:paraId="4C2B9F73" w14:textId="5CF72750" w:rsidR="00536A50" w:rsidRDefault="00332E9F" w:rsidP="00536A50">
      <w:pPr>
        <w:jc w:val="both"/>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Author response:  </w:t>
      </w:r>
      <w:r w:rsidR="00C852D9">
        <w:rPr>
          <w:rFonts w:ascii="Arial" w:hAnsi="Arial" w:cs="Arial"/>
          <w:color w:val="2F5496" w:themeColor="accent1" w:themeShade="BF"/>
          <w:sz w:val="22"/>
          <w:szCs w:val="22"/>
        </w:rPr>
        <w:t xml:space="preserve">This has been </w:t>
      </w:r>
      <w:r>
        <w:rPr>
          <w:rFonts w:ascii="Arial" w:hAnsi="Arial" w:cs="Arial"/>
          <w:color w:val="2F5496" w:themeColor="accent1" w:themeShade="BF"/>
          <w:sz w:val="22"/>
          <w:szCs w:val="22"/>
        </w:rPr>
        <w:t xml:space="preserve">done and </w:t>
      </w:r>
      <w:r w:rsidR="00C852D9">
        <w:rPr>
          <w:rFonts w:ascii="Arial" w:hAnsi="Arial" w:cs="Arial"/>
          <w:color w:val="2F5496" w:themeColor="accent1" w:themeShade="BF"/>
          <w:sz w:val="22"/>
          <w:szCs w:val="22"/>
        </w:rPr>
        <w:t>corrected. Thank you.</w:t>
      </w:r>
    </w:p>
    <w:p w14:paraId="6FE32890" w14:textId="4090D6BE" w:rsidR="00536A50" w:rsidRDefault="00C852D9" w:rsidP="00536A50">
      <w:pPr>
        <w:jc w:val="both"/>
      </w:pPr>
      <w:r>
        <w:br/>
      </w:r>
      <w:r w:rsidR="00764EF3">
        <w:t>Step 2.1: This step mentions the organoid culture dissociation. In which the culture was prepared and how? Please clarify.</w:t>
      </w:r>
    </w:p>
    <w:p w14:paraId="5DA400C5" w14:textId="4F1BBD89" w:rsidR="00536A50" w:rsidRDefault="00332E9F" w:rsidP="00536A50">
      <w:pPr>
        <w:jc w:val="both"/>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Author response:  </w:t>
      </w:r>
      <w:r w:rsidR="00536A50" w:rsidRPr="00536A50">
        <w:rPr>
          <w:rFonts w:ascii="Arial" w:hAnsi="Arial" w:cs="Arial"/>
          <w:color w:val="2F5496" w:themeColor="accent1" w:themeShade="BF"/>
          <w:sz w:val="22"/>
          <w:szCs w:val="22"/>
          <w:u w:val="single"/>
        </w:rPr>
        <w:t>Establishment of organoid culture:</w:t>
      </w:r>
      <w:r w:rsidR="00536A50">
        <w:rPr>
          <w:rFonts w:ascii="Arial" w:hAnsi="Arial" w:cs="Arial"/>
          <w:color w:val="2F5496" w:themeColor="accent1" w:themeShade="BF"/>
          <w:sz w:val="22"/>
          <w:szCs w:val="22"/>
        </w:rPr>
        <w:t xml:space="preserve"> We are </w:t>
      </w:r>
      <w:r>
        <w:rPr>
          <w:rFonts w:ascii="Arial" w:hAnsi="Arial" w:cs="Arial"/>
          <w:color w:val="2F5496" w:themeColor="accent1" w:themeShade="BF"/>
          <w:sz w:val="22"/>
          <w:szCs w:val="22"/>
        </w:rPr>
        <w:t>using de-identified</w:t>
      </w:r>
      <w:r w:rsidR="00023B3B">
        <w:rPr>
          <w:rFonts w:ascii="Arial" w:hAnsi="Arial" w:cs="Arial"/>
          <w:color w:val="2F5496" w:themeColor="accent1" w:themeShade="BF"/>
          <w:sz w:val="22"/>
          <w:szCs w:val="22"/>
        </w:rPr>
        <w:t xml:space="preserve"> </w:t>
      </w:r>
      <w:r w:rsidR="00536A50">
        <w:rPr>
          <w:rFonts w:ascii="Arial" w:hAnsi="Arial" w:cs="Arial"/>
          <w:color w:val="2F5496" w:themeColor="accent1" w:themeShade="BF"/>
          <w:sz w:val="22"/>
          <w:szCs w:val="22"/>
        </w:rPr>
        <w:t>clinical specimen</w:t>
      </w:r>
      <w:r w:rsidR="00023B3B">
        <w:rPr>
          <w:rFonts w:ascii="Arial" w:hAnsi="Arial" w:cs="Arial"/>
          <w:color w:val="2F5496" w:themeColor="accent1" w:themeShade="BF"/>
          <w:sz w:val="22"/>
          <w:szCs w:val="22"/>
        </w:rPr>
        <w:t>s</w:t>
      </w:r>
      <w:r w:rsidR="00536A50">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 xml:space="preserve">obtained on IRB-approved clinical protocols for PDO generation. </w:t>
      </w:r>
      <w:r w:rsidR="00C852D9" w:rsidRPr="00C852D9">
        <w:rPr>
          <w:rFonts w:ascii="Arial" w:hAnsi="Arial" w:cs="Arial"/>
          <w:color w:val="2F5496" w:themeColor="accent1" w:themeShade="BF"/>
          <w:sz w:val="22"/>
          <w:szCs w:val="22"/>
        </w:rPr>
        <w:t xml:space="preserve">The </w:t>
      </w:r>
      <w:r>
        <w:rPr>
          <w:rFonts w:ascii="Arial" w:hAnsi="Arial" w:cs="Arial"/>
          <w:color w:val="2F5496" w:themeColor="accent1" w:themeShade="BF"/>
          <w:sz w:val="22"/>
          <w:szCs w:val="22"/>
        </w:rPr>
        <w:t>establishment</w:t>
      </w:r>
      <w:r w:rsidRPr="00C852D9">
        <w:rPr>
          <w:rFonts w:ascii="Arial" w:hAnsi="Arial" w:cs="Arial"/>
          <w:color w:val="2F5496" w:themeColor="accent1" w:themeShade="BF"/>
          <w:sz w:val="22"/>
          <w:szCs w:val="22"/>
        </w:rPr>
        <w:t xml:space="preserve"> </w:t>
      </w:r>
      <w:r w:rsidR="00C852D9" w:rsidRPr="00C852D9">
        <w:rPr>
          <w:rFonts w:ascii="Arial" w:hAnsi="Arial" w:cs="Arial"/>
          <w:color w:val="2F5496" w:themeColor="accent1" w:themeShade="BF"/>
          <w:sz w:val="22"/>
          <w:szCs w:val="22"/>
        </w:rPr>
        <w:t xml:space="preserve">of lung cancer organoids from </w:t>
      </w:r>
      <w:r>
        <w:rPr>
          <w:rFonts w:ascii="Arial" w:hAnsi="Arial" w:cs="Arial"/>
          <w:color w:val="2F5496" w:themeColor="accent1" w:themeShade="BF"/>
          <w:sz w:val="22"/>
          <w:szCs w:val="22"/>
        </w:rPr>
        <w:t xml:space="preserve">these </w:t>
      </w:r>
      <w:r w:rsidR="00C852D9" w:rsidRPr="00C852D9">
        <w:rPr>
          <w:rFonts w:ascii="Arial" w:hAnsi="Arial" w:cs="Arial"/>
          <w:color w:val="2F5496" w:themeColor="accent1" w:themeShade="BF"/>
          <w:sz w:val="22"/>
          <w:szCs w:val="22"/>
        </w:rPr>
        <w:t>clinical specimens is performed in close collaboration with organoid centers at UCSF (Organoid D2B unit lead by J.P. Roose) and Stanford (C</w:t>
      </w:r>
      <w:r>
        <w:rPr>
          <w:rFonts w:ascii="Arial" w:hAnsi="Arial" w:cs="Arial"/>
          <w:color w:val="2F5496" w:themeColor="accent1" w:themeShade="BF"/>
          <w:sz w:val="22"/>
          <w:szCs w:val="22"/>
        </w:rPr>
        <w:t>.</w:t>
      </w:r>
      <w:r w:rsidR="00C852D9" w:rsidRPr="00C852D9">
        <w:rPr>
          <w:rFonts w:ascii="Arial" w:hAnsi="Arial" w:cs="Arial"/>
          <w:color w:val="2F5496" w:themeColor="accent1" w:themeShade="BF"/>
          <w:sz w:val="22"/>
          <w:szCs w:val="22"/>
        </w:rPr>
        <w:t>J</w:t>
      </w:r>
      <w:r>
        <w:rPr>
          <w:rFonts w:ascii="Arial" w:hAnsi="Arial" w:cs="Arial"/>
          <w:color w:val="2F5496" w:themeColor="accent1" w:themeShade="BF"/>
          <w:sz w:val="22"/>
          <w:szCs w:val="22"/>
        </w:rPr>
        <w:t>.</w:t>
      </w:r>
      <w:r w:rsidR="00C852D9" w:rsidRPr="00C852D9">
        <w:rPr>
          <w:rFonts w:ascii="Arial" w:hAnsi="Arial" w:cs="Arial"/>
          <w:color w:val="2F5496" w:themeColor="accent1" w:themeShade="BF"/>
          <w:sz w:val="22"/>
          <w:szCs w:val="22"/>
        </w:rPr>
        <w:t xml:space="preserve"> Kuo lab). </w:t>
      </w:r>
      <w:r w:rsidR="00F62B8E">
        <w:rPr>
          <w:rFonts w:ascii="Arial" w:hAnsi="Arial" w:cs="Arial"/>
          <w:color w:val="2F5496" w:themeColor="accent1" w:themeShade="BF"/>
          <w:sz w:val="22"/>
          <w:szCs w:val="22"/>
        </w:rPr>
        <w:t>P</w:t>
      </w:r>
      <w:r w:rsidR="00C852D9" w:rsidRPr="00C852D9">
        <w:rPr>
          <w:rFonts w:ascii="Arial" w:hAnsi="Arial" w:cs="Arial"/>
          <w:color w:val="2F5496" w:themeColor="accent1" w:themeShade="BF"/>
          <w:sz w:val="22"/>
          <w:szCs w:val="22"/>
        </w:rPr>
        <w:t>rotocols</w:t>
      </w:r>
      <w:r w:rsidR="00F62B8E">
        <w:rPr>
          <w:rFonts w:ascii="Arial" w:hAnsi="Arial" w:cs="Arial"/>
          <w:color w:val="2F5496" w:themeColor="accent1" w:themeShade="BF"/>
          <w:sz w:val="22"/>
          <w:szCs w:val="22"/>
        </w:rPr>
        <w:t xml:space="preserve"> regarding the preparation of organoids from clinical specimen</w:t>
      </w:r>
      <w:r>
        <w:rPr>
          <w:rFonts w:ascii="Arial" w:hAnsi="Arial" w:cs="Arial"/>
          <w:color w:val="2F5496" w:themeColor="accent1" w:themeShade="BF"/>
          <w:sz w:val="22"/>
          <w:szCs w:val="22"/>
        </w:rPr>
        <w:t>s</w:t>
      </w:r>
      <w:r w:rsidR="00C852D9" w:rsidRPr="00C852D9">
        <w:rPr>
          <w:rFonts w:ascii="Arial" w:hAnsi="Arial" w:cs="Arial"/>
          <w:color w:val="2F5496" w:themeColor="accent1" w:themeShade="BF"/>
          <w:sz w:val="22"/>
          <w:szCs w:val="22"/>
        </w:rPr>
        <w:t xml:space="preserve"> across centers vary and prior publications describe the processing of </w:t>
      </w:r>
      <w:r w:rsidR="00023B3B">
        <w:rPr>
          <w:rFonts w:ascii="Arial" w:hAnsi="Arial" w:cs="Arial"/>
          <w:color w:val="2F5496" w:themeColor="accent1" w:themeShade="BF"/>
          <w:sz w:val="22"/>
          <w:szCs w:val="22"/>
        </w:rPr>
        <w:t xml:space="preserve">healthy </w:t>
      </w:r>
      <w:r w:rsidR="00536A50">
        <w:rPr>
          <w:rFonts w:ascii="Arial" w:hAnsi="Arial" w:cs="Arial"/>
          <w:color w:val="2F5496" w:themeColor="accent1" w:themeShade="BF"/>
          <w:sz w:val="22"/>
          <w:szCs w:val="22"/>
        </w:rPr>
        <w:t xml:space="preserve">lung or lung cancer </w:t>
      </w:r>
      <w:r w:rsidR="00C852D9" w:rsidRPr="00C852D9">
        <w:rPr>
          <w:rFonts w:ascii="Arial" w:hAnsi="Arial" w:cs="Arial"/>
          <w:color w:val="2F5496" w:themeColor="accent1" w:themeShade="BF"/>
          <w:sz w:val="22"/>
          <w:szCs w:val="22"/>
        </w:rPr>
        <w:t>specimens</w:t>
      </w:r>
      <w:r w:rsidR="00536A50">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in</w:t>
      </w:r>
      <w:r w:rsidR="00536A50">
        <w:rPr>
          <w:rFonts w:ascii="Arial" w:hAnsi="Arial" w:cs="Arial"/>
          <w:color w:val="2F5496" w:themeColor="accent1" w:themeShade="BF"/>
          <w:sz w:val="22"/>
          <w:szCs w:val="22"/>
        </w:rPr>
        <w:t>to organoids</w:t>
      </w:r>
      <w:r w:rsidR="00C852D9" w:rsidRPr="00C852D9">
        <w:rPr>
          <w:rFonts w:ascii="Arial" w:hAnsi="Arial" w:cs="Arial"/>
          <w:color w:val="2F5496" w:themeColor="accent1" w:themeShade="BF"/>
          <w:sz w:val="22"/>
          <w:szCs w:val="22"/>
        </w:rPr>
        <w:t xml:space="preserve">. </w:t>
      </w:r>
      <w:r w:rsidR="00536A50">
        <w:rPr>
          <w:rFonts w:ascii="Arial" w:hAnsi="Arial" w:cs="Arial"/>
          <w:color w:val="2F5496" w:themeColor="accent1" w:themeShade="BF"/>
          <w:sz w:val="22"/>
          <w:szCs w:val="22"/>
        </w:rPr>
        <w:t>All laboratories have individual research interests working on organoids. When organoids are stably established, we receive a passage of live culture that we maintain and use for drug escalation experiments, etc.</w:t>
      </w:r>
      <w:r w:rsidR="00F62B8E">
        <w:rPr>
          <w:rFonts w:ascii="Arial" w:hAnsi="Arial" w:cs="Arial"/>
          <w:color w:val="2F5496" w:themeColor="accent1" w:themeShade="BF"/>
          <w:sz w:val="22"/>
          <w:szCs w:val="22"/>
        </w:rPr>
        <w:t xml:space="preserve"> </w:t>
      </w:r>
      <w:r w:rsidR="00C852D9" w:rsidRPr="00C852D9">
        <w:rPr>
          <w:rFonts w:ascii="Arial" w:hAnsi="Arial" w:cs="Arial"/>
          <w:color w:val="2F5496" w:themeColor="accent1" w:themeShade="BF"/>
          <w:sz w:val="22"/>
          <w:szCs w:val="22"/>
        </w:rPr>
        <w:t xml:space="preserve">We have included a short paragraph at the beginning of the protocol to address </w:t>
      </w:r>
      <w:r w:rsidR="00F62B8E">
        <w:rPr>
          <w:rFonts w:ascii="Arial" w:hAnsi="Arial" w:cs="Arial"/>
          <w:color w:val="2F5496" w:themeColor="accent1" w:themeShade="BF"/>
          <w:sz w:val="22"/>
          <w:szCs w:val="22"/>
        </w:rPr>
        <w:t xml:space="preserve">the contribution from </w:t>
      </w:r>
      <w:r>
        <w:rPr>
          <w:rFonts w:ascii="Arial" w:hAnsi="Arial" w:cs="Arial"/>
          <w:color w:val="2F5496" w:themeColor="accent1" w:themeShade="BF"/>
          <w:sz w:val="22"/>
          <w:szCs w:val="22"/>
        </w:rPr>
        <w:t xml:space="preserve">the different </w:t>
      </w:r>
      <w:r w:rsidR="00F62B8E">
        <w:rPr>
          <w:rFonts w:ascii="Arial" w:hAnsi="Arial" w:cs="Arial"/>
          <w:color w:val="2F5496" w:themeColor="accent1" w:themeShade="BF"/>
          <w:sz w:val="22"/>
          <w:szCs w:val="22"/>
        </w:rPr>
        <w:t xml:space="preserve">teams for the </w:t>
      </w:r>
      <w:r>
        <w:rPr>
          <w:rFonts w:ascii="Arial" w:hAnsi="Arial" w:cs="Arial"/>
          <w:color w:val="2F5496" w:themeColor="accent1" w:themeShade="BF"/>
          <w:sz w:val="22"/>
          <w:szCs w:val="22"/>
        </w:rPr>
        <w:t xml:space="preserve">use </w:t>
      </w:r>
      <w:r w:rsidR="00F62B8E">
        <w:rPr>
          <w:rFonts w:ascii="Arial" w:hAnsi="Arial" w:cs="Arial"/>
          <w:color w:val="2F5496" w:themeColor="accent1" w:themeShade="BF"/>
          <w:sz w:val="22"/>
          <w:szCs w:val="22"/>
        </w:rPr>
        <w:t xml:space="preserve">of clinical specimens to </w:t>
      </w:r>
      <w:r>
        <w:rPr>
          <w:rFonts w:ascii="Arial" w:hAnsi="Arial" w:cs="Arial"/>
          <w:color w:val="2F5496" w:themeColor="accent1" w:themeShade="BF"/>
          <w:sz w:val="22"/>
          <w:szCs w:val="22"/>
        </w:rPr>
        <w:t xml:space="preserve">generate </w:t>
      </w:r>
      <w:r w:rsidR="00F62B8E">
        <w:rPr>
          <w:rFonts w:ascii="Arial" w:hAnsi="Arial" w:cs="Arial"/>
          <w:color w:val="2F5496" w:themeColor="accent1" w:themeShade="BF"/>
          <w:sz w:val="22"/>
          <w:szCs w:val="22"/>
        </w:rPr>
        <w:t>organoid cultures</w:t>
      </w:r>
      <w:r w:rsidR="00C852D9" w:rsidRPr="00C852D9">
        <w:rPr>
          <w:rFonts w:ascii="Arial" w:hAnsi="Arial" w:cs="Arial"/>
          <w:color w:val="2F5496" w:themeColor="accent1" w:themeShade="BF"/>
          <w:sz w:val="22"/>
          <w:szCs w:val="22"/>
        </w:rPr>
        <w:t xml:space="preserve">. </w:t>
      </w:r>
      <w:r w:rsidR="00C852D9">
        <w:rPr>
          <w:rFonts w:ascii="Arial" w:hAnsi="Arial" w:cs="Arial"/>
          <w:color w:val="2F5496" w:themeColor="accent1" w:themeShade="BF"/>
          <w:sz w:val="22"/>
          <w:szCs w:val="22"/>
        </w:rPr>
        <w:t>(</w:t>
      </w:r>
      <w:r w:rsidR="00C2061C">
        <w:rPr>
          <w:rFonts w:ascii="Arial" w:hAnsi="Arial" w:cs="Arial"/>
          <w:color w:val="2F5496" w:themeColor="accent1" w:themeShade="BF"/>
          <w:sz w:val="22"/>
          <w:szCs w:val="22"/>
        </w:rPr>
        <w:t>page 3, line 87-90</w:t>
      </w:r>
      <w:r w:rsidR="00C852D9">
        <w:rPr>
          <w:rFonts w:ascii="Arial" w:hAnsi="Arial" w:cs="Arial"/>
          <w:color w:val="2F5496" w:themeColor="accent1" w:themeShade="BF"/>
          <w:sz w:val="22"/>
          <w:szCs w:val="22"/>
        </w:rPr>
        <w:t>)</w:t>
      </w:r>
    </w:p>
    <w:p w14:paraId="2480916C" w14:textId="77777777" w:rsidR="00332E9F" w:rsidRDefault="00332E9F" w:rsidP="00536A50">
      <w:pPr>
        <w:jc w:val="both"/>
        <w:rPr>
          <w:rFonts w:ascii="Arial" w:hAnsi="Arial" w:cs="Arial"/>
          <w:color w:val="2F5496" w:themeColor="accent1" w:themeShade="BF"/>
          <w:sz w:val="22"/>
          <w:szCs w:val="22"/>
        </w:rPr>
      </w:pPr>
    </w:p>
    <w:p w14:paraId="172C2044" w14:textId="4BC569DB" w:rsidR="00536A50" w:rsidRPr="00536A50" w:rsidRDefault="00536A50" w:rsidP="00536A50">
      <w:pPr>
        <w:jc w:val="both"/>
        <w:rPr>
          <w:rFonts w:ascii="Arial" w:hAnsi="Arial" w:cs="Arial"/>
          <w:color w:val="2F5496" w:themeColor="accent1" w:themeShade="BF"/>
          <w:sz w:val="22"/>
          <w:szCs w:val="22"/>
        </w:rPr>
      </w:pPr>
      <w:r w:rsidRPr="00536A50">
        <w:rPr>
          <w:rFonts w:ascii="Arial" w:hAnsi="Arial" w:cs="Arial"/>
          <w:color w:val="2F5496" w:themeColor="accent1" w:themeShade="BF"/>
          <w:sz w:val="22"/>
          <w:szCs w:val="22"/>
          <w:u w:val="single"/>
        </w:rPr>
        <w:t>Dissociation of organoids:</w:t>
      </w:r>
      <w:r w:rsidRPr="00536A50">
        <w:rPr>
          <w:rFonts w:ascii="Arial" w:hAnsi="Arial" w:cs="Arial"/>
          <w:color w:val="2F5496" w:themeColor="accent1" w:themeShade="BF"/>
          <w:sz w:val="22"/>
          <w:szCs w:val="22"/>
        </w:rPr>
        <w:t xml:space="preserve"> </w:t>
      </w:r>
      <w:r>
        <w:rPr>
          <w:rFonts w:ascii="Arial" w:eastAsia="Calibri" w:hAnsi="Arial" w:cs="Arial"/>
          <w:color w:val="2F5496" w:themeColor="accent1" w:themeShade="BF"/>
          <w:sz w:val="22"/>
          <w:szCs w:val="22"/>
        </w:rPr>
        <w:t xml:space="preserve">Dissociation of organoids </w:t>
      </w:r>
      <w:r w:rsidR="00332E9F">
        <w:rPr>
          <w:rFonts w:ascii="Arial" w:eastAsia="Calibri" w:hAnsi="Arial" w:cs="Arial"/>
          <w:color w:val="2F5496" w:themeColor="accent1" w:themeShade="BF"/>
          <w:sz w:val="22"/>
          <w:szCs w:val="22"/>
        </w:rPr>
        <w:t>in</w:t>
      </w:r>
      <w:r>
        <w:rPr>
          <w:rFonts w:ascii="Arial" w:eastAsia="Calibri" w:hAnsi="Arial" w:cs="Arial"/>
          <w:color w:val="2F5496" w:themeColor="accent1" w:themeShade="BF"/>
          <w:sz w:val="22"/>
          <w:szCs w:val="22"/>
        </w:rPr>
        <w:t xml:space="preserve">to single cell suspensions is based on TrypLE-based digestions </w:t>
      </w:r>
      <w:r w:rsidRPr="00D13D85">
        <w:rPr>
          <w:rFonts w:ascii="Arial" w:eastAsia="Calibri" w:hAnsi="Arial" w:cs="Arial"/>
          <w:color w:val="2F5496" w:themeColor="accent1" w:themeShade="BF"/>
          <w:sz w:val="22"/>
          <w:szCs w:val="22"/>
          <w:u w:val="single"/>
        </w:rPr>
        <w:t>and</w:t>
      </w:r>
      <w:r>
        <w:rPr>
          <w:rFonts w:ascii="Arial" w:eastAsia="Calibri" w:hAnsi="Arial" w:cs="Arial"/>
          <w:color w:val="2F5496" w:themeColor="accent1" w:themeShade="BF"/>
          <w:sz w:val="22"/>
          <w:szCs w:val="22"/>
        </w:rPr>
        <w:t xml:space="preserve"> an additional incubation step in DNAse I before counting and seeding </w:t>
      </w:r>
      <w:r w:rsidRPr="00D13D85">
        <w:rPr>
          <w:rFonts w:ascii="Arial" w:eastAsia="Calibri" w:hAnsi="Arial" w:cs="Arial"/>
          <w:color w:val="2F5496" w:themeColor="accent1" w:themeShade="BF"/>
          <w:sz w:val="22"/>
          <w:szCs w:val="22"/>
        </w:rPr>
        <w:t xml:space="preserve">cells. </w:t>
      </w:r>
      <w:r>
        <w:rPr>
          <w:rFonts w:ascii="Arial" w:eastAsia="Calibri" w:hAnsi="Arial" w:cs="Arial"/>
          <w:color w:val="2F5496" w:themeColor="accent1" w:themeShade="BF"/>
          <w:sz w:val="22"/>
          <w:szCs w:val="22"/>
        </w:rPr>
        <w:t>The additional DNAse I step</w:t>
      </w:r>
      <w:r w:rsidR="00023B3B">
        <w:rPr>
          <w:rFonts w:ascii="Arial" w:eastAsia="Calibri" w:hAnsi="Arial" w:cs="Arial"/>
          <w:color w:val="2F5496" w:themeColor="accent1" w:themeShade="BF"/>
          <w:sz w:val="22"/>
          <w:szCs w:val="22"/>
        </w:rPr>
        <w:t xml:space="preserve"> reduces clumping and</w:t>
      </w:r>
      <w:r>
        <w:rPr>
          <w:rFonts w:ascii="Arial" w:eastAsia="Calibri" w:hAnsi="Arial" w:cs="Arial"/>
          <w:color w:val="2F5496" w:themeColor="accent1" w:themeShade="BF"/>
          <w:sz w:val="22"/>
          <w:szCs w:val="22"/>
        </w:rPr>
        <w:t xml:space="preserve"> ensure</w:t>
      </w:r>
      <w:r w:rsidR="00023B3B">
        <w:rPr>
          <w:rFonts w:ascii="Arial" w:eastAsia="Calibri" w:hAnsi="Arial" w:cs="Arial"/>
          <w:color w:val="2F5496" w:themeColor="accent1" w:themeShade="BF"/>
          <w:sz w:val="22"/>
          <w:szCs w:val="22"/>
        </w:rPr>
        <w:t>s</w:t>
      </w:r>
      <w:r>
        <w:rPr>
          <w:rFonts w:ascii="Arial" w:eastAsia="Calibri" w:hAnsi="Arial" w:cs="Arial"/>
          <w:color w:val="2F5496" w:themeColor="accent1" w:themeShade="BF"/>
          <w:sz w:val="22"/>
          <w:szCs w:val="22"/>
        </w:rPr>
        <w:t xml:space="preserve"> a high quality of the single cell suspension </w:t>
      </w:r>
      <w:r w:rsidR="00023B3B">
        <w:rPr>
          <w:rFonts w:ascii="Arial" w:eastAsia="Calibri" w:hAnsi="Arial" w:cs="Arial"/>
          <w:color w:val="2F5496" w:themeColor="accent1" w:themeShade="BF"/>
          <w:sz w:val="22"/>
          <w:szCs w:val="22"/>
        </w:rPr>
        <w:t>as well as</w:t>
      </w:r>
      <w:r>
        <w:rPr>
          <w:rFonts w:ascii="Arial" w:eastAsia="Calibri" w:hAnsi="Arial" w:cs="Arial"/>
          <w:color w:val="2F5496" w:themeColor="accent1" w:themeShade="BF"/>
          <w:sz w:val="22"/>
          <w:szCs w:val="22"/>
        </w:rPr>
        <w:t xml:space="preserve"> accurate counting, which is essential for limiting variation in seeded cell numbers per well and later viability readout. </w:t>
      </w:r>
      <w:r w:rsidRPr="00D13D85">
        <w:rPr>
          <w:rFonts w:ascii="Arial" w:eastAsia="Calibri" w:hAnsi="Arial" w:cs="Arial"/>
          <w:color w:val="2F5496" w:themeColor="accent1" w:themeShade="BF"/>
          <w:sz w:val="22"/>
          <w:szCs w:val="22"/>
        </w:rPr>
        <w:t>We have updated text paragraphs in the discussion (</w:t>
      </w:r>
      <w:r w:rsidRPr="00871A12">
        <w:rPr>
          <w:rFonts w:ascii="Arial" w:eastAsia="Calibri" w:hAnsi="Arial" w:cs="Arial"/>
          <w:color w:val="2F5496" w:themeColor="accent1" w:themeShade="BF"/>
          <w:sz w:val="22"/>
          <w:szCs w:val="22"/>
        </w:rPr>
        <w:t>section “</w:t>
      </w:r>
      <w:r w:rsidRPr="00871A12">
        <w:rPr>
          <w:rFonts w:ascii="Arial" w:eastAsia="Calibri" w:hAnsi="Arial" w:cs="Arial"/>
          <w:i/>
          <w:color w:val="2F5496" w:themeColor="accent1" w:themeShade="BF"/>
          <w:sz w:val="22"/>
          <w:szCs w:val="22"/>
        </w:rPr>
        <w:t xml:space="preserve">Critical steps in the </w:t>
      </w:r>
      <w:r w:rsidR="00332E9F" w:rsidRPr="00871A12">
        <w:rPr>
          <w:rFonts w:ascii="Arial" w:eastAsia="Calibri" w:hAnsi="Arial" w:cs="Arial"/>
          <w:i/>
          <w:color w:val="2F5496" w:themeColor="accent1" w:themeShade="BF"/>
          <w:sz w:val="22"/>
          <w:szCs w:val="22"/>
        </w:rPr>
        <w:t>protocol</w:t>
      </w:r>
      <w:r w:rsidR="00332E9F" w:rsidRPr="00871A12">
        <w:rPr>
          <w:rFonts w:ascii="Arial" w:eastAsia="Calibri" w:hAnsi="Arial" w:cs="Arial"/>
          <w:color w:val="2F5496" w:themeColor="accent1" w:themeShade="BF"/>
          <w:sz w:val="22"/>
          <w:szCs w:val="22"/>
        </w:rPr>
        <w:t>“</w:t>
      </w:r>
      <w:r w:rsidRPr="00871A12">
        <w:rPr>
          <w:rFonts w:ascii="Arial" w:eastAsia="Calibri" w:hAnsi="Arial" w:cs="Arial"/>
          <w:color w:val="2F5496" w:themeColor="accent1" w:themeShade="BF"/>
          <w:sz w:val="22"/>
          <w:szCs w:val="22"/>
        </w:rPr>
        <w:t>), which a</w:t>
      </w:r>
      <w:r>
        <w:rPr>
          <w:rFonts w:ascii="Arial" w:eastAsia="Calibri" w:hAnsi="Arial" w:cs="Arial"/>
          <w:color w:val="2F5496" w:themeColor="accent1" w:themeShade="BF"/>
          <w:sz w:val="22"/>
          <w:szCs w:val="22"/>
        </w:rPr>
        <w:t>re focused on the necessity of additional DNAse I digestion after TrypLE-based dissociation. (</w:t>
      </w:r>
      <w:r w:rsidR="00C2061C">
        <w:rPr>
          <w:rFonts w:ascii="Arial" w:eastAsia="Calibri" w:hAnsi="Arial" w:cs="Arial"/>
          <w:color w:val="2F5496" w:themeColor="accent1" w:themeShade="BF"/>
          <w:sz w:val="22"/>
          <w:szCs w:val="22"/>
        </w:rPr>
        <w:t>page 9, line 408-415</w:t>
      </w:r>
      <w:r>
        <w:rPr>
          <w:rFonts w:ascii="Arial" w:eastAsia="Calibri" w:hAnsi="Arial" w:cs="Arial"/>
          <w:color w:val="2F5496" w:themeColor="accent1" w:themeShade="BF"/>
          <w:sz w:val="22"/>
          <w:szCs w:val="22"/>
        </w:rPr>
        <w:t>)</w:t>
      </w:r>
    </w:p>
    <w:p w14:paraId="743EAD81" w14:textId="77777777" w:rsidR="00536A50" w:rsidRDefault="00764EF3" w:rsidP="00536A50">
      <w:pPr>
        <w:jc w:val="both"/>
      </w:pPr>
      <w:r>
        <w:br/>
        <w:t>Step 2.1.2: Could you please specify what is meant by Matrigel dome?</w:t>
      </w:r>
    </w:p>
    <w:p w14:paraId="2848F1F1" w14:textId="17297650" w:rsidR="00536A50" w:rsidRDefault="00332E9F" w:rsidP="00536A50">
      <w:pPr>
        <w:jc w:val="both"/>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Author response:  </w:t>
      </w:r>
      <w:r w:rsidR="00C72361" w:rsidRPr="00C72361">
        <w:rPr>
          <w:rFonts w:ascii="Arial" w:hAnsi="Arial" w:cs="Arial"/>
          <w:color w:val="2F5496" w:themeColor="accent1" w:themeShade="BF"/>
          <w:sz w:val="22"/>
          <w:szCs w:val="22"/>
        </w:rPr>
        <w:t>W</w:t>
      </w:r>
      <w:r w:rsidR="00C72361">
        <w:rPr>
          <w:rFonts w:ascii="Arial" w:hAnsi="Arial" w:cs="Arial"/>
          <w:color w:val="2F5496" w:themeColor="accent1" w:themeShade="BF"/>
          <w:sz w:val="22"/>
          <w:szCs w:val="22"/>
        </w:rPr>
        <w:t>e have rephrased this term</w:t>
      </w:r>
      <w:r w:rsidR="00536A50">
        <w:rPr>
          <w:rFonts w:ascii="Arial" w:hAnsi="Arial" w:cs="Arial"/>
          <w:color w:val="2F5496" w:themeColor="accent1" w:themeShade="BF"/>
          <w:sz w:val="22"/>
          <w:szCs w:val="22"/>
        </w:rPr>
        <w:t xml:space="preserve"> in the text</w:t>
      </w:r>
      <w:r w:rsidR="003D7B52" w:rsidRPr="003D7B52">
        <w:rPr>
          <w:rFonts w:ascii="Arial" w:hAnsi="Arial" w:cs="Arial"/>
          <w:color w:val="2F5496" w:themeColor="accent1" w:themeShade="BF"/>
          <w:sz w:val="22"/>
          <w:szCs w:val="22"/>
        </w:rPr>
        <w:t xml:space="preserve"> </w:t>
      </w:r>
      <w:r w:rsidR="003D7B52">
        <w:rPr>
          <w:rFonts w:ascii="Arial" w:hAnsi="Arial" w:cs="Arial"/>
          <w:color w:val="2F5496" w:themeColor="accent1" w:themeShade="BF"/>
          <w:sz w:val="22"/>
          <w:szCs w:val="22"/>
        </w:rPr>
        <w:t>and changed the schematic in Figure 1</w:t>
      </w:r>
      <w:r w:rsidR="00A63A71">
        <w:rPr>
          <w:rFonts w:ascii="Arial" w:hAnsi="Arial" w:cs="Arial"/>
          <w:color w:val="2F5496" w:themeColor="accent1" w:themeShade="BF"/>
          <w:sz w:val="22"/>
          <w:szCs w:val="22"/>
        </w:rPr>
        <w:t>A</w:t>
      </w:r>
      <w:r w:rsidR="00C72361">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to clarify</w:t>
      </w:r>
      <w:r w:rsidR="00C72361">
        <w:rPr>
          <w:rFonts w:ascii="Arial" w:hAnsi="Arial" w:cs="Arial"/>
          <w:color w:val="2F5496" w:themeColor="accent1" w:themeShade="BF"/>
          <w:sz w:val="22"/>
          <w:szCs w:val="22"/>
        </w:rPr>
        <w:t>.</w:t>
      </w:r>
      <w:r w:rsidR="00536A50">
        <w:rPr>
          <w:rFonts w:ascii="Arial" w:hAnsi="Arial" w:cs="Arial"/>
          <w:color w:val="2F5496" w:themeColor="accent1" w:themeShade="BF"/>
          <w:sz w:val="22"/>
          <w:szCs w:val="22"/>
        </w:rPr>
        <w:t xml:space="preserve"> </w:t>
      </w:r>
      <w:r w:rsidR="00C72361">
        <w:rPr>
          <w:rFonts w:ascii="Arial" w:hAnsi="Arial" w:cs="Arial"/>
          <w:color w:val="2F5496" w:themeColor="accent1" w:themeShade="BF"/>
          <w:sz w:val="22"/>
          <w:szCs w:val="22"/>
        </w:rPr>
        <w:t xml:space="preserve">The matrigel dome is the </w:t>
      </w:r>
      <w:r w:rsidR="00C72361" w:rsidRPr="00536A50">
        <w:rPr>
          <w:rFonts w:ascii="Arial" w:hAnsi="Arial" w:cs="Arial"/>
          <w:color w:val="2F5496" w:themeColor="accent1" w:themeShade="BF"/>
          <w:sz w:val="22"/>
          <w:szCs w:val="22"/>
          <w:u w:val="single"/>
        </w:rPr>
        <w:t xml:space="preserve">submerged </w:t>
      </w:r>
      <w:r w:rsidR="003D7B52" w:rsidRPr="00536A50">
        <w:rPr>
          <w:rFonts w:ascii="Arial" w:hAnsi="Arial" w:cs="Arial"/>
          <w:color w:val="2F5496" w:themeColor="accent1" w:themeShade="BF"/>
          <w:sz w:val="22"/>
          <w:szCs w:val="22"/>
          <w:u w:val="single"/>
        </w:rPr>
        <w:t>BME2</w:t>
      </w:r>
      <w:r w:rsidR="00C72361" w:rsidRPr="00536A50">
        <w:rPr>
          <w:rFonts w:ascii="Arial" w:hAnsi="Arial" w:cs="Arial"/>
          <w:color w:val="2F5496" w:themeColor="accent1" w:themeShade="BF"/>
          <w:sz w:val="22"/>
          <w:szCs w:val="22"/>
          <w:u w:val="single"/>
        </w:rPr>
        <w:t xml:space="preserve"> organoid culture</w:t>
      </w:r>
      <w:r w:rsidR="00C72361">
        <w:rPr>
          <w:rFonts w:ascii="Arial" w:hAnsi="Arial" w:cs="Arial"/>
          <w:color w:val="2F5496" w:themeColor="accent1" w:themeShade="BF"/>
          <w:sz w:val="22"/>
          <w:szCs w:val="22"/>
        </w:rPr>
        <w:t xml:space="preserve">, which is seeded in 3D “dome”-structures that form when the </w:t>
      </w:r>
      <w:r w:rsidR="003D7B52">
        <w:rPr>
          <w:rFonts w:ascii="Arial" w:hAnsi="Arial" w:cs="Arial"/>
          <w:color w:val="2F5496" w:themeColor="accent1" w:themeShade="BF"/>
          <w:sz w:val="22"/>
          <w:szCs w:val="22"/>
        </w:rPr>
        <w:t>BME2</w:t>
      </w:r>
      <w:r w:rsidR="00C72361">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solidifies</w:t>
      </w:r>
      <w:r w:rsidR="00C72361">
        <w:rPr>
          <w:rFonts w:ascii="Arial" w:hAnsi="Arial" w:cs="Arial"/>
          <w:color w:val="2F5496" w:themeColor="accent1" w:themeShade="BF"/>
          <w:sz w:val="22"/>
          <w:szCs w:val="22"/>
        </w:rPr>
        <w:t>.</w:t>
      </w:r>
      <w:r w:rsidR="00536A50" w:rsidRPr="00536A50">
        <w:rPr>
          <w:rFonts w:ascii="Arial" w:hAnsi="Arial" w:cs="Arial"/>
          <w:color w:val="2F5496" w:themeColor="accent1" w:themeShade="BF"/>
          <w:sz w:val="22"/>
          <w:szCs w:val="22"/>
        </w:rPr>
        <w:t xml:space="preserve"> </w:t>
      </w:r>
      <w:r w:rsidR="00536A50">
        <w:rPr>
          <w:rFonts w:ascii="Arial" w:hAnsi="Arial" w:cs="Arial"/>
          <w:color w:val="2F5496" w:themeColor="accent1" w:themeShade="BF"/>
          <w:sz w:val="22"/>
          <w:szCs w:val="22"/>
        </w:rPr>
        <w:t>Figure 1A now clearly indicates the dome-like structure of submerged organoids as the starter culture.</w:t>
      </w:r>
    </w:p>
    <w:p w14:paraId="588C4D57" w14:textId="697FE321" w:rsidR="00EC76C0" w:rsidRDefault="00764EF3" w:rsidP="00CC14D1">
      <w:pPr>
        <w:pStyle w:val="NormalWeb"/>
      </w:pPr>
      <w:r>
        <w:t>Step 2.1.3: Replace “Falcon” tube with “centrifuge” tube.</w:t>
      </w:r>
      <w:r w:rsidR="00D13D85">
        <w:br/>
      </w:r>
      <w:r w:rsidR="00332E9F">
        <w:rPr>
          <w:rFonts w:ascii="Arial" w:hAnsi="Arial" w:cs="Arial"/>
          <w:color w:val="2F5496" w:themeColor="accent1" w:themeShade="BF"/>
          <w:sz w:val="22"/>
          <w:szCs w:val="22"/>
        </w:rPr>
        <w:t xml:space="preserve">Author response:  </w:t>
      </w:r>
      <w:r w:rsidR="00D13D85">
        <w:rPr>
          <w:rFonts w:ascii="Arial" w:hAnsi="Arial" w:cs="Arial"/>
          <w:color w:val="2F5496" w:themeColor="accent1" w:themeShade="BF"/>
          <w:sz w:val="22"/>
          <w:szCs w:val="22"/>
        </w:rPr>
        <w:t>This has been corrected. Thank you.</w:t>
      </w:r>
      <w:r w:rsidR="00E310E7">
        <w:rPr>
          <w:rFonts w:ascii="Arial" w:hAnsi="Arial" w:cs="Arial"/>
          <w:color w:val="2F5496" w:themeColor="accent1" w:themeShade="BF"/>
          <w:sz w:val="22"/>
          <w:szCs w:val="22"/>
        </w:rPr>
        <w:br/>
      </w:r>
      <w:r>
        <w:br/>
        <w:t>Step 3.2: How the rotation is done?</w:t>
      </w:r>
      <w:r w:rsidR="00C72361">
        <w:br/>
      </w:r>
      <w:r w:rsidR="00332E9F">
        <w:rPr>
          <w:rFonts w:ascii="Arial" w:hAnsi="Arial" w:cs="Arial"/>
          <w:color w:val="2F5496" w:themeColor="accent1" w:themeShade="BF"/>
          <w:sz w:val="22"/>
          <w:szCs w:val="22"/>
        </w:rPr>
        <w:t xml:space="preserve">Author response:  </w:t>
      </w:r>
      <w:r w:rsidR="00C72361">
        <w:rPr>
          <w:rFonts w:ascii="Arial" w:hAnsi="Arial" w:cs="Arial"/>
          <w:color w:val="2F5496" w:themeColor="accent1" w:themeShade="BF"/>
          <w:sz w:val="22"/>
          <w:szCs w:val="22"/>
        </w:rPr>
        <w:t>We provided additional information to allow for a better understanding by the reader</w:t>
      </w:r>
      <w:r w:rsidR="00536A50">
        <w:rPr>
          <w:rFonts w:ascii="Arial" w:hAnsi="Arial" w:cs="Arial"/>
          <w:color w:val="2F5496" w:themeColor="accent1" w:themeShade="BF"/>
          <w:sz w:val="22"/>
          <w:szCs w:val="22"/>
        </w:rPr>
        <w:t>:</w:t>
      </w:r>
      <w:r w:rsidR="00C72361">
        <w:rPr>
          <w:rFonts w:ascii="Arial" w:hAnsi="Arial" w:cs="Arial"/>
          <w:color w:val="2F5496" w:themeColor="accent1" w:themeShade="BF"/>
          <w:sz w:val="22"/>
          <w:szCs w:val="22"/>
        </w:rPr>
        <w:t xml:space="preserve"> </w:t>
      </w:r>
      <w:r w:rsidR="00C72361" w:rsidRPr="00C72361">
        <w:rPr>
          <w:rFonts w:ascii="Arial" w:hAnsi="Arial" w:cs="Arial"/>
          <w:color w:val="2F5496" w:themeColor="accent1" w:themeShade="BF"/>
          <w:sz w:val="22"/>
          <w:szCs w:val="22"/>
        </w:rPr>
        <w:t>“</w:t>
      </w:r>
      <w:r w:rsidR="00C72361" w:rsidRPr="00C72361">
        <w:rPr>
          <w:rFonts w:ascii="Arial" w:eastAsia="Calibri" w:hAnsi="Arial" w:cs="Arial"/>
          <w:color w:val="2F5496" w:themeColor="accent1" w:themeShade="BF"/>
          <w:sz w:val="22"/>
          <w:szCs w:val="22"/>
        </w:rPr>
        <w:t>Rotate the organoid plate clockwise by 180 ° (organoid dome</w:t>
      </w:r>
      <w:r w:rsidR="00C72361">
        <w:rPr>
          <w:rFonts w:ascii="Arial" w:eastAsia="Calibri" w:hAnsi="Arial" w:cs="Arial"/>
          <w:color w:val="2F5496" w:themeColor="accent1" w:themeShade="BF"/>
          <w:sz w:val="22"/>
          <w:szCs w:val="22"/>
        </w:rPr>
        <w:t>s</w:t>
      </w:r>
      <w:r w:rsidR="00C72361" w:rsidRPr="00C72361">
        <w:rPr>
          <w:rFonts w:ascii="Arial" w:eastAsia="Calibri" w:hAnsi="Arial" w:cs="Arial"/>
          <w:color w:val="2F5496" w:themeColor="accent1" w:themeShade="BF"/>
          <w:sz w:val="22"/>
          <w:szCs w:val="22"/>
        </w:rPr>
        <w:t xml:space="preserve"> now at 12 o’clock position).”</w:t>
      </w:r>
      <w:r w:rsidR="00536A50">
        <w:rPr>
          <w:rFonts w:ascii="Arial" w:eastAsia="Calibri" w:hAnsi="Arial" w:cs="Arial"/>
          <w:color w:val="2F5496" w:themeColor="accent1" w:themeShade="BF"/>
          <w:sz w:val="22"/>
          <w:szCs w:val="22"/>
        </w:rPr>
        <w:t xml:space="preserve"> (</w:t>
      </w:r>
      <w:r w:rsidR="00C2061C">
        <w:rPr>
          <w:rFonts w:ascii="Arial" w:eastAsia="Calibri" w:hAnsi="Arial" w:cs="Arial"/>
          <w:color w:val="2F5496" w:themeColor="accent1" w:themeShade="BF"/>
          <w:sz w:val="22"/>
          <w:szCs w:val="22"/>
        </w:rPr>
        <w:t>page 6, line 231-232 and 242</w:t>
      </w:r>
      <w:r w:rsidR="00536A50">
        <w:rPr>
          <w:rFonts w:ascii="Arial" w:eastAsia="Calibri" w:hAnsi="Arial" w:cs="Arial"/>
          <w:color w:val="2F5496" w:themeColor="accent1" w:themeShade="BF"/>
          <w:sz w:val="22"/>
          <w:szCs w:val="22"/>
        </w:rPr>
        <w:t>)</w:t>
      </w:r>
      <w:r w:rsidR="00536A50">
        <w:rPr>
          <w:rFonts w:ascii="Arial" w:eastAsia="Calibri" w:hAnsi="Arial" w:cs="Arial"/>
          <w:color w:val="2F5496" w:themeColor="accent1" w:themeShade="BF"/>
          <w:sz w:val="22"/>
          <w:szCs w:val="22"/>
        </w:rPr>
        <w:br/>
      </w:r>
      <w:r>
        <w:br/>
        <w:t>5. Figure 2: Please include a space between “log” and “[Osimertinib]’ in log[Osimertinib].</w:t>
      </w:r>
      <w:r w:rsidR="00437B4B">
        <w:br/>
      </w:r>
      <w:r w:rsidR="00332E9F">
        <w:rPr>
          <w:rFonts w:ascii="Arial" w:hAnsi="Arial" w:cs="Arial"/>
          <w:color w:val="2F5496" w:themeColor="accent1" w:themeShade="BF"/>
          <w:sz w:val="22"/>
          <w:szCs w:val="22"/>
        </w:rPr>
        <w:t xml:space="preserve">Author response:  </w:t>
      </w:r>
      <w:r w:rsidR="00437B4B">
        <w:rPr>
          <w:rFonts w:ascii="Arial" w:hAnsi="Arial" w:cs="Arial"/>
          <w:color w:val="2F5496" w:themeColor="accent1" w:themeShade="BF"/>
          <w:sz w:val="22"/>
          <w:szCs w:val="22"/>
        </w:rPr>
        <w:t>This has been corrected. Thank you.</w:t>
      </w:r>
      <w:r w:rsidR="00E310E7">
        <w:rPr>
          <w:rFonts w:ascii="Arial" w:hAnsi="Arial" w:cs="Arial"/>
          <w:color w:val="2F5496" w:themeColor="accent1" w:themeShade="BF"/>
          <w:sz w:val="22"/>
          <w:szCs w:val="22"/>
        </w:rPr>
        <w:br/>
      </w:r>
      <w:r>
        <w:br/>
        <w:t>6. This manuscript has only two Figures. The Supplementary Figure can be included as one of the main Figures.</w:t>
      </w:r>
      <w:r w:rsidR="00437B4B">
        <w:t xml:space="preserve"> </w:t>
      </w:r>
      <w:r w:rsidR="00E310E7">
        <w:br/>
      </w:r>
      <w:r w:rsidR="00332E9F">
        <w:rPr>
          <w:rFonts w:ascii="Arial" w:hAnsi="Arial" w:cs="Arial"/>
          <w:color w:val="2F5496" w:themeColor="accent1" w:themeShade="BF"/>
          <w:sz w:val="22"/>
          <w:szCs w:val="22"/>
        </w:rPr>
        <w:t xml:space="preserve">Author response:  </w:t>
      </w:r>
      <w:r w:rsidR="00437B4B">
        <w:rPr>
          <w:rFonts w:ascii="Arial" w:hAnsi="Arial" w:cs="Arial"/>
          <w:color w:val="2F5496" w:themeColor="accent1" w:themeShade="BF"/>
          <w:sz w:val="22"/>
          <w:szCs w:val="22"/>
        </w:rPr>
        <w:t>Supplementary Figure 1 is now included as Figure 3.</w:t>
      </w:r>
      <w:r w:rsidR="00E310E7">
        <w:rPr>
          <w:rFonts w:ascii="Arial" w:hAnsi="Arial" w:cs="Arial"/>
          <w:color w:val="2F5496" w:themeColor="accent1" w:themeShade="BF"/>
          <w:sz w:val="22"/>
          <w:szCs w:val="22"/>
        </w:rPr>
        <w:br/>
      </w:r>
      <w:r>
        <w:br/>
      </w:r>
      <w:r>
        <w:lastRenderedPageBreak/>
        <w:t>7. Please spell out the journal titles in the References.</w:t>
      </w:r>
      <w:r>
        <w:br/>
      </w:r>
      <w:r w:rsidR="00332E9F">
        <w:rPr>
          <w:rFonts w:ascii="Arial" w:hAnsi="Arial" w:cs="Arial"/>
          <w:color w:val="2F5496" w:themeColor="accent1" w:themeShade="BF"/>
          <w:sz w:val="22"/>
          <w:szCs w:val="22"/>
        </w:rPr>
        <w:t xml:space="preserve">Author response:  </w:t>
      </w:r>
      <w:r w:rsidR="00C72361">
        <w:rPr>
          <w:rFonts w:ascii="Arial" w:hAnsi="Arial" w:cs="Arial"/>
          <w:color w:val="2F5496" w:themeColor="accent1" w:themeShade="BF"/>
          <w:sz w:val="22"/>
          <w:szCs w:val="22"/>
        </w:rPr>
        <w:t>This has been corrected. Thank you.</w:t>
      </w:r>
    </w:p>
    <w:p w14:paraId="19CBD272" w14:textId="59C8953F" w:rsidR="00342C84" w:rsidRDefault="00764EF3" w:rsidP="00D13D85">
      <w:pPr>
        <w:pStyle w:val="NormalWeb"/>
      </w:pPr>
      <w:r>
        <w:t>____________________________________</w:t>
      </w:r>
      <w:r>
        <w:br/>
      </w:r>
      <w:r>
        <w:rPr>
          <w:rStyle w:val="Strong"/>
          <w:color w:val="0000FF"/>
        </w:rPr>
        <w:t>Reviewers' comments:</w:t>
      </w:r>
      <w:r>
        <w:br/>
      </w:r>
      <w:r>
        <w:rPr>
          <w:b/>
          <w:bCs/>
        </w:rPr>
        <w:t>Reviewer #1:</w:t>
      </w:r>
      <w:r>
        <w:br/>
        <w:t>Manuscript Summary:</w:t>
      </w:r>
      <w:r>
        <w:br/>
        <w:t>In the current manuscript, the authors describe a detailed protocol for testing NSCLC PDOs' sensitivities to EGFR targeted agents using a cell culture plate-based assessment. The authors also tested the presence of growth factors in the medium on drug sensitivities. However, the protocol presented in this study for seeding organoids and drug treatment did not show much differences with previous studies. In addition, the author may need to check the spelling and grammar throughput the manuscript.</w:t>
      </w:r>
      <w:r>
        <w:br/>
      </w:r>
      <w:r w:rsidR="00342C84">
        <w:br/>
      </w:r>
      <w:r w:rsidR="00332E9F">
        <w:rPr>
          <w:rFonts w:ascii="Arial" w:hAnsi="Arial" w:cs="Arial"/>
          <w:color w:val="2F5496" w:themeColor="accent1" w:themeShade="BF"/>
          <w:sz w:val="22"/>
          <w:szCs w:val="22"/>
        </w:rPr>
        <w:t xml:space="preserve">Author response:  </w:t>
      </w:r>
      <w:r w:rsidR="00342C84">
        <w:rPr>
          <w:rFonts w:ascii="Arial" w:hAnsi="Arial" w:cs="Arial"/>
          <w:color w:val="2F5496" w:themeColor="accent1" w:themeShade="BF"/>
          <w:sz w:val="22"/>
          <w:szCs w:val="22"/>
        </w:rPr>
        <w:t>We</w:t>
      </w:r>
      <w:r w:rsidR="001D68A2">
        <w:rPr>
          <w:rFonts w:ascii="Arial" w:hAnsi="Arial" w:cs="Arial"/>
          <w:color w:val="2F5496" w:themeColor="accent1" w:themeShade="BF"/>
          <w:sz w:val="22"/>
          <w:szCs w:val="22"/>
        </w:rPr>
        <w:t xml:space="preserve"> sincerely</w:t>
      </w:r>
      <w:r w:rsidR="00342C84">
        <w:rPr>
          <w:rFonts w:ascii="Arial" w:hAnsi="Arial" w:cs="Arial"/>
          <w:color w:val="2F5496" w:themeColor="accent1" w:themeShade="BF"/>
          <w:sz w:val="22"/>
          <w:szCs w:val="22"/>
        </w:rPr>
        <w:t xml:space="preserve"> thank the </w:t>
      </w:r>
      <w:r w:rsidR="00332E9F">
        <w:rPr>
          <w:rFonts w:ascii="Arial" w:hAnsi="Arial" w:cs="Arial"/>
          <w:color w:val="2F5496" w:themeColor="accent1" w:themeShade="BF"/>
          <w:sz w:val="22"/>
          <w:szCs w:val="22"/>
        </w:rPr>
        <w:t>R</w:t>
      </w:r>
      <w:r w:rsidR="00342C84">
        <w:rPr>
          <w:rFonts w:ascii="Arial" w:hAnsi="Arial" w:cs="Arial"/>
          <w:color w:val="2F5496" w:themeColor="accent1" w:themeShade="BF"/>
          <w:sz w:val="22"/>
          <w:szCs w:val="22"/>
        </w:rPr>
        <w:t xml:space="preserve">eviewer for the careful </w:t>
      </w:r>
      <w:r w:rsidR="00332E9F">
        <w:rPr>
          <w:rFonts w:ascii="Arial" w:hAnsi="Arial" w:cs="Arial"/>
          <w:color w:val="2F5496" w:themeColor="accent1" w:themeShade="BF"/>
          <w:sz w:val="22"/>
          <w:szCs w:val="22"/>
        </w:rPr>
        <w:t xml:space="preserve">review </w:t>
      </w:r>
      <w:r w:rsidR="00342C84">
        <w:rPr>
          <w:rFonts w:ascii="Arial" w:hAnsi="Arial" w:cs="Arial"/>
          <w:color w:val="2F5496" w:themeColor="accent1" w:themeShade="BF"/>
          <w:sz w:val="22"/>
          <w:szCs w:val="22"/>
        </w:rPr>
        <w:t xml:space="preserve">of our manuscript. The points </w:t>
      </w:r>
      <w:r w:rsidR="00332E9F">
        <w:rPr>
          <w:rFonts w:ascii="Arial" w:hAnsi="Arial" w:cs="Arial"/>
          <w:color w:val="2F5496" w:themeColor="accent1" w:themeShade="BF"/>
          <w:sz w:val="22"/>
          <w:szCs w:val="22"/>
        </w:rPr>
        <w:t xml:space="preserve">raised </w:t>
      </w:r>
      <w:r w:rsidR="00342C84">
        <w:rPr>
          <w:rFonts w:ascii="Arial" w:hAnsi="Arial" w:cs="Arial"/>
          <w:color w:val="2F5496" w:themeColor="accent1" w:themeShade="BF"/>
          <w:sz w:val="22"/>
          <w:szCs w:val="22"/>
        </w:rPr>
        <w:t xml:space="preserve">have been addressed and </w:t>
      </w:r>
      <w:r w:rsidR="00332E9F">
        <w:rPr>
          <w:rFonts w:ascii="Arial" w:hAnsi="Arial" w:cs="Arial"/>
          <w:color w:val="2F5496" w:themeColor="accent1" w:themeShade="BF"/>
          <w:sz w:val="22"/>
          <w:szCs w:val="22"/>
        </w:rPr>
        <w:t xml:space="preserve">we believe the </w:t>
      </w:r>
      <w:r w:rsidR="00342C84">
        <w:rPr>
          <w:rFonts w:ascii="Arial" w:hAnsi="Arial" w:cs="Arial"/>
          <w:color w:val="2F5496" w:themeColor="accent1" w:themeShade="BF"/>
          <w:sz w:val="22"/>
          <w:szCs w:val="22"/>
        </w:rPr>
        <w:t>manuscript</w:t>
      </w:r>
      <w:r w:rsidR="00332E9F">
        <w:rPr>
          <w:rFonts w:ascii="Arial" w:hAnsi="Arial" w:cs="Arial"/>
          <w:color w:val="2F5496" w:themeColor="accent1" w:themeShade="BF"/>
          <w:sz w:val="22"/>
          <w:szCs w:val="22"/>
        </w:rPr>
        <w:t xml:space="preserve"> is improved as a result</w:t>
      </w:r>
      <w:r w:rsidR="00342C84">
        <w:rPr>
          <w:rFonts w:ascii="Arial" w:hAnsi="Arial" w:cs="Arial"/>
          <w:color w:val="2F5496" w:themeColor="accent1" w:themeShade="BF"/>
          <w:sz w:val="22"/>
          <w:szCs w:val="22"/>
        </w:rPr>
        <w:t>.</w:t>
      </w:r>
    </w:p>
    <w:p w14:paraId="1BD840BF" w14:textId="3F52AF0C" w:rsidR="00D13D85" w:rsidRPr="00536A50" w:rsidRDefault="00764EF3" w:rsidP="00D13D85">
      <w:pPr>
        <w:pStyle w:val="NormalWeb"/>
        <w:rPr>
          <w:rFonts w:ascii="Arial" w:eastAsia="Calibri" w:hAnsi="Arial" w:cs="Arial"/>
          <w:color w:val="2F5496" w:themeColor="accent1" w:themeShade="BF"/>
          <w:sz w:val="22"/>
          <w:szCs w:val="22"/>
        </w:rPr>
      </w:pPr>
      <w:r>
        <w:t>Major Concerns:</w:t>
      </w:r>
      <w:r>
        <w:br/>
        <w:t>1. The authors provide a step-by-step protocol for digesting and seeding lung tumor organoids for drug screens, I believe that a brief description of the steps for deriving lung cancer organoids from clinical samples should be included.</w:t>
      </w:r>
      <w:r w:rsidR="00D13D85">
        <w:br/>
      </w:r>
      <w:r w:rsidR="00332E9F">
        <w:rPr>
          <w:rFonts w:ascii="Arial" w:hAnsi="Arial" w:cs="Arial"/>
          <w:color w:val="2F5496" w:themeColor="accent1" w:themeShade="BF"/>
          <w:sz w:val="22"/>
          <w:szCs w:val="22"/>
        </w:rPr>
        <w:t xml:space="preserve">Author response:  </w:t>
      </w:r>
      <w:r w:rsidR="00D13D85">
        <w:rPr>
          <w:rFonts w:ascii="Arial" w:hAnsi="Arial" w:cs="Arial"/>
          <w:color w:val="2F5496" w:themeColor="accent1" w:themeShade="BF"/>
          <w:sz w:val="22"/>
          <w:szCs w:val="22"/>
        </w:rPr>
        <w:t xml:space="preserve">The establishment of lung cancer organoids from </w:t>
      </w:r>
      <w:r w:rsidR="00332E9F">
        <w:rPr>
          <w:rFonts w:ascii="Arial" w:hAnsi="Arial" w:cs="Arial"/>
          <w:color w:val="2F5496" w:themeColor="accent1" w:themeShade="BF"/>
          <w:sz w:val="22"/>
          <w:szCs w:val="22"/>
        </w:rPr>
        <w:t xml:space="preserve">de-identified </w:t>
      </w:r>
      <w:r w:rsidR="00D13D85">
        <w:rPr>
          <w:rFonts w:ascii="Arial" w:hAnsi="Arial" w:cs="Arial"/>
          <w:color w:val="2F5496" w:themeColor="accent1" w:themeShade="BF"/>
          <w:sz w:val="22"/>
          <w:szCs w:val="22"/>
        </w:rPr>
        <w:t>clinical specimens is performed in close collaboration with organoid centers at UCSF (Organoid D2B unit lead by J.P. Roose) and Stanford (C</w:t>
      </w:r>
      <w:r w:rsidR="00332E9F">
        <w:rPr>
          <w:rFonts w:ascii="Arial" w:hAnsi="Arial" w:cs="Arial"/>
          <w:color w:val="2F5496" w:themeColor="accent1" w:themeShade="BF"/>
          <w:sz w:val="22"/>
          <w:szCs w:val="22"/>
        </w:rPr>
        <w:t>.</w:t>
      </w:r>
      <w:r w:rsidR="00D13D85">
        <w:rPr>
          <w:rFonts w:ascii="Arial" w:hAnsi="Arial" w:cs="Arial"/>
          <w:color w:val="2F5496" w:themeColor="accent1" w:themeShade="BF"/>
          <w:sz w:val="22"/>
          <w:szCs w:val="22"/>
        </w:rPr>
        <w:t>J</w:t>
      </w:r>
      <w:r w:rsidR="00332E9F">
        <w:rPr>
          <w:rFonts w:ascii="Arial" w:hAnsi="Arial" w:cs="Arial"/>
          <w:color w:val="2F5496" w:themeColor="accent1" w:themeShade="BF"/>
          <w:sz w:val="22"/>
          <w:szCs w:val="22"/>
        </w:rPr>
        <w:t>.</w:t>
      </w:r>
      <w:r w:rsidR="00D13D85">
        <w:rPr>
          <w:rFonts w:ascii="Arial" w:hAnsi="Arial" w:cs="Arial"/>
          <w:color w:val="2F5496" w:themeColor="accent1" w:themeShade="BF"/>
          <w:sz w:val="22"/>
          <w:szCs w:val="22"/>
        </w:rPr>
        <w:t xml:space="preserve"> Kuo lab). Establishment protocols across centers vary and prior publications describe the processing of specimens from normal lung or lung cancer specimens. We have included a short paragraph at the beginning of the protocol</w:t>
      </w:r>
      <w:r w:rsidR="00F62B8E">
        <w:rPr>
          <w:rFonts w:ascii="Arial" w:hAnsi="Arial" w:cs="Arial"/>
          <w:color w:val="2F5496" w:themeColor="accent1" w:themeShade="BF"/>
          <w:sz w:val="22"/>
          <w:szCs w:val="22"/>
        </w:rPr>
        <w:t xml:space="preserve"> </w:t>
      </w:r>
      <w:r w:rsidR="00F62B8E" w:rsidRPr="00C852D9">
        <w:rPr>
          <w:rFonts w:ascii="Arial" w:hAnsi="Arial" w:cs="Arial"/>
          <w:color w:val="2F5496" w:themeColor="accent1" w:themeShade="BF"/>
          <w:sz w:val="22"/>
          <w:szCs w:val="22"/>
        </w:rPr>
        <w:t xml:space="preserve">to address </w:t>
      </w:r>
      <w:r w:rsidR="00F62B8E">
        <w:rPr>
          <w:rFonts w:ascii="Arial" w:hAnsi="Arial" w:cs="Arial"/>
          <w:color w:val="2F5496" w:themeColor="accent1" w:themeShade="BF"/>
          <w:sz w:val="22"/>
          <w:szCs w:val="22"/>
        </w:rPr>
        <w:t xml:space="preserve">the contribution </w:t>
      </w:r>
      <w:r w:rsidR="00332E9F">
        <w:rPr>
          <w:rFonts w:ascii="Arial" w:hAnsi="Arial" w:cs="Arial"/>
          <w:color w:val="2F5496" w:themeColor="accent1" w:themeShade="BF"/>
          <w:sz w:val="22"/>
          <w:szCs w:val="22"/>
        </w:rPr>
        <w:t xml:space="preserve">the different </w:t>
      </w:r>
      <w:r w:rsidR="00F62B8E">
        <w:rPr>
          <w:rFonts w:ascii="Arial" w:hAnsi="Arial" w:cs="Arial"/>
          <w:color w:val="2F5496" w:themeColor="accent1" w:themeShade="BF"/>
          <w:sz w:val="22"/>
          <w:szCs w:val="22"/>
        </w:rPr>
        <w:t xml:space="preserve">teams for the </w:t>
      </w:r>
      <w:r w:rsidR="00332E9F">
        <w:rPr>
          <w:rFonts w:ascii="Arial" w:hAnsi="Arial" w:cs="Arial"/>
          <w:color w:val="2F5496" w:themeColor="accent1" w:themeShade="BF"/>
          <w:sz w:val="22"/>
          <w:szCs w:val="22"/>
        </w:rPr>
        <w:t xml:space="preserve">use </w:t>
      </w:r>
      <w:r w:rsidR="00F62B8E">
        <w:rPr>
          <w:rFonts w:ascii="Arial" w:hAnsi="Arial" w:cs="Arial"/>
          <w:color w:val="2F5496" w:themeColor="accent1" w:themeShade="BF"/>
          <w:sz w:val="22"/>
          <w:szCs w:val="22"/>
        </w:rPr>
        <w:t>of clinical specimens, with respective literature references</w:t>
      </w:r>
      <w:r w:rsidR="00D13D85">
        <w:rPr>
          <w:rFonts w:ascii="Arial" w:hAnsi="Arial" w:cs="Arial"/>
          <w:color w:val="2F5496" w:themeColor="accent1" w:themeShade="BF"/>
          <w:sz w:val="22"/>
          <w:szCs w:val="22"/>
        </w:rPr>
        <w:t>.</w:t>
      </w:r>
      <w:r w:rsidR="00AE05A7">
        <w:rPr>
          <w:rFonts w:ascii="Arial" w:hAnsi="Arial" w:cs="Arial"/>
          <w:color w:val="2F5496" w:themeColor="accent1" w:themeShade="BF"/>
          <w:sz w:val="22"/>
          <w:szCs w:val="22"/>
        </w:rPr>
        <w:t xml:space="preserve"> </w:t>
      </w:r>
      <w:r w:rsidR="00D13D85">
        <w:rPr>
          <w:rFonts w:ascii="Arial" w:eastAsia="Calibri" w:hAnsi="Arial" w:cs="Arial"/>
          <w:color w:val="2F5496" w:themeColor="accent1" w:themeShade="BF"/>
          <w:sz w:val="22"/>
          <w:szCs w:val="22"/>
        </w:rPr>
        <w:t>(</w:t>
      </w:r>
      <w:r w:rsidR="00C2061C">
        <w:rPr>
          <w:rFonts w:ascii="Arial" w:eastAsia="Calibri" w:hAnsi="Arial" w:cs="Arial"/>
          <w:color w:val="2F5496" w:themeColor="accent1" w:themeShade="BF"/>
          <w:sz w:val="22"/>
          <w:szCs w:val="22"/>
        </w:rPr>
        <w:t>page 3, line 87-90</w:t>
      </w:r>
      <w:r w:rsidR="00D13D85">
        <w:rPr>
          <w:rFonts w:ascii="Arial" w:eastAsia="Calibri" w:hAnsi="Arial" w:cs="Arial"/>
          <w:color w:val="2F5496" w:themeColor="accent1" w:themeShade="BF"/>
          <w:sz w:val="22"/>
          <w:szCs w:val="22"/>
        </w:rPr>
        <w:t>)</w:t>
      </w:r>
      <w:r w:rsidR="00917BB5">
        <w:rPr>
          <w:rFonts w:ascii="Arial" w:eastAsia="Calibri" w:hAnsi="Arial" w:cs="Arial"/>
          <w:color w:val="2F5496" w:themeColor="accent1" w:themeShade="BF"/>
          <w:sz w:val="22"/>
          <w:szCs w:val="22"/>
        </w:rPr>
        <w:t xml:space="preserve"> Further, we have rephrased our title to highlight the focus on </w:t>
      </w:r>
      <w:r w:rsidR="00023B3B">
        <w:rPr>
          <w:rFonts w:ascii="Arial" w:eastAsia="Calibri" w:hAnsi="Arial" w:cs="Arial"/>
          <w:color w:val="2F5496" w:themeColor="accent1" w:themeShade="BF"/>
          <w:sz w:val="22"/>
          <w:szCs w:val="22"/>
        </w:rPr>
        <w:t xml:space="preserve">the </w:t>
      </w:r>
      <w:r w:rsidR="00917BB5">
        <w:rPr>
          <w:rFonts w:ascii="Arial" w:eastAsia="Calibri" w:hAnsi="Arial" w:cs="Arial"/>
          <w:color w:val="2F5496" w:themeColor="accent1" w:themeShade="BF"/>
          <w:sz w:val="22"/>
          <w:szCs w:val="22"/>
        </w:rPr>
        <w:t>profiling</w:t>
      </w:r>
      <w:r w:rsidR="00A63A71">
        <w:rPr>
          <w:rFonts w:ascii="Arial" w:eastAsia="Calibri" w:hAnsi="Arial" w:cs="Arial"/>
          <w:color w:val="2F5496" w:themeColor="accent1" w:themeShade="BF"/>
          <w:sz w:val="22"/>
          <w:szCs w:val="22"/>
        </w:rPr>
        <w:t xml:space="preserve"> of</w:t>
      </w:r>
      <w:r w:rsidR="00917BB5">
        <w:rPr>
          <w:rFonts w:ascii="Arial" w:eastAsia="Calibri" w:hAnsi="Arial" w:cs="Arial"/>
          <w:color w:val="2F5496" w:themeColor="accent1" w:themeShade="BF"/>
          <w:sz w:val="22"/>
          <w:szCs w:val="22"/>
        </w:rPr>
        <w:t xml:space="preserve"> drug sensitivities</w:t>
      </w:r>
      <w:r w:rsidR="00332E9F">
        <w:rPr>
          <w:rFonts w:ascii="Arial" w:eastAsia="Calibri" w:hAnsi="Arial" w:cs="Arial"/>
          <w:color w:val="2F5496" w:themeColor="accent1" w:themeShade="BF"/>
          <w:sz w:val="22"/>
          <w:szCs w:val="22"/>
        </w:rPr>
        <w:t xml:space="preserve"> in our protocol</w:t>
      </w:r>
      <w:r w:rsidR="00917BB5">
        <w:rPr>
          <w:rFonts w:ascii="Arial" w:eastAsia="Calibri" w:hAnsi="Arial" w:cs="Arial"/>
          <w:color w:val="2F5496" w:themeColor="accent1" w:themeShade="BF"/>
          <w:sz w:val="22"/>
          <w:szCs w:val="22"/>
        </w:rPr>
        <w:t>, i.e. “</w:t>
      </w:r>
      <w:r w:rsidR="00917BB5" w:rsidRPr="00917BB5">
        <w:rPr>
          <w:rFonts w:ascii="Arial" w:eastAsia="Calibri" w:hAnsi="Arial" w:cs="Arial"/>
          <w:color w:val="2F5496" w:themeColor="accent1" w:themeShade="BF"/>
          <w:sz w:val="22"/>
          <w:szCs w:val="22"/>
        </w:rPr>
        <w:t>Profiling sensitivity to targeted therapies in EGFR-mutant NSCLC patient-derived organoids</w:t>
      </w:r>
      <w:r w:rsidR="00917BB5">
        <w:rPr>
          <w:rFonts w:ascii="Arial" w:eastAsia="Calibri" w:hAnsi="Arial" w:cs="Arial"/>
          <w:color w:val="2F5496" w:themeColor="accent1" w:themeShade="BF"/>
          <w:sz w:val="22"/>
          <w:szCs w:val="22"/>
        </w:rPr>
        <w:t>”.</w:t>
      </w:r>
    </w:p>
    <w:p w14:paraId="74A61BCD" w14:textId="27F678EB" w:rsidR="00577A5A" w:rsidRDefault="00764EF3" w:rsidP="00F020D8">
      <w:pPr>
        <w:rPr>
          <w:rFonts w:ascii="Arial" w:hAnsi="Arial" w:cs="Arial"/>
          <w:color w:val="2F5496" w:themeColor="accent1" w:themeShade="BF"/>
          <w:sz w:val="22"/>
          <w:szCs w:val="22"/>
        </w:rPr>
      </w:pPr>
      <w:r>
        <w:t>2. It is very interesting that the authors used DNase instead of TrypLE™ Express to digest organoids into single cells as this method was rarely adopted. Did the author compare the differences of these two reagents on the viability of lung cancer organoids?</w:t>
      </w:r>
      <w:r w:rsidR="00D13D85">
        <w:br/>
      </w:r>
      <w:r w:rsidR="00332E9F">
        <w:rPr>
          <w:rFonts w:ascii="Arial" w:hAnsi="Arial" w:cs="Arial"/>
          <w:color w:val="2F5496" w:themeColor="accent1" w:themeShade="BF"/>
          <w:sz w:val="22"/>
          <w:szCs w:val="22"/>
        </w:rPr>
        <w:t xml:space="preserve">Author response:  </w:t>
      </w:r>
      <w:r w:rsidR="00D13D85">
        <w:rPr>
          <w:rFonts w:ascii="Arial" w:eastAsia="Calibri" w:hAnsi="Arial" w:cs="Arial"/>
          <w:color w:val="2F5496" w:themeColor="accent1" w:themeShade="BF"/>
          <w:sz w:val="22"/>
          <w:szCs w:val="22"/>
        </w:rPr>
        <w:t xml:space="preserve">As outlined in protocol step 2, dissociation of organoids </w:t>
      </w:r>
      <w:r w:rsidR="00332E9F">
        <w:rPr>
          <w:rFonts w:ascii="Arial" w:eastAsia="Calibri" w:hAnsi="Arial" w:cs="Arial"/>
          <w:color w:val="2F5496" w:themeColor="accent1" w:themeShade="BF"/>
          <w:sz w:val="22"/>
          <w:szCs w:val="22"/>
        </w:rPr>
        <w:t>in</w:t>
      </w:r>
      <w:r w:rsidR="00D13D85">
        <w:rPr>
          <w:rFonts w:ascii="Arial" w:eastAsia="Calibri" w:hAnsi="Arial" w:cs="Arial"/>
          <w:color w:val="2F5496" w:themeColor="accent1" w:themeShade="BF"/>
          <w:sz w:val="22"/>
          <w:szCs w:val="22"/>
        </w:rPr>
        <w:t xml:space="preserve">to single cell suspensions is based on TrypLE-based digestions </w:t>
      </w:r>
      <w:r w:rsidR="00D13D85" w:rsidRPr="00D13D85">
        <w:rPr>
          <w:rFonts w:ascii="Arial" w:eastAsia="Calibri" w:hAnsi="Arial" w:cs="Arial"/>
          <w:color w:val="2F5496" w:themeColor="accent1" w:themeShade="BF"/>
          <w:sz w:val="22"/>
          <w:szCs w:val="22"/>
          <w:u w:val="single"/>
        </w:rPr>
        <w:t>and</w:t>
      </w:r>
      <w:r w:rsidR="00D13D85">
        <w:rPr>
          <w:rFonts w:ascii="Arial" w:eastAsia="Calibri" w:hAnsi="Arial" w:cs="Arial"/>
          <w:color w:val="2F5496" w:themeColor="accent1" w:themeShade="BF"/>
          <w:sz w:val="22"/>
          <w:szCs w:val="22"/>
        </w:rPr>
        <w:t xml:space="preserve"> an additional incubation step in DNAse I before counting and seeding </w:t>
      </w:r>
      <w:r w:rsidR="00D13D85" w:rsidRPr="00D13D85">
        <w:rPr>
          <w:rFonts w:ascii="Arial" w:eastAsia="Calibri" w:hAnsi="Arial" w:cs="Arial"/>
          <w:color w:val="2F5496" w:themeColor="accent1" w:themeShade="BF"/>
          <w:sz w:val="22"/>
          <w:szCs w:val="22"/>
        </w:rPr>
        <w:t>cells. We have updated text paragraphs in the discussion (</w:t>
      </w:r>
      <w:r w:rsidR="00D13D85" w:rsidRPr="00871A12">
        <w:rPr>
          <w:rFonts w:ascii="Arial" w:eastAsia="Calibri" w:hAnsi="Arial" w:cs="Arial"/>
          <w:color w:val="2F5496" w:themeColor="accent1" w:themeShade="BF"/>
          <w:sz w:val="22"/>
          <w:szCs w:val="22"/>
        </w:rPr>
        <w:t>section “</w:t>
      </w:r>
      <w:r w:rsidR="00D13D85" w:rsidRPr="00871A12">
        <w:rPr>
          <w:rFonts w:ascii="Arial" w:eastAsia="Calibri" w:hAnsi="Arial" w:cs="Arial"/>
          <w:i/>
          <w:color w:val="2F5496" w:themeColor="accent1" w:themeShade="BF"/>
          <w:sz w:val="22"/>
          <w:szCs w:val="22"/>
        </w:rPr>
        <w:t>Critical steps in the protocol</w:t>
      </w:r>
      <w:r w:rsidR="00D13D85" w:rsidRPr="00871A12">
        <w:rPr>
          <w:rFonts w:ascii="Arial" w:eastAsia="Calibri" w:hAnsi="Arial" w:cs="Arial"/>
          <w:color w:val="2F5496" w:themeColor="accent1" w:themeShade="BF"/>
          <w:sz w:val="22"/>
          <w:szCs w:val="22"/>
        </w:rPr>
        <w:t>“), which a</w:t>
      </w:r>
      <w:r w:rsidR="00D13D85">
        <w:rPr>
          <w:rFonts w:ascii="Arial" w:eastAsia="Calibri" w:hAnsi="Arial" w:cs="Arial"/>
          <w:color w:val="2F5496" w:themeColor="accent1" w:themeShade="BF"/>
          <w:sz w:val="22"/>
          <w:szCs w:val="22"/>
        </w:rPr>
        <w:t>re focused on the necessity of additional DNAse I digestion after TrypLE-based dissociation.</w:t>
      </w:r>
      <w:r w:rsidR="00577A5A">
        <w:rPr>
          <w:rFonts w:ascii="Arial" w:eastAsia="Calibri" w:hAnsi="Arial" w:cs="Arial"/>
          <w:color w:val="2F5496" w:themeColor="accent1" w:themeShade="BF"/>
          <w:sz w:val="22"/>
          <w:szCs w:val="22"/>
        </w:rPr>
        <w:t xml:space="preserve"> We hope that rephrasing will provide more </w:t>
      </w:r>
      <w:r w:rsidR="00332E9F">
        <w:rPr>
          <w:rFonts w:ascii="Arial" w:eastAsia="Calibri" w:hAnsi="Arial" w:cs="Arial"/>
          <w:color w:val="2F5496" w:themeColor="accent1" w:themeShade="BF"/>
          <w:sz w:val="22"/>
          <w:szCs w:val="22"/>
        </w:rPr>
        <w:t xml:space="preserve">clarity </w:t>
      </w:r>
      <w:r w:rsidR="00577A5A">
        <w:rPr>
          <w:rFonts w:ascii="Arial" w:eastAsia="Calibri" w:hAnsi="Arial" w:cs="Arial"/>
          <w:color w:val="2F5496" w:themeColor="accent1" w:themeShade="BF"/>
          <w:sz w:val="22"/>
          <w:szCs w:val="22"/>
        </w:rPr>
        <w:t>regarding this point.</w:t>
      </w:r>
      <w:r w:rsidR="00BC632C">
        <w:rPr>
          <w:rFonts w:ascii="Arial" w:eastAsia="Calibri" w:hAnsi="Arial" w:cs="Arial"/>
          <w:color w:val="2F5496" w:themeColor="accent1" w:themeShade="BF"/>
          <w:sz w:val="22"/>
          <w:szCs w:val="22"/>
        </w:rPr>
        <w:t xml:space="preserve"> </w:t>
      </w:r>
      <w:r w:rsidR="00D13D85">
        <w:rPr>
          <w:rFonts w:ascii="Arial" w:eastAsia="Calibri" w:hAnsi="Arial" w:cs="Arial"/>
          <w:color w:val="2F5496" w:themeColor="accent1" w:themeShade="BF"/>
          <w:sz w:val="22"/>
          <w:szCs w:val="22"/>
        </w:rPr>
        <w:t>(</w:t>
      </w:r>
      <w:r w:rsidR="00C2061C">
        <w:rPr>
          <w:rFonts w:ascii="Arial" w:eastAsia="Calibri" w:hAnsi="Arial" w:cs="Arial"/>
          <w:color w:val="2F5496" w:themeColor="accent1" w:themeShade="BF"/>
          <w:sz w:val="22"/>
          <w:szCs w:val="22"/>
        </w:rPr>
        <w:t>page 9, line 408-415</w:t>
      </w:r>
      <w:r w:rsidR="00D13D85">
        <w:rPr>
          <w:rFonts w:ascii="Arial" w:eastAsia="Calibri" w:hAnsi="Arial" w:cs="Arial"/>
          <w:color w:val="2F5496" w:themeColor="accent1" w:themeShade="BF"/>
          <w:sz w:val="22"/>
          <w:szCs w:val="22"/>
        </w:rPr>
        <w:t>)</w:t>
      </w:r>
      <w:r w:rsidR="00577A5A">
        <w:rPr>
          <w:rFonts w:ascii="Arial" w:eastAsia="Calibri" w:hAnsi="Arial" w:cs="Arial"/>
          <w:color w:val="2F5496" w:themeColor="accent1" w:themeShade="BF"/>
          <w:sz w:val="22"/>
          <w:szCs w:val="22"/>
        </w:rPr>
        <w:t xml:space="preserve"> </w:t>
      </w:r>
      <w:r w:rsidR="00577A5A">
        <w:rPr>
          <w:rFonts w:ascii="Arial" w:hAnsi="Arial" w:cs="Arial"/>
          <w:color w:val="2F5496" w:themeColor="accent1" w:themeShade="BF"/>
          <w:sz w:val="22"/>
          <w:szCs w:val="22"/>
        </w:rPr>
        <w:t xml:space="preserve">Of note, our prior experience with TrypLE alone </w:t>
      </w:r>
      <w:r w:rsidR="00332E9F">
        <w:rPr>
          <w:rFonts w:ascii="Arial" w:hAnsi="Arial" w:cs="Arial"/>
          <w:color w:val="2F5496" w:themeColor="accent1" w:themeShade="BF"/>
          <w:sz w:val="22"/>
          <w:szCs w:val="22"/>
        </w:rPr>
        <w:t>showed increased</w:t>
      </w:r>
      <w:r w:rsidR="00577A5A">
        <w:rPr>
          <w:rFonts w:ascii="Arial" w:hAnsi="Arial" w:cs="Arial"/>
          <w:color w:val="2F5496" w:themeColor="accent1" w:themeShade="BF"/>
          <w:sz w:val="22"/>
          <w:szCs w:val="22"/>
        </w:rPr>
        <w:t xml:space="preserve"> </w:t>
      </w:r>
      <w:r w:rsidR="00332E9F">
        <w:rPr>
          <w:rFonts w:ascii="Arial" w:hAnsi="Arial" w:cs="Arial"/>
          <w:color w:val="2F5496" w:themeColor="accent1" w:themeShade="BF"/>
          <w:sz w:val="22"/>
          <w:szCs w:val="22"/>
        </w:rPr>
        <w:t xml:space="preserve">cell </w:t>
      </w:r>
      <w:r w:rsidR="00577A5A">
        <w:rPr>
          <w:rFonts w:ascii="Arial" w:hAnsi="Arial" w:cs="Arial"/>
          <w:color w:val="2F5496" w:themeColor="accent1" w:themeShade="BF"/>
          <w:sz w:val="22"/>
          <w:szCs w:val="22"/>
        </w:rPr>
        <w:t>clumping and less accuracy in counting and seeding. Thus, we advise for the additional DNAse I digestion after TrypLE-based dissociation.</w:t>
      </w:r>
    </w:p>
    <w:p w14:paraId="04A34527" w14:textId="77777777" w:rsidR="00332E9F" w:rsidRDefault="00332E9F" w:rsidP="00F020D8">
      <w:pPr>
        <w:rPr>
          <w:rFonts w:ascii="Arial" w:eastAsia="Calibri" w:hAnsi="Arial" w:cs="Arial"/>
          <w:color w:val="2F5496" w:themeColor="accent1" w:themeShade="BF"/>
          <w:sz w:val="22"/>
          <w:szCs w:val="22"/>
        </w:rPr>
      </w:pPr>
    </w:p>
    <w:p w14:paraId="21130EB2" w14:textId="3A55510F" w:rsidR="00A63A71" w:rsidRDefault="00A63A71" w:rsidP="00F020D8">
      <w:pPr>
        <w:rPr>
          <w:rFonts w:ascii="Arial" w:hAnsi="Arial" w:cs="Arial"/>
          <w:color w:val="2F5496" w:themeColor="accent1" w:themeShade="BF"/>
          <w:sz w:val="22"/>
          <w:szCs w:val="22"/>
        </w:rPr>
      </w:pPr>
      <w:r>
        <w:rPr>
          <w:rFonts w:ascii="Arial" w:hAnsi="Arial" w:cs="Arial"/>
          <w:color w:val="2F5496" w:themeColor="accent1" w:themeShade="BF"/>
          <w:sz w:val="22"/>
          <w:szCs w:val="22"/>
        </w:rPr>
        <w:t>The viability of the organoid single cell suspension after TrypLE and DNAse I digestion is ≥ 95%</w:t>
      </w:r>
      <w:r w:rsidR="00332E9F">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 xml:space="preserve">as </w:t>
      </w:r>
      <w:r w:rsidR="00332E9F">
        <w:rPr>
          <w:rFonts w:ascii="Arial" w:hAnsi="Arial" w:cs="Arial"/>
          <w:color w:val="2F5496" w:themeColor="accent1" w:themeShade="BF"/>
          <w:sz w:val="22"/>
          <w:szCs w:val="22"/>
        </w:rPr>
        <w:t xml:space="preserve">measured </w:t>
      </w:r>
      <w:r>
        <w:rPr>
          <w:rFonts w:ascii="Arial" w:hAnsi="Arial" w:cs="Arial"/>
          <w:color w:val="2F5496" w:themeColor="accent1" w:themeShade="BF"/>
          <w:sz w:val="22"/>
          <w:szCs w:val="22"/>
        </w:rPr>
        <w:t>by the Vi-Cell XR Cell Analyzer before plating. This assessment is done automatically by the cell analyzer in the counting process. Further, no significant number of dead cells is visible as monitored by brightfield microscopy at the day of seeding or the initial 7-day growth period (</w:t>
      </w:r>
      <w:r w:rsidRPr="00C2061C">
        <w:rPr>
          <w:rFonts w:ascii="Arial" w:hAnsi="Arial" w:cs="Arial"/>
          <w:color w:val="2F5496" w:themeColor="accent1" w:themeShade="BF"/>
          <w:sz w:val="22"/>
          <w:szCs w:val="22"/>
        </w:rPr>
        <w:t>Fig</w:t>
      </w:r>
      <w:r w:rsidR="000F6B6E" w:rsidRPr="00C2061C">
        <w:rPr>
          <w:rFonts w:ascii="Arial" w:hAnsi="Arial" w:cs="Arial"/>
          <w:color w:val="2F5496" w:themeColor="accent1" w:themeShade="BF"/>
          <w:sz w:val="22"/>
          <w:szCs w:val="22"/>
        </w:rPr>
        <w:t xml:space="preserve">ure </w:t>
      </w:r>
      <w:r w:rsidR="00083667" w:rsidRPr="00C2061C">
        <w:rPr>
          <w:rFonts w:ascii="Arial" w:hAnsi="Arial" w:cs="Arial"/>
          <w:color w:val="2F5496" w:themeColor="accent1" w:themeShade="BF"/>
          <w:sz w:val="22"/>
          <w:szCs w:val="22"/>
        </w:rPr>
        <w:t>1</w:t>
      </w:r>
      <w:r w:rsidRPr="00C2061C">
        <w:rPr>
          <w:rFonts w:ascii="Arial" w:hAnsi="Arial" w:cs="Arial"/>
          <w:color w:val="2F5496" w:themeColor="accent1" w:themeShade="BF"/>
          <w:sz w:val="22"/>
          <w:szCs w:val="22"/>
        </w:rPr>
        <w:t>B</w:t>
      </w:r>
      <w:r>
        <w:rPr>
          <w:rFonts w:ascii="Arial" w:hAnsi="Arial" w:cs="Arial"/>
          <w:color w:val="2F5496" w:themeColor="accent1" w:themeShade="BF"/>
          <w:sz w:val="22"/>
          <w:szCs w:val="22"/>
        </w:rPr>
        <w:t>)</w:t>
      </w:r>
      <w:r w:rsidR="000F6B6E">
        <w:rPr>
          <w:rFonts w:ascii="Arial" w:hAnsi="Arial" w:cs="Arial"/>
          <w:color w:val="2F5496" w:themeColor="accent1" w:themeShade="BF"/>
          <w:sz w:val="22"/>
          <w:szCs w:val="22"/>
        </w:rPr>
        <w:t>.</w:t>
      </w:r>
      <w:r>
        <w:rPr>
          <w:rFonts w:ascii="Arial" w:hAnsi="Arial" w:cs="Arial"/>
          <w:color w:val="2F5496" w:themeColor="accent1" w:themeShade="BF"/>
          <w:sz w:val="22"/>
          <w:szCs w:val="22"/>
        </w:rPr>
        <w:t xml:space="preserve"> The need to monitor organoid growth and fitness is explained in </w:t>
      </w:r>
      <w:r>
        <w:rPr>
          <w:rFonts w:ascii="Arial" w:hAnsi="Arial" w:cs="Arial"/>
          <w:color w:val="2F5496" w:themeColor="accent1" w:themeShade="BF"/>
          <w:sz w:val="22"/>
          <w:szCs w:val="22"/>
        </w:rPr>
        <w:lastRenderedPageBreak/>
        <w:t>the discussion, section “</w:t>
      </w:r>
      <w:r w:rsidRPr="00875D90">
        <w:rPr>
          <w:rFonts w:ascii="Arial" w:hAnsi="Arial" w:cs="Arial"/>
          <w:i/>
          <w:iCs/>
          <w:color w:val="2F5496" w:themeColor="accent1" w:themeShade="BF"/>
          <w:sz w:val="22"/>
          <w:szCs w:val="22"/>
        </w:rPr>
        <w:t>Critical steps in the protocol</w:t>
      </w:r>
      <w:r>
        <w:rPr>
          <w:rFonts w:ascii="Arial" w:hAnsi="Arial" w:cs="Arial"/>
          <w:color w:val="2F5496" w:themeColor="accent1" w:themeShade="BF"/>
          <w:sz w:val="22"/>
          <w:szCs w:val="22"/>
        </w:rPr>
        <w:t>” (point iii). Further, we have added a NOTE at the counting step to indicate the need for viability assessment. (</w:t>
      </w:r>
      <w:r w:rsidR="00C2061C">
        <w:rPr>
          <w:rFonts w:ascii="Arial" w:hAnsi="Arial" w:cs="Arial"/>
          <w:color w:val="2F5496" w:themeColor="accent1" w:themeShade="BF"/>
          <w:sz w:val="22"/>
          <w:szCs w:val="22"/>
        </w:rPr>
        <w:t>page 4, line 161-163</w:t>
      </w:r>
      <w:r>
        <w:rPr>
          <w:rFonts w:ascii="Arial" w:hAnsi="Arial" w:cs="Arial"/>
          <w:color w:val="2F5496" w:themeColor="accent1" w:themeShade="BF"/>
          <w:sz w:val="22"/>
          <w:szCs w:val="22"/>
        </w:rPr>
        <w:t>)</w:t>
      </w:r>
    </w:p>
    <w:p w14:paraId="0C040703" w14:textId="118DAB46" w:rsidR="00023B3B" w:rsidRDefault="00023B3B" w:rsidP="00F020D8">
      <w:pPr>
        <w:rPr>
          <w:rFonts w:ascii="Arial" w:hAnsi="Arial" w:cs="Arial"/>
          <w:color w:val="2F5496" w:themeColor="accent1" w:themeShade="BF"/>
          <w:sz w:val="22"/>
          <w:szCs w:val="22"/>
        </w:rPr>
      </w:pPr>
    </w:p>
    <w:p w14:paraId="02F06437" w14:textId="2A507E18" w:rsidR="00023B3B" w:rsidRDefault="00023B3B" w:rsidP="00F020D8">
      <w:pPr>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As an example, we have presented representative Vi-Cell XR Cell Analyzer results for counting and viability assessment </w:t>
      </w:r>
      <w:r w:rsidR="00AA71C3">
        <w:rPr>
          <w:rFonts w:ascii="Arial" w:hAnsi="Arial" w:cs="Arial"/>
          <w:color w:val="2F5496" w:themeColor="accent1" w:themeShade="BF"/>
          <w:sz w:val="22"/>
          <w:szCs w:val="22"/>
        </w:rPr>
        <w:t>below. TH107 and TH107BC refer to different organoid models</w:t>
      </w:r>
      <w:r w:rsidR="00332E9F">
        <w:rPr>
          <w:rFonts w:ascii="Arial" w:hAnsi="Arial" w:cs="Arial"/>
          <w:color w:val="2F5496" w:themeColor="accent1" w:themeShade="BF"/>
          <w:sz w:val="22"/>
          <w:szCs w:val="22"/>
        </w:rPr>
        <w:t xml:space="preserve"> and</w:t>
      </w:r>
      <w:r w:rsidR="00AA71C3">
        <w:rPr>
          <w:rFonts w:ascii="Arial" w:hAnsi="Arial" w:cs="Arial"/>
          <w:color w:val="2F5496" w:themeColor="accent1" w:themeShade="BF"/>
          <w:sz w:val="22"/>
          <w:szCs w:val="22"/>
        </w:rPr>
        <w:t xml:space="preserve"> A and B to biological replicates. </w:t>
      </w:r>
      <w:r w:rsidR="00332E9F">
        <w:rPr>
          <w:rFonts w:ascii="Arial" w:hAnsi="Arial" w:cs="Arial"/>
          <w:color w:val="2F5496" w:themeColor="accent1" w:themeShade="BF"/>
          <w:sz w:val="22"/>
          <w:szCs w:val="22"/>
        </w:rPr>
        <w:t xml:space="preserve">For </w:t>
      </w:r>
      <w:r w:rsidR="00AA71C3">
        <w:rPr>
          <w:rFonts w:ascii="Arial" w:hAnsi="Arial" w:cs="Arial"/>
          <w:color w:val="2F5496" w:themeColor="accent1" w:themeShade="BF"/>
          <w:sz w:val="22"/>
          <w:szCs w:val="22"/>
        </w:rPr>
        <w:t xml:space="preserve">each model and biological replicate, three technical replicates are counted. All </w:t>
      </w:r>
      <w:r w:rsidR="00332E9F">
        <w:rPr>
          <w:rFonts w:ascii="Arial" w:hAnsi="Arial" w:cs="Arial"/>
          <w:color w:val="2F5496" w:themeColor="accent1" w:themeShade="BF"/>
          <w:sz w:val="22"/>
          <w:szCs w:val="22"/>
        </w:rPr>
        <w:t xml:space="preserve">show </w:t>
      </w:r>
      <w:r w:rsidR="00AA71C3">
        <w:rPr>
          <w:rFonts w:ascii="Arial" w:hAnsi="Arial" w:cs="Arial"/>
          <w:color w:val="2F5496" w:themeColor="accent1" w:themeShade="BF"/>
          <w:sz w:val="22"/>
          <w:szCs w:val="22"/>
        </w:rPr>
        <w:t xml:space="preserve">≥ 95% viability. A representative image </w:t>
      </w:r>
      <w:r w:rsidR="00332E9F">
        <w:rPr>
          <w:rFonts w:ascii="Arial" w:hAnsi="Arial" w:cs="Arial"/>
          <w:color w:val="2F5496" w:themeColor="accent1" w:themeShade="BF"/>
          <w:sz w:val="22"/>
          <w:szCs w:val="22"/>
        </w:rPr>
        <w:t>during cell counting</w:t>
      </w:r>
      <w:r w:rsidR="00AA71C3">
        <w:rPr>
          <w:rFonts w:ascii="Arial" w:hAnsi="Arial" w:cs="Arial"/>
          <w:color w:val="2F5496" w:themeColor="accent1" w:themeShade="BF"/>
          <w:sz w:val="22"/>
          <w:szCs w:val="22"/>
        </w:rPr>
        <w:t xml:space="preserve"> is presented on the right, showing </w:t>
      </w:r>
      <w:r w:rsidR="00332E9F">
        <w:rPr>
          <w:rFonts w:ascii="Arial" w:hAnsi="Arial" w:cs="Arial"/>
          <w:color w:val="2F5496" w:themeColor="accent1" w:themeShade="BF"/>
          <w:sz w:val="22"/>
          <w:szCs w:val="22"/>
        </w:rPr>
        <w:t xml:space="preserve">robust </w:t>
      </w:r>
      <w:r w:rsidR="00AA71C3">
        <w:rPr>
          <w:rFonts w:ascii="Arial" w:hAnsi="Arial" w:cs="Arial"/>
          <w:color w:val="2F5496" w:themeColor="accent1" w:themeShade="BF"/>
          <w:sz w:val="22"/>
          <w:szCs w:val="22"/>
        </w:rPr>
        <w:t>viability and single cell dissociation.</w:t>
      </w:r>
      <w:r>
        <w:rPr>
          <w:rFonts w:ascii="Arial" w:hAnsi="Arial" w:cs="Arial"/>
          <w:color w:val="2F5496" w:themeColor="accent1" w:themeShade="BF"/>
          <w:sz w:val="22"/>
          <w:szCs w:val="22"/>
        </w:rPr>
        <w:t xml:space="preserve"> </w:t>
      </w:r>
    </w:p>
    <w:p w14:paraId="21CEFE38" w14:textId="77777777" w:rsidR="0092613F" w:rsidRDefault="0092613F" w:rsidP="00D13D85">
      <w:pPr>
        <w:jc w:val="both"/>
        <w:rPr>
          <w:rFonts w:ascii="Arial" w:hAnsi="Arial" w:cs="Arial"/>
          <w:color w:val="2F5496" w:themeColor="accent1" w:themeShade="BF"/>
          <w:sz w:val="22"/>
          <w:szCs w:val="22"/>
        </w:rPr>
      </w:pPr>
    </w:p>
    <w:p w14:paraId="72E7A3D6" w14:textId="3F8C59FA" w:rsidR="00023B3B" w:rsidRDefault="00023B3B" w:rsidP="00023B3B">
      <w:pPr>
        <w:jc w:val="center"/>
        <w:rPr>
          <w:rFonts w:ascii="Arial" w:hAnsi="Arial" w:cs="Arial"/>
          <w:color w:val="2F5496" w:themeColor="accent1" w:themeShade="BF"/>
          <w:sz w:val="22"/>
          <w:szCs w:val="22"/>
        </w:rPr>
      </w:pPr>
      <w:r w:rsidRPr="00023B3B">
        <w:rPr>
          <w:rFonts w:ascii="Arial" w:hAnsi="Arial" w:cs="Arial"/>
          <w:noProof/>
          <w:color w:val="2F5496" w:themeColor="accent1" w:themeShade="BF"/>
          <w:sz w:val="22"/>
          <w:szCs w:val="22"/>
        </w:rPr>
        <w:drawing>
          <wp:inline distT="0" distB="0" distL="0" distR="0" wp14:anchorId="06648FA2" wp14:editId="51E9A727">
            <wp:extent cx="5893264" cy="2884119"/>
            <wp:effectExtent l="12700" t="12700" r="127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1970" t="15768" r="4227" b="24824"/>
                    <a:stretch/>
                  </pic:blipFill>
                  <pic:spPr bwMode="auto">
                    <a:xfrm>
                      <a:off x="0" y="0"/>
                      <a:ext cx="5924111" cy="28992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DD9B5E2" w14:textId="69794EB9" w:rsidR="00C42B20" w:rsidRDefault="00C42B20" w:rsidP="00C42B20">
      <w:pPr>
        <w:jc w:val="both"/>
        <w:rPr>
          <w:rFonts w:ascii="Arial" w:hAnsi="Arial" w:cs="Arial"/>
          <w:color w:val="2F5496" w:themeColor="accent1" w:themeShade="BF"/>
          <w:sz w:val="22"/>
          <w:szCs w:val="22"/>
        </w:rPr>
      </w:pPr>
      <w:r>
        <w:rPr>
          <w:rFonts w:ascii="Arial" w:hAnsi="Arial" w:cs="Arial"/>
          <w:i/>
          <w:iCs/>
          <w:color w:val="2F5496" w:themeColor="accent1" w:themeShade="BF"/>
          <w:sz w:val="20"/>
          <w:szCs w:val="20"/>
        </w:rPr>
        <w:t>Cell count and viability of organoid cells after TrypLE + DNAse I-mediated digestion as measured by a ViCell XR Cell Analyzer. All samples are counted in technical triplicates.</w:t>
      </w:r>
    </w:p>
    <w:p w14:paraId="6F6575A6" w14:textId="77777777" w:rsidR="00023B3B" w:rsidRDefault="00023B3B" w:rsidP="00D13D85">
      <w:pPr>
        <w:jc w:val="both"/>
        <w:rPr>
          <w:rFonts w:ascii="Arial" w:hAnsi="Arial" w:cs="Arial"/>
          <w:color w:val="2F5496" w:themeColor="accent1" w:themeShade="BF"/>
          <w:sz w:val="22"/>
          <w:szCs w:val="22"/>
        </w:rPr>
      </w:pPr>
    </w:p>
    <w:p w14:paraId="4EF4BD30" w14:textId="77777777" w:rsidR="00332E9F" w:rsidRDefault="00764EF3" w:rsidP="00F020D8">
      <w:pPr>
        <w:rPr>
          <w:rFonts w:ascii="Arial" w:eastAsia="Calibri" w:hAnsi="Arial" w:cs="Arial"/>
          <w:color w:val="2F5496" w:themeColor="accent1" w:themeShade="BF"/>
          <w:sz w:val="22"/>
          <w:szCs w:val="22"/>
        </w:rPr>
      </w:pPr>
      <w:r>
        <w:t>"DNAse" should be "DNase I"?</w:t>
      </w:r>
      <w:r w:rsidR="00D13D85" w:rsidRPr="00D13D85">
        <w:rPr>
          <w:rFonts w:ascii="Arial" w:eastAsia="Calibri" w:hAnsi="Arial" w:cs="Arial"/>
          <w:color w:val="2F5496" w:themeColor="accent1" w:themeShade="BF"/>
          <w:sz w:val="22"/>
          <w:szCs w:val="22"/>
        </w:rPr>
        <w:t xml:space="preserve"> </w:t>
      </w:r>
    </w:p>
    <w:p w14:paraId="1A24122D" w14:textId="19BCDEC1" w:rsidR="00871A12" w:rsidRDefault="00332E9F" w:rsidP="00F020D8">
      <w:pPr>
        <w:rPr>
          <w:rFonts w:ascii="Arial" w:eastAsia="Calibri" w:hAnsi="Arial" w:cs="Arial"/>
          <w:color w:val="2F5496" w:themeColor="accent1" w:themeShade="BF"/>
          <w:sz w:val="22"/>
          <w:szCs w:val="22"/>
        </w:rPr>
      </w:pPr>
      <w:r>
        <w:rPr>
          <w:rFonts w:ascii="Arial" w:hAnsi="Arial" w:cs="Arial"/>
          <w:color w:val="2F5496" w:themeColor="accent1" w:themeShade="BF"/>
          <w:sz w:val="22"/>
          <w:szCs w:val="22"/>
        </w:rPr>
        <w:t xml:space="preserve">Author response:  </w:t>
      </w:r>
      <w:r w:rsidR="00D13D85">
        <w:rPr>
          <w:rFonts w:ascii="Arial" w:eastAsia="Calibri" w:hAnsi="Arial" w:cs="Arial"/>
          <w:color w:val="2F5496" w:themeColor="accent1" w:themeShade="BF"/>
          <w:sz w:val="22"/>
          <w:szCs w:val="22"/>
        </w:rPr>
        <w:t>Correct. This has been changed to DNAse I in the text and material table.</w:t>
      </w:r>
    </w:p>
    <w:p w14:paraId="745EDB08" w14:textId="77777777" w:rsidR="0092613F" w:rsidRDefault="00D13D85" w:rsidP="00F020D8">
      <w:r>
        <w:rPr>
          <w:rFonts w:ascii="Arial" w:eastAsia="Calibri" w:hAnsi="Arial" w:cs="Arial"/>
          <w:color w:val="2F5496" w:themeColor="accent1" w:themeShade="BF"/>
          <w:sz w:val="22"/>
          <w:szCs w:val="22"/>
        </w:rPr>
        <w:t xml:space="preserve"> </w:t>
      </w:r>
      <w:r w:rsidR="00764EF3">
        <w:br/>
        <w:t>In addition, bright-field images of organoids under light microscope after key digestion steps should be helpful, e.g., before and after DNase I digestion.</w:t>
      </w:r>
      <w:r>
        <w:t xml:space="preserve"> </w:t>
      </w:r>
    </w:p>
    <w:p w14:paraId="44784169" w14:textId="6D022E97" w:rsidR="00332E9F" w:rsidRPr="00871A12" w:rsidRDefault="00332E9F" w:rsidP="00F020D8">
      <w:pPr>
        <w:rPr>
          <w:rFonts w:ascii="Arial" w:eastAsia="Calibri" w:hAnsi="Arial" w:cs="Arial"/>
          <w:color w:val="2F5496" w:themeColor="accent1" w:themeShade="BF"/>
          <w:sz w:val="22"/>
          <w:szCs w:val="22"/>
        </w:rPr>
      </w:pPr>
      <w:r>
        <w:rPr>
          <w:rFonts w:ascii="Arial" w:hAnsi="Arial" w:cs="Arial"/>
          <w:color w:val="2F5496" w:themeColor="accent1" w:themeShade="BF"/>
          <w:sz w:val="22"/>
          <w:szCs w:val="22"/>
        </w:rPr>
        <w:t xml:space="preserve">Author response: </w:t>
      </w:r>
      <w:r w:rsidR="00AC4684">
        <w:rPr>
          <w:rFonts w:ascii="Arial" w:hAnsi="Arial" w:cs="Arial"/>
          <w:color w:val="2F5496" w:themeColor="accent1" w:themeShade="BF"/>
          <w:sz w:val="22"/>
          <w:szCs w:val="22"/>
        </w:rPr>
        <w:t>Representative images of organoid cells are presented</w:t>
      </w:r>
      <w:r w:rsidR="00E958C8">
        <w:rPr>
          <w:rFonts w:ascii="Arial" w:hAnsi="Arial" w:cs="Arial"/>
          <w:color w:val="2F5496" w:themeColor="accent1" w:themeShade="BF"/>
          <w:sz w:val="22"/>
          <w:szCs w:val="22"/>
        </w:rPr>
        <w:t xml:space="preserve"> in Figure 1B. We have now included images of original cultures prior to TrypLE + DNAse I-mediated dissociation, in addition to images of freshly seeded cells</w:t>
      </w:r>
      <w:r w:rsidR="00DC20E5">
        <w:rPr>
          <w:rFonts w:ascii="Arial" w:hAnsi="Arial" w:cs="Arial"/>
          <w:color w:val="2F5496" w:themeColor="accent1" w:themeShade="BF"/>
          <w:sz w:val="22"/>
          <w:szCs w:val="22"/>
        </w:rPr>
        <w:t xml:space="preserve">.  </w:t>
      </w:r>
      <w:r w:rsidR="00E958C8">
        <w:rPr>
          <w:rFonts w:ascii="Arial" w:hAnsi="Arial" w:cs="Arial"/>
          <w:color w:val="2F5496" w:themeColor="accent1" w:themeShade="BF"/>
          <w:sz w:val="22"/>
          <w:szCs w:val="22"/>
        </w:rPr>
        <w:t xml:space="preserve">  </w:t>
      </w:r>
    </w:p>
    <w:p w14:paraId="716318DC" w14:textId="437084C5" w:rsidR="00332E9F" w:rsidRDefault="00764EF3" w:rsidP="00332E9F">
      <w:r>
        <w:br/>
        <w:t>3. Figure 1B, the picture of organoids is not clear and the size of organoids seems too small.</w:t>
      </w:r>
      <w:r>
        <w:br/>
        <w:t>"IC50" -&gt;"IC50" throughput the manuscript.</w:t>
      </w:r>
      <w:r w:rsidR="00F020D8">
        <w:br/>
      </w:r>
      <w:r w:rsidR="00332E9F">
        <w:rPr>
          <w:rFonts w:ascii="Arial" w:hAnsi="Arial" w:cs="Arial"/>
          <w:color w:val="2F5496" w:themeColor="accent1" w:themeShade="BF"/>
          <w:sz w:val="22"/>
          <w:szCs w:val="22"/>
        </w:rPr>
        <w:t xml:space="preserve">Author response:  </w:t>
      </w:r>
      <w:r w:rsidR="00F020D8">
        <w:rPr>
          <w:rFonts w:ascii="Arial" w:hAnsi="Arial" w:cs="Arial"/>
          <w:color w:val="2F5496" w:themeColor="accent1" w:themeShade="BF"/>
          <w:sz w:val="22"/>
          <w:szCs w:val="22"/>
        </w:rPr>
        <w:t xml:space="preserve">In Figure 1B, representative images of cells at the time of seeding (day 0) and at treatment initiation (day 7) are shown. We have now added the comparison to the original culture with </w:t>
      </w:r>
      <w:r w:rsidR="008924C4">
        <w:rPr>
          <w:rFonts w:ascii="Arial" w:hAnsi="Arial" w:cs="Arial"/>
          <w:color w:val="2F5496" w:themeColor="accent1" w:themeShade="BF"/>
          <w:sz w:val="22"/>
          <w:szCs w:val="22"/>
        </w:rPr>
        <w:t xml:space="preserve">fully grown organoids. Of note, treatment initiation at an early organoid state is necessary given </w:t>
      </w:r>
      <w:r w:rsidR="00332E9F">
        <w:rPr>
          <w:rFonts w:ascii="Arial" w:hAnsi="Arial" w:cs="Arial"/>
          <w:color w:val="2F5496" w:themeColor="accent1" w:themeShade="BF"/>
          <w:sz w:val="22"/>
          <w:szCs w:val="22"/>
        </w:rPr>
        <w:t xml:space="preserve">several </w:t>
      </w:r>
      <w:r w:rsidR="008924C4">
        <w:rPr>
          <w:rFonts w:ascii="Arial" w:hAnsi="Arial" w:cs="Arial"/>
          <w:color w:val="2F5496" w:themeColor="accent1" w:themeShade="BF"/>
          <w:sz w:val="22"/>
          <w:szCs w:val="22"/>
        </w:rPr>
        <w:t>factors: comparability across organoid models even upon minor changes in size or doubling time, best response to drug at a lower cellularity state, and clear distinguishment of sensitive and resistant cultures (Figure 2).</w:t>
      </w:r>
      <w:r w:rsidR="00332E9F">
        <w:rPr>
          <w:rFonts w:ascii="Arial" w:hAnsi="Arial" w:cs="Arial"/>
          <w:color w:val="2F5496" w:themeColor="accent1" w:themeShade="BF"/>
          <w:sz w:val="22"/>
          <w:szCs w:val="22"/>
        </w:rPr>
        <w:t xml:space="preserve"> </w:t>
      </w:r>
      <w:r w:rsidR="008924C4">
        <w:rPr>
          <w:rFonts w:ascii="Arial" w:hAnsi="Arial" w:cs="Arial"/>
          <w:color w:val="2F5496" w:themeColor="accent1" w:themeShade="BF"/>
          <w:sz w:val="22"/>
          <w:szCs w:val="22"/>
        </w:rPr>
        <w:t xml:space="preserve">We have added representative images for a second organoid model (TH330) in Figure 1B as well as the quantification of changes in organoid size. </w:t>
      </w:r>
      <w:r w:rsidR="008924C4">
        <w:rPr>
          <w:rFonts w:ascii="Arial" w:hAnsi="Arial" w:cs="Arial"/>
          <w:color w:val="2F5496" w:themeColor="accent1" w:themeShade="BF"/>
          <w:sz w:val="22"/>
          <w:szCs w:val="22"/>
        </w:rPr>
        <w:br/>
      </w:r>
      <w:r>
        <w:br/>
      </w:r>
      <w:r>
        <w:lastRenderedPageBreak/>
        <w:t>4. Figure 2 and Supplementary Figure 1, did the replicates refer to technical replicates or biological replicates?</w:t>
      </w:r>
      <w:r w:rsidR="00D13D85">
        <w:t xml:space="preserve"> </w:t>
      </w:r>
    </w:p>
    <w:p w14:paraId="14A94A3D" w14:textId="630AEC0D" w:rsidR="00871A12" w:rsidRDefault="00332E9F" w:rsidP="00CC14D1">
      <w:pPr>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Author response:  </w:t>
      </w:r>
      <w:r w:rsidR="00D13D85">
        <w:rPr>
          <w:rFonts w:ascii="Arial" w:hAnsi="Arial" w:cs="Arial"/>
          <w:color w:val="2F5496" w:themeColor="accent1" w:themeShade="BF"/>
          <w:sz w:val="22"/>
          <w:szCs w:val="22"/>
        </w:rPr>
        <w:t xml:space="preserve">Replicates refer to technical replicates. </w:t>
      </w:r>
      <w:r>
        <w:rPr>
          <w:rFonts w:ascii="Arial" w:hAnsi="Arial" w:cs="Arial"/>
          <w:color w:val="2F5496" w:themeColor="accent1" w:themeShade="BF"/>
          <w:sz w:val="22"/>
          <w:szCs w:val="22"/>
        </w:rPr>
        <w:t xml:space="preserve">The </w:t>
      </w:r>
      <w:r w:rsidR="00D13D85">
        <w:rPr>
          <w:rFonts w:ascii="Arial" w:hAnsi="Arial" w:cs="Arial"/>
          <w:color w:val="2F5496" w:themeColor="accent1" w:themeShade="BF"/>
          <w:sz w:val="22"/>
          <w:szCs w:val="22"/>
        </w:rPr>
        <w:t xml:space="preserve">information has now been included across figures legends for Figure </w:t>
      </w:r>
      <w:r w:rsidR="00871A12">
        <w:rPr>
          <w:rFonts w:ascii="Arial" w:hAnsi="Arial" w:cs="Arial"/>
          <w:color w:val="2F5496" w:themeColor="accent1" w:themeShade="BF"/>
          <w:sz w:val="22"/>
          <w:szCs w:val="22"/>
        </w:rPr>
        <w:t xml:space="preserve">1, Figure </w:t>
      </w:r>
      <w:r w:rsidR="00D13D85">
        <w:rPr>
          <w:rFonts w:ascii="Arial" w:hAnsi="Arial" w:cs="Arial"/>
          <w:color w:val="2F5496" w:themeColor="accent1" w:themeShade="BF"/>
          <w:sz w:val="22"/>
          <w:szCs w:val="22"/>
        </w:rPr>
        <w:t>2 and Supplementary Figure 1</w:t>
      </w:r>
      <w:r w:rsidR="00437B4B">
        <w:rPr>
          <w:rFonts w:ascii="Arial" w:hAnsi="Arial" w:cs="Arial"/>
          <w:color w:val="2F5496" w:themeColor="accent1" w:themeShade="BF"/>
          <w:sz w:val="22"/>
          <w:szCs w:val="22"/>
        </w:rPr>
        <w:t xml:space="preserve"> [now Figure 3]</w:t>
      </w:r>
      <w:r w:rsidR="00871A12">
        <w:rPr>
          <w:rFonts w:ascii="Arial" w:hAnsi="Arial" w:cs="Arial"/>
          <w:color w:val="2F5496" w:themeColor="accent1" w:themeShade="BF"/>
          <w:sz w:val="22"/>
          <w:szCs w:val="22"/>
        </w:rPr>
        <w:t xml:space="preserve"> as well as in the discussion.</w:t>
      </w:r>
      <w:r w:rsidR="00D13D85">
        <w:rPr>
          <w:rFonts w:ascii="Arial" w:hAnsi="Arial" w:cs="Arial"/>
          <w:color w:val="2F5496" w:themeColor="accent1" w:themeShade="BF"/>
          <w:sz w:val="22"/>
          <w:szCs w:val="22"/>
        </w:rPr>
        <w:t xml:space="preserve"> </w:t>
      </w:r>
    </w:p>
    <w:p w14:paraId="7ACB313C" w14:textId="35BB8A7F" w:rsidR="00871A12" w:rsidRDefault="00764EF3" w:rsidP="00D13D85">
      <w:pPr>
        <w:pStyle w:val="NormalWeb"/>
        <w:rPr>
          <w:rFonts w:ascii="Arial" w:hAnsi="Arial" w:cs="Arial"/>
          <w:color w:val="2F5496" w:themeColor="accent1" w:themeShade="BF"/>
          <w:sz w:val="22"/>
          <w:szCs w:val="22"/>
        </w:rPr>
      </w:pPr>
      <w:r>
        <w:t>Also, the error bars seem too large, could the author explain the inconsistent results between these replicates?</w:t>
      </w:r>
      <w:r w:rsidR="00D13D85">
        <w:t xml:space="preserve"> </w:t>
      </w:r>
      <w:r w:rsidR="00871A12">
        <w:br/>
      </w:r>
      <w:r w:rsidR="00332E9F">
        <w:rPr>
          <w:rFonts w:ascii="Arial" w:hAnsi="Arial" w:cs="Arial"/>
          <w:color w:val="2F5496" w:themeColor="accent1" w:themeShade="BF"/>
          <w:sz w:val="22"/>
          <w:szCs w:val="22"/>
        </w:rPr>
        <w:t xml:space="preserve">Author response:  </w:t>
      </w:r>
      <w:r w:rsidR="00871A12">
        <w:rPr>
          <w:rFonts w:ascii="Arial" w:hAnsi="Arial" w:cs="Arial"/>
          <w:color w:val="2F5496" w:themeColor="accent1" w:themeShade="BF"/>
          <w:sz w:val="22"/>
          <w:szCs w:val="22"/>
        </w:rPr>
        <w:t xml:space="preserve">Profiling of drug responses in </w:t>
      </w:r>
      <w:r w:rsidR="00BC632C">
        <w:rPr>
          <w:rFonts w:ascii="Arial" w:hAnsi="Arial" w:cs="Arial"/>
          <w:color w:val="2F5496" w:themeColor="accent1" w:themeShade="BF"/>
          <w:sz w:val="22"/>
          <w:szCs w:val="22"/>
        </w:rPr>
        <w:t>BME2</w:t>
      </w:r>
      <w:r w:rsidR="00871A12">
        <w:rPr>
          <w:rFonts w:ascii="Arial" w:hAnsi="Arial" w:cs="Arial"/>
          <w:color w:val="2F5496" w:themeColor="accent1" w:themeShade="BF"/>
          <w:sz w:val="22"/>
          <w:szCs w:val="22"/>
        </w:rPr>
        <w:t>-embedded organoid cultures shows a higher standard deviation than observed in regular cell line cultures.</w:t>
      </w:r>
      <w:r w:rsidR="00871A12" w:rsidRPr="00871A12">
        <w:rPr>
          <w:rFonts w:ascii="Arial" w:hAnsi="Arial" w:cs="Arial"/>
          <w:color w:val="2F5496" w:themeColor="accent1" w:themeShade="BF"/>
          <w:sz w:val="22"/>
          <w:szCs w:val="22"/>
        </w:rPr>
        <w:t xml:space="preserve"> </w:t>
      </w:r>
      <w:r w:rsidR="00871A12">
        <w:rPr>
          <w:rFonts w:ascii="Arial" w:hAnsi="Arial" w:cs="Arial"/>
          <w:color w:val="2F5496" w:themeColor="accent1" w:themeShade="BF"/>
          <w:sz w:val="22"/>
          <w:szCs w:val="22"/>
        </w:rPr>
        <w:t xml:space="preserve">The higher standard deviation is likely based </w:t>
      </w:r>
      <w:r w:rsidR="00332E9F">
        <w:rPr>
          <w:rFonts w:ascii="Arial" w:hAnsi="Arial" w:cs="Arial"/>
          <w:color w:val="2F5496" w:themeColor="accent1" w:themeShade="BF"/>
          <w:sz w:val="22"/>
          <w:szCs w:val="22"/>
        </w:rPr>
        <w:t>on several</w:t>
      </w:r>
      <w:r w:rsidR="00871A12">
        <w:rPr>
          <w:rFonts w:ascii="Arial" w:hAnsi="Arial" w:cs="Arial"/>
          <w:color w:val="2F5496" w:themeColor="accent1" w:themeShade="BF"/>
          <w:sz w:val="22"/>
          <w:szCs w:val="22"/>
        </w:rPr>
        <w:t xml:space="preserve"> factors, including a higher likelihood of minor deviations in seeding when working with </w:t>
      </w:r>
      <w:r w:rsidR="00BC632C">
        <w:rPr>
          <w:rFonts w:ascii="Arial" w:hAnsi="Arial" w:cs="Arial"/>
          <w:color w:val="2F5496" w:themeColor="accent1" w:themeShade="BF"/>
          <w:sz w:val="22"/>
          <w:szCs w:val="22"/>
        </w:rPr>
        <w:t>BME2</w:t>
      </w:r>
      <w:r w:rsidR="00871A12">
        <w:rPr>
          <w:rFonts w:ascii="Arial" w:hAnsi="Arial" w:cs="Arial"/>
          <w:color w:val="2F5496" w:themeColor="accent1" w:themeShade="BF"/>
          <w:sz w:val="22"/>
          <w:szCs w:val="22"/>
        </w:rPr>
        <w:t xml:space="preserve"> and differences in individual organoid growth rates over the initial 7-day growth period. Thus, equal or more than 4 technical replicates per drug concentration should be seeded</w:t>
      </w:r>
      <w:r w:rsidR="00332E9F">
        <w:rPr>
          <w:rFonts w:ascii="Arial" w:hAnsi="Arial" w:cs="Arial"/>
          <w:color w:val="2F5496" w:themeColor="accent1" w:themeShade="BF"/>
          <w:sz w:val="22"/>
          <w:szCs w:val="22"/>
        </w:rPr>
        <w:t xml:space="preserve">, </w:t>
      </w:r>
      <w:r w:rsidR="00871A12">
        <w:rPr>
          <w:rFonts w:ascii="Arial" w:hAnsi="Arial" w:cs="Arial"/>
          <w:color w:val="2F5496" w:themeColor="accent1" w:themeShade="BF"/>
          <w:sz w:val="22"/>
          <w:szCs w:val="22"/>
        </w:rPr>
        <w:t>as outlined in the discussion (section “</w:t>
      </w:r>
      <w:r w:rsidR="00871A12" w:rsidRPr="00871A12">
        <w:rPr>
          <w:rFonts w:ascii="Arial" w:hAnsi="Arial" w:cs="Arial"/>
          <w:i/>
          <w:iCs/>
          <w:color w:val="2F5496" w:themeColor="accent1" w:themeShade="BF"/>
          <w:sz w:val="22"/>
          <w:szCs w:val="22"/>
        </w:rPr>
        <w:t>Modifications and troubleshooting of the methods</w:t>
      </w:r>
      <w:r w:rsidR="00871A12">
        <w:rPr>
          <w:rFonts w:ascii="Arial" w:hAnsi="Arial" w:cs="Arial"/>
          <w:color w:val="2F5496" w:themeColor="accent1" w:themeShade="BF"/>
          <w:sz w:val="22"/>
          <w:szCs w:val="22"/>
        </w:rPr>
        <w:t>”).</w:t>
      </w:r>
      <w:r w:rsidR="00332E9F">
        <w:rPr>
          <w:rFonts w:ascii="Arial" w:hAnsi="Arial" w:cs="Arial"/>
          <w:color w:val="2F5496" w:themeColor="accent1" w:themeShade="BF"/>
          <w:sz w:val="22"/>
          <w:szCs w:val="22"/>
        </w:rPr>
        <w:t xml:space="preserve"> </w:t>
      </w:r>
      <w:r w:rsidR="00871A12">
        <w:rPr>
          <w:rFonts w:ascii="Arial" w:hAnsi="Arial" w:cs="Arial"/>
          <w:color w:val="2F5496" w:themeColor="accent1" w:themeShade="BF"/>
          <w:sz w:val="22"/>
          <w:szCs w:val="22"/>
        </w:rPr>
        <w:t>In order to clarify this point, we have added an additional paragraph in the discussion (</w:t>
      </w:r>
      <w:r w:rsidR="00871A12" w:rsidRPr="00D13D85">
        <w:rPr>
          <w:rFonts w:ascii="Arial" w:eastAsia="Calibri" w:hAnsi="Arial" w:cs="Arial"/>
          <w:color w:val="2F5496" w:themeColor="accent1" w:themeShade="BF"/>
          <w:sz w:val="22"/>
          <w:szCs w:val="22"/>
        </w:rPr>
        <w:t>section “</w:t>
      </w:r>
      <w:r w:rsidR="00871A12" w:rsidRPr="00871A12">
        <w:rPr>
          <w:rFonts w:ascii="Arial" w:eastAsia="Calibri" w:hAnsi="Arial" w:cs="Arial"/>
          <w:i/>
          <w:color w:val="2F5496" w:themeColor="accent1" w:themeShade="BF"/>
          <w:sz w:val="22"/>
          <w:szCs w:val="22"/>
        </w:rPr>
        <w:t>Critical steps in the protocol</w:t>
      </w:r>
      <w:r w:rsidR="00BC632C">
        <w:rPr>
          <w:rFonts w:ascii="Arial" w:eastAsia="Calibri" w:hAnsi="Arial" w:cs="Arial"/>
          <w:color w:val="2F5496" w:themeColor="accent1" w:themeShade="BF"/>
          <w:sz w:val="22"/>
          <w:szCs w:val="22"/>
        </w:rPr>
        <w:t>”).</w:t>
      </w:r>
      <w:r w:rsidR="00871A12">
        <w:rPr>
          <w:rFonts w:ascii="Arial" w:hAnsi="Arial" w:cs="Arial"/>
          <w:color w:val="2F5496" w:themeColor="accent1" w:themeShade="BF"/>
          <w:sz w:val="22"/>
          <w:szCs w:val="22"/>
        </w:rPr>
        <w:t xml:space="preserve"> (</w:t>
      </w:r>
      <w:r w:rsidR="00C2061C">
        <w:rPr>
          <w:rFonts w:ascii="Arial" w:hAnsi="Arial" w:cs="Arial"/>
          <w:color w:val="2F5496" w:themeColor="accent1" w:themeShade="BF"/>
          <w:sz w:val="22"/>
          <w:szCs w:val="22"/>
        </w:rPr>
        <w:t>page 10, line 446-451</w:t>
      </w:r>
      <w:r w:rsidR="00871A12">
        <w:rPr>
          <w:rFonts w:ascii="Arial" w:hAnsi="Arial" w:cs="Arial"/>
          <w:color w:val="2F5496" w:themeColor="accent1" w:themeShade="BF"/>
          <w:sz w:val="22"/>
          <w:szCs w:val="22"/>
        </w:rPr>
        <w:t>)</w:t>
      </w:r>
    </w:p>
    <w:p w14:paraId="069B75EC" w14:textId="77777777" w:rsidR="00332E9F" w:rsidRDefault="00764EF3" w:rsidP="00D13D85">
      <w:pPr>
        <w:pStyle w:val="NormalWeb"/>
      </w:pPr>
      <w:r>
        <w:t>5. Supplementary Figure 1C, the author may need to calculate the statistical difference between the two treatments.</w:t>
      </w:r>
      <w:r w:rsidR="00437B4B">
        <w:t xml:space="preserve"> </w:t>
      </w:r>
    </w:p>
    <w:p w14:paraId="43AC5B3D" w14:textId="61219506" w:rsidR="00437B4B" w:rsidRDefault="00332E9F" w:rsidP="00D13D85">
      <w:pPr>
        <w:pStyle w:val="NormalWeb"/>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Author response:  </w:t>
      </w:r>
      <w:r w:rsidR="00437B4B">
        <w:rPr>
          <w:rFonts w:ascii="Arial" w:hAnsi="Arial" w:cs="Arial"/>
          <w:color w:val="2F5496" w:themeColor="accent1" w:themeShade="BF"/>
          <w:sz w:val="22"/>
          <w:szCs w:val="22"/>
        </w:rPr>
        <w:t xml:space="preserve">The statistical significance for the difference in treatment response between the two media formulations has now been calculated for Supplementary Figures 1C and 1D [now Figure 3C and D]. </w:t>
      </w:r>
      <w:r w:rsidR="00437B4B" w:rsidRPr="00437B4B">
        <w:rPr>
          <w:rFonts w:ascii="Arial" w:hAnsi="Arial" w:cs="Arial"/>
          <w:i/>
          <w:iCs/>
          <w:color w:val="2F5496" w:themeColor="accent1" w:themeShade="BF"/>
          <w:sz w:val="22"/>
          <w:szCs w:val="22"/>
        </w:rPr>
        <w:t>P</w:t>
      </w:r>
      <w:r w:rsidR="00437B4B">
        <w:rPr>
          <w:rFonts w:ascii="Arial" w:hAnsi="Arial" w:cs="Arial"/>
          <w:color w:val="2F5496" w:themeColor="accent1" w:themeShade="BF"/>
          <w:sz w:val="22"/>
          <w:szCs w:val="22"/>
        </w:rPr>
        <w:t xml:space="preserve"> values are indicated in the individual figures and the figure legend.</w:t>
      </w:r>
    </w:p>
    <w:p w14:paraId="3F75416F" w14:textId="4DEA8ED7" w:rsidR="00437B4B" w:rsidRDefault="00764EF3" w:rsidP="00D13D85">
      <w:pPr>
        <w:pStyle w:val="NormalWeb"/>
      </w:pPr>
      <w:r>
        <w:t>6. Step 2.1.3, did the author inactivate TrypLE before the following centrifuge step? I am asking this because TrypPLE may reduce cell viability.</w:t>
      </w:r>
      <w:r w:rsidR="00437B4B">
        <w:br/>
      </w:r>
      <w:r w:rsidR="00332E9F">
        <w:rPr>
          <w:rFonts w:ascii="Arial" w:hAnsi="Arial" w:cs="Arial"/>
          <w:color w:val="2F5496" w:themeColor="accent1" w:themeShade="BF"/>
          <w:sz w:val="22"/>
          <w:szCs w:val="22"/>
        </w:rPr>
        <w:t xml:space="preserve">Author response:  </w:t>
      </w:r>
      <w:r w:rsidR="00437B4B">
        <w:rPr>
          <w:rFonts w:ascii="Arial" w:hAnsi="Arial" w:cs="Arial"/>
          <w:color w:val="2F5496" w:themeColor="accent1" w:themeShade="BF"/>
          <w:sz w:val="22"/>
          <w:szCs w:val="22"/>
        </w:rPr>
        <w:t>According to the manufacturer’s instruction, dilution alone inactivates TrypLE and no further FBS-based or similar inactivation is needed (</w:t>
      </w:r>
      <w:hyperlink r:id="rId8" w:history="1">
        <w:r w:rsidR="00437B4B" w:rsidRPr="00116B21">
          <w:rPr>
            <w:rStyle w:val="Hyperlink"/>
            <w:rFonts w:ascii="Arial" w:hAnsi="Arial" w:cs="Arial"/>
            <w:color w:val="034990" w:themeColor="hyperlink" w:themeShade="BF"/>
            <w:sz w:val="22"/>
            <w:szCs w:val="22"/>
          </w:rPr>
          <w:t>https://www.thermofisher.com/order/catalog/product/12604013</w:t>
        </w:r>
      </w:hyperlink>
      <w:r w:rsidR="00437B4B">
        <w:rPr>
          <w:rFonts w:ascii="Arial" w:hAnsi="Arial" w:cs="Arial"/>
          <w:color w:val="2F5496" w:themeColor="accent1" w:themeShade="BF"/>
          <w:sz w:val="22"/>
          <w:szCs w:val="22"/>
        </w:rPr>
        <w:t xml:space="preserve">). </w:t>
      </w:r>
      <w:r w:rsidR="000F6B6E">
        <w:rPr>
          <w:rFonts w:ascii="Arial" w:hAnsi="Arial" w:cs="Arial"/>
          <w:color w:val="2F5496" w:themeColor="accent1" w:themeShade="BF"/>
          <w:sz w:val="22"/>
          <w:szCs w:val="22"/>
        </w:rPr>
        <w:t>P</w:t>
      </w:r>
      <w:r w:rsidR="00437B4B">
        <w:rPr>
          <w:rFonts w:ascii="Arial" w:hAnsi="Arial" w:cs="Arial"/>
          <w:color w:val="2F5496" w:themeColor="accent1" w:themeShade="BF"/>
          <w:sz w:val="22"/>
          <w:szCs w:val="22"/>
        </w:rPr>
        <w:t>elleting cells</w:t>
      </w:r>
      <w:r w:rsidR="00437B4B" w:rsidRPr="00437B4B">
        <w:rPr>
          <w:rFonts w:ascii="Arial" w:hAnsi="Arial" w:cs="Arial"/>
          <w:color w:val="2F5496" w:themeColor="accent1" w:themeShade="BF"/>
          <w:sz w:val="22"/>
          <w:szCs w:val="22"/>
        </w:rPr>
        <w:t xml:space="preserve"> </w:t>
      </w:r>
      <w:r w:rsidR="00437B4B">
        <w:rPr>
          <w:rFonts w:ascii="Arial" w:hAnsi="Arial" w:cs="Arial"/>
          <w:color w:val="2F5496" w:themeColor="accent1" w:themeShade="BF"/>
          <w:sz w:val="22"/>
          <w:szCs w:val="22"/>
        </w:rPr>
        <w:t xml:space="preserve">after TrypLE digestion and resuspension in GM </w:t>
      </w:r>
      <w:r w:rsidR="000F6B6E">
        <w:rPr>
          <w:rFonts w:ascii="Arial" w:hAnsi="Arial" w:cs="Arial"/>
          <w:color w:val="2F5496" w:themeColor="accent1" w:themeShade="BF"/>
          <w:sz w:val="22"/>
          <w:szCs w:val="22"/>
        </w:rPr>
        <w:t xml:space="preserve">is necessary to inactivate TrypLE. Incubation and centrifugation times are optimized to allow the dissociation of the BME2 matrix while </w:t>
      </w:r>
      <w:r w:rsidR="007B5CE5">
        <w:rPr>
          <w:rFonts w:ascii="Arial" w:hAnsi="Arial" w:cs="Arial"/>
          <w:color w:val="2F5496" w:themeColor="accent1" w:themeShade="BF"/>
          <w:sz w:val="22"/>
          <w:szCs w:val="22"/>
        </w:rPr>
        <w:t>maintaining</w:t>
      </w:r>
      <w:r w:rsidR="000F6B6E">
        <w:rPr>
          <w:rFonts w:ascii="Arial" w:hAnsi="Arial" w:cs="Arial"/>
          <w:color w:val="2F5496" w:themeColor="accent1" w:themeShade="BF"/>
          <w:sz w:val="22"/>
          <w:szCs w:val="22"/>
        </w:rPr>
        <w:t xml:space="preserve"> cell</w:t>
      </w:r>
      <w:r w:rsidR="007B5CE5">
        <w:rPr>
          <w:rFonts w:ascii="Arial" w:hAnsi="Arial" w:cs="Arial"/>
          <w:color w:val="2F5496" w:themeColor="accent1" w:themeShade="BF"/>
          <w:sz w:val="22"/>
          <w:szCs w:val="22"/>
        </w:rPr>
        <w:t xml:space="preserve"> viability</w:t>
      </w:r>
      <w:r w:rsidR="000F6B6E">
        <w:rPr>
          <w:rFonts w:ascii="Arial" w:hAnsi="Arial" w:cs="Arial"/>
          <w:color w:val="2F5496" w:themeColor="accent1" w:themeShade="BF"/>
          <w:sz w:val="22"/>
          <w:szCs w:val="22"/>
        </w:rPr>
        <w:t xml:space="preserve">. </w:t>
      </w:r>
      <w:r w:rsidR="00BC632C">
        <w:rPr>
          <w:rFonts w:ascii="Arial" w:hAnsi="Arial" w:cs="Arial"/>
          <w:color w:val="2F5496" w:themeColor="accent1" w:themeShade="BF"/>
          <w:sz w:val="22"/>
          <w:szCs w:val="22"/>
        </w:rPr>
        <w:t>The v</w:t>
      </w:r>
      <w:r w:rsidR="00437B4B">
        <w:rPr>
          <w:rFonts w:ascii="Arial" w:hAnsi="Arial" w:cs="Arial"/>
          <w:color w:val="2F5496" w:themeColor="accent1" w:themeShade="BF"/>
          <w:sz w:val="22"/>
          <w:szCs w:val="22"/>
        </w:rPr>
        <w:t xml:space="preserve">iability of </w:t>
      </w:r>
      <w:r w:rsidR="00BC632C">
        <w:rPr>
          <w:rFonts w:ascii="Arial" w:hAnsi="Arial" w:cs="Arial"/>
          <w:color w:val="2F5496" w:themeColor="accent1" w:themeShade="BF"/>
          <w:sz w:val="22"/>
          <w:szCs w:val="22"/>
        </w:rPr>
        <w:t xml:space="preserve">the </w:t>
      </w:r>
      <w:r w:rsidR="00437B4B">
        <w:rPr>
          <w:rFonts w:ascii="Arial" w:hAnsi="Arial" w:cs="Arial"/>
          <w:color w:val="2F5496" w:themeColor="accent1" w:themeShade="BF"/>
          <w:sz w:val="22"/>
          <w:szCs w:val="22"/>
        </w:rPr>
        <w:t>organoid single cell suspension is ≥ 95%</w:t>
      </w:r>
      <w:r w:rsidR="00332E9F">
        <w:rPr>
          <w:rFonts w:ascii="Arial" w:hAnsi="Arial" w:cs="Arial"/>
          <w:color w:val="2F5496" w:themeColor="accent1" w:themeShade="BF"/>
          <w:sz w:val="22"/>
          <w:szCs w:val="22"/>
        </w:rPr>
        <w:t>,</w:t>
      </w:r>
      <w:r w:rsidR="00437B4B">
        <w:rPr>
          <w:rFonts w:ascii="Arial" w:hAnsi="Arial" w:cs="Arial"/>
          <w:color w:val="2F5496" w:themeColor="accent1" w:themeShade="BF"/>
          <w:sz w:val="22"/>
          <w:szCs w:val="22"/>
        </w:rPr>
        <w:t xml:space="preserve"> as reported by the Vi-Cell XR Cell Analyzer during counting</w:t>
      </w:r>
      <w:r w:rsidR="008924C4">
        <w:rPr>
          <w:rFonts w:ascii="Arial" w:hAnsi="Arial" w:cs="Arial"/>
          <w:color w:val="2F5496" w:themeColor="accent1" w:themeShade="BF"/>
          <w:sz w:val="22"/>
          <w:szCs w:val="22"/>
        </w:rPr>
        <w:t xml:space="preserve"> (now indicated at</w:t>
      </w:r>
      <w:r w:rsidR="00C2061C">
        <w:rPr>
          <w:rFonts w:ascii="Arial" w:hAnsi="Arial" w:cs="Arial"/>
          <w:color w:val="2F5496" w:themeColor="accent1" w:themeShade="BF"/>
          <w:sz w:val="22"/>
          <w:szCs w:val="22"/>
        </w:rPr>
        <w:t xml:space="preserve"> page 4, line 161-163</w:t>
      </w:r>
      <w:r w:rsidR="008924C4">
        <w:rPr>
          <w:rFonts w:ascii="Arial" w:hAnsi="Arial" w:cs="Arial"/>
          <w:color w:val="2F5496" w:themeColor="accent1" w:themeShade="BF"/>
          <w:sz w:val="22"/>
          <w:szCs w:val="22"/>
        </w:rPr>
        <w:t>)</w:t>
      </w:r>
      <w:r w:rsidR="00437B4B">
        <w:rPr>
          <w:rFonts w:ascii="Arial" w:hAnsi="Arial" w:cs="Arial"/>
          <w:color w:val="2F5496" w:themeColor="accent1" w:themeShade="BF"/>
          <w:sz w:val="22"/>
          <w:szCs w:val="22"/>
        </w:rPr>
        <w:t>.</w:t>
      </w:r>
      <w:r w:rsidR="000F6B6E">
        <w:rPr>
          <w:rFonts w:ascii="Arial" w:hAnsi="Arial" w:cs="Arial"/>
          <w:color w:val="2F5496" w:themeColor="accent1" w:themeShade="BF"/>
          <w:sz w:val="22"/>
          <w:szCs w:val="22"/>
        </w:rPr>
        <w:t xml:space="preserve"> Further, no significant number of dead cells is visible as monitored by brightfield microscopy at the day of seeding or the initial 7-day growth period (</w:t>
      </w:r>
      <w:r w:rsidR="000F6B6E" w:rsidRPr="008924C4">
        <w:rPr>
          <w:rFonts w:ascii="Arial" w:hAnsi="Arial" w:cs="Arial"/>
          <w:color w:val="2F5496" w:themeColor="accent1" w:themeShade="BF"/>
          <w:sz w:val="22"/>
          <w:szCs w:val="22"/>
        </w:rPr>
        <w:t xml:space="preserve">Figure </w:t>
      </w:r>
      <w:r w:rsidR="00083667" w:rsidRPr="008924C4">
        <w:rPr>
          <w:rFonts w:ascii="Arial" w:hAnsi="Arial" w:cs="Arial"/>
          <w:color w:val="2F5496" w:themeColor="accent1" w:themeShade="BF"/>
          <w:sz w:val="22"/>
          <w:szCs w:val="22"/>
        </w:rPr>
        <w:t>1</w:t>
      </w:r>
      <w:r w:rsidR="000F6B6E" w:rsidRPr="008924C4">
        <w:rPr>
          <w:rFonts w:ascii="Arial" w:hAnsi="Arial" w:cs="Arial"/>
          <w:color w:val="2F5496" w:themeColor="accent1" w:themeShade="BF"/>
          <w:sz w:val="22"/>
          <w:szCs w:val="22"/>
        </w:rPr>
        <w:t>B</w:t>
      </w:r>
      <w:r w:rsidR="000F6B6E">
        <w:rPr>
          <w:rFonts w:ascii="Arial" w:hAnsi="Arial" w:cs="Arial"/>
          <w:color w:val="2F5496" w:themeColor="accent1" w:themeShade="BF"/>
          <w:sz w:val="22"/>
          <w:szCs w:val="22"/>
        </w:rPr>
        <w:t>).</w:t>
      </w:r>
    </w:p>
    <w:p w14:paraId="62366230" w14:textId="3D47CD2A" w:rsidR="00437B4B" w:rsidRDefault="00764EF3" w:rsidP="00D13D85">
      <w:pPr>
        <w:pStyle w:val="NormalWeb"/>
      </w:pPr>
      <w:r>
        <w:t>7. Step 2.2.6, why did the authors keep the culture plate in the culture hood for 5 min? From my experience, small volumes of Matrigel seeded in culture plate are not that fragile.</w:t>
      </w:r>
      <w:r w:rsidR="00437B4B">
        <w:br/>
      </w:r>
      <w:r w:rsidR="00CA3F08">
        <w:rPr>
          <w:rFonts w:ascii="Arial" w:hAnsi="Arial" w:cs="Arial"/>
          <w:color w:val="2F5496" w:themeColor="accent1" w:themeShade="BF"/>
          <w:sz w:val="22"/>
          <w:szCs w:val="22"/>
        </w:rPr>
        <w:t xml:space="preserve">Author response:  </w:t>
      </w:r>
      <w:r w:rsidR="00437B4B">
        <w:rPr>
          <w:rFonts w:ascii="Arial" w:hAnsi="Arial" w:cs="Arial"/>
          <w:color w:val="2F5496" w:themeColor="accent1" w:themeShade="BF"/>
          <w:sz w:val="22"/>
          <w:szCs w:val="22"/>
        </w:rPr>
        <w:t xml:space="preserve">We allow the </w:t>
      </w:r>
      <w:r w:rsidR="00BC632C">
        <w:rPr>
          <w:rFonts w:ascii="Arial" w:hAnsi="Arial" w:cs="Arial"/>
          <w:color w:val="2F5496" w:themeColor="accent1" w:themeShade="BF"/>
          <w:sz w:val="22"/>
          <w:szCs w:val="22"/>
        </w:rPr>
        <w:t>BME2</w:t>
      </w:r>
      <w:r w:rsidR="00437B4B">
        <w:rPr>
          <w:rFonts w:ascii="Arial" w:hAnsi="Arial" w:cs="Arial"/>
          <w:color w:val="2F5496" w:themeColor="accent1" w:themeShade="BF"/>
          <w:sz w:val="22"/>
          <w:szCs w:val="22"/>
        </w:rPr>
        <w:t xml:space="preserve"> to solidify in the culture hood before moving it, irrespective of volume. While this may be more </w:t>
      </w:r>
      <w:r w:rsidR="00CA3F08">
        <w:rPr>
          <w:rFonts w:ascii="Arial" w:hAnsi="Arial" w:cs="Arial"/>
          <w:color w:val="2F5496" w:themeColor="accent1" w:themeShade="BF"/>
          <w:sz w:val="22"/>
          <w:szCs w:val="22"/>
        </w:rPr>
        <w:t xml:space="preserve">critical </w:t>
      </w:r>
      <w:r w:rsidR="00437B4B">
        <w:rPr>
          <w:rFonts w:ascii="Arial" w:hAnsi="Arial" w:cs="Arial"/>
          <w:color w:val="2F5496" w:themeColor="accent1" w:themeShade="BF"/>
          <w:sz w:val="22"/>
          <w:szCs w:val="22"/>
        </w:rPr>
        <w:t xml:space="preserve">for larger volumes to form a </w:t>
      </w:r>
      <w:r w:rsidR="00BC632C">
        <w:rPr>
          <w:rFonts w:ascii="Arial" w:hAnsi="Arial" w:cs="Arial"/>
          <w:color w:val="2F5496" w:themeColor="accent1" w:themeShade="BF"/>
          <w:sz w:val="22"/>
          <w:szCs w:val="22"/>
        </w:rPr>
        <w:t>BME2</w:t>
      </w:r>
      <w:r w:rsidR="00437B4B">
        <w:rPr>
          <w:rFonts w:ascii="Arial" w:hAnsi="Arial" w:cs="Arial"/>
          <w:color w:val="2F5496" w:themeColor="accent1" w:themeShade="BF"/>
          <w:sz w:val="22"/>
          <w:szCs w:val="22"/>
        </w:rPr>
        <w:t xml:space="preserve"> dome, we are </w:t>
      </w:r>
      <w:r w:rsidR="00CA3F08">
        <w:rPr>
          <w:rFonts w:ascii="Arial" w:hAnsi="Arial" w:cs="Arial"/>
          <w:color w:val="2F5496" w:themeColor="accent1" w:themeShade="BF"/>
          <w:sz w:val="22"/>
          <w:szCs w:val="22"/>
        </w:rPr>
        <w:t xml:space="preserve">reasonably </w:t>
      </w:r>
      <w:r w:rsidR="00437B4B">
        <w:rPr>
          <w:rFonts w:ascii="Arial" w:hAnsi="Arial" w:cs="Arial"/>
          <w:color w:val="2F5496" w:themeColor="accent1" w:themeShade="BF"/>
          <w:sz w:val="22"/>
          <w:szCs w:val="22"/>
        </w:rPr>
        <w:t xml:space="preserve">confident that even in small volumes a </w:t>
      </w:r>
      <w:r w:rsidR="00CA3F08">
        <w:rPr>
          <w:rFonts w:ascii="Arial" w:hAnsi="Arial" w:cs="Arial"/>
          <w:color w:val="2F5496" w:themeColor="accent1" w:themeShade="BF"/>
          <w:sz w:val="22"/>
          <w:szCs w:val="22"/>
        </w:rPr>
        <w:t xml:space="preserve">stronger </w:t>
      </w:r>
      <w:r w:rsidR="00437B4B">
        <w:rPr>
          <w:rFonts w:ascii="Arial" w:hAnsi="Arial" w:cs="Arial"/>
          <w:color w:val="2F5496" w:themeColor="accent1" w:themeShade="BF"/>
          <w:sz w:val="22"/>
          <w:szCs w:val="22"/>
        </w:rPr>
        <w:t xml:space="preserve">3D structure of the </w:t>
      </w:r>
      <w:r w:rsidR="00BC632C">
        <w:rPr>
          <w:rFonts w:ascii="Arial" w:hAnsi="Arial" w:cs="Arial"/>
          <w:color w:val="2F5496" w:themeColor="accent1" w:themeShade="BF"/>
          <w:sz w:val="22"/>
          <w:szCs w:val="22"/>
        </w:rPr>
        <w:t>BME2</w:t>
      </w:r>
      <w:r w:rsidR="00437B4B">
        <w:rPr>
          <w:rFonts w:ascii="Arial" w:hAnsi="Arial" w:cs="Arial"/>
          <w:color w:val="2F5496" w:themeColor="accent1" w:themeShade="BF"/>
          <w:sz w:val="22"/>
          <w:szCs w:val="22"/>
        </w:rPr>
        <w:t xml:space="preserve"> is maintained and the “spreading” of </w:t>
      </w:r>
      <w:r w:rsidR="00BC632C">
        <w:rPr>
          <w:rFonts w:ascii="Arial" w:hAnsi="Arial" w:cs="Arial"/>
          <w:color w:val="2F5496" w:themeColor="accent1" w:themeShade="BF"/>
          <w:sz w:val="22"/>
          <w:szCs w:val="22"/>
        </w:rPr>
        <w:t>BME2</w:t>
      </w:r>
      <w:r w:rsidR="00437B4B">
        <w:rPr>
          <w:rFonts w:ascii="Arial" w:hAnsi="Arial" w:cs="Arial"/>
          <w:color w:val="2F5496" w:themeColor="accent1" w:themeShade="BF"/>
          <w:sz w:val="22"/>
          <w:szCs w:val="22"/>
        </w:rPr>
        <w:t xml:space="preserve"> along the well border is reduced. Given that we use a defined 6 o’clock position for seeding the </w:t>
      </w:r>
      <w:r w:rsidR="00BC632C">
        <w:rPr>
          <w:rFonts w:ascii="Arial" w:hAnsi="Arial" w:cs="Arial"/>
          <w:color w:val="2F5496" w:themeColor="accent1" w:themeShade="BF"/>
          <w:sz w:val="22"/>
          <w:szCs w:val="22"/>
        </w:rPr>
        <w:t>BME2</w:t>
      </w:r>
      <w:r w:rsidR="00437B4B">
        <w:rPr>
          <w:rFonts w:ascii="Arial" w:hAnsi="Arial" w:cs="Arial"/>
          <w:color w:val="2F5496" w:themeColor="accent1" w:themeShade="BF"/>
          <w:sz w:val="22"/>
          <w:szCs w:val="22"/>
        </w:rPr>
        <w:t xml:space="preserve">-cell suspension and </w:t>
      </w:r>
      <w:r w:rsidR="000F6B6E">
        <w:rPr>
          <w:rFonts w:ascii="Arial" w:hAnsi="Arial" w:cs="Arial"/>
          <w:color w:val="2F5496" w:themeColor="accent1" w:themeShade="BF"/>
          <w:sz w:val="22"/>
          <w:szCs w:val="22"/>
        </w:rPr>
        <w:t xml:space="preserve">for </w:t>
      </w:r>
      <w:r w:rsidR="00437B4B">
        <w:rPr>
          <w:rFonts w:ascii="Arial" w:hAnsi="Arial" w:cs="Arial"/>
          <w:color w:val="2F5496" w:themeColor="accent1" w:themeShade="BF"/>
          <w:sz w:val="22"/>
          <w:szCs w:val="22"/>
        </w:rPr>
        <w:t>perform</w:t>
      </w:r>
      <w:r w:rsidR="000F6B6E">
        <w:rPr>
          <w:rFonts w:ascii="Arial" w:hAnsi="Arial" w:cs="Arial"/>
          <w:color w:val="2F5496" w:themeColor="accent1" w:themeShade="BF"/>
          <w:sz w:val="22"/>
          <w:szCs w:val="22"/>
        </w:rPr>
        <w:t>ing</w:t>
      </w:r>
      <w:r w:rsidR="00437B4B">
        <w:rPr>
          <w:rFonts w:ascii="Arial" w:hAnsi="Arial" w:cs="Arial"/>
          <w:color w:val="2F5496" w:themeColor="accent1" w:themeShade="BF"/>
          <w:sz w:val="22"/>
          <w:szCs w:val="22"/>
        </w:rPr>
        <w:t xml:space="preserve"> later lysis with 3D-CTG reagent by pipetting up and down at the identical position, we think that this step is critical and have not modified step 2.2.6. </w:t>
      </w:r>
    </w:p>
    <w:p w14:paraId="4864BF0F" w14:textId="4FA0E432" w:rsidR="00437B4B" w:rsidRDefault="008924C4" w:rsidP="00D13D85">
      <w:pPr>
        <w:pStyle w:val="NormalWeb"/>
        <w:rPr>
          <w:rFonts w:ascii="Arial" w:hAnsi="Arial" w:cs="Arial"/>
          <w:color w:val="2F5496" w:themeColor="accent1" w:themeShade="BF"/>
          <w:sz w:val="22"/>
          <w:szCs w:val="22"/>
        </w:rPr>
      </w:pPr>
      <w:r>
        <w:br/>
      </w:r>
      <w:r w:rsidR="00764EF3">
        <w:t>Minor Concerns:</w:t>
      </w:r>
      <w:r w:rsidR="00764EF3">
        <w:br/>
        <w:t>1. Table of Materials. "for both medias" -&gt;"for both media", media is plural.</w:t>
      </w:r>
      <w:r w:rsidR="00437B4B">
        <w:br/>
      </w:r>
      <w:r w:rsidR="00CA3F08">
        <w:rPr>
          <w:rFonts w:ascii="Arial" w:hAnsi="Arial" w:cs="Arial"/>
          <w:color w:val="2F5496" w:themeColor="accent1" w:themeShade="BF"/>
          <w:sz w:val="22"/>
          <w:szCs w:val="22"/>
        </w:rPr>
        <w:lastRenderedPageBreak/>
        <w:t xml:space="preserve">Author response:  </w:t>
      </w:r>
      <w:r w:rsidR="00437B4B">
        <w:rPr>
          <w:rFonts w:ascii="Arial" w:hAnsi="Arial" w:cs="Arial"/>
          <w:color w:val="2F5496" w:themeColor="accent1" w:themeShade="BF"/>
          <w:sz w:val="22"/>
          <w:szCs w:val="22"/>
        </w:rPr>
        <w:t>This has been corrected. Thank you.</w:t>
      </w:r>
      <w:r w:rsidR="00437B4B">
        <w:rPr>
          <w:rFonts w:ascii="Arial" w:hAnsi="Arial" w:cs="Arial"/>
          <w:color w:val="2F5496" w:themeColor="accent1" w:themeShade="BF"/>
          <w:sz w:val="22"/>
          <w:szCs w:val="22"/>
        </w:rPr>
        <w:br/>
      </w:r>
      <w:r w:rsidR="00764EF3">
        <w:br/>
        <w:t>2. Line 66. "therapies targeted against residual tumor cells" -&gt;" therapies targeting residual tumor cells".</w:t>
      </w:r>
      <w:r w:rsidR="00437B4B">
        <w:br/>
      </w:r>
      <w:r w:rsidR="00CA3F08">
        <w:rPr>
          <w:rFonts w:ascii="Arial" w:hAnsi="Arial" w:cs="Arial"/>
          <w:color w:val="2F5496" w:themeColor="accent1" w:themeShade="BF"/>
          <w:sz w:val="22"/>
          <w:szCs w:val="22"/>
        </w:rPr>
        <w:t xml:space="preserve">Author response:  </w:t>
      </w:r>
      <w:r w:rsidR="00437B4B">
        <w:rPr>
          <w:rFonts w:ascii="Arial" w:hAnsi="Arial" w:cs="Arial"/>
          <w:color w:val="2F5496" w:themeColor="accent1" w:themeShade="BF"/>
          <w:sz w:val="22"/>
          <w:szCs w:val="22"/>
        </w:rPr>
        <w:t>This has been corrected. Thank you.</w:t>
      </w:r>
      <w:r w:rsidR="00437B4B">
        <w:rPr>
          <w:rFonts w:ascii="Arial" w:hAnsi="Arial" w:cs="Arial"/>
          <w:color w:val="2F5496" w:themeColor="accent1" w:themeShade="BF"/>
          <w:sz w:val="22"/>
          <w:szCs w:val="22"/>
        </w:rPr>
        <w:br/>
      </w:r>
      <w:r w:rsidR="00764EF3">
        <w:br/>
        <w:t>3. Line 85. Regarding the basal medium, the authors may refer to advanced DMEM/F12, as the components of advanced DMEM/F12 are different and using DMEM/F12 as the basal medium will affect the growth of tumor organoids in practice.</w:t>
      </w:r>
      <w:r w:rsidR="00764EF3">
        <w:br/>
        <w:t>"Ham's nutrient mixture F12 (DMEM/F-12) GlutaMAX supplement" -&gt; "supplemented with 1x GlutaMAX".</w:t>
      </w:r>
      <w:r w:rsidR="00437B4B">
        <w:br/>
      </w:r>
      <w:r w:rsidR="00CA3F08">
        <w:rPr>
          <w:rFonts w:ascii="Arial" w:hAnsi="Arial" w:cs="Arial"/>
          <w:color w:val="2F5496" w:themeColor="accent1" w:themeShade="BF"/>
          <w:sz w:val="22"/>
          <w:szCs w:val="22"/>
        </w:rPr>
        <w:t xml:space="preserve">Author response:  </w:t>
      </w:r>
      <w:r w:rsidR="00437B4B" w:rsidRPr="009A6175">
        <w:rPr>
          <w:rFonts w:ascii="Arial" w:hAnsi="Arial" w:cs="Arial"/>
          <w:color w:val="2F5496" w:themeColor="accent1" w:themeShade="BF"/>
          <w:sz w:val="22"/>
          <w:szCs w:val="22"/>
        </w:rPr>
        <w:t xml:space="preserve">We have indicated the components of both media, GM and LGM, accurately with the respective names as indicated by the manufacturers. Changing nomenclature may affect the </w:t>
      </w:r>
      <w:r w:rsidR="00CA3F08">
        <w:rPr>
          <w:rFonts w:ascii="Arial" w:hAnsi="Arial" w:cs="Arial"/>
          <w:color w:val="2F5496" w:themeColor="accent1" w:themeShade="BF"/>
          <w:sz w:val="22"/>
          <w:szCs w:val="22"/>
        </w:rPr>
        <w:t xml:space="preserve">clarity </w:t>
      </w:r>
      <w:r w:rsidR="00437B4B" w:rsidRPr="009A6175">
        <w:rPr>
          <w:rFonts w:ascii="Arial" w:hAnsi="Arial" w:cs="Arial"/>
          <w:color w:val="2F5496" w:themeColor="accent1" w:themeShade="BF"/>
          <w:sz w:val="22"/>
          <w:szCs w:val="22"/>
        </w:rPr>
        <w:t>of the information and result in mismatches with the materials listed in the supplementary table of materials and providers.</w:t>
      </w:r>
      <w:r w:rsidR="00437B4B">
        <w:rPr>
          <w:rFonts w:ascii="Arial" w:hAnsi="Arial" w:cs="Arial"/>
          <w:color w:val="2F5496" w:themeColor="accent1" w:themeShade="BF"/>
          <w:sz w:val="22"/>
          <w:szCs w:val="22"/>
        </w:rPr>
        <w:t xml:space="preserve"> We agree that growth kinetics in GM and LGM differ given the differences in media formulation and added growth factors. Testing different media, we have selected GM for </w:t>
      </w:r>
      <w:r w:rsidR="00CA3F08">
        <w:rPr>
          <w:rFonts w:ascii="Arial" w:hAnsi="Arial" w:cs="Arial"/>
          <w:color w:val="2F5496" w:themeColor="accent1" w:themeShade="BF"/>
          <w:sz w:val="22"/>
          <w:szCs w:val="22"/>
        </w:rPr>
        <w:t xml:space="preserve">improved </w:t>
      </w:r>
      <w:r w:rsidR="00437B4B">
        <w:rPr>
          <w:rFonts w:ascii="Arial" w:hAnsi="Arial" w:cs="Arial"/>
          <w:color w:val="2F5496" w:themeColor="accent1" w:themeShade="BF"/>
          <w:sz w:val="22"/>
          <w:szCs w:val="22"/>
        </w:rPr>
        <w:t>organoid outgrowth and maintenance of cultures or growth periods after seeding for drug assays. LGM is better suited for drug escalation assays</w:t>
      </w:r>
      <w:r w:rsidR="00CA3F08">
        <w:rPr>
          <w:rFonts w:ascii="Arial" w:hAnsi="Arial" w:cs="Arial"/>
          <w:color w:val="2F5496" w:themeColor="accent1" w:themeShade="BF"/>
          <w:sz w:val="22"/>
          <w:szCs w:val="22"/>
        </w:rPr>
        <w:t>,</w:t>
      </w:r>
      <w:r w:rsidR="00437B4B">
        <w:rPr>
          <w:rFonts w:ascii="Arial" w:hAnsi="Arial" w:cs="Arial"/>
          <w:color w:val="2F5496" w:themeColor="accent1" w:themeShade="BF"/>
          <w:sz w:val="22"/>
          <w:szCs w:val="22"/>
        </w:rPr>
        <w:t xml:space="preserve"> as </w:t>
      </w:r>
      <w:r w:rsidR="00CA3F08">
        <w:rPr>
          <w:rFonts w:ascii="Arial" w:hAnsi="Arial" w:cs="Arial"/>
          <w:color w:val="2F5496" w:themeColor="accent1" w:themeShade="BF"/>
          <w:sz w:val="22"/>
          <w:szCs w:val="22"/>
        </w:rPr>
        <w:t xml:space="preserve">the most consistent </w:t>
      </w:r>
      <w:r w:rsidR="00437B4B">
        <w:rPr>
          <w:rFonts w:ascii="Arial" w:hAnsi="Arial" w:cs="Arial"/>
          <w:color w:val="2F5496" w:themeColor="accent1" w:themeShade="BF"/>
          <w:sz w:val="22"/>
          <w:szCs w:val="22"/>
        </w:rPr>
        <w:t>and accurate drug responses have been observed with IC50 values of sensitive organoid lines correlating with reference values for sensitive cell lines</w:t>
      </w:r>
      <w:r w:rsidR="00887D9F">
        <w:rPr>
          <w:rFonts w:ascii="Arial" w:hAnsi="Arial" w:cs="Arial"/>
          <w:color w:val="2F5496" w:themeColor="accent1" w:themeShade="BF"/>
          <w:sz w:val="22"/>
          <w:szCs w:val="22"/>
        </w:rPr>
        <w:t xml:space="preserve"> (Figure </w:t>
      </w:r>
      <w:r w:rsidR="00935542">
        <w:rPr>
          <w:rFonts w:ascii="Arial" w:hAnsi="Arial" w:cs="Arial"/>
          <w:color w:val="2F5496" w:themeColor="accent1" w:themeShade="BF"/>
          <w:sz w:val="22"/>
          <w:szCs w:val="22"/>
        </w:rPr>
        <w:t>2 and Supplementary Figure 1 [now Figure 3])</w:t>
      </w:r>
      <w:r w:rsidR="00437B4B">
        <w:rPr>
          <w:rFonts w:ascii="Arial" w:hAnsi="Arial" w:cs="Arial"/>
          <w:color w:val="2F5496" w:themeColor="accent1" w:themeShade="BF"/>
          <w:sz w:val="22"/>
          <w:szCs w:val="22"/>
        </w:rPr>
        <w:t>.</w:t>
      </w:r>
    </w:p>
    <w:p w14:paraId="38C74F24" w14:textId="7790F4CB" w:rsidR="00EC76C0" w:rsidRDefault="00764EF3" w:rsidP="00CF6350">
      <w:pPr>
        <w:pStyle w:val="NormalWeb"/>
        <w:rPr>
          <w:b/>
          <w:bCs/>
        </w:rPr>
      </w:pPr>
      <w:r>
        <w:t>4. The authors may need to place a space between numbers and abbreviated units, e.g., Line 96-97.</w:t>
      </w:r>
      <w:r w:rsidR="00437B4B" w:rsidRPr="00437B4B">
        <w:rPr>
          <w:rFonts w:ascii="Arial" w:hAnsi="Arial" w:cs="Arial"/>
          <w:color w:val="2F5496" w:themeColor="accent1" w:themeShade="BF"/>
          <w:sz w:val="22"/>
          <w:szCs w:val="22"/>
        </w:rPr>
        <w:t xml:space="preserve"> </w:t>
      </w:r>
      <w:r w:rsidR="00437B4B">
        <w:rPr>
          <w:rFonts w:ascii="Arial" w:hAnsi="Arial" w:cs="Arial"/>
          <w:color w:val="2F5496" w:themeColor="accent1" w:themeShade="BF"/>
          <w:sz w:val="22"/>
          <w:szCs w:val="22"/>
        </w:rPr>
        <w:br/>
      </w:r>
      <w:r w:rsidR="00CA3F08">
        <w:rPr>
          <w:rFonts w:ascii="Arial" w:hAnsi="Arial" w:cs="Arial"/>
          <w:color w:val="2F5496" w:themeColor="accent1" w:themeShade="BF"/>
          <w:sz w:val="22"/>
          <w:szCs w:val="22"/>
        </w:rPr>
        <w:t xml:space="preserve">Author response:  </w:t>
      </w:r>
      <w:r w:rsidR="00437B4B">
        <w:rPr>
          <w:rFonts w:ascii="Arial" w:hAnsi="Arial" w:cs="Arial"/>
          <w:color w:val="2F5496" w:themeColor="accent1" w:themeShade="BF"/>
          <w:sz w:val="22"/>
          <w:szCs w:val="22"/>
        </w:rPr>
        <w:t>This has been corrected. Thank you.</w:t>
      </w:r>
      <w:r w:rsidR="00437B4B">
        <w:rPr>
          <w:rFonts w:ascii="Arial" w:hAnsi="Arial" w:cs="Arial"/>
          <w:color w:val="2F5496" w:themeColor="accent1" w:themeShade="BF"/>
          <w:sz w:val="22"/>
          <w:szCs w:val="22"/>
        </w:rPr>
        <w:br/>
      </w:r>
      <w:r>
        <w:br/>
        <w:t>5. Line 97. "100 μg/mL hNoggin", I believe this is a typo, 100 μg/mL is a very high concentration.</w:t>
      </w:r>
      <w:r w:rsidR="00CB115E">
        <w:t xml:space="preserve"> </w:t>
      </w:r>
      <w:r w:rsidR="00CB115E">
        <w:br/>
      </w:r>
      <w:r w:rsidR="00CA3F08">
        <w:rPr>
          <w:rFonts w:ascii="Arial" w:hAnsi="Arial" w:cs="Arial"/>
          <w:color w:val="2F5496" w:themeColor="accent1" w:themeShade="BF"/>
          <w:sz w:val="22"/>
          <w:szCs w:val="22"/>
        </w:rPr>
        <w:t xml:space="preserve">Author response:  </w:t>
      </w:r>
      <w:r w:rsidR="00CB115E">
        <w:rPr>
          <w:rFonts w:ascii="Arial" w:hAnsi="Arial" w:cs="Arial"/>
          <w:color w:val="2F5496" w:themeColor="accent1" w:themeShade="BF"/>
          <w:sz w:val="22"/>
          <w:szCs w:val="22"/>
        </w:rPr>
        <w:t>This has been corrected. Thank you.</w:t>
      </w:r>
      <w:r w:rsidR="00437B4B">
        <w:t xml:space="preserve"> </w:t>
      </w:r>
      <w:r w:rsidR="00E310E7">
        <w:rPr>
          <w:rFonts w:ascii="Arial" w:hAnsi="Arial" w:cs="Arial"/>
          <w:color w:val="2F5496" w:themeColor="accent1" w:themeShade="BF"/>
          <w:sz w:val="22"/>
          <w:szCs w:val="22"/>
        </w:rPr>
        <w:br/>
      </w:r>
      <w:r>
        <w:br/>
        <w:t>6. Line 102. "Thaw matrigel (Cultrex RGF Basement Membrane Extract, Type 2)", Both Matrigel and BME2 are commonly used for the culture of organoids but they are different.</w:t>
      </w:r>
      <w:r w:rsidR="00E310E7" w:rsidRPr="00E310E7">
        <w:rPr>
          <w:rFonts w:ascii="Arial" w:hAnsi="Arial" w:cs="Arial"/>
          <w:color w:val="2F5496" w:themeColor="accent1" w:themeShade="BF"/>
          <w:sz w:val="22"/>
          <w:szCs w:val="22"/>
        </w:rPr>
        <w:t xml:space="preserve"> </w:t>
      </w:r>
      <w:r w:rsidR="00CB115E">
        <w:rPr>
          <w:rFonts w:ascii="Arial" w:hAnsi="Arial" w:cs="Arial"/>
          <w:color w:val="2F5496" w:themeColor="accent1" w:themeShade="BF"/>
          <w:sz w:val="22"/>
          <w:szCs w:val="22"/>
        </w:rPr>
        <w:br/>
      </w:r>
      <w:r w:rsidR="00CA3F08">
        <w:rPr>
          <w:rFonts w:ascii="Arial" w:hAnsi="Arial" w:cs="Arial"/>
          <w:color w:val="2F5496" w:themeColor="accent1" w:themeShade="BF"/>
          <w:sz w:val="22"/>
          <w:szCs w:val="22"/>
        </w:rPr>
        <w:t xml:space="preserve">Author response:  </w:t>
      </w:r>
      <w:r w:rsidR="00CB115E">
        <w:rPr>
          <w:rFonts w:ascii="Arial" w:hAnsi="Arial" w:cs="Arial"/>
          <w:color w:val="2F5496" w:themeColor="accent1" w:themeShade="BF"/>
          <w:sz w:val="22"/>
          <w:szCs w:val="22"/>
        </w:rPr>
        <w:t>This has been corrected. Thank you.</w:t>
      </w:r>
      <w:r w:rsidR="00CB115E" w:rsidRPr="00437B4B">
        <w:rPr>
          <w:rFonts w:ascii="Arial" w:hAnsi="Arial" w:cs="Arial"/>
          <w:color w:val="2F5496" w:themeColor="accent1" w:themeShade="BF"/>
          <w:sz w:val="22"/>
          <w:szCs w:val="22"/>
        </w:rPr>
        <w:t xml:space="preserve"> </w:t>
      </w:r>
      <w:r w:rsidR="00E310E7">
        <w:rPr>
          <w:rFonts w:ascii="Arial" w:hAnsi="Arial" w:cs="Arial"/>
          <w:color w:val="2F5496" w:themeColor="accent1" w:themeShade="BF"/>
          <w:sz w:val="22"/>
          <w:szCs w:val="22"/>
        </w:rPr>
        <w:br/>
      </w:r>
      <w:r>
        <w:br/>
        <w:t>7. Line 267. "at 5 days after treatment" -&gt;"5 days after treatment"</w:t>
      </w:r>
      <w:r w:rsidR="00E310E7">
        <w:br/>
      </w:r>
      <w:r w:rsidR="00CA3F08">
        <w:rPr>
          <w:rFonts w:ascii="Arial" w:hAnsi="Arial" w:cs="Arial"/>
          <w:color w:val="2F5496" w:themeColor="accent1" w:themeShade="BF"/>
          <w:sz w:val="22"/>
          <w:szCs w:val="22"/>
        </w:rPr>
        <w:t xml:space="preserve">Author response:  </w:t>
      </w:r>
      <w:r w:rsidR="00E310E7">
        <w:rPr>
          <w:rFonts w:ascii="Arial" w:hAnsi="Arial" w:cs="Arial"/>
          <w:color w:val="2F5496" w:themeColor="accent1" w:themeShade="BF"/>
          <w:sz w:val="22"/>
          <w:szCs w:val="22"/>
        </w:rPr>
        <w:t>This has been corrected. Thank you.</w:t>
      </w:r>
      <w:r w:rsidR="00E310E7">
        <w:rPr>
          <w:rFonts w:ascii="Arial" w:hAnsi="Arial" w:cs="Arial"/>
          <w:color w:val="2F5496" w:themeColor="accent1" w:themeShade="BF"/>
          <w:sz w:val="22"/>
          <w:szCs w:val="22"/>
        </w:rPr>
        <w:br/>
      </w:r>
      <w:r>
        <w:br/>
        <w:t>8. Line 299. "genetic profiling of organoid" -&gt;"genetic profiling of organoids"</w:t>
      </w:r>
      <w:r w:rsidR="00E310E7">
        <w:br/>
      </w:r>
      <w:r w:rsidR="00CA3F08">
        <w:rPr>
          <w:rFonts w:ascii="Arial" w:hAnsi="Arial" w:cs="Arial"/>
          <w:color w:val="2F5496" w:themeColor="accent1" w:themeShade="BF"/>
          <w:sz w:val="22"/>
          <w:szCs w:val="22"/>
        </w:rPr>
        <w:t xml:space="preserve">Author response:  </w:t>
      </w:r>
      <w:r w:rsidR="00E310E7">
        <w:rPr>
          <w:rFonts w:ascii="Arial" w:hAnsi="Arial" w:cs="Arial"/>
          <w:color w:val="2F5496" w:themeColor="accent1" w:themeShade="BF"/>
          <w:sz w:val="22"/>
          <w:szCs w:val="22"/>
        </w:rPr>
        <w:t>This has been corrected. Thank you.</w:t>
      </w:r>
      <w:r w:rsidR="00E310E7">
        <w:rPr>
          <w:rFonts w:ascii="Arial" w:hAnsi="Arial" w:cs="Arial"/>
          <w:color w:val="2F5496" w:themeColor="accent1" w:themeShade="BF"/>
          <w:sz w:val="22"/>
          <w:szCs w:val="22"/>
        </w:rPr>
        <w:br/>
      </w:r>
      <w:r>
        <w:br/>
        <w:t>9. Line 370. The authors claimed that their plate-based 3D-CTG assay had similar sensitivity to imaging-based assessment of drug responses. To my knowledge, the most widely used method for quantifying drug response is luminescence-based measurement.</w:t>
      </w:r>
      <w:r w:rsidR="00E310E7">
        <w:t xml:space="preserve"> </w:t>
      </w:r>
      <w:r w:rsidR="00E310E7">
        <w:br/>
      </w:r>
      <w:r w:rsidR="00CA3F08">
        <w:rPr>
          <w:rFonts w:ascii="Arial" w:hAnsi="Arial" w:cs="Arial"/>
          <w:color w:val="2F5496" w:themeColor="accent1" w:themeShade="BF"/>
          <w:sz w:val="22"/>
          <w:szCs w:val="22"/>
        </w:rPr>
        <w:t xml:space="preserve">Author response:  </w:t>
      </w:r>
      <w:r w:rsidR="00E310E7">
        <w:rPr>
          <w:rFonts w:ascii="Arial" w:hAnsi="Arial" w:cs="Arial"/>
          <w:color w:val="2F5496" w:themeColor="accent1" w:themeShade="BF"/>
          <w:sz w:val="22"/>
          <w:szCs w:val="22"/>
        </w:rPr>
        <w:t xml:space="preserve">We agree that luminescence-based protocols are </w:t>
      </w:r>
      <w:r w:rsidR="00CA3F08">
        <w:rPr>
          <w:rFonts w:ascii="Arial" w:hAnsi="Arial" w:cs="Arial"/>
          <w:color w:val="2F5496" w:themeColor="accent1" w:themeShade="BF"/>
          <w:sz w:val="22"/>
          <w:szCs w:val="22"/>
        </w:rPr>
        <w:t xml:space="preserve">widely </w:t>
      </w:r>
      <w:r w:rsidR="00E310E7">
        <w:rPr>
          <w:rFonts w:ascii="Arial" w:hAnsi="Arial" w:cs="Arial"/>
          <w:color w:val="2F5496" w:themeColor="accent1" w:themeShade="BF"/>
          <w:sz w:val="22"/>
          <w:szCs w:val="22"/>
        </w:rPr>
        <w:t xml:space="preserve">used. We have now indicated this technical term in the respective sentence for accuracy. As this section in the discussion focuses on alternative methods, we indicated image-based readouts </w:t>
      </w:r>
      <w:r w:rsidR="00CA3F08">
        <w:rPr>
          <w:rFonts w:ascii="Arial" w:hAnsi="Arial" w:cs="Arial"/>
          <w:color w:val="2F5496" w:themeColor="accent1" w:themeShade="BF"/>
          <w:sz w:val="22"/>
          <w:szCs w:val="22"/>
        </w:rPr>
        <w:t xml:space="preserve">and </w:t>
      </w:r>
      <w:r w:rsidR="00E310E7">
        <w:rPr>
          <w:rFonts w:ascii="Arial" w:hAnsi="Arial" w:cs="Arial"/>
          <w:color w:val="2F5496" w:themeColor="accent1" w:themeShade="BF"/>
          <w:sz w:val="22"/>
          <w:szCs w:val="22"/>
        </w:rPr>
        <w:t>relevant literature on monitoring drug responses by imag</w:t>
      </w:r>
      <w:r w:rsidR="00CA3F08">
        <w:rPr>
          <w:rFonts w:ascii="Arial" w:hAnsi="Arial" w:cs="Arial"/>
          <w:color w:val="2F5496" w:themeColor="accent1" w:themeShade="BF"/>
          <w:sz w:val="22"/>
          <w:szCs w:val="22"/>
        </w:rPr>
        <w:t>ing</w:t>
      </w:r>
      <w:r w:rsidR="00E310E7">
        <w:rPr>
          <w:rFonts w:ascii="Arial" w:hAnsi="Arial" w:cs="Arial"/>
          <w:color w:val="2F5496" w:themeColor="accent1" w:themeShade="BF"/>
          <w:sz w:val="22"/>
          <w:szCs w:val="22"/>
        </w:rPr>
        <w:t xml:space="preserve">-based assays (e.g. </w:t>
      </w:r>
      <w:r w:rsidR="00E310E7" w:rsidRPr="00E310E7">
        <w:rPr>
          <w:rFonts w:ascii="Arial" w:hAnsi="Arial" w:cs="Arial"/>
          <w:color w:val="2F5496" w:themeColor="accent1" w:themeShade="BF"/>
          <w:sz w:val="22"/>
          <w:szCs w:val="22"/>
        </w:rPr>
        <w:t>PMID: 29180611</w:t>
      </w:r>
      <w:r w:rsidR="00E310E7">
        <w:rPr>
          <w:rFonts w:ascii="Arial" w:hAnsi="Arial" w:cs="Arial"/>
          <w:color w:val="2F5496" w:themeColor="accent1" w:themeShade="BF"/>
          <w:sz w:val="22"/>
          <w:szCs w:val="22"/>
        </w:rPr>
        <w:t xml:space="preserve">). </w:t>
      </w:r>
      <w:r>
        <w:br/>
      </w:r>
      <w:r>
        <w:br/>
      </w:r>
      <w:r>
        <w:lastRenderedPageBreak/>
        <w:br/>
      </w:r>
    </w:p>
    <w:p w14:paraId="3971C7E2" w14:textId="533CE176" w:rsidR="00B05571" w:rsidRDefault="00764EF3" w:rsidP="00CA3F08">
      <w:pPr>
        <w:rPr>
          <w:rFonts w:ascii="Arial" w:hAnsi="Arial" w:cs="Arial"/>
          <w:color w:val="2F5496" w:themeColor="accent1" w:themeShade="BF"/>
          <w:sz w:val="22"/>
          <w:szCs w:val="22"/>
        </w:rPr>
      </w:pPr>
      <w:r>
        <w:rPr>
          <w:b/>
          <w:bCs/>
        </w:rPr>
        <w:t>Reviewer #2:</w:t>
      </w:r>
      <w:r>
        <w:br/>
        <w:t>Manuscript Summary:</w:t>
      </w:r>
      <w:r>
        <w:br/>
        <w:t>Rabago et al. attempted to develop a standardized protocol for screening organoids models derived from NSCLC tissues. The protocol is based on a 96 well format screening. The organoids are dissociated, plated on 96 well plates embedded in Matrigel, and overlayed with LGM. The organoids are left for 7 days to form prior to drugging. The drugs are left on the plates for 5 days after which the viability is measured using CTG assay. Data is analyzed using GraphPad Prism software. The representative data to illustrate the effectiveness of this protocol was based on testing Osimertinib on an osi-sensitive and osi-resistant NSCLC organoid model.</w:t>
      </w:r>
      <w:r w:rsidR="001D68A2">
        <w:br/>
      </w:r>
      <w:r>
        <w:br/>
      </w:r>
      <w:r w:rsidR="00B05571">
        <w:rPr>
          <w:rFonts w:ascii="Arial" w:hAnsi="Arial" w:cs="Arial"/>
          <w:color w:val="2F5496" w:themeColor="accent1" w:themeShade="BF"/>
          <w:sz w:val="22"/>
          <w:szCs w:val="22"/>
        </w:rPr>
        <w:t xml:space="preserve">Author response: </w:t>
      </w:r>
      <w:r w:rsidR="001D68A2">
        <w:rPr>
          <w:rFonts w:ascii="Arial" w:hAnsi="Arial" w:cs="Arial"/>
          <w:color w:val="2F5496" w:themeColor="accent1" w:themeShade="BF"/>
          <w:sz w:val="22"/>
          <w:szCs w:val="22"/>
        </w:rPr>
        <w:t xml:space="preserve">We sincerely thank the </w:t>
      </w:r>
      <w:r w:rsidR="00B05571">
        <w:rPr>
          <w:rFonts w:ascii="Arial" w:hAnsi="Arial" w:cs="Arial"/>
          <w:color w:val="2F5496" w:themeColor="accent1" w:themeShade="BF"/>
          <w:sz w:val="22"/>
          <w:szCs w:val="22"/>
        </w:rPr>
        <w:t>R</w:t>
      </w:r>
      <w:r w:rsidR="001D68A2">
        <w:rPr>
          <w:rFonts w:ascii="Arial" w:hAnsi="Arial" w:cs="Arial"/>
          <w:color w:val="2F5496" w:themeColor="accent1" w:themeShade="BF"/>
          <w:sz w:val="22"/>
          <w:szCs w:val="22"/>
        </w:rPr>
        <w:t xml:space="preserve">eviewer for the careful </w:t>
      </w:r>
      <w:r w:rsidR="00B05571">
        <w:rPr>
          <w:rFonts w:ascii="Arial" w:hAnsi="Arial" w:cs="Arial"/>
          <w:color w:val="2F5496" w:themeColor="accent1" w:themeShade="BF"/>
          <w:sz w:val="22"/>
          <w:szCs w:val="22"/>
        </w:rPr>
        <w:t xml:space="preserve">review </w:t>
      </w:r>
      <w:r w:rsidR="001D68A2">
        <w:rPr>
          <w:rFonts w:ascii="Arial" w:hAnsi="Arial" w:cs="Arial"/>
          <w:color w:val="2F5496" w:themeColor="accent1" w:themeShade="BF"/>
          <w:sz w:val="22"/>
          <w:szCs w:val="22"/>
        </w:rPr>
        <w:t xml:space="preserve">of our manuscript. The points </w:t>
      </w:r>
      <w:r w:rsidR="00B05571">
        <w:rPr>
          <w:rFonts w:ascii="Arial" w:hAnsi="Arial" w:cs="Arial"/>
          <w:color w:val="2F5496" w:themeColor="accent1" w:themeShade="BF"/>
          <w:sz w:val="22"/>
          <w:szCs w:val="22"/>
        </w:rPr>
        <w:t xml:space="preserve">raised </w:t>
      </w:r>
      <w:r w:rsidR="001D68A2">
        <w:rPr>
          <w:rFonts w:ascii="Arial" w:hAnsi="Arial" w:cs="Arial"/>
          <w:color w:val="2F5496" w:themeColor="accent1" w:themeShade="BF"/>
          <w:sz w:val="22"/>
          <w:szCs w:val="22"/>
        </w:rPr>
        <w:t xml:space="preserve">have been addressed and </w:t>
      </w:r>
      <w:r w:rsidR="00B05571">
        <w:rPr>
          <w:rFonts w:ascii="Arial" w:hAnsi="Arial" w:cs="Arial"/>
          <w:color w:val="2F5496" w:themeColor="accent1" w:themeShade="BF"/>
          <w:sz w:val="22"/>
          <w:szCs w:val="22"/>
        </w:rPr>
        <w:t>we believe the manuscript is improved as a result.</w:t>
      </w:r>
    </w:p>
    <w:p w14:paraId="04DC0F3E" w14:textId="142BCD42" w:rsidR="00A30FB8" w:rsidRDefault="001D68A2" w:rsidP="00B05571">
      <w:pPr>
        <w:pStyle w:val="NormalWeb"/>
        <w:rPr>
          <w:rFonts w:ascii="Arial" w:hAnsi="Arial" w:cs="Arial"/>
          <w:color w:val="2F5496" w:themeColor="accent1" w:themeShade="BF"/>
          <w:sz w:val="22"/>
          <w:szCs w:val="22"/>
        </w:rPr>
      </w:pPr>
      <w:r>
        <w:rPr>
          <w:rFonts w:ascii="Arial" w:hAnsi="Arial" w:cs="Arial"/>
          <w:color w:val="2F5496" w:themeColor="accent1" w:themeShade="BF"/>
          <w:sz w:val="22"/>
          <w:szCs w:val="22"/>
        </w:rPr>
        <w:br/>
      </w:r>
      <w:r w:rsidR="00764EF3">
        <w:t>Major Concerns:</w:t>
      </w:r>
      <w:r w:rsidR="00764EF3">
        <w:br/>
        <w:t>The protocol is not novel and lacks significant details:</w:t>
      </w:r>
      <w:r w:rsidR="00A20AAA">
        <w:br/>
      </w:r>
      <w:r w:rsidR="00A20AAA">
        <w:rPr>
          <w:rFonts w:ascii="Arial" w:hAnsi="Arial" w:cs="Arial"/>
          <w:color w:val="2F5496" w:themeColor="accent1" w:themeShade="BF"/>
          <w:sz w:val="22"/>
          <w:szCs w:val="22"/>
        </w:rPr>
        <w:t xml:space="preserve">Author response: </w:t>
      </w:r>
      <w:r w:rsidR="00A30FB8">
        <w:rPr>
          <w:rFonts w:ascii="Arial" w:hAnsi="Arial" w:cs="Arial"/>
          <w:color w:val="2F5496" w:themeColor="accent1" w:themeShade="BF"/>
          <w:sz w:val="22"/>
          <w:szCs w:val="22"/>
        </w:rPr>
        <w:t>We apologize for the lack of clarity regarding our main focus. Our aim is to profile drug sensitivity in NSCLC cancer organoids</w:t>
      </w:r>
      <w:r w:rsidR="005743BC">
        <w:rPr>
          <w:rFonts w:ascii="Arial" w:hAnsi="Arial" w:cs="Arial"/>
          <w:color w:val="2F5496" w:themeColor="accent1" w:themeShade="BF"/>
          <w:sz w:val="22"/>
          <w:szCs w:val="22"/>
        </w:rPr>
        <w:t xml:space="preserve"> with enough detail to allow for reproducibility by any reader</w:t>
      </w:r>
      <w:r w:rsidR="00A30FB8">
        <w:rPr>
          <w:rFonts w:ascii="Arial" w:hAnsi="Arial" w:cs="Arial"/>
          <w:color w:val="2F5496" w:themeColor="accent1" w:themeShade="BF"/>
          <w:sz w:val="22"/>
          <w:szCs w:val="22"/>
        </w:rPr>
        <w:t>,</w:t>
      </w:r>
      <w:r w:rsidR="00A30FB8" w:rsidRPr="00A30FB8">
        <w:rPr>
          <w:rFonts w:ascii="Arial" w:hAnsi="Arial" w:cs="Arial"/>
          <w:color w:val="2F5496" w:themeColor="accent1" w:themeShade="BF"/>
          <w:sz w:val="22"/>
          <w:szCs w:val="22"/>
        </w:rPr>
        <w:t xml:space="preserve"> </w:t>
      </w:r>
      <w:r w:rsidR="00A30FB8">
        <w:rPr>
          <w:rFonts w:ascii="Arial" w:hAnsi="Arial" w:cs="Arial"/>
          <w:color w:val="2F5496" w:themeColor="accent1" w:themeShade="BF"/>
          <w:sz w:val="22"/>
          <w:szCs w:val="22"/>
        </w:rPr>
        <w:t>while we reference establishment protocols</w:t>
      </w:r>
      <w:r w:rsidR="005743BC">
        <w:rPr>
          <w:rFonts w:ascii="Arial" w:hAnsi="Arial" w:cs="Arial"/>
          <w:color w:val="2F5496" w:themeColor="accent1" w:themeShade="BF"/>
          <w:sz w:val="22"/>
          <w:szCs w:val="22"/>
        </w:rPr>
        <w:t xml:space="preserve"> that indeed are focus of current literature. We have adapted our title to reflect this.</w:t>
      </w:r>
    </w:p>
    <w:p w14:paraId="1415849E" w14:textId="5E69DAFA" w:rsidR="00A30FB8" w:rsidRDefault="00A5410E" w:rsidP="00B05571">
      <w:pPr>
        <w:pStyle w:val="NormalWeb"/>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Considerable </w:t>
      </w:r>
      <w:r w:rsidR="008578D2">
        <w:rPr>
          <w:rFonts w:ascii="Arial" w:hAnsi="Arial" w:cs="Arial"/>
          <w:color w:val="2F5496" w:themeColor="accent1" w:themeShade="BF"/>
          <w:sz w:val="22"/>
          <w:szCs w:val="22"/>
        </w:rPr>
        <w:t xml:space="preserve">challenges in </w:t>
      </w:r>
      <w:r>
        <w:rPr>
          <w:rFonts w:ascii="Arial" w:hAnsi="Arial" w:cs="Arial"/>
          <w:color w:val="2F5496" w:themeColor="accent1" w:themeShade="BF"/>
          <w:sz w:val="22"/>
          <w:szCs w:val="22"/>
        </w:rPr>
        <w:t>establishing</w:t>
      </w:r>
      <w:r w:rsidR="008578D2">
        <w:rPr>
          <w:rFonts w:ascii="Arial" w:hAnsi="Arial" w:cs="Arial"/>
          <w:color w:val="2F5496" w:themeColor="accent1" w:themeShade="BF"/>
          <w:sz w:val="22"/>
          <w:szCs w:val="22"/>
        </w:rPr>
        <w:t xml:space="preserve"> NSCLC organoids have been noted by Clevers et al., </w:t>
      </w:r>
      <w:r>
        <w:rPr>
          <w:rFonts w:ascii="Arial" w:hAnsi="Arial" w:cs="Arial"/>
          <w:color w:val="2F5496" w:themeColor="accent1" w:themeShade="BF"/>
          <w:sz w:val="22"/>
          <w:szCs w:val="22"/>
        </w:rPr>
        <w:t xml:space="preserve">with a </w:t>
      </w:r>
      <w:r w:rsidR="008578D2">
        <w:rPr>
          <w:rFonts w:ascii="Arial" w:hAnsi="Arial" w:cs="Arial"/>
          <w:color w:val="2F5496" w:themeColor="accent1" w:themeShade="BF"/>
          <w:sz w:val="22"/>
          <w:szCs w:val="22"/>
        </w:rPr>
        <w:t>successful establishment rate of only 17%</w:t>
      </w:r>
      <w:r w:rsidR="00ED4467">
        <w:rPr>
          <w:rFonts w:ascii="Arial" w:hAnsi="Arial" w:cs="Arial"/>
          <w:color w:val="2F5496" w:themeColor="accent1" w:themeShade="BF"/>
          <w:sz w:val="22"/>
          <w:szCs w:val="22"/>
        </w:rPr>
        <w:t xml:space="preserve"> for lung cancer organoids</w:t>
      </w:r>
      <w:r w:rsidR="008578D2">
        <w:rPr>
          <w:rFonts w:ascii="Arial" w:hAnsi="Arial" w:cs="Arial"/>
          <w:color w:val="2F5496" w:themeColor="accent1" w:themeShade="BF"/>
          <w:sz w:val="22"/>
          <w:szCs w:val="22"/>
        </w:rPr>
        <w:t xml:space="preserve"> (</w:t>
      </w:r>
      <w:r w:rsidR="008578D2" w:rsidRPr="008578D2">
        <w:rPr>
          <w:rFonts w:ascii="Arial" w:hAnsi="Arial" w:cs="Arial"/>
          <w:color w:val="2F5496" w:themeColor="accent1" w:themeShade="BF"/>
          <w:sz w:val="22"/>
          <w:szCs w:val="22"/>
        </w:rPr>
        <w:t>PMID: 32375033</w:t>
      </w:r>
      <w:r w:rsidR="008578D2">
        <w:rPr>
          <w:rFonts w:ascii="Arial" w:hAnsi="Arial" w:cs="Arial"/>
          <w:color w:val="2F5496" w:themeColor="accent1" w:themeShade="BF"/>
          <w:sz w:val="22"/>
          <w:szCs w:val="22"/>
        </w:rPr>
        <w:t xml:space="preserve">). Thus, it is exciting to see a limited number of publications that have </w:t>
      </w:r>
      <w:r w:rsidR="00ED4467">
        <w:rPr>
          <w:rFonts w:ascii="Arial" w:hAnsi="Arial" w:cs="Arial"/>
          <w:color w:val="2F5496" w:themeColor="accent1" w:themeShade="BF"/>
          <w:sz w:val="22"/>
          <w:szCs w:val="22"/>
        </w:rPr>
        <w:t>succeeded</w:t>
      </w:r>
      <w:r w:rsidR="008578D2">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in</w:t>
      </w:r>
      <w:r w:rsidR="008578D2">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establishing</w:t>
      </w:r>
      <w:r w:rsidR="008578D2">
        <w:rPr>
          <w:rFonts w:ascii="Arial" w:hAnsi="Arial" w:cs="Arial"/>
          <w:color w:val="2F5496" w:themeColor="accent1" w:themeShade="BF"/>
          <w:sz w:val="22"/>
          <w:szCs w:val="22"/>
        </w:rPr>
        <w:t xml:space="preserve"> lung cancer organoids and us</w:t>
      </w:r>
      <w:r>
        <w:rPr>
          <w:rFonts w:ascii="Arial" w:hAnsi="Arial" w:cs="Arial"/>
          <w:color w:val="2F5496" w:themeColor="accent1" w:themeShade="BF"/>
          <w:sz w:val="22"/>
          <w:szCs w:val="22"/>
        </w:rPr>
        <w:t>ing</w:t>
      </w:r>
      <w:r w:rsidR="008578D2">
        <w:rPr>
          <w:rFonts w:ascii="Arial" w:hAnsi="Arial" w:cs="Arial"/>
          <w:color w:val="2F5496" w:themeColor="accent1" w:themeShade="BF"/>
          <w:sz w:val="22"/>
          <w:szCs w:val="22"/>
        </w:rPr>
        <w:t xml:space="preserve"> them for drug treatment assays (PMIDs: </w:t>
      </w:r>
      <w:r w:rsidR="008578D2" w:rsidRPr="008578D2">
        <w:rPr>
          <w:rFonts w:ascii="Arial" w:hAnsi="Arial" w:cs="Arial"/>
          <w:color w:val="2F5496" w:themeColor="accent1" w:themeShade="BF"/>
          <w:sz w:val="22"/>
          <w:szCs w:val="22"/>
        </w:rPr>
        <w:t>31488816</w:t>
      </w:r>
      <w:r w:rsidR="008578D2">
        <w:rPr>
          <w:rFonts w:ascii="Arial" w:hAnsi="Arial" w:cs="Arial"/>
          <w:color w:val="2F5496" w:themeColor="accent1" w:themeShade="BF"/>
          <w:sz w:val="22"/>
          <w:szCs w:val="22"/>
        </w:rPr>
        <w:t xml:space="preserve">, </w:t>
      </w:r>
      <w:r w:rsidR="008578D2" w:rsidRPr="008578D2">
        <w:rPr>
          <w:rFonts w:ascii="Arial" w:hAnsi="Arial" w:cs="Arial"/>
          <w:color w:val="2F5496" w:themeColor="accent1" w:themeShade="BF"/>
          <w:sz w:val="22"/>
          <w:szCs w:val="22"/>
        </w:rPr>
        <w:t>33972544</w:t>
      </w:r>
      <w:r w:rsidR="008578D2">
        <w:rPr>
          <w:rFonts w:ascii="Arial" w:hAnsi="Arial" w:cs="Arial"/>
          <w:color w:val="2F5496" w:themeColor="accent1" w:themeShade="BF"/>
          <w:sz w:val="22"/>
          <w:szCs w:val="22"/>
        </w:rPr>
        <w:t xml:space="preserve">, </w:t>
      </w:r>
      <w:r w:rsidR="008578D2" w:rsidRPr="008578D2">
        <w:rPr>
          <w:rFonts w:ascii="Arial" w:hAnsi="Arial" w:cs="Arial"/>
          <w:color w:val="2F5496" w:themeColor="accent1" w:themeShade="BF"/>
          <w:sz w:val="22"/>
          <w:szCs w:val="22"/>
        </w:rPr>
        <w:t>31694835</w:t>
      </w:r>
      <w:r w:rsidR="008578D2">
        <w:rPr>
          <w:rFonts w:ascii="Arial" w:hAnsi="Arial" w:cs="Arial"/>
          <w:color w:val="2F5496" w:themeColor="accent1" w:themeShade="BF"/>
          <w:sz w:val="22"/>
          <w:szCs w:val="22"/>
        </w:rPr>
        <w:t xml:space="preserve">). Hu et al. (PMID: </w:t>
      </w:r>
      <w:r w:rsidR="008578D2" w:rsidRPr="008578D2">
        <w:rPr>
          <w:rFonts w:ascii="Arial" w:hAnsi="Arial" w:cs="Arial"/>
          <w:color w:val="2F5496" w:themeColor="accent1" w:themeShade="BF"/>
          <w:sz w:val="22"/>
          <w:szCs w:val="22"/>
        </w:rPr>
        <w:t>33972544</w:t>
      </w:r>
      <w:r w:rsidR="008578D2">
        <w:rPr>
          <w:rFonts w:ascii="Arial" w:hAnsi="Arial" w:cs="Arial"/>
          <w:color w:val="2F5496" w:themeColor="accent1" w:themeShade="BF"/>
          <w:sz w:val="22"/>
          <w:szCs w:val="22"/>
        </w:rPr>
        <w:t>) present</w:t>
      </w:r>
      <w:r w:rsidR="00ED4467">
        <w:rPr>
          <w:rFonts w:ascii="Arial" w:hAnsi="Arial" w:cs="Arial"/>
          <w:color w:val="2F5496" w:themeColor="accent1" w:themeShade="BF"/>
          <w:sz w:val="22"/>
          <w:szCs w:val="22"/>
        </w:rPr>
        <w:t xml:space="preserve"> </w:t>
      </w:r>
      <w:r w:rsidR="008578D2">
        <w:rPr>
          <w:rFonts w:ascii="Arial" w:hAnsi="Arial" w:cs="Arial"/>
          <w:color w:val="2F5496" w:themeColor="accent1" w:themeShade="BF"/>
          <w:sz w:val="22"/>
          <w:szCs w:val="22"/>
        </w:rPr>
        <w:t xml:space="preserve">an elegant </w:t>
      </w:r>
      <w:r w:rsidR="00ED4467">
        <w:rPr>
          <w:rFonts w:ascii="Arial" w:hAnsi="Arial" w:cs="Arial"/>
          <w:color w:val="2F5496" w:themeColor="accent1" w:themeShade="BF"/>
          <w:sz w:val="22"/>
          <w:szCs w:val="22"/>
        </w:rPr>
        <w:t>i</w:t>
      </w:r>
      <w:r w:rsidR="00ED4467" w:rsidRPr="00ED4467">
        <w:rPr>
          <w:rFonts w:ascii="Arial" w:hAnsi="Arial" w:cs="Arial"/>
          <w:color w:val="2F5496" w:themeColor="accent1" w:themeShade="BF"/>
          <w:sz w:val="22"/>
          <w:szCs w:val="22"/>
        </w:rPr>
        <w:t>ntegrated superhydrophobic microwell array chip (InSMAR-chip)</w:t>
      </w:r>
      <w:r w:rsidR="00ED4467">
        <w:rPr>
          <w:rFonts w:ascii="Arial" w:hAnsi="Arial" w:cs="Arial"/>
          <w:color w:val="2F5496" w:themeColor="accent1" w:themeShade="BF"/>
          <w:sz w:val="22"/>
          <w:szCs w:val="22"/>
        </w:rPr>
        <w:t>-based</w:t>
      </w:r>
      <w:r w:rsidR="00ED4467" w:rsidRPr="00ED4467">
        <w:rPr>
          <w:rFonts w:ascii="Arial" w:hAnsi="Arial" w:cs="Arial"/>
          <w:color w:val="2F5496" w:themeColor="accent1" w:themeShade="BF"/>
          <w:sz w:val="22"/>
          <w:szCs w:val="22"/>
        </w:rPr>
        <w:t xml:space="preserve"> </w:t>
      </w:r>
      <w:r w:rsidR="00ED4467">
        <w:rPr>
          <w:rFonts w:ascii="Arial" w:hAnsi="Arial" w:cs="Arial"/>
          <w:color w:val="2F5496" w:themeColor="accent1" w:themeShade="BF"/>
          <w:sz w:val="22"/>
          <w:szCs w:val="22"/>
        </w:rPr>
        <w:t xml:space="preserve">assay </w:t>
      </w:r>
      <w:r w:rsidR="005743BC">
        <w:rPr>
          <w:rFonts w:ascii="Arial" w:hAnsi="Arial" w:cs="Arial"/>
          <w:color w:val="2F5496" w:themeColor="accent1" w:themeShade="BF"/>
          <w:sz w:val="22"/>
          <w:szCs w:val="22"/>
        </w:rPr>
        <w:t xml:space="preserve">in lung cancer organoids </w:t>
      </w:r>
      <w:r w:rsidR="00ED4467">
        <w:rPr>
          <w:rFonts w:ascii="Arial" w:hAnsi="Arial" w:cs="Arial"/>
          <w:color w:val="2F5496" w:themeColor="accent1" w:themeShade="BF"/>
          <w:sz w:val="22"/>
          <w:szCs w:val="22"/>
        </w:rPr>
        <w:t>with an</w:t>
      </w:r>
      <w:r w:rsidR="008578D2">
        <w:rPr>
          <w:rFonts w:ascii="Arial" w:hAnsi="Arial" w:cs="Arial"/>
          <w:color w:val="2F5496" w:themeColor="accent1" w:themeShade="BF"/>
          <w:sz w:val="22"/>
          <w:szCs w:val="22"/>
        </w:rPr>
        <w:t xml:space="preserve"> AlamarBlue-based viability readout 72 hours after trea</w:t>
      </w:r>
      <w:r w:rsidR="00ED4467">
        <w:rPr>
          <w:rFonts w:ascii="Arial" w:hAnsi="Arial" w:cs="Arial"/>
          <w:color w:val="2F5496" w:themeColor="accent1" w:themeShade="BF"/>
          <w:sz w:val="22"/>
          <w:szCs w:val="22"/>
        </w:rPr>
        <w:t>tment initiation. While sufficient detail regarding treatment and readout is provided, access to such specialized technique</w:t>
      </w:r>
      <w:r>
        <w:rPr>
          <w:rFonts w:ascii="Arial" w:hAnsi="Arial" w:cs="Arial"/>
          <w:color w:val="2F5496" w:themeColor="accent1" w:themeShade="BF"/>
          <w:sz w:val="22"/>
          <w:szCs w:val="22"/>
        </w:rPr>
        <w:t>s</w:t>
      </w:r>
      <w:r w:rsidR="00ED4467">
        <w:rPr>
          <w:rFonts w:ascii="Arial" w:hAnsi="Arial" w:cs="Arial"/>
          <w:color w:val="2F5496" w:themeColor="accent1" w:themeShade="BF"/>
          <w:sz w:val="22"/>
          <w:szCs w:val="22"/>
        </w:rPr>
        <w:t xml:space="preserve"> </w:t>
      </w:r>
      <w:r w:rsidR="005743BC">
        <w:rPr>
          <w:rFonts w:ascii="Arial" w:hAnsi="Arial" w:cs="Arial"/>
          <w:color w:val="2F5496" w:themeColor="accent1" w:themeShade="BF"/>
          <w:sz w:val="22"/>
          <w:szCs w:val="22"/>
        </w:rPr>
        <w:t xml:space="preserve">is </w:t>
      </w:r>
      <w:r w:rsidR="00ED4467">
        <w:rPr>
          <w:rFonts w:ascii="Arial" w:hAnsi="Arial" w:cs="Arial"/>
          <w:color w:val="2F5496" w:themeColor="accent1" w:themeShade="BF"/>
          <w:sz w:val="22"/>
          <w:szCs w:val="22"/>
        </w:rPr>
        <w:t xml:space="preserve">limited. On the other hand, other publications </w:t>
      </w:r>
      <w:r>
        <w:rPr>
          <w:rFonts w:ascii="Arial" w:hAnsi="Arial" w:cs="Arial"/>
          <w:color w:val="2F5496" w:themeColor="accent1" w:themeShade="BF"/>
          <w:sz w:val="22"/>
          <w:szCs w:val="22"/>
        </w:rPr>
        <w:t>regarding</w:t>
      </w:r>
      <w:r w:rsidR="00B85654">
        <w:rPr>
          <w:rFonts w:ascii="Arial" w:hAnsi="Arial" w:cs="Arial"/>
          <w:color w:val="2F5496" w:themeColor="accent1" w:themeShade="BF"/>
          <w:sz w:val="22"/>
          <w:szCs w:val="22"/>
        </w:rPr>
        <w:t xml:space="preserve"> NSCLC organoids </w:t>
      </w:r>
      <w:r>
        <w:rPr>
          <w:rFonts w:ascii="Arial" w:hAnsi="Arial" w:cs="Arial"/>
          <w:color w:val="2F5496" w:themeColor="accent1" w:themeShade="BF"/>
          <w:sz w:val="22"/>
          <w:szCs w:val="22"/>
        </w:rPr>
        <w:t>that use</w:t>
      </w:r>
      <w:r w:rsidR="00ED4467">
        <w:rPr>
          <w:rFonts w:ascii="Arial" w:hAnsi="Arial" w:cs="Arial"/>
          <w:color w:val="2F5496" w:themeColor="accent1" w:themeShade="BF"/>
          <w:sz w:val="22"/>
          <w:szCs w:val="22"/>
        </w:rPr>
        <w:t xml:space="preserve"> luminescence-based readouts (PMIDs: </w:t>
      </w:r>
      <w:r w:rsidR="00ED4467" w:rsidRPr="008578D2">
        <w:rPr>
          <w:rFonts w:ascii="Arial" w:hAnsi="Arial" w:cs="Arial"/>
          <w:color w:val="2F5496" w:themeColor="accent1" w:themeShade="BF"/>
          <w:sz w:val="22"/>
          <w:szCs w:val="22"/>
        </w:rPr>
        <w:t>31488816</w:t>
      </w:r>
      <w:r w:rsidR="00ED4467">
        <w:rPr>
          <w:rFonts w:ascii="Arial" w:hAnsi="Arial" w:cs="Arial"/>
          <w:color w:val="2F5496" w:themeColor="accent1" w:themeShade="BF"/>
          <w:sz w:val="22"/>
          <w:szCs w:val="22"/>
        </w:rPr>
        <w:t xml:space="preserve">, </w:t>
      </w:r>
      <w:r w:rsidR="00ED4467" w:rsidRPr="008578D2">
        <w:rPr>
          <w:rFonts w:ascii="Arial" w:hAnsi="Arial" w:cs="Arial"/>
          <w:color w:val="2F5496" w:themeColor="accent1" w:themeShade="BF"/>
          <w:sz w:val="22"/>
          <w:szCs w:val="22"/>
        </w:rPr>
        <w:t>31694835</w:t>
      </w:r>
      <w:r w:rsidR="00ED4467">
        <w:rPr>
          <w:rFonts w:ascii="Arial" w:hAnsi="Arial" w:cs="Arial"/>
          <w:color w:val="2F5496" w:themeColor="accent1" w:themeShade="BF"/>
          <w:sz w:val="22"/>
          <w:szCs w:val="22"/>
        </w:rPr>
        <w:t xml:space="preserve">) often lack detail regarding organoid handling, seeding and readout for drug sensitivity assays. </w:t>
      </w:r>
      <w:r w:rsidR="005743BC">
        <w:rPr>
          <w:rFonts w:ascii="Arial" w:hAnsi="Arial" w:cs="Arial"/>
          <w:color w:val="2F5496" w:themeColor="accent1" w:themeShade="BF"/>
          <w:sz w:val="22"/>
          <w:szCs w:val="22"/>
        </w:rPr>
        <w:t xml:space="preserve">Further, none of the indicated publications has presented data on the drug response to </w:t>
      </w:r>
      <w:r>
        <w:rPr>
          <w:rFonts w:ascii="Arial" w:hAnsi="Arial" w:cs="Arial"/>
          <w:color w:val="2F5496" w:themeColor="accent1" w:themeShade="BF"/>
          <w:sz w:val="22"/>
          <w:szCs w:val="22"/>
        </w:rPr>
        <w:t>the</w:t>
      </w:r>
      <w:r w:rsidR="005743BC">
        <w:rPr>
          <w:rFonts w:ascii="Arial" w:hAnsi="Arial" w:cs="Arial"/>
          <w:color w:val="2F5496" w:themeColor="accent1" w:themeShade="BF"/>
          <w:sz w:val="22"/>
          <w:szCs w:val="22"/>
        </w:rPr>
        <w:t xml:space="preserve"> EGFR inhibitor </w:t>
      </w:r>
      <w:r w:rsidR="007E051D">
        <w:rPr>
          <w:rFonts w:ascii="Arial" w:hAnsi="Arial" w:cs="Arial"/>
          <w:color w:val="2F5496" w:themeColor="accent1" w:themeShade="BF"/>
          <w:sz w:val="22"/>
          <w:szCs w:val="22"/>
        </w:rPr>
        <w:t>o</w:t>
      </w:r>
      <w:r w:rsidR="005743BC">
        <w:rPr>
          <w:rFonts w:ascii="Arial" w:hAnsi="Arial" w:cs="Arial"/>
          <w:color w:val="2F5496" w:themeColor="accent1" w:themeShade="BF"/>
          <w:sz w:val="22"/>
          <w:szCs w:val="22"/>
        </w:rPr>
        <w:t xml:space="preserve">simertinib, which is now approved </w:t>
      </w:r>
      <w:r w:rsidR="00B85654">
        <w:rPr>
          <w:rFonts w:ascii="Arial" w:hAnsi="Arial" w:cs="Arial"/>
          <w:color w:val="2F5496" w:themeColor="accent1" w:themeShade="BF"/>
          <w:sz w:val="22"/>
          <w:szCs w:val="22"/>
        </w:rPr>
        <w:t>as</w:t>
      </w:r>
      <w:r w:rsidR="005743BC">
        <w:rPr>
          <w:rFonts w:ascii="Arial" w:hAnsi="Arial" w:cs="Arial"/>
          <w:color w:val="2F5496" w:themeColor="accent1" w:themeShade="BF"/>
          <w:sz w:val="22"/>
          <w:szCs w:val="22"/>
        </w:rPr>
        <w:t xml:space="preserve"> frontline therapy in EGFR-mutant NSCLC. We hope to fill this gap and provide a detailed protocol </w:t>
      </w:r>
      <w:r w:rsidR="00275DBB">
        <w:rPr>
          <w:rFonts w:ascii="Arial" w:hAnsi="Arial" w:cs="Arial"/>
          <w:color w:val="2F5496" w:themeColor="accent1" w:themeShade="BF"/>
          <w:sz w:val="22"/>
          <w:szCs w:val="22"/>
        </w:rPr>
        <w:t>for</w:t>
      </w:r>
      <w:r w:rsidR="005743BC">
        <w:rPr>
          <w:rFonts w:ascii="Arial" w:hAnsi="Arial" w:cs="Arial"/>
          <w:color w:val="2F5496" w:themeColor="accent1" w:themeShade="BF"/>
          <w:sz w:val="22"/>
          <w:szCs w:val="22"/>
        </w:rPr>
        <w:t xml:space="preserve"> a luminescence-based </w:t>
      </w:r>
      <w:r>
        <w:rPr>
          <w:rFonts w:ascii="Arial" w:hAnsi="Arial" w:cs="Arial"/>
          <w:color w:val="2F5496" w:themeColor="accent1" w:themeShade="BF"/>
          <w:sz w:val="22"/>
          <w:szCs w:val="22"/>
        </w:rPr>
        <w:t xml:space="preserve">cell </w:t>
      </w:r>
      <w:r w:rsidR="005743BC">
        <w:rPr>
          <w:rFonts w:ascii="Arial" w:hAnsi="Arial" w:cs="Arial"/>
          <w:color w:val="2F5496" w:themeColor="accent1" w:themeShade="BF"/>
          <w:sz w:val="22"/>
          <w:szCs w:val="22"/>
        </w:rPr>
        <w:t xml:space="preserve">viability readout for NSCLC organoids </w:t>
      </w:r>
      <w:r w:rsidR="00275DBB">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 xml:space="preserve">in general an emerging and evolving </w:t>
      </w:r>
      <w:r w:rsidR="00275DBB">
        <w:rPr>
          <w:rFonts w:ascii="Arial" w:hAnsi="Arial" w:cs="Arial"/>
          <w:color w:val="2F5496" w:themeColor="accent1" w:themeShade="BF"/>
          <w:sz w:val="22"/>
          <w:szCs w:val="22"/>
        </w:rPr>
        <w:t xml:space="preserve">and challenging </w:t>
      </w:r>
      <w:r>
        <w:rPr>
          <w:rFonts w:ascii="Arial" w:hAnsi="Arial" w:cs="Arial"/>
          <w:color w:val="2F5496" w:themeColor="accent1" w:themeShade="BF"/>
          <w:sz w:val="22"/>
          <w:szCs w:val="22"/>
        </w:rPr>
        <w:t xml:space="preserve">area </w:t>
      </w:r>
      <w:r w:rsidR="00275DBB">
        <w:rPr>
          <w:rFonts w:ascii="Arial" w:hAnsi="Arial" w:cs="Arial"/>
          <w:color w:val="2F5496" w:themeColor="accent1" w:themeShade="BF"/>
          <w:sz w:val="22"/>
          <w:szCs w:val="22"/>
        </w:rPr>
        <w:t>of research.</w:t>
      </w:r>
    </w:p>
    <w:p w14:paraId="10D3117E" w14:textId="6A4E776E" w:rsidR="00CF6350" w:rsidRPr="00A20AAA" w:rsidRDefault="00764EF3" w:rsidP="00B05571">
      <w:pPr>
        <w:pStyle w:val="NormalWeb"/>
      </w:pPr>
      <w:r>
        <w:br/>
        <w:t>- Are the NSCLC organoids established or newly initiated from tissues?</w:t>
      </w:r>
      <w:r w:rsidR="00CF6350">
        <w:br/>
      </w:r>
      <w:r w:rsidR="00B05571">
        <w:rPr>
          <w:rFonts w:ascii="Arial" w:hAnsi="Arial" w:cs="Arial"/>
          <w:color w:val="2F5496" w:themeColor="accent1" w:themeShade="BF"/>
          <w:sz w:val="22"/>
          <w:szCs w:val="22"/>
        </w:rPr>
        <w:t xml:space="preserve">Author response: </w:t>
      </w:r>
      <w:r w:rsidR="00CF6350">
        <w:rPr>
          <w:rFonts w:ascii="Arial" w:hAnsi="Arial" w:cs="Arial"/>
          <w:color w:val="2F5496" w:themeColor="accent1" w:themeShade="BF"/>
          <w:sz w:val="22"/>
          <w:szCs w:val="22"/>
        </w:rPr>
        <w:t xml:space="preserve">Please also see </w:t>
      </w:r>
      <w:r w:rsidR="00B05571">
        <w:rPr>
          <w:rFonts w:ascii="Arial" w:hAnsi="Arial" w:cs="Arial"/>
          <w:color w:val="2F5496" w:themeColor="accent1" w:themeShade="BF"/>
          <w:sz w:val="22"/>
          <w:szCs w:val="22"/>
        </w:rPr>
        <w:t>R</w:t>
      </w:r>
      <w:r w:rsidR="00CF6350">
        <w:rPr>
          <w:rFonts w:ascii="Arial" w:hAnsi="Arial" w:cs="Arial"/>
          <w:color w:val="2F5496" w:themeColor="accent1" w:themeShade="BF"/>
          <w:sz w:val="22"/>
          <w:szCs w:val="22"/>
        </w:rPr>
        <w:t>eviewer 1</w:t>
      </w:r>
      <w:r w:rsidR="00B05571">
        <w:rPr>
          <w:rFonts w:ascii="Arial" w:hAnsi="Arial" w:cs="Arial"/>
          <w:color w:val="2F5496" w:themeColor="accent1" w:themeShade="BF"/>
          <w:sz w:val="22"/>
          <w:szCs w:val="22"/>
        </w:rPr>
        <w:t>,</w:t>
      </w:r>
      <w:r w:rsidR="00CF6350">
        <w:rPr>
          <w:rFonts w:ascii="Arial" w:hAnsi="Arial" w:cs="Arial"/>
          <w:color w:val="2F5496" w:themeColor="accent1" w:themeShade="BF"/>
          <w:sz w:val="22"/>
          <w:szCs w:val="22"/>
        </w:rPr>
        <w:t xml:space="preserve"> comment 1. </w:t>
      </w:r>
      <w:r w:rsidR="00B05571">
        <w:rPr>
          <w:rFonts w:ascii="Arial" w:hAnsi="Arial" w:cs="Arial"/>
          <w:color w:val="2F5496" w:themeColor="accent1" w:themeShade="BF"/>
          <w:sz w:val="22"/>
          <w:szCs w:val="22"/>
        </w:rPr>
        <w:t xml:space="preserve">The establishment of lung cancer organoids from de-identified clinical specimens is performed in close collaboration with organoid centers at UCSF (Organoid D2B unit lead by J.P. Roose) and Stanford (C.J. Kuo lab). Establishment protocols across centers vary and prior publications describe the processing of specimens from normal lung or lung cancer specimens. We have included a short paragraph at the beginning of the protocol </w:t>
      </w:r>
      <w:r w:rsidR="00B05571" w:rsidRPr="00C852D9">
        <w:rPr>
          <w:rFonts w:ascii="Arial" w:hAnsi="Arial" w:cs="Arial"/>
          <w:color w:val="2F5496" w:themeColor="accent1" w:themeShade="BF"/>
          <w:sz w:val="22"/>
          <w:szCs w:val="22"/>
        </w:rPr>
        <w:t xml:space="preserve">to address </w:t>
      </w:r>
      <w:r w:rsidR="00B05571">
        <w:rPr>
          <w:rFonts w:ascii="Arial" w:hAnsi="Arial" w:cs="Arial"/>
          <w:color w:val="2F5496" w:themeColor="accent1" w:themeShade="BF"/>
          <w:sz w:val="22"/>
          <w:szCs w:val="22"/>
        </w:rPr>
        <w:t xml:space="preserve">the contribution the different teams for the use of </w:t>
      </w:r>
      <w:r w:rsidR="00B05571">
        <w:rPr>
          <w:rFonts w:ascii="Arial" w:hAnsi="Arial" w:cs="Arial"/>
          <w:color w:val="2F5496" w:themeColor="accent1" w:themeShade="BF"/>
          <w:sz w:val="22"/>
          <w:szCs w:val="22"/>
        </w:rPr>
        <w:lastRenderedPageBreak/>
        <w:t xml:space="preserve">clinical specimens, with respective literature references </w:t>
      </w:r>
      <w:r w:rsidR="00B05571">
        <w:rPr>
          <w:rFonts w:ascii="Arial" w:eastAsia="Calibri" w:hAnsi="Arial" w:cs="Arial"/>
          <w:color w:val="2F5496" w:themeColor="accent1" w:themeShade="BF"/>
          <w:sz w:val="22"/>
          <w:szCs w:val="22"/>
        </w:rPr>
        <w:t>(</w:t>
      </w:r>
      <w:r w:rsidR="00C2061C">
        <w:rPr>
          <w:rFonts w:ascii="Arial" w:eastAsia="Calibri" w:hAnsi="Arial" w:cs="Arial"/>
          <w:color w:val="2F5496" w:themeColor="accent1" w:themeShade="BF"/>
          <w:sz w:val="22"/>
          <w:szCs w:val="22"/>
        </w:rPr>
        <w:t>page 3, line 87-90</w:t>
      </w:r>
      <w:r w:rsidR="00B05571">
        <w:rPr>
          <w:rFonts w:ascii="Arial" w:eastAsia="Calibri" w:hAnsi="Arial" w:cs="Arial"/>
          <w:color w:val="2F5496" w:themeColor="accent1" w:themeShade="BF"/>
          <w:sz w:val="22"/>
          <w:szCs w:val="22"/>
        </w:rPr>
        <w:t>)</w:t>
      </w:r>
      <w:r w:rsidR="001749E0">
        <w:rPr>
          <w:rFonts w:ascii="Arial" w:eastAsia="Calibri" w:hAnsi="Arial" w:cs="Arial"/>
          <w:color w:val="2F5496" w:themeColor="accent1" w:themeShade="BF"/>
          <w:sz w:val="22"/>
          <w:szCs w:val="22"/>
        </w:rPr>
        <w:t>.</w:t>
      </w:r>
      <w:r w:rsidR="00B05571">
        <w:rPr>
          <w:rFonts w:ascii="Arial" w:eastAsia="Calibri" w:hAnsi="Arial" w:cs="Arial"/>
          <w:color w:val="2F5496" w:themeColor="accent1" w:themeShade="BF"/>
          <w:sz w:val="22"/>
          <w:szCs w:val="22"/>
        </w:rPr>
        <w:t xml:space="preserve"> Further, we have rephrased our title to highlight the focus on the profiling of drug sensitivities in our protocol, i.e. “</w:t>
      </w:r>
      <w:r w:rsidR="00B05571" w:rsidRPr="00917BB5">
        <w:rPr>
          <w:rFonts w:ascii="Arial" w:eastAsia="Calibri" w:hAnsi="Arial" w:cs="Arial"/>
          <w:color w:val="2F5496" w:themeColor="accent1" w:themeShade="BF"/>
          <w:sz w:val="22"/>
          <w:szCs w:val="22"/>
        </w:rPr>
        <w:t>Profiling sensitivity to targeted therapies in EGFR-mutant NSCLC patient-derived organoids</w:t>
      </w:r>
      <w:r w:rsidR="00B05571">
        <w:rPr>
          <w:rFonts w:ascii="Arial" w:eastAsia="Calibri" w:hAnsi="Arial" w:cs="Arial"/>
          <w:color w:val="2F5496" w:themeColor="accent1" w:themeShade="BF"/>
          <w:sz w:val="22"/>
          <w:szCs w:val="22"/>
        </w:rPr>
        <w:t>”.</w:t>
      </w:r>
    </w:p>
    <w:p w14:paraId="6FAD04F0" w14:textId="4E0C368D" w:rsidR="00FD0B82" w:rsidRDefault="00764EF3" w:rsidP="00D13D85">
      <w:pPr>
        <w:pStyle w:val="NormalWeb"/>
        <w:rPr>
          <w:rFonts w:ascii="Arial" w:hAnsi="Arial" w:cs="Arial"/>
          <w:color w:val="2F5496" w:themeColor="accent1" w:themeShade="BF"/>
          <w:sz w:val="22"/>
          <w:szCs w:val="22"/>
        </w:rPr>
      </w:pPr>
      <w:r>
        <w:t>- What are the doubling rates of NSCLC organoids? More representative images of models used in this study are needed at different magnification to assess the status of organoids.</w:t>
      </w:r>
      <w:r w:rsidR="00CF6350">
        <w:br/>
      </w:r>
      <w:r w:rsidR="00B05571">
        <w:rPr>
          <w:rFonts w:ascii="Arial" w:hAnsi="Arial" w:cs="Arial"/>
          <w:color w:val="2F5496" w:themeColor="accent1" w:themeShade="BF"/>
          <w:sz w:val="22"/>
          <w:szCs w:val="22"/>
        </w:rPr>
        <w:t xml:space="preserve">Author response:  </w:t>
      </w:r>
      <w:r w:rsidR="00502B5A">
        <w:rPr>
          <w:rFonts w:ascii="Arial" w:hAnsi="Arial" w:cs="Arial"/>
          <w:color w:val="2F5496" w:themeColor="accent1" w:themeShade="BF"/>
          <w:sz w:val="22"/>
          <w:szCs w:val="22"/>
        </w:rPr>
        <w:t xml:space="preserve">In </w:t>
      </w:r>
      <w:r w:rsidR="00502B5A" w:rsidRPr="00C2061C">
        <w:rPr>
          <w:rFonts w:ascii="Arial" w:hAnsi="Arial" w:cs="Arial"/>
          <w:color w:val="2F5496" w:themeColor="accent1" w:themeShade="BF"/>
          <w:sz w:val="22"/>
          <w:szCs w:val="22"/>
        </w:rPr>
        <w:t>Figure 1B,</w:t>
      </w:r>
      <w:r w:rsidR="00502B5A">
        <w:rPr>
          <w:rFonts w:ascii="Arial" w:hAnsi="Arial" w:cs="Arial"/>
          <w:color w:val="2F5496" w:themeColor="accent1" w:themeShade="BF"/>
          <w:sz w:val="22"/>
          <w:szCs w:val="22"/>
        </w:rPr>
        <w:t xml:space="preserve"> representative images of cells at the time of seeding (day 0) and at treatment initiation (day 7) are shown.</w:t>
      </w:r>
      <w:r w:rsidR="00502B5A" w:rsidRPr="00502B5A">
        <w:rPr>
          <w:rFonts w:ascii="Arial" w:hAnsi="Arial" w:cs="Arial"/>
          <w:color w:val="2F5496" w:themeColor="accent1" w:themeShade="BF"/>
          <w:sz w:val="22"/>
          <w:szCs w:val="22"/>
        </w:rPr>
        <w:t xml:space="preserve"> </w:t>
      </w:r>
      <w:r w:rsidR="00502B5A">
        <w:rPr>
          <w:rFonts w:ascii="Arial" w:hAnsi="Arial" w:cs="Arial"/>
          <w:color w:val="2F5496" w:themeColor="accent1" w:themeShade="BF"/>
          <w:sz w:val="22"/>
          <w:szCs w:val="22"/>
        </w:rPr>
        <w:t>We have</w:t>
      </w:r>
      <w:r w:rsidR="00FD0B82">
        <w:rPr>
          <w:rFonts w:ascii="Arial" w:hAnsi="Arial" w:cs="Arial"/>
          <w:color w:val="2F5496" w:themeColor="accent1" w:themeShade="BF"/>
          <w:sz w:val="22"/>
          <w:szCs w:val="22"/>
        </w:rPr>
        <w:t xml:space="preserve"> now</w:t>
      </w:r>
      <w:r w:rsidR="00502B5A">
        <w:rPr>
          <w:rFonts w:ascii="Arial" w:hAnsi="Arial" w:cs="Arial"/>
          <w:color w:val="2F5496" w:themeColor="accent1" w:themeShade="BF"/>
          <w:sz w:val="22"/>
          <w:szCs w:val="22"/>
        </w:rPr>
        <w:t xml:space="preserve"> added representative images for a second organoid model (TH330) as well as the quantification of changes in organoid size. Further, we have </w:t>
      </w:r>
      <w:r w:rsidR="000310F0">
        <w:rPr>
          <w:rFonts w:ascii="Arial" w:hAnsi="Arial" w:cs="Arial"/>
          <w:color w:val="2F5496" w:themeColor="accent1" w:themeShade="BF"/>
          <w:sz w:val="22"/>
          <w:szCs w:val="22"/>
        </w:rPr>
        <w:t>included</w:t>
      </w:r>
      <w:r w:rsidR="00502B5A">
        <w:rPr>
          <w:rFonts w:ascii="Arial" w:hAnsi="Arial" w:cs="Arial"/>
          <w:color w:val="2F5496" w:themeColor="accent1" w:themeShade="BF"/>
          <w:sz w:val="22"/>
          <w:szCs w:val="22"/>
        </w:rPr>
        <w:t xml:space="preserve"> the comparison to the original culture with fully grown organoids. </w:t>
      </w:r>
      <w:r w:rsidR="000310F0">
        <w:rPr>
          <w:rFonts w:ascii="Arial" w:hAnsi="Arial" w:cs="Arial"/>
          <w:color w:val="2F5496" w:themeColor="accent1" w:themeShade="BF"/>
          <w:sz w:val="22"/>
          <w:szCs w:val="22"/>
        </w:rPr>
        <w:br/>
        <w:t>During the initial 7-day growth period</w:t>
      </w:r>
      <w:r w:rsidR="00FD0B82">
        <w:rPr>
          <w:rFonts w:ascii="Arial" w:hAnsi="Arial" w:cs="Arial"/>
          <w:color w:val="2F5496" w:themeColor="accent1" w:themeShade="BF"/>
          <w:sz w:val="22"/>
          <w:szCs w:val="22"/>
        </w:rPr>
        <w:t>,</w:t>
      </w:r>
      <w:r w:rsidR="000310F0">
        <w:rPr>
          <w:rFonts w:ascii="Arial" w:hAnsi="Arial" w:cs="Arial"/>
          <w:color w:val="2F5496" w:themeColor="accent1" w:themeShade="BF"/>
          <w:sz w:val="22"/>
          <w:szCs w:val="22"/>
        </w:rPr>
        <w:t xml:space="preserve"> organoid</w:t>
      </w:r>
      <w:r w:rsidR="00FD0B82">
        <w:rPr>
          <w:rFonts w:ascii="Arial" w:hAnsi="Arial" w:cs="Arial"/>
          <w:color w:val="2F5496" w:themeColor="accent1" w:themeShade="BF"/>
          <w:sz w:val="22"/>
          <w:szCs w:val="22"/>
        </w:rPr>
        <w:t>s</w:t>
      </w:r>
      <w:r w:rsidR="000310F0">
        <w:rPr>
          <w:rFonts w:ascii="Arial" w:hAnsi="Arial" w:cs="Arial"/>
          <w:color w:val="2F5496" w:themeColor="accent1" w:themeShade="BF"/>
          <w:sz w:val="22"/>
          <w:szCs w:val="22"/>
        </w:rPr>
        <w:t xml:space="preserve"> double in size </w:t>
      </w:r>
      <w:r w:rsidR="00FD0B82">
        <w:rPr>
          <w:rFonts w:ascii="Arial" w:hAnsi="Arial" w:cs="Arial"/>
          <w:color w:val="2F5496" w:themeColor="accent1" w:themeShade="BF"/>
          <w:sz w:val="22"/>
          <w:szCs w:val="22"/>
        </w:rPr>
        <w:t xml:space="preserve">as presented in Figure 1B and again here with an additional quantification at day 4. </w:t>
      </w:r>
      <w:r w:rsidR="00D852AE" w:rsidRPr="00D852AE">
        <w:rPr>
          <w:rFonts w:ascii="Arial" w:hAnsi="Arial" w:cs="Arial"/>
          <w:color w:val="2F5496" w:themeColor="accent1" w:themeShade="BF"/>
          <w:sz w:val="22"/>
          <w:szCs w:val="22"/>
        </w:rPr>
        <w:t>Relative fold changes in sizes at day 7 compared to average size at day 0 are presented</w:t>
      </w:r>
      <w:r w:rsidR="00D852AE">
        <w:rPr>
          <w:rFonts w:ascii="Arial" w:hAnsi="Arial" w:cs="Arial"/>
          <w:color w:val="2F5496" w:themeColor="accent1" w:themeShade="BF"/>
          <w:sz w:val="22"/>
          <w:szCs w:val="22"/>
        </w:rPr>
        <w:t>:</w:t>
      </w:r>
      <w:r w:rsidR="00D852AE" w:rsidRPr="00D852AE">
        <w:rPr>
          <w:rFonts w:ascii="Arial" w:hAnsi="Arial" w:cs="Arial"/>
          <w:color w:val="2F5496" w:themeColor="accent1" w:themeShade="BF"/>
          <w:sz w:val="22"/>
          <w:szCs w:val="22"/>
        </w:rPr>
        <w:t xml:space="preserve"> For TH107, a fold change of 2.38 over 7 days is observed, indicating a doubling time of 5.88 days (141.12 hours). For TH330, a fold change of 2.41 over 7 days is observed, indicating a doubling time of 5.809 days (139.42 hours).</w:t>
      </w:r>
    </w:p>
    <w:p w14:paraId="4FDCA071" w14:textId="5FCA2C3F" w:rsidR="00FD0B82" w:rsidRDefault="00FD0B82" w:rsidP="00D13D85">
      <w:pPr>
        <w:pStyle w:val="NormalWeb"/>
        <w:rPr>
          <w:rFonts w:ascii="Arial" w:hAnsi="Arial" w:cs="Arial"/>
          <w:color w:val="2F5496" w:themeColor="accent1" w:themeShade="BF"/>
          <w:sz w:val="22"/>
          <w:szCs w:val="22"/>
        </w:rPr>
      </w:pPr>
      <w:r w:rsidRPr="00FD0B82">
        <w:rPr>
          <w:rFonts w:ascii="Arial" w:hAnsi="Arial" w:cs="Arial"/>
          <w:noProof/>
          <w:color w:val="2F5496" w:themeColor="accent1" w:themeShade="BF"/>
          <w:sz w:val="22"/>
          <w:szCs w:val="22"/>
        </w:rPr>
        <w:drawing>
          <wp:anchor distT="0" distB="0" distL="114300" distR="114300" simplePos="0" relativeHeight="251659264" behindDoc="0" locked="0" layoutInCell="1" allowOverlap="1" wp14:anchorId="342A76E7" wp14:editId="4A41E43C">
            <wp:simplePos x="0" y="0"/>
            <wp:positionH relativeFrom="column">
              <wp:posOffset>2465070</wp:posOffset>
            </wp:positionH>
            <wp:positionV relativeFrom="paragraph">
              <wp:posOffset>44450</wp:posOffset>
            </wp:positionV>
            <wp:extent cx="1536065" cy="1619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065" cy="1619250"/>
                    </a:xfrm>
                    <a:prstGeom prst="rect">
                      <a:avLst/>
                    </a:prstGeom>
                  </pic:spPr>
                </pic:pic>
              </a:graphicData>
            </a:graphic>
            <wp14:sizeRelH relativeFrom="page">
              <wp14:pctWidth>0</wp14:pctWidth>
            </wp14:sizeRelH>
            <wp14:sizeRelV relativeFrom="page">
              <wp14:pctHeight>0</wp14:pctHeight>
            </wp14:sizeRelV>
          </wp:anchor>
        </w:drawing>
      </w:r>
      <w:r w:rsidRPr="00FD0B82">
        <w:rPr>
          <w:rFonts w:ascii="Arial" w:hAnsi="Arial" w:cs="Arial"/>
          <w:noProof/>
          <w:color w:val="2F5496" w:themeColor="accent1" w:themeShade="BF"/>
          <w:sz w:val="22"/>
          <w:szCs w:val="22"/>
        </w:rPr>
        <w:drawing>
          <wp:anchor distT="0" distB="0" distL="114300" distR="114300" simplePos="0" relativeHeight="251658240" behindDoc="0" locked="0" layoutInCell="1" allowOverlap="1" wp14:anchorId="34FB3817" wp14:editId="16FC80B6">
            <wp:simplePos x="0" y="0"/>
            <wp:positionH relativeFrom="column">
              <wp:posOffset>131445</wp:posOffset>
            </wp:positionH>
            <wp:positionV relativeFrom="paragraph">
              <wp:posOffset>47625</wp:posOffset>
            </wp:positionV>
            <wp:extent cx="1492250" cy="16160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2250" cy="1616075"/>
                    </a:xfrm>
                    <a:prstGeom prst="rect">
                      <a:avLst/>
                    </a:prstGeom>
                  </pic:spPr>
                </pic:pic>
              </a:graphicData>
            </a:graphic>
            <wp14:sizeRelH relativeFrom="page">
              <wp14:pctWidth>0</wp14:pctWidth>
            </wp14:sizeRelH>
            <wp14:sizeRelV relativeFrom="page">
              <wp14:pctHeight>0</wp14:pctHeight>
            </wp14:sizeRelV>
          </wp:anchor>
        </w:drawing>
      </w:r>
      <w:r w:rsidR="00502B5A">
        <w:rPr>
          <w:rFonts w:ascii="Arial" w:hAnsi="Arial" w:cs="Arial"/>
          <w:color w:val="2F5496" w:themeColor="accent1" w:themeShade="BF"/>
          <w:sz w:val="22"/>
          <w:szCs w:val="22"/>
        </w:rPr>
        <w:br/>
      </w:r>
      <w:r w:rsidR="00502B5A">
        <w:rPr>
          <w:rFonts w:ascii="Arial" w:hAnsi="Arial" w:cs="Arial"/>
          <w:color w:val="2F5496" w:themeColor="accent1" w:themeShade="BF"/>
          <w:sz w:val="22"/>
          <w:szCs w:val="22"/>
        </w:rPr>
        <w:br/>
      </w:r>
      <w:r w:rsidRPr="00FD0B82">
        <w:rPr>
          <w:noProof/>
        </w:rPr>
        <w:t xml:space="preserve"> </w:t>
      </w:r>
      <w:r w:rsidR="00502B5A">
        <w:rPr>
          <w:rFonts w:ascii="Arial" w:hAnsi="Arial" w:cs="Arial"/>
          <w:color w:val="2F5496" w:themeColor="accent1" w:themeShade="BF"/>
          <w:sz w:val="22"/>
          <w:szCs w:val="22"/>
        </w:rPr>
        <w:br/>
      </w:r>
    </w:p>
    <w:p w14:paraId="5A741D2F" w14:textId="0335493F" w:rsidR="00FD0B82" w:rsidRDefault="00FD0B82" w:rsidP="00D13D85">
      <w:pPr>
        <w:pStyle w:val="NormalWeb"/>
        <w:rPr>
          <w:rFonts w:ascii="Arial" w:hAnsi="Arial" w:cs="Arial"/>
          <w:color w:val="2F5496" w:themeColor="accent1" w:themeShade="BF"/>
          <w:sz w:val="22"/>
          <w:szCs w:val="22"/>
        </w:rPr>
      </w:pPr>
    </w:p>
    <w:p w14:paraId="48BE25B2" w14:textId="6595346C" w:rsidR="00FD0B82" w:rsidRDefault="00FD0B82" w:rsidP="00D13D85">
      <w:pPr>
        <w:pStyle w:val="NormalWeb"/>
        <w:rPr>
          <w:rFonts w:ascii="Arial" w:hAnsi="Arial" w:cs="Arial"/>
          <w:color w:val="2F5496" w:themeColor="accent1" w:themeShade="BF"/>
          <w:sz w:val="22"/>
          <w:szCs w:val="22"/>
        </w:rPr>
      </w:pPr>
    </w:p>
    <w:p w14:paraId="6E6973A3" w14:textId="64473D1B" w:rsidR="00FD0B82" w:rsidRDefault="00FD0B82" w:rsidP="00D13D85">
      <w:pPr>
        <w:pStyle w:val="NormalWeb"/>
        <w:rPr>
          <w:rFonts w:ascii="Arial" w:hAnsi="Arial" w:cs="Arial"/>
          <w:color w:val="2F5496" w:themeColor="accent1" w:themeShade="BF"/>
          <w:sz w:val="22"/>
          <w:szCs w:val="22"/>
        </w:rPr>
      </w:pPr>
    </w:p>
    <w:p w14:paraId="5DBDFCCE" w14:textId="1C00116C" w:rsidR="00FD0B82" w:rsidRDefault="00FD0B82" w:rsidP="00D13D85">
      <w:pPr>
        <w:pStyle w:val="NormalWeb"/>
        <w:rPr>
          <w:rFonts w:ascii="Arial" w:hAnsi="Arial" w:cs="Arial"/>
          <w:color w:val="2F5496" w:themeColor="accent1" w:themeShade="BF"/>
          <w:sz w:val="22"/>
          <w:szCs w:val="22"/>
        </w:rPr>
      </w:pPr>
      <w:r w:rsidRPr="00FD0B82">
        <w:rPr>
          <w:noProof/>
        </w:rPr>
        <w:drawing>
          <wp:anchor distT="0" distB="0" distL="114300" distR="114300" simplePos="0" relativeHeight="251660288" behindDoc="0" locked="0" layoutInCell="1" allowOverlap="1" wp14:anchorId="7615D092" wp14:editId="5E031230">
            <wp:simplePos x="0" y="0"/>
            <wp:positionH relativeFrom="column">
              <wp:posOffset>0</wp:posOffset>
            </wp:positionH>
            <wp:positionV relativeFrom="paragraph">
              <wp:posOffset>203251</wp:posOffset>
            </wp:positionV>
            <wp:extent cx="4291965" cy="9652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1965" cy="965200"/>
                    </a:xfrm>
                    <a:prstGeom prst="rect">
                      <a:avLst/>
                    </a:prstGeom>
                  </pic:spPr>
                </pic:pic>
              </a:graphicData>
            </a:graphic>
            <wp14:sizeRelH relativeFrom="page">
              <wp14:pctWidth>0</wp14:pctWidth>
            </wp14:sizeRelH>
            <wp14:sizeRelV relativeFrom="page">
              <wp14:pctHeight>0</wp14:pctHeight>
            </wp14:sizeRelV>
          </wp:anchor>
        </w:drawing>
      </w:r>
    </w:p>
    <w:p w14:paraId="5C63A66B" w14:textId="77777777" w:rsidR="00FD0B82" w:rsidRDefault="00FD0B82" w:rsidP="00D13D85">
      <w:pPr>
        <w:pStyle w:val="NormalWeb"/>
        <w:rPr>
          <w:rFonts w:ascii="Arial" w:hAnsi="Arial" w:cs="Arial"/>
          <w:color w:val="2F5496" w:themeColor="accent1" w:themeShade="BF"/>
          <w:sz w:val="22"/>
          <w:szCs w:val="22"/>
        </w:rPr>
      </w:pPr>
    </w:p>
    <w:p w14:paraId="360B9020" w14:textId="65359C55" w:rsidR="00FD0B82" w:rsidRDefault="00FD0B82" w:rsidP="00D13D85">
      <w:pPr>
        <w:pStyle w:val="NormalWeb"/>
        <w:rPr>
          <w:rFonts w:ascii="Arial" w:hAnsi="Arial" w:cs="Arial"/>
          <w:color w:val="2F5496" w:themeColor="accent1" w:themeShade="BF"/>
          <w:sz w:val="22"/>
          <w:szCs w:val="22"/>
        </w:rPr>
      </w:pPr>
    </w:p>
    <w:p w14:paraId="54BB5141" w14:textId="0DC20622" w:rsidR="006903B9" w:rsidRDefault="006903B9" w:rsidP="00D13D85">
      <w:pPr>
        <w:pStyle w:val="NormalWeb"/>
        <w:rPr>
          <w:rFonts w:ascii="Arial" w:hAnsi="Arial" w:cs="Arial"/>
          <w:color w:val="2F5496" w:themeColor="accent1" w:themeShade="BF"/>
          <w:sz w:val="22"/>
          <w:szCs w:val="22"/>
        </w:rPr>
      </w:pPr>
    </w:p>
    <w:p w14:paraId="78B7E929" w14:textId="41008963" w:rsidR="00FD0B82" w:rsidRDefault="00E70376" w:rsidP="00D13D85">
      <w:pPr>
        <w:pStyle w:val="NormalWeb"/>
        <w:rPr>
          <w:rFonts w:ascii="Arial" w:hAnsi="Arial" w:cs="Arial"/>
          <w:color w:val="2F5496" w:themeColor="accent1" w:themeShade="BF"/>
          <w:sz w:val="22"/>
          <w:szCs w:val="22"/>
        </w:rPr>
      </w:pPr>
      <w:r>
        <w:rPr>
          <w:rFonts w:ascii="Arial" w:hAnsi="Arial" w:cs="Arial"/>
          <w:i/>
          <w:iCs/>
          <w:color w:val="2F5496" w:themeColor="accent1" w:themeShade="BF"/>
          <w:sz w:val="20"/>
          <w:szCs w:val="20"/>
        </w:rPr>
        <w:t>Changes in organoid size during the initial 7-day growth period prior to treatment initiation</w:t>
      </w:r>
      <w:r w:rsidR="00DD72A7">
        <w:rPr>
          <w:rFonts w:ascii="Arial" w:hAnsi="Arial" w:cs="Arial"/>
          <w:i/>
          <w:iCs/>
          <w:color w:val="2F5496" w:themeColor="accent1" w:themeShade="BF"/>
          <w:sz w:val="20"/>
          <w:szCs w:val="20"/>
        </w:rPr>
        <w:t>, with the average size in each condition and relative fold changes compared to day 0 indicated in the table</w:t>
      </w:r>
      <w:r w:rsidR="00F43CA5">
        <w:rPr>
          <w:rFonts w:ascii="Arial" w:hAnsi="Arial" w:cs="Arial"/>
          <w:i/>
          <w:iCs/>
          <w:color w:val="2F5496" w:themeColor="accent1" w:themeShade="BF"/>
          <w:sz w:val="20"/>
          <w:szCs w:val="20"/>
        </w:rPr>
        <w:t xml:space="preserve"> below</w:t>
      </w:r>
      <w:r w:rsidR="00DD72A7">
        <w:rPr>
          <w:rFonts w:ascii="Arial" w:hAnsi="Arial" w:cs="Arial"/>
          <w:i/>
          <w:iCs/>
          <w:color w:val="2F5496" w:themeColor="accent1" w:themeShade="BF"/>
          <w:sz w:val="20"/>
          <w:szCs w:val="20"/>
        </w:rPr>
        <w:t xml:space="preserve">.  </w:t>
      </w:r>
    </w:p>
    <w:p w14:paraId="5D1BE051" w14:textId="2F34D846" w:rsidR="00E279BF" w:rsidRDefault="00FD0B82" w:rsidP="00D13D85">
      <w:pPr>
        <w:pStyle w:val="NormalWeb"/>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Of note, treatment initiation at an early organoid state is necessary given </w:t>
      </w:r>
      <w:r w:rsidR="00E279BF">
        <w:rPr>
          <w:rFonts w:ascii="Arial" w:hAnsi="Arial" w:cs="Arial"/>
          <w:color w:val="2F5496" w:themeColor="accent1" w:themeShade="BF"/>
          <w:sz w:val="22"/>
          <w:szCs w:val="22"/>
        </w:rPr>
        <w:t>several</w:t>
      </w:r>
      <w:r>
        <w:rPr>
          <w:rFonts w:ascii="Arial" w:hAnsi="Arial" w:cs="Arial"/>
          <w:color w:val="2F5496" w:themeColor="accent1" w:themeShade="BF"/>
          <w:sz w:val="22"/>
          <w:szCs w:val="22"/>
        </w:rPr>
        <w:t xml:space="preserve"> factors: comparability across organoid models even upon minor changes in size or doubling time as well as best response to drug at a lower cellularity state and clear distinguishment of sensitive and resistant cultures (Figure 2).</w:t>
      </w:r>
      <w:r w:rsidR="00CF6350">
        <w:rPr>
          <w:rFonts w:ascii="Arial" w:hAnsi="Arial" w:cs="Arial"/>
          <w:sz w:val="22"/>
          <w:szCs w:val="22"/>
        </w:rPr>
        <w:br/>
      </w:r>
      <w:r w:rsidR="00764EF3">
        <w:br/>
        <w:t>- Doubling rates controls should be included in the experimental protocol. Does the model double within the drugging experiment? The use of negative/positive controls is not clear.</w:t>
      </w:r>
      <w:r>
        <w:br/>
      </w:r>
      <w:r w:rsidR="00E279BF">
        <w:rPr>
          <w:rFonts w:ascii="Arial" w:hAnsi="Arial" w:cs="Arial"/>
          <w:color w:val="2F5496" w:themeColor="accent1" w:themeShade="BF"/>
          <w:sz w:val="22"/>
          <w:szCs w:val="22"/>
        </w:rPr>
        <w:t xml:space="preserve">Author response:  </w:t>
      </w:r>
      <w:r w:rsidR="00FD452D" w:rsidRPr="00FD452D">
        <w:rPr>
          <w:rFonts w:ascii="Arial" w:hAnsi="Arial" w:cs="Arial"/>
          <w:color w:val="2F5496" w:themeColor="accent1" w:themeShade="BF"/>
          <w:sz w:val="22"/>
          <w:szCs w:val="22"/>
        </w:rPr>
        <w:t>As outlined above</w:t>
      </w:r>
      <w:r w:rsidR="00FD452D">
        <w:rPr>
          <w:rFonts w:ascii="Arial" w:hAnsi="Arial" w:cs="Arial"/>
          <w:color w:val="2F5496" w:themeColor="accent1" w:themeShade="BF"/>
          <w:sz w:val="22"/>
          <w:szCs w:val="22"/>
        </w:rPr>
        <w:t xml:space="preserve">, we have now included quantitative data on organoid growth rates. We also highlight the importance </w:t>
      </w:r>
      <w:r w:rsidR="00E279BF">
        <w:rPr>
          <w:rFonts w:ascii="Arial" w:hAnsi="Arial" w:cs="Arial"/>
          <w:color w:val="2F5496" w:themeColor="accent1" w:themeShade="BF"/>
          <w:sz w:val="22"/>
          <w:szCs w:val="22"/>
        </w:rPr>
        <w:t>of using</w:t>
      </w:r>
      <w:r w:rsidR="00FD452D">
        <w:rPr>
          <w:rFonts w:ascii="Arial" w:hAnsi="Arial" w:cs="Arial"/>
          <w:color w:val="2F5496" w:themeColor="accent1" w:themeShade="BF"/>
          <w:sz w:val="22"/>
          <w:szCs w:val="22"/>
        </w:rPr>
        <w:t xml:space="preserve"> clear-bottom 96-well plates to monitor growth rates and drug response during the experiment</w:t>
      </w:r>
      <w:r w:rsidR="00BD6A36">
        <w:rPr>
          <w:rFonts w:ascii="Arial" w:hAnsi="Arial" w:cs="Arial"/>
          <w:color w:val="2F5496" w:themeColor="accent1" w:themeShade="BF"/>
          <w:sz w:val="22"/>
          <w:szCs w:val="22"/>
        </w:rPr>
        <w:t xml:space="preserve"> (</w:t>
      </w:r>
      <w:r w:rsidR="00C2061C">
        <w:rPr>
          <w:rFonts w:ascii="Arial" w:hAnsi="Arial" w:cs="Arial"/>
          <w:color w:val="2F5496" w:themeColor="accent1" w:themeShade="BF"/>
          <w:sz w:val="22"/>
          <w:szCs w:val="22"/>
        </w:rPr>
        <w:t>page 4, line 153</w:t>
      </w:r>
      <w:r w:rsidR="00BD6A36">
        <w:rPr>
          <w:rFonts w:ascii="Arial" w:hAnsi="Arial" w:cs="Arial"/>
          <w:color w:val="2F5496" w:themeColor="accent1" w:themeShade="BF"/>
          <w:sz w:val="22"/>
          <w:szCs w:val="22"/>
        </w:rPr>
        <w:t>)</w:t>
      </w:r>
      <w:r w:rsidR="00FD452D">
        <w:rPr>
          <w:rFonts w:ascii="Arial" w:hAnsi="Arial" w:cs="Arial"/>
          <w:color w:val="2F5496" w:themeColor="accent1" w:themeShade="BF"/>
          <w:sz w:val="22"/>
          <w:szCs w:val="22"/>
        </w:rPr>
        <w:t xml:space="preserve">. </w:t>
      </w:r>
      <w:r w:rsidR="00BD6A36">
        <w:rPr>
          <w:rFonts w:ascii="Arial" w:hAnsi="Arial" w:cs="Arial"/>
          <w:color w:val="2F5496" w:themeColor="accent1" w:themeShade="BF"/>
          <w:sz w:val="22"/>
          <w:szCs w:val="22"/>
        </w:rPr>
        <w:t xml:space="preserve">The presented protocol has been used across </w:t>
      </w:r>
      <w:r w:rsidR="00E279BF">
        <w:rPr>
          <w:rFonts w:ascii="Arial" w:hAnsi="Arial" w:cs="Arial"/>
          <w:color w:val="2F5496" w:themeColor="accent1" w:themeShade="BF"/>
          <w:sz w:val="22"/>
          <w:szCs w:val="22"/>
        </w:rPr>
        <w:t>several</w:t>
      </w:r>
      <w:r w:rsidR="00BD6A36">
        <w:rPr>
          <w:rFonts w:ascii="Arial" w:hAnsi="Arial" w:cs="Arial"/>
          <w:color w:val="2F5496" w:themeColor="accent1" w:themeShade="BF"/>
          <w:sz w:val="22"/>
          <w:szCs w:val="22"/>
        </w:rPr>
        <w:t xml:space="preserve"> </w:t>
      </w:r>
      <w:r w:rsidR="002E14D7">
        <w:rPr>
          <w:rFonts w:ascii="Arial" w:hAnsi="Arial" w:cs="Arial"/>
          <w:color w:val="2F5496" w:themeColor="accent1" w:themeShade="BF"/>
          <w:sz w:val="22"/>
          <w:szCs w:val="22"/>
        </w:rPr>
        <w:t xml:space="preserve">EGFR-mutant </w:t>
      </w:r>
      <w:r w:rsidR="00B50074">
        <w:rPr>
          <w:rFonts w:ascii="Arial" w:hAnsi="Arial" w:cs="Arial"/>
          <w:color w:val="2F5496" w:themeColor="accent1" w:themeShade="BF"/>
          <w:sz w:val="22"/>
          <w:szCs w:val="22"/>
        </w:rPr>
        <w:t xml:space="preserve">NSCLC </w:t>
      </w:r>
      <w:r w:rsidR="00BD6A36">
        <w:rPr>
          <w:rFonts w:ascii="Arial" w:hAnsi="Arial" w:cs="Arial"/>
          <w:color w:val="2F5496" w:themeColor="accent1" w:themeShade="BF"/>
          <w:sz w:val="22"/>
          <w:szCs w:val="22"/>
        </w:rPr>
        <w:t>organoid cultures, 4 of which are highlighted here across Figure</w:t>
      </w:r>
      <w:r w:rsidR="00E279BF">
        <w:rPr>
          <w:rFonts w:ascii="Arial" w:hAnsi="Arial" w:cs="Arial"/>
          <w:color w:val="2F5496" w:themeColor="accent1" w:themeShade="BF"/>
          <w:sz w:val="22"/>
          <w:szCs w:val="22"/>
        </w:rPr>
        <w:t>s</w:t>
      </w:r>
      <w:r w:rsidR="00BD6A36">
        <w:rPr>
          <w:rFonts w:ascii="Arial" w:hAnsi="Arial" w:cs="Arial"/>
          <w:color w:val="2F5496" w:themeColor="accent1" w:themeShade="BF"/>
          <w:sz w:val="22"/>
          <w:szCs w:val="22"/>
        </w:rPr>
        <w:t xml:space="preserve"> 2 and 3. Overall, the protocol is optimized to work with the indicated times </w:t>
      </w:r>
      <w:r w:rsidR="00B50074">
        <w:rPr>
          <w:rFonts w:ascii="Arial" w:hAnsi="Arial" w:cs="Arial"/>
          <w:color w:val="2F5496" w:themeColor="accent1" w:themeShade="BF"/>
          <w:sz w:val="22"/>
          <w:szCs w:val="22"/>
        </w:rPr>
        <w:t xml:space="preserve">for EGFR-mutant NSCLC organoid cultures </w:t>
      </w:r>
      <w:r w:rsidR="00BD6A36">
        <w:rPr>
          <w:rFonts w:ascii="Arial" w:hAnsi="Arial" w:cs="Arial"/>
          <w:color w:val="2F5496" w:themeColor="accent1" w:themeShade="BF"/>
          <w:sz w:val="22"/>
          <w:szCs w:val="22"/>
        </w:rPr>
        <w:t xml:space="preserve">even if minor differences in growth </w:t>
      </w:r>
      <w:r w:rsidR="00BD6A36">
        <w:rPr>
          <w:rFonts w:ascii="Arial" w:hAnsi="Arial" w:cs="Arial"/>
          <w:color w:val="2F5496" w:themeColor="accent1" w:themeShade="BF"/>
          <w:sz w:val="22"/>
          <w:szCs w:val="22"/>
        </w:rPr>
        <w:lastRenderedPageBreak/>
        <w:t>rate are observed. We have noted the necessity to compare the expected growth development over the initial 7-day period and adapt if needed (</w:t>
      </w:r>
      <w:r w:rsidR="00665335">
        <w:rPr>
          <w:rFonts w:ascii="Arial" w:hAnsi="Arial" w:cs="Arial"/>
          <w:color w:val="2F5496" w:themeColor="accent1" w:themeShade="BF"/>
          <w:sz w:val="22"/>
          <w:szCs w:val="22"/>
        </w:rPr>
        <w:t>page 10, line 427-434</w:t>
      </w:r>
      <w:r w:rsidR="00BD6A36">
        <w:rPr>
          <w:rFonts w:ascii="Arial" w:hAnsi="Arial" w:cs="Arial"/>
          <w:color w:val="2F5496" w:themeColor="accent1" w:themeShade="BF"/>
          <w:sz w:val="22"/>
          <w:szCs w:val="22"/>
        </w:rPr>
        <w:t xml:space="preserve">). We hope the </w:t>
      </w:r>
      <w:r w:rsidR="00E279BF">
        <w:rPr>
          <w:rFonts w:ascii="Arial" w:hAnsi="Arial" w:cs="Arial"/>
          <w:color w:val="2F5496" w:themeColor="accent1" w:themeShade="BF"/>
          <w:sz w:val="22"/>
          <w:szCs w:val="22"/>
        </w:rPr>
        <w:t xml:space="preserve">new </w:t>
      </w:r>
      <w:r w:rsidR="00BD6A36">
        <w:rPr>
          <w:rFonts w:ascii="Arial" w:hAnsi="Arial" w:cs="Arial"/>
          <w:color w:val="2F5496" w:themeColor="accent1" w:themeShade="BF"/>
          <w:sz w:val="22"/>
          <w:szCs w:val="22"/>
        </w:rPr>
        <w:t xml:space="preserve">quantitative data of organoid size and relative fold change </w:t>
      </w:r>
      <w:r w:rsidR="002E14D7">
        <w:rPr>
          <w:rFonts w:ascii="Arial" w:hAnsi="Arial" w:cs="Arial"/>
          <w:color w:val="2F5496" w:themeColor="accent1" w:themeShade="BF"/>
          <w:sz w:val="22"/>
          <w:szCs w:val="22"/>
        </w:rPr>
        <w:t xml:space="preserve">in Figure 1B </w:t>
      </w:r>
      <w:r w:rsidR="00BD6A36">
        <w:rPr>
          <w:rFonts w:ascii="Arial" w:hAnsi="Arial" w:cs="Arial"/>
          <w:color w:val="2F5496" w:themeColor="accent1" w:themeShade="BF"/>
          <w:sz w:val="22"/>
          <w:szCs w:val="22"/>
        </w:rPr>
        <w:t>will provide the necessary detail for the reader</w:t>
      </w:r>
      <w:r w:rsidR="00E279BF">
        <w:rPr>
          <w:rFonts w:ascii="Arial" w:hAnsi="Arial" w:cs="Arial"/>
          <w:color w:val="2F5496" w:themeColor="accent1" w:themeShade="BF"/>
          <w:sz w:val="22"/>
          <w:szCs w:val="22"/>
        </w:rPr>
        <w:t>s</w:t>
      </w:r>
      <w:r w:rsidR="00BD6A36">
        <w:rPr>
          <w:rFonts w:ascii="Arial" w:hAnsi="Arial" w:cs="Arial"/>
          <w:color w:val="2F5496" w:themeColor="accent1" w:themeShade="BF"/>
          <w:sz w:val="22"/>
          <w:szCs w:val="22"/>
        </w:rPr>
        <w:t xml:space="preserve"> to adapt culture times, should it be necessary</w:t>
      </w:r>
      <w:r w:rsidR="00D6101B">
        <w:rPr>
          <w:rFonts w:ascii="Arial" w:hAnsi="Arial" w:cs="Arial"/>
          <w:color w:val="2F5496" w:themeColor="accent1" w:themeShade="BF"/>
          <w:sz w:val="22"/>
          <w:szCs w:val="22"/>
        </w:rPr>
        <w:t xml:space="preserve"> (e.g.</w:t>
      </w:r>
      <w:r w:rsidR="00E279BF">
        <w:rPr>
          <w:rFonts w:ascii="Arial" w:hAnsi="Arial" w:cs="Arial"/>
          <w:color w:val="2F5496" w:themeColor="accent1" w:themeShade="BF"/>
          <w:sz w:val="22"/>
          <w:szCs w:val="22"/>
        </w:rPr>
        <w:t>,</w:t>
      </w:r>
      <w:r w:rsidR="00D6101B">
        <w:rPr>
          <w:rFonts w:ascii="Arial" w:hAnsi="Arial" w:cs="Arial"/>
          <w:color w:val="2F5496" w:themeColor="accent1" w:themeShade="BF"/>
          <w:sz w:val="22"/>
          <w:szCs w:val="22"/>
        </w:rPr>
        <w:t xml:space="preserve"> when working with organoids of other cancer or non-cancer entities)</w:t>
      </w:r>
      <w:r w:rsidR="00BD6A36">
        <w:rPr>
          <w:rFonts w:ascii="Arial" w:hAnsi="Arial" w:cs="Arial"/>
          <w:color w:val="2F5496" w:themeColor="accent1" w:themeShade="BF"/>
          <w:sz w:val="22"/>
          <w:szCs w:val="22"/>
        </w:rPr>
        <w:t>.</w:t>
      </w:r>
    </w:p>
    <w:p w14:paraId="35811612" w14:textId="23CAF150" w:rsidR="00E279BF" w:rsidRDefault="00D16C85" w:rsidP="00D13D85">
      <w:pPr>
        <w:pStyle w:val="NormalWeb"/>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We agree with the </w:t>
      </w:r>
      <w:r w:rsidR="00E279BF">
        <w:rPr>
          <w:rFonts w:ascii="Arial" w:hAnsi="Arial" w:cs="Arial"/>
          <w:color w:val="2F5496" w:themeColor="accent1" w:themeShade="BF"/>
          <w:sz w:val="22"/>
          <w:szCs w:val="22"/>
        </w:rPr>
        <w:t>R</w:t>
      </w:r>
      <w:r>
        <w:rPr>
          <w:rFonts w:ascii="Arial" w:hAnsi="Arial" w:cs="Arial"/>
          <w:color w:val="2F5496" w:themeColor="accent1" w:themeShade="BF"/>
          <w:sz w:val="22"/>
          <w:szCs w:val="22"/>
        </w:rPr>
        <w:t>eviewer that</w:t>
      </w:r>
      <w:r w:rsidR="00D6101B">
        <w:rPr>
          <w:rFonts w:ascii="Arial" w:hAnsi="Arial" w:cs="Arial"/>
          <w:color w:val="2F5496" w:themeColor="accent1" w:themeShade="BF"/>
          <w:sz w:val="22"/>
          <w:szCs w:val="22"/>
        </w:rPr>
        <w:t xml:space="preserve"> strong differences in</w:t>
      </w:r>
      <w:r>
        <w:rPr>
          <w:rFonts w:ascii="Arial" w:hAnsi="Arial" w:cs="Arial"/>
          <w:color w:val="2F5496" w:themeColor="accent1" w:themeShade="BF"/>
          <w:sz w:val="22"/>
          <w:szCs w:val="22"/>
        </w:rPr>
        <w:t xml:space="preserve"> doubling times can have a</w:t>
      </w:r>
      <w:r w:rsidR="00D6101B">
        <w:rPr>
          <w:rFonts w:ascii="Arial" w:hAnsi="Arial" w:cs="Arial"/>
          <w:color w:val="2F5496" w:themeColor="accent1" w:themeShade="BF"/>
          <w:sz w:val="22"/>
          <w:szCs w:val="22"/>
        </w:rPr>
        <w:t xml:space="preserve">n </w:t>
      </w:r>
      <w:r>
        <w:rPr>
          <w:rFonts w:ascii="Arial" w:hAnsi="Arial" w:cs="Arial"/>
          <w:color w:val="2F5496" w:themeColor="accent1" w:themeShade="BF"/>
          <w:sz w:val="22"/>
          <w:szCs w:val="22"/>
        </w:rPr>
        <w:t xml:space="preserve">impact on drug responses, with recent work </w:t>
      </w:r>
      <w:r w:rsidR="000606A1">
        <w:rPr>
          <w:rFonts w:ascii="Arial" w:hAnsi="Arial" w:cs="Arial"/>
          <w:color w:val="2F5496" w:themeColor="accent1" w:themeShade="BF"/>
          <w:sz w:val="22"/>
          <w:szCs w:val="22"/>
        </w:rPr>
        <w:t>modelling the impact of differences in growth rate or cell density on response to cancer-targeted drugs (</w:t>
      </w:r>
      <w:r w:rsidR="000606A1" w:rsidRPr="000606A1">
        <w:rPr>
          <w:rFonts w:ascii="Arial" w:hAnsi="Arial" w:cs="Arial"/>
          <w:color w:val="2F5496" w:themeColor="accent1" w:themeShade="BF"/>
          <w:sz w:val="22"/>
          <w:szCs w:val="22"/>
        </w:rPr>
        <w:t>PMID: 27135972</w:t>
      </w:r>
      <w:r w:rsidR="000606A1">
        <w:rPr>
          <w:rFonts w:ascii="Arial" w:hAnsi="Arial" w:cs="Arial"/>
          <w:color w:val="2F5496" w:themeColor="accent1" w:themeShade="BF"/>
          <w:sz w:val="22"/>
          <w:szCs w:val="22"/>
        </w:rPr>
        <w:t xml:space="preserve">). We have </w:t>
      </w:r>
      <w:r w:rsidR="00D6101B">
        <w:rPr>
          <w:rFonts w:ascii="Arial" w:hAnsi="Arial" w:cs="Arial"/>
          <w:color w:val="2F5496" w:themeColor="accent1" w:themeShade="BF"/>
          <w:sz w:val="22"/>
          <w:szCs w:val="22"/>
        </w:rPr>
        <w:t>expanded our discussion and emphasized the option to monitor organoid growth rate quantitatively (</w:t>
      </w:r>
      <w:r w:rsidR="00665335">
        <w:rPr>
          <w:rFonts w:ascii="Arial" w:hAnsi="Arial" w:cs="Arial"/>
          <w:color w:val="2F5496" w:themeColor="accent1" w:themeShade="BF"/>
          <w:sz w:val="22"/>
          <w:szCs w:val="22"/>
        </w:rPr>
        <w:t>page 10, line 427-434</w:t>
      </w:r>
      <w:r w:rsidR="00D6101B">
        <w:rPr>
          <w:rFonts w:ascii="Arial" w:hAnsi="Arial" w:cs="Arial"/>
          <w:color w:val="2F5496" w:themeColor="accent1" w:themeShade="BF"/>
          <w:sz w:val="22"/>
          <w:szCs w:val="22"/>
        </w:rPr>
        <w:t>). Please also see below for a detailed description regarding the observed phenotype</w:t>
      </w:r>
      <w:r w:rsidR="00E279BF">
        <w:rPr>
          <w:rFonts w:ascii="Arial" w:hAnsi="Arial" w:cs="Arial"/>
          <w:color w:val="2F5496" w:themeColor="accent1" w:themeShade="BF"/>
          <w:sz w:val="22"/>
          <w:szCs w:val="22"/>
        </w:rPr>
        <w:t>s</w:t>
      </w:r>
      <w:r w:rsidR="00D6101B">
        <w:rPr>
          <w:rFonts w:ascii="Arial" w:hAnsi="Arial" w:cs="Arial"/>
          <w:color w:val="2F5496" w:themeColor="accent1" w:themeShade="BF"/>
          <w:sz w:val="22"/>
          <w:szCs w:val="22"/>
        </w:rPr>
        <w:t xml:space="preserve"> under drug treatment (cell cycle arrest and apoptosis)</w:t>
      </w:r>
      <w:r w:rsidR="00E279BF">
        <w:rPr>
          <w:rFonts w:ascii="Arial" w:hAnsi="Arial" w:cs="Arial"/>
          <w:color w:val="2F5496" w:themeColor="accent1" w:themeShade="BF"/>
          <w:sz w:val="22"/>
          <w:szCs w:val="22"/>
        </w:rPr>
        <w:t>.</w:t>
      </w:r>
    </w:p>
    <w:p w14:paraId="5186C6F2" w14:textId="3B2368BB" w:rsidR="0040524C" w:rsidRPr="0019129A" w:rsidRDefault="00D6101B" w:rsidP="00D13D85">
      <w:pPr>
        <w:pStyle w:val="NormalWeb"/>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Regarding necessary controls, we have provided data for sensitive and resistant organoids models (Figure 2) to </w:t>
      </w:r>
      <w:r w:rsidR="00E279BF">
        <w:rPr>
          <w:rFonts w:ascii="Arial" w:hAnsi="Arial" w:cs="Arial"/>
          <w:color w:val="2F5496" w:themeColor="accent1" w:themeShade="BF"/>
          <w:sz w:val="22"/>
          <w:szCs w:val="22"/>
        </w:rPr>
        <w:t>show</w:t>
      </w:r>
      <w:r>
        <w:rPr>
          <w:rFonts w:ascii="Arial" w:hAnsi="Arial" w:cs="Arial"/>
          <w:color w:val="2F5496" w:themeColor="accent1" w:themeShade="BF"/>
          <w:sz w:val="22"/>
          <w:szCs w:val="22"/>
        </w:rPr>
        <w:t xml:space="preserve"> how </w:t>
      </w:r>
      <w:r w:rsidR="00E279BF">
        <w:rPr>
          <w:rFonts w:ascii="Arial" w:hAnsi="Arial" w:cs="Arial"/>
          <w:color w:val="2F5496" w:themeColor="accent1" w:themeShade="BF"/>
          <w:sz w:val="22"/>
          <w:szCs w:val="22"/>
        </w:rPr>
        <w:t xml:space="preserve">different </w:t>
      </w:r>
      <w:r>
        <w:rPr>
          <w:rFonts w:ascii="Arial" w:hAnsi="Arial" w:cs="Arial"/>
          <w:color w:val="2F5496" w:themeColor="accent1" w:themeShade="BF"/>
          <w:sz w:val="22"/>
          <w:szCs w:val="22"/>
        </w:rPr>
        <w:t>sensitivit</w:t>
      </w:r>
      <w:r w:rsidR="00E279BF">
        <w:rPr>
          <w:rFonts w:ascii="Arial" w:hAnsi="Arial" w:cs="Arial"/>
          <w:color w:val="2F5496" w:themeColor="accent1" w:themeShade="BF"/>
          <w:sz w:val="22"/>
          <w:szCs w:val="22"/>
        </w:rPr>
        <w:t>ies</w:t>
      </w:r>
      <w:r>
        <w:rPr>
          <w:rFonts w:ascii="Arial" w:hAnsi="Arial" w:cs="Arial"/>
          <w:color w:val="2F5496" w:themeColor="accent1" w:themeShade="BF"/>
          <w:sz w:val="22"/>
          <w:szCs w:val="22"/>
        </w:rPr>
        <w:t xml:space="preserve"> to drug treatment </w:t>
      </w:r>
      <w:r w:rsidR="00E279BF">
        <w:rPr>
          <w:rFonts w:ascii="Arial" w:hAnsi="Arial" w:cs="Arial"/>
          <w:color w:val="2F5496" w:themeColor="accent1" w:themeShade="BF"/>
          <w:sz w:val="22"/>
          <w:szCs w:val="22"/>
        </w:rPr>
        <w:t xml:space="preserve">are </w:t>
      </w:r>
      <w:r>
        <w:rPr>
          <w:rFonts w:ascii="Arial" w:hAnsi="Arial" w:cs="Arial"/>
          <w:color w:val="2F5496" w:themeColor="accent1" w:themeShade="BF"/>
          <w:sz w:val="22"/>
          <w:szCs w:val="22"/>
        </w:rPr>
        <w:t xml:space="preserve">observed. We have provided context to </w:t>
      </w:r>
      <w:r w:rsidR="00E279BF">
        <w:rPr>
          <w:rFonts w:ascii="Arial" w:hAnsi="Arial" w:cs="Arial"/>
          <w:color w:val="2F5496" w:themeColor="accent1" w:themeShade="BF"/>
          <w:sz w:val="22"/>
          <w:szCs w:val="22"/>
        </w:rPr>
        <w:t>benchmark</w:t>
      </w:r>
      <w:r>
        <w:rPr>
          <w:rFonts w:ascii="Arial" w:hAnsi="Arial" w:cs="Arial"/>
          <w:color w:val="2F5496" w:themeColor="accent1" w:themeShade="BF"/>
          <w:sz w:val="22"/>
          <w:szCs w:val="22"/>
        </w:rPr>
        <w:t xml:space="preserve"> sensitivity </w:t>
      </w:r>
      <w:r w:rsidR="000855B5">
        <w:rPr>
          <w:rFonts w:ascii="Arial" w:hAnsi="Arial" w:cs="Arial"/>
          <w:color w:val="2F5496" w:themeColor="accent1" w:themeShade="BF"/>
          <w:sz w:val="22"/>
          <w:szCs w:val="22"/>
        </w:rPr>
        <w:t xml:space="preserve">profiles by comparing to </w:t>
      </w:r>
      <w:r w:rsidR="00E279BF">
        <w:rPr>
          <w:rFonts w:ascii="Arial" w:hAnsi="Arial" w:cs="Arial"/>
          <w:color w:val="2F5496" w:themeColor="accent1" w:themeShade="BF"/>
          <w:sz w:val="22"/>
          <w:szCs w:val="22"/>
        </w:rPr>
        <w:t xml:space="preserve">an established </w:t>
      </w:r>
      <w:r w:rsidR="000855B5">
        <w:rPr>
          <w:rFonts w:ascii="Arial" w:hAnsi="Arial" w:cs="Arial"/>
          <w:color w:val="2F5496" w:themeColor="accent1" w:themeShade="BF"/>
          <w:sz w:val="22"/>
          <w:szCs w:val="22"/>
        </w:rPr>
        <w:t xml:space="preserve">sensitive EGFR-mutant PC9 </w:t>
      </w:r>
      <w:r w:rsidR="00E279BF">
        <w:rPr>
          <w:rFonts w:ascii="Arial" w:hAnsi="Arial" w:cs="Arial"/>
          <w:color w:val="2F5496" w:themeColor="accent1" w:themeShade="BF"/>
          <w:sz w:val="22"/>
          <w:szCs w:val="22"/>
        </w:rPr>
        <w:t xml:space="preserve">lung adenocarcinoma </w:t>
      </w:r>
      <w:r w:rsidR="000855B5">
        <w:rPr>
          <w:rFonts w:ascii="Arial" w:hAnsi="Arial" w:cs="Arial"/>
          <w:color w:val="2F5496" w:themeColor="accent1" w:themeShade="BF"/>
          <w:sz w:val="22"/>
          <w:szCs w:val="22"/>
        </w:rPr>
        <w:t xml:space="preserve">cell line model treated with </w:t>
      </w:r>
      <w:r w:rsidR="0019129A">
        <w:rPr>
          <w:rFonts w:ascii="Arial" w:hAnsi="Arial" w:cs="Arial"/>
          <w:color w:val="2F5496" w:themeColor="accent1" w:themeShade="BF"/>
          <w:sz w:val="22"/>
          <w:szCs w:val="22"/>
        </w:rPr>
        <w:t>o</w:t>
      </w:r>
      <w:r w:rsidR="000855B5">
        <w:rPr>
          <w:rFonts w:ascii="Arial" w:hAnsi="Arial" w:cs="Arial"/>
          <w:color w:val="2F5496" w:themeColor="accent1" w:themeShade="BF"/>
          <w:sz w:val="22"/>
          <w:szCs w:val="22"/>
        </w:rPr>
        <w:t xml:space="preserve">simertinib (Figure 3A). </w:t>
      </w:r>
      <w:r>
        <w:rPr>
          <w:rFonts w:ascii="Arial" w:hAnsi="Arial" w:cs="Arial"/>
          <w:color w:val="2F5496" w:themeColor="accent1" w:themeShade="BF"/>
          <w:sz w:val="22"/>
          <w:szCs w:val="22"/>
        </w:rPr>
        <w:t>Additionally, every drug escalation treatment includes an untreated DMSO-control, in which no drug is added. This serves as an internal negative control in each experiment</w:t>
      </w:r>
      <w:r w:rsidR="000855B5">
        <w:rPr>
          <w:rFonts w:ascii="Arial" w:hAnsi="Arial" w:cs="Arial"/>
          <w:color w:val="2F5496" w:themeColor="accent1" w:themeShade="BF"/>
          <w:sz w:val="22"/>
          <w:szCs w:val="22"/>
        </w:rPr>
        <w:t xml:space="preserve"> (no drug effect)</w:t>
      </w:r>
      <w:r>
        <w:rPr>
          <w:rFonts w:ascii="Arial" w:hAnsi="Arial" w:cs="Arial"/>
          <w:color w:val="2F5496" w:themeColor="accent1" w:themeShade="BF"/>
          <w:sz w:val="22"/>
          <w:szCs w:val="22"/>
        </w:rPr>
        <w:t>.</w:t>
      </w:r>
      <w:r>
        <w:rPr>
          <w:rFonts w:ascii="Arial" w:hAnsi="Arial" w:cs="Arial"/>
          <w:color w:val="2F5496" w:themeColor="accent1" w:themeShade="BF"/>
          <w:sz w:val="22"/>
          <w:szCs w:val="22"/>
        </w:rPr>
        <w:br/>
      </w:r>
      <w:r w:rsidR="00BD6A36">
        <w:rPr>
          <w:rFonts w:ascii="Arial" w:hAnsi="Arial" w:cs="Arial"/>
          <w:color w:val="2F5496" w:themeColor="accent1" w:themeShade="BF"/>
          <w:sz w:val="22"/>
          <w:szCs w:val="22"/>
        </w:rPr>
        <w:br/>
      </w:r>
      <w:r w:rsidR="002E14D7">
        <w:rPr>
          <w:rFonts w:ascii="Arial" w:hAnsi="Arial" w:cs="Arial"/>
          <w:color w:val="2F5496" w:themeColor="accent1" w:themeShade="BF"/>
          <w:sz w:val="22"/>
          <w:szCs w:val="22"/>
        </w:rPr>
        <w:t xml:space="preserve">Upon targeted treatment, sensitive cells / organoids will undergo cell cycle G1 arrest and </w:t>
      </w:r>
      <w:r w:rsidR="00E279BF">
        <w:rPr>
          <w:rFonts w:ascii="Arial" w:hAnsi="Arial" w:cs="Arial"/>
          <w:color w:val="2F5496" w:themeColor="accent1" w:themeShade="BF"/>
          <w:sz w:val="22"/>
          <w:szCs w:val="22"/>
        </w:rPr>
        <w:t xml:space="preserve">cease </w:t>
      </w:r>
      <w:r w:rsidR="002E14D7">
        <w:rPr>
          <w:rFonts w:ascii="Arial" w:hAnsi="Arial" w:cs="Arial"/>
          <w:color w:val="2F5496" w:themeColor="accent1" w:themeShade="BF"/>
          <w:sz w:val="22"/>
          <w:szCs w:val="22"/>
        </w:rPr>
        <w:t xml:space="preserve">active proliferation. </w:t>
      </w:r>
      <w:r w:rsidR="00E279BF">
        <w:rPr>
          <w:rFonts w:ascii="Arial" w:hAnsi="Arial" w:cs="Arial"/>
          <w:color w:val="2F5496" w:themeColor="accent1" w:themeShade="BF"/>
          <w:sz w:val="22"/>
          <w:szCs w:val="22"/>
        </w:rPr>
        <w:t>To</w:t>
      </w:r>
      <w:r w:rsidR="00B50074">
        <w:rPr>
          <w:rFonts w:ascii="Arial" w:hAnsi="Arial" w:cs="Arial"/>
          <w:color w:val="2F5496" w:themeColor="accent1" w:themeShade="BF"/>
          <w:sz w:val="22"/>
          <w:szCs w:val="22"/>
        </w:rPr>
        <w:t xml:space="preserve"> demonstrate the described phenotype, we have analyzed changes in gene expression by gene set enrichment analysis </w:t>
      </w:r>
      <w:r w:rsidR="0040524C">
        <w:rPr>
          <w:rFonts w:ascii="Arial" w:hAnsi="Arial" w:cs="Arial"/>
          <w:color w:val="2F5496" w:themeColor="accent1" w:themeShade="BF"/>
          <w:sz w:val="22"/>
          <w:szCs w:val="22"/>
        </w:rPr>
        <w:t xml:space="preserve">(GSEA) </w:t>
      </w:r>
      <w:r w:rsidR="00B50074">
        <w:rPr>
          <w:rFonts w:ascii="Arial" w:hAnsi="Arial" w:cs="Arial"/>
          <w:color w:val="2F5496" w:themeColor="accent1" w:themeShade="BF"/>
          <w:sz w:val="22"/>
          <w:szCs w:val="22"/>
        </w:rPr>
        <w:t xml:space="preserve">for the G2M cell cycle gene set and the apoptosis gene set. As expression of G2M cell cycle genes is associated with active proliferation, a nominal enrichment of expression in the untreated control (DMSO) is expected. For apoptosis-related genes, a nominal enrichment in treated cells (OSI_D3) is expected. </w:t>
      </w:r>
      <w:r w:rsidR="0040524C">
        <w:rPr>
          <w:rFonts w:ascii="Arial" w:hAnsi="Arial" w:cs="Arial"/>
          <w:color w:val="2F5496" w:themeColor="accent1" w:themeShade="BF"/>
          <w:sz w:val="22"/>
          <w:szCs w:val="22"/>
        </w:rPr>
        <w:t xml:space="preserve">Both </w:t>
      </w:r>
      <w:r w:rsidR="00E92283">
        <w:rPr>
          <w:noProof/>
        </w:rPr>
        <w:drawing>
          <wp:anchor distT="0" distB="0" distL="114300" distR="114300" simplePos="0" relativeHeight="251662336" behindDoc="0" locked="0" layoutInCell="1" allowOverlap="1" wp14:anchorId="6F90DB90" wp14:editId="34EF14D6">
            <wp:simplePos x="0" y="0"/>
            <wp:positionH relativeFrom="column">
              <wp:posOffset>1953260</wp:posOffset>
            </wp:positionH>
            <wp:positionV relativeFrom="paragraph">
              <wp:posOffset>1739265</wp:posOffset>
            </wp:positionV>
            <wp:extent cx="1835785" cy="1835785"/>
            <wp:effectExtent l="0" t="0" r="5715" b="5715"/>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5785" cy="1835785"/>
                    </a:xfrm>
                    <a:prstGeom prst="rect">
                      <a:avLst/>
                    </a:prstGeom>
                  </pic:spPr>
                </pic:pic>
              </a:graphicData>
            </a:graphic>
            <wp14:sizeRelH relativeFrom="page">
              <wp14:pctWidth>0</wp14:pctWidth>
            </wp14:sizeRelH>
            <wp14:sizeRelV relativeFrom="page">
              <wp14:pctHeight>0</wp14:pctHeight>
            </wp14:sizeRelV>
          </wp:anchor>
        </w:drawing>
      </w:r>
      <w:r w:rsidR="00E92283">
        <w:rPr>
          <w:noProof/>
        </w:rPr>
        <w:drawing>
          <wp:anchor distT="0" distB="0" distL="114300" distR="114300" simplePos="0" relativeHeight="251661312" behindDoc="0" locked="0" layoutInCell="1" allowOverlap="1" wp14:anchorId="6371345F" wp14:editId="2A8C8F67">
            <wp:simplePos x="0" y="0"/>
            <wp:positionH relativeFrom="column">
              <wp:posOffset>-12700</wp:posOffset>
            </wp:positionH>
            <wp:positionV relativeFrom="paragraph">
              <wp:posOffset>1747520</wp:posOffset>
            </wp:positionV>
            <wp:extent cx="1858010" cy="1858010"/>
            <wp:effectExtent l="0" t="0" r="0" b="0"/>
            <wp:wrapSquare wrapText="bothSides"/>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010" cy="1858010"/>
                    </a:xfrm>
                    <a:prstGeom prst="rect">
                      <a:avLst/>
                    </a:prstGeom>
                  </pic:spPr>
                </pic:pic>
              </a:graphicData>
            </a:graphic>
            <wp14:sizeRelH relativeFrom="page">
              <wp14:pctWidth>0</wp14:pctWidth>
            </wp14:sizeRelH>
            <wp14:sizeRelV relativeFrom="page">
              <wp14:pctHeight>0</wp14:pctHeight>
            </wp14:sizeRelV>
          </wp:anchor>
        </w:drawing>
      </w:r>
      <w:r w:rsidR="0040524C">
        <w:rPr>
          <w:rFonts w:ascii="Arial" w:hAnsi="Arial" w:cs="Arial"/>
          <w:color w:val="2F5496" w:themeColor="accent1" w:themeShade="BF"/>
          <w:sz w:val="22"/>
          <w:szCs w:val="22"/>
        </w:rPr>
        <w:t>has been confirmed in the EGFR-mutant TH107 NSCLC organoid model treated wit</w:t>
      </w:r>
      <w:r w:rsidR="00ED3EFB">
        <w:rPr>
          <w:rFonts w:ascii="Arial" w:hAnsi="Arial" w:cs="Arial"/>
          <w:color w:val="2F5496" w:themeColor="accent1" w:themeShade="BF"/>
          <w:sz w:val="22"/>
          <w:szCs w:val="22"/>
        </w:rPr>
        <w:t>h Osimertinib.</w:t>
      </w:r>
    </w:p>
    <w:p w14:paraId="780A0A3F" w14:textId="721F9B12" w:rsidR="0040524C" w:rsidRPr="00ED3EFB" w:rsidRDefault="0040524C" w:rsidP="00D13D85">
      <w:pPr>
        <w:pStyle w:val="NormalWeb"/>
        <w:rPr>
          <w:i/>
          <w:iCs/>
          <w:sz w:val="16"/>
          <w:szCs w:val="16"/>
        </w:rPr>
      </w:pPr>
      <w:r w:rsidRPr="00ED3EFB">
        <w:rPr>
          <w:rFonts w:ascii="Arial" w:hAnsi="Arial" w:cs="Arial"/>
          <w:i/>
          <w:iCs/>
          <w:color w:val="2F5496" w:themeColor="accent1" w:themeShade="BF"/>
          <w:sz w:val="15"/>
          <w:szCs w:val="15"/>
        </w:rPr>
        <w:t>GSEA using bulk RNA sequencing data obtain for EGFR-mutant TH107 NSCLC organoids, comparing untreated control (DMSO) and cells treated with Osimertinib for 3 days (OSI_D3). GSEA for Hallmark G2M expression signature (left) shows enrichment in DMSO- treated cells. nominal enrichment score (NES): +1.708, FDR &lt; 0.0001. GSEA for Hallmark Apoptosis expression signature (right) shows enrichment in Osimertinib-treated cells. NES: -1.075, FDR: ns, 0.3275.</w:t>
      </w:r>
    </w:p>
    <w:p w14:paraId="2771CB52" w14:textId="7D4EEC5A" w:rsidR="00432B58" w:rsidRPr="00875D90" w:rsidRDefault="00764EF3" w:rsidP="00D13D85">
      <w:pPr>
        <w:pStyle w:val="NormalWeb"/>
        <w:rPr>
          <w:rFonts w:ascii="Arial" w:hAnsi="Arial" w:cs="Arial"/>
          <w:color w:val="2F5496" w:themeColor="accent1" w:themeShade="BF"/>
          <w:sz w:val="22"/>
          <w:szCs w:val="22"/>
        </w:rPr>
      </w:pPr>
      <w:r>
        <w:t>- There is no indication that the viability of organoids is assessed before plating.</w:t>
      </w:r>
      <w:r w:rsidR="00432B58">
        <w:br/>
      </w:r>
      <w:r w:rsidR="00E279BF">
        <w:rPr>
          <w:rFonts w:ascii="Arial" w:hAnsi="Arial" w:cs="Arial"/>
          <w:color w:val="2F5496" w:themeColor="accent1" w:themeShade="BF"/>
          <w:sz w:val="22"/>
          <w:szCs w:val="22"/>
        </w:rPr>
        <w:t xml:space="preserve">Author response:  </w:t>
      </w:r>
      <w:r w:rsidR="00432B58">
        <w:rPr>
          <w:rFonts w:ascii="Arial" w:hAnsi="Arial" w:cs="Arial"/>
          <w:color w:val="2F5496" w:themeColor="accent1" w:themeShade="BF"/>
          <w:sz w:val="22"/>
          <w:szCs w:val="22"/>
        </w:rPr>
        <w:t>The viability of the organoid single cell suspension is ≥ 95%</w:t>
      </w:r>
      <w:r w:rsidR="00927AC8">
        <w:rPr>
          <w:rFonts w:ascii="Arial" w:hAnsi="Arial" w:cs="Arial"/>
          <w:color w:val="2F5496" w:themeColor="accent1" w:themeShade="BF"/>
          <w:sz w:val="22"/>
          <w:szCs w:val="22"/>
        </w:rPr>
        <w:t>,</w:t>
      </w:r>
      <w:r w:rsidR="00432B58">
        <w:rPr>
          <w:rFonts w:ascii="Arial" w:hAnsi="Arial" w:cs="Arial"/>
          <w:color w:val="2F5496" w:themeColor="accent1" w:themeShade="BF"/>
          <w:sz w:val="22"/>
          <w:szCs w:val="22"/>
        </w:rPr>
        <w:t xml:space="preserve"> as reported by the Vi-Cell XR Cell Analyzer before plating.</w:t>
      </w:r>
      <w:r w:rsidR="00875D90">
        <w:rPr>
          <w:rFonts w:ascii="Arial" w:hAnsi="Arial" w:cs="Arial"/>
          <w:color w:val="2F5496" w:themeColor="accent1" w:themeShade="BF"/>
          <w:sz w:val="22"/>
          <w:szCs w:val="22"/>
        </w:rPr>
        <w:t xml:space="preserve"> This is done automatically </w:t>
      </w:r>
      <w:r w:rsidR="00A63A71">
        <w:rPr>
          <w:rFonts w:ascii="Arial" w:hAnsi="Arial" w:cs="Arial"/>
          <w:color w:val="2F5496" w:themeColor="accent1" w:themeShade="BF"/>
          <w:sz w:val="22"/>
          <w:szCs w:val="22"/>
        </w:rPr>
        <w:t xml:space="preserve">by the cell analyzer </w:t>
      </w:r>
      <w:r w:rsidR="00875D90">
        <w:rPr>
          <w:rFonts w:ascii="Arial" w:hAnsi="Arial" w:cs="Arial"/>
          <w:color w:val="2F5496" w:themeColor="accent1" w:themeShade="BF"/>
          <w:sz w:val="22"/>
          <w:szCs w:val="22"/>
        </w:rPr>
        <w:t>in the counting process.</w:t>
      </w:r>
      <w:r w:rsidR="005A692E">
        <w:rPr>
          <w:rFonts w:ascii="Arial" w:hAnsi="Arial" w:cs="Arial"/>
          <w:color w:val="2F5496" w:themeColor="accent1" w:themeShade="BF"/>
          <w:sz w:val="22"/>
          <w:szCs w:val="22"/>
        </w:rPr>
        <w:t xml:space="preserve"> Further, no significant number of dead cells is visible as monitored by brightfield microscopy at the day of seeding or the initial 7-day growth period.</w:t>
      </w:r>
      <w:r w:rsidR="00432B58">
        <w:rPr>
          <w:rFonts w:ascii="Arial" w:hAnsi="Arial" w:cs="Arial"/>
          <w:color w:val="2F5496" w:themeColor="accent1" w:themeShade="BF"/>
          <w:sz w:val="22"/>
          <w:szCs w:val="22"/>
        </w:rPr>
        <w:t xml:space="preserve"> </w:t>
      </w:r>
      <w:r w:rsidR="00875D90">
        <w:rPr>
          <w:rFonts w:ascii="Arial" w:hAnsi="Arial" w:cs="Arial"/>
          <w:color w:val="2F5496" w:themeColor="accent1" w:themeShade="BF"/>
          <w:sz w:val="22"/>
          <w:szCs w:val="22"/>
        </w:rPr>
        <w:t>(</w:t>
      </w:r>
      <w:r w:rsidR="00875D90" w:rsidRPr="00665335">
        <w:rPr>
          <w:rFonts w:ascii="Arial" w:hAnsi="Arial" w:cs="Arial"/>
          <w:color w:val="2F5496" w:themeColor="accent1" w:themeShade="BF"/>
          <w:sz w:val="22"/>
          <w:szCs w:val="22"/>
        </w:rPr>
        <w:t>Fig</w:t>
      </w:r>
      <w:r w:rsidR="00935542" w:rsidRPr="00665335">
        <w:rPr>
          <w:rFonts w:ascii="Arial" w:hAnsi="Arial" w:cs="Arial"/>
          <w:color w:val="2F5496" w:themeColor="accent1" w:themeShade="BF"/>
          <w:sz w:val="22"/>
          <w:szCs w:val="22"/>
        </w:rPr>
        <w:t>ure 1</w:t>
      </w:r>
      <w:r w:rsidR="00875D90" w:rsidRPr="00665335">
        <w:rPr>
          <w:rFonts w:ascii="Arial" w:hAnsi="Arial" w:cs="Arial"/>
          <w:color w:val="2F5496" w:themeColor="accent1" w:themeShade="BF"/>
          <w:sz w:val="22"/>
          <w:szCs w:val="22"/>
        </w:rPr>
        <w:t>B)</w:t>
      </w:r>
      <w:r w:rsidR="00875D90">
        <w:rPr>
          <w:rFonts w:ascii="Arial" w:hAnsi="Arial" w:cs="Arial"/>
          <w:color w:val="2F5496" w:themeColor="accent1" w:themeShade="BF"/>
          <w:sz w:val="22"/>
          <w:szCs w:val="22"/>
        </w:rPr>
        <w:t xml:space="preserve"> The need to monitor organoid growth and fitness is explained in the discussion, section “</w:t>
      </w:r>
      <w:r w:rsidR="00875D90" w:rsidRPr="00875D90">
        <w:rPr>
          <w:rFonts w:ascii="Arial" w:hAnsi="Arial" w:cs="Arial"/>
          <w:i/>
          <w:iCs/>
          <w:color w:val="2F5496" w:themeColor="accent1" w:themeShade="BF"/>
          <w:sz w:val="22"/>
          <w:szCs w:val="22"/>
        </w:rPr>
        <w:t>Critical steps in the protocol</w:t>
      </w:r>
      <w:r w:rsidR="00875D90">
        <w:rPr>
          <w:rFonts w:ascii="Arial" w:hAnsi="Arial" w:cs="Arial"/>
          <w:color w:val="2F5496" w:themeColor="accent1" w:themeShade="BF"/>
          <w:sz w:val="22"/>
          <w:szCs w:val="22"/>
        </w:rPr>
        <w:t>” (point iii). Further, we have added a NOTE at the counting step to indicate the need for viability assessment. (</w:t>
      </w:r>
      <w:r w:rsidR="00665335">
        <w:rPr>
          <w:rFonts w:ascii="Arial" w:hAnsi="Arial" w:cs="Arial"/>
          <w:color w:val="2F5496" w:themeColor="accent1" w:themeShade="BF"/>
          <w:sz w:val="22"/>
          <w:szCs w:val="22"/>
        </w:rPr>
        <w:t>page 4, line 161-163</w:t>
      </w:r>
      <w:r w:rsidR="00875D90">
        <w:rPr>
          <w:rFonts w:ascii="Arial" w:hAnsi="Arial" w:cs="Arial"/>
          <w:color w:val="2F5496" w:themeColor="accent1" w:themeShade="BF"/>
          <w:sz w:val="22"/>
          <w:szCs w:val="22"/>
        </w:rPr>
        <w:t>)</w:t>
      </w:r>
    </w:p>
    <w:p w14:paraId="4A4B5120" w14:textId="3DD37018" w:rsidR="00395E61" w:rsidRPr="00924BEF" w:rsidRDefault="00764EF3" w:rsidP="00D13D85">
      <w:pPr>
        <w:pStyle w:val="NormalWeb"/>
        <w:rPr>
          <w:rFonts w:ascii="Arial" w:hAnsi="Arial" w:cs="Arial"/>
          <w:color w:val="2F5496" w:themeColor="accent1" w:themeShade="BF"/>
          <w:sz w:val="22"/>
          <w:szCs w:val="22"/>
        </w:rPr>
      </w:pPr>
      <w:r>
        <w:lastRenderedPageBreak/>
        <w:t>- Details on the type of plates, tips, etc. should be included in the standardized protocol.</w:t>
      </w:r>
      <w:r w:rsidR="00432B58">
        <w:br/>
      </w:r>
      <w:r w:rsidR="00927AC8">
        <w:rPr>
          <w:rFonts w:ascii="Arial" w:hAnsi="Arial" w:cs="Arial"/>
          <w:color w:val="2F5496" w:themeColor="accent1" w:themeShade="BF"/>
          <w:sz w:val="22"/>
          <w:szCs w:val="22"/>
        </w:rPr>
        <w:t xml:space="preserve">Author response:  </w:t>
      </w:r>
      <w:r w:rsidR="00193EE7">
        <w:rPr>
          <w:rFonts w:ascii="Arial" w:hAnsi="Arial" w:cs="Arial"/>
          <w:color w:val="2F5496" w:themeColor="accent1" w:themeShade="BF"/>
          <w:sz w:val="22"/>
          <w:szCs w:val="22"/>
        </w:rPr>
        <w:t>C</w:t>
      </w:r>
      <w:r w:rsidR="00BB27D9">
        <w:rPr>
          <w:rFonts w:ascii="Arial" w:hAnsi="Arial" w:cs="Arial"/>
          <w:color w:val="2F5496" w:themeColor="accent1" w:themeShade="BF"/>
          <w:sz w:val="22"/>
          <w:szCs w:val="22"/>
        </w:rPr>
        <w:t>ulture plates</w:t>
      </w:r>
      <w:r w:rsidR="00193EE7">
        <w:rPr>
          <w:rFonts w:ascii="Arial" w:hAnsi="Arial" w:cs="Arial"/>
          <w:color w:val="2F5496" w:themeColor="accent1" w:themeShade="BF"/>
          <w:sz w:val="22"/>
          <w:szCs w:val="22"/>
        </w:rPr>
        <w:t xml:space="preserve"> for this experiment (96-well format)</w:t>
      </w:r>
      <w:r w:rsidR="00BB27D9">
        <w:rPr>
          <w:rFonts w:ascii="Arial" w:hAnsi="Arial" w:cs="Arial"/>
          <w:color w:val="2F5496" w:themeColor="accent1" w:themeShade="BF"/>
          <w:sz w:val="22"/>
          <w:szCs w:val="22"/>
        </w:rPr>
        <w:t xml:space="preserve"> are listed in the Materials </w:t>
      </w:r>
      <w:r w:rsidR="00F62B8E">
        <w:rPr>
          <w:rFonts w:ascii="Arial" w:hAnsi="Arial" w:cs="Arial"/>
          <w:color w:val="2F5496" w:themeColor="accent1" w:themeShade="BF"/>
          <w:sz w:val="22"/>
          <w:szCs w:val="22"/>
        </w:rPr>
        <w:t>Table incl</w:t>
      </w:r>
      <w:r w:rsidR="00927AC8">
        <w:rPr>
          <w:rFonts w:ascii="Arial" w:hAnsi="Arial" w:cs="Arial"/>
          <w:color w:val="2F5496" w:themeColor="accent1" w:themeShade="BF"/>
          <w:sz w:val="22"/>
          <w:szCs w:val="22"/>
        </w:rPr>
        <w:t>uding</w:t>
      </w:r>
      <w:r w:rsidR="00F62B8E">
        <w:rPr>
          <w:rFonts w:ascii="Arial" w:hAnsi="Arial" w:cs="Arial"/>
          <w:color w:val="2F5496" w:themeColor="accent1" w:themeShade="BF"/>
          <w:sz w:val="22"/>
          <w:szCs w:val="22"/>
        </w:rPr>
        <w:t xml:space="preserve"> commercial names, provider, and catalog number. In addition, we have now listed general items such as 15mL centrifuge tubes, pipettes, tips, 0.22 µM filter, etc. in the Materials Table</w:t>
      </w:r>
      <w:r w:rsidR="00193EE7">
        <w:rPr>
          <w:rFonts w:ascii="Arial" w:hAnsi="Arial" w:cs="Arial"/>
          <w:color w:val="2F5496" w:themeColor="accent1" w:themeShade="BF"/>
          <w:sz w:val="22"/>
          <w:szCs w:val="22"/>
        </w:rPr>
        <w:t xml:space="preserve">, with provider information where </w:t>
      </w:r>
      <w:r w:rsidR="005A692E">
        <w:rPr>
          <w:rFonts w:ascii="Arial" w:hAnsi="Arial" w:cs="Arial"/>
          <w:color w:val="2F5496" w:themeColor="accent1" w:themeShade="BF"/>
          <w:sz w:val="22"/>
          <w:szCs w:val="22"/>
        </w:rPr>
        <w:t>it is</w:t>
      </w:r>
      <w:r w:rsidR="00193EE7">
        <w:rPr>
          <w:rFonts w:ascii="Arial" w:hAnsi="Arial" w:cs="Arial"/>
          <w:color w:val="2F5496" w:themeColor="accent1" w:themeShade="BF"/>
          <w:sz w:val="22"/>
          <w:szCs w:val="22"/>
        </w:rPr>
        <w:t xml:space="preserve"> critical. </w:t>
      </w:r>
      <w:r w:rsidR="00F62B8E">
        <w:rPr>
          <w:rFonts w:ascii="Arial" w:hAnsi="Arial" w:cs="Arial"/>
          <w:color w:val="2F5496" w:themeColor="accent1" w:themeShade="BF"/>
          <w:sz w:val="22"/>
          <w:szCs w:val="22"/>
        </w:rPr>
        <w:br/>
        <w:t xml:space="preserve"> </w:t>
      </w:r>
      <w:r>
        <w:br/>
        <w:t>- 7 days of growth prior to drugging is too long and it would depend on the organoid doubling time. Based on experience in the field, some models might overgrow at that point. More representative images are needed to assess the status of organoids after 7 days (must be based on multiple models tested with multiple drugs).</w:t>
      </w:r>
      <w:r w:rsidR="00395E61">
        <w:br/>
      </w:r>
      <w:r w:rsidR="00927AC8">
        <w:rPr>
          <w:rFonts w:ascii="Arial" w:hAnsi="Arial" w:cs="Arial"/>
          <w:color w:val="2F5496" w:themeColor="accent1" w:themeShade="BF"/>
          <w:sz w:val="22"/>
          <w:szCs w:val="22"/>
        </w:rPr>
        <w:t xml:space="preserve">Author response:  </w:t>
      </w:r>
      <w:r w:rsidR="00924BEF">
        <w:rPr>
          <w:rFonts w:ascii="Arial" w:hAnsi="Arial" w:cs="Arial"/>
          <w:color w:val="2F5496" w:themeColor="accent1" w:themeShade="BF"/>
          <w:sz w:val="22"/>
          <w:szCs w:val="22"/>
        </w:rPr>
        <w:t>In Figure 1B, we have now added the comparison to the original culture with fully grown organoids as well as additional representative images for a second organoid model (TH330) and the quantification of changes in organoid size. We hope that this provides enough context for the reader</w:t>
      </w:r>
      <w:r w:rsidR="00927AC8">
        <w:rPr>
          <w:rFonts w:ascii="Arial" w:hAnsi="Arial" w:cs="Arial"/>
          <w:color w:val="2F5496" w:themeColor="accent1" w:themeShade="BF"/>
          <w:sz w:val="22"/>
          <w:szCs w:val="22"/>
        </w:rPr>
        <w:t>s</w:t>
      </w:r>
      <w:r w:rsidR="00924BEF">
        <w:rPr>
          <w:rFonts w:ascii="Arial" w:hAnsi="Arial" w:cs="Arial"/>
          <w:color w:val="2F5496" w:themeColor="accent1" w:themeShade="BF"/>
          <w:sz w:val="22"/>
          <w:szCs w:val="22"/>
        </w:rPr>
        <w:t xml:space="preserve"> to assess organoid development during the initial 7-day growth period. </w:t>
      </w:r>
      <w:r w:rsidR="005C5562">
        <w:rPr>
          <w:rFonts w:ascii="Arial" w:hAnsi="Arial" w:cs="Arial"/>
          <w:color w:val="2F5496" w:themeColor="accent1" w:themeShade="BF"/>
          <w:sz w:val="22"/>
          <w:szCs w:val="22"/>
        </w:rPr>
        <w:br/>
        <w:t xml:space="preserve">Of note, treatment initiation at an early organoid state is necessary as outlined by the </w:t>
      </w:r>
      <w:r w:rsidR="00927AC8">
        <w:rPr>
          <w:rFonts w:ascii="Arial" w:hAnsi="Arial" w:cs="Arial"/>
          <w:color w:val="2F5496" w:themeColor="accent1" w:themeShade="BF"/>
          <w:sz w:val="22"/>
          <w:szCs w:val="22"/>
        </w:rPr>
        <w:t>R</w:t>
      </w:r>
      <w:r w:rsidR="005C5562">
        <w:rPr>
          <w:rFonts w:ascii="Arial" w:hAnsi="Arial" w:cs="Arial"/>
          <w:color w:val="2F5496" w:themeColor="accent1" w:themeShade="BF"/>
          <w:sz w:val="22"/>
          <w:szCs w:val="22"/>
        </w:rPr>
        <w:t xml:space="preserve">eviewer. As we have outlined above, a well-defined organoid size is observed at the day of treatment initiation. In brief, organoids show an </w:t>
      </w:r>
      <w:r w:rsidR="00927AC8">
        <w:rPr>
          <w:rFonts w:ascii="Arial" w:hAnsi="Arial" w:cs="Arial"/>
          <w:color w:val="2F5496" w:themeColor="accent1" w:themeShade="BF"/>
          <w:sz w:val="22"/>
          <w:szCs w:val="22"/>
        </w:rPr>
        <w:t xml:space="preserve">~ </w:t>
      </w:r>
      <w:r w:rsidR="005C5562">
        <w:rPr>
          <w:rFonts w:ascii="Arial" w:hAnsi="Arial" w:cs="Arial"/>
          <w:color w:val="2F5496" w:themeColor="accent1" w:themeShade="BF"/>
          <w:sz w:val="22"/>
          <w:szCs w:val="22"/>
        </w:rPr>
        <w:t>2.4</w:t>
      </w:r>
      <w:r w:rsidR="00927AC8">
        <w:rPr>
          <w:rFonts w:ascii="Arial" w:hAnsi="Arial" w:cs="Arial"/>
          <w:color w:val="2F5496" w:themeColor="accent1" w:themeShade="BF"/>
          <w:sz w:val="22"/>
          <w:szCs w:val="22"/>
        </w:rPr>
        <w:t>-</w:t>
      </w:r>
      <w:r w:rsidR="005C5562">
        <w:rPr>
          <w:rFonts w:ascii="Arial" w:hAnsi="Arial" w:cs="Arial"/>
          <w:color w:val="2F5496" w:themeColor="accent1" w:themeShade="BF"/>
          <w:sz w:val="22"/>
          <w:szCs w:val="22"/>
        </w:rPr>
        <w:t>fold change increase in size and an organoid diameter of approx. 30-40 µm at day 7 after seeding. Further, this time point is optimized to allow for a distinguishment of sensitive and resistant models as presented in Figure 2 and Supplementary Figure 1 [now Figure 3].</w:t>
      </w:r>
      <w:r w:rsidR="00274097">
        <w:rPr>
          <w:rFonts w:ascii="Arial" w:hAnsi="Arial" w:cs="Arial"/>
          <w:color w:val="2F5496" w:themeColor="accent1" w:themeShade="BF"/>
          <w:sz w:val="22"/>
          <w:szCs w:val="22"/>
        </w:rPr>
        <w:t xml:space="preserve"> </w:t>
      </w:r>
      <w:r w:rsidR="005C5562">
        <w:rPr>
          <w:rFonts w:ascii="Arial" w:hAnsi="Arial" w:cs="Arial"/>
          <w:color w:val="2F5496" w:themeColor="accent1" w:themeShade="BF"/>
          <w:sz w:val="22"/>
          <w:szCs w:val="22"/>
        </w:rPr>
        <w:t>While we expect that the protocol is amendable to other oncogenic driver / inhibitor combinations and additional cancer entities, we hope to highlight profiling of drug sensitivities for NSCLC organoids</w:t>
      </w:r>
      <w:r w:rsidR="00927AC8">
        <w:rPr>
          <w:rFonts w:ascii="Arial" w:hAnsi="Arial" w:cs="Arial"/>
          <w:color w:val="2F5496" w:themeColor="accent1" w:themeShade="BF"/>
          <w:sz w:val="22"/>
          <w:szCs w:val="22"/>
        </w:rPr>
        <w:t xml:space="preserve"> more generally in the future</w:t>
      </w:r>
      <w:r w:rsidR="005C5562">
        <w:rPr>
          <w:rFonts w:ascii="Arial" w:hAnsi="Arial" w:cs="Arial"/>
          <w:color w:val="2F5496" w:themeColor="accent1" w:themeShade="BF"/>
          <w:sz w:val="22"/>
          <w:szCs w:val="22"/>
        </w:rPr>
        <w:t xml:space="preserve">. We have simplified our title to address this. </w:t>
      </w:r>
    </w:p>
    <w:p w14:paraId="5D5A8D0B" w14:textId="3686D62E" w:rsidR="00927AC8" w:rsidRDefault="00764EF3" w:rsidP="009F0882">
      <w:pPr>
        <w:pStyle w:val="NormalWeb"/>
        <w:rPr>
          <w:rFonts w:ascii="Arial" w:hAnsi="Arial" w:cs="Arial"/>
          <w:color w:val="2F5496" w:themeColor="accent1" w:themeShade="BF"/>
          <w:sz w:val="22"/>
          <w:szCs w:val="22"/>
        </w:rPr>
      </w:pPr>
      <w:r>
        <w:t>- Plating protocol lacks detail. It would be better to establish a number of cells that need to be plated per well as opposed to the number of cells needed to plate a full 96 well plate. Also, the number of cells used per well might not be the same for all the models and should be determined empirically based on the doubling rate of the model. Such a test should be a part of this protocol.</w:t>
      </w:r>
      <w:r w:rsidR="00023F62">
        <w:br/>
      </w:r>
      <w:r w:rsidR="00927AC8">
        <w:rPr>
          <w:rFonts w:ascii="Arial" w:hAnsi="Arial" w:cs="Arial"/>
          <w:color w:val="2F5496" w:themeColor="accent1" w:themeShade="BF"/>
          <w:sz w:val="22"/>
          <w:szCs w:val="22"/>
        </w:rPr>
        <w:t xml:space="preserve">Author response:  </w:t>
      </w:r>
      <w:r w:rsidR="00023F62">
        <w:rPr>
          <w:rFonts w:ascii="Arial" w:hAnsi="Arial" w:cs="Arial"/>
          <w:color w:val="2F5496" w:themeColor="accent1" w:themeShade="BF"/>
          <w:sz w:val="22"/>
          <w:szCs w:val="22"/>
        </w:rPr>
        <w:t>We have now indicated the total number of cells seeded per well in</w:t>
      </w:r>
      <w:r w:rsidR="005C5562">
        <w:rPr>
          <w:rFonts w:ascii="Arial" w:hAnsi="Arial" w:cs="Arial"/>
          <w:color w:val="2F5496" w:themeColor="accent1" w:themeShade="BF"/>
          <w:sz w:val="22"/>
          <w:szCs w:val="22"/>
        </w:rPr>
        <w:t xml:space="preserve"> point</w:t>
      </w:r>
      <w:r w:rsidR="00023F62">
        <w:rPr>
          <w:rFonts w:ascii="Arial" w:hAnsi="Arial" w:cs="Arial"/>
          <w:color w:val="2F5496" w:themeColor="accent1" w:themeShade="BF"/>
          <w:sz w:val="22"/>
          <w:szCs w:val="22"/>
        </w:rPr>
        <w:t xml:space="preserve"> 2.2.3, section a. We agree with the </w:t>
      </w:r>
      <w:r w:rsidR="00927AC8">
        <w:rPr>
          <w:rFonts w:ascii="Arial" w:hAnsi="Arial" w:cs="Arial"/>
          <w:color w:val="2F5496" w:themeColor="accent1" w:themeShade="BF"/>
          <w:sz w:val="22"/>
          <w:szCs w:val="22"/>
        </w:rPr>
        <w:t>R</w:t>
      </w:r>
      <w:r w:rsidR="00023F62">
        <w:rPr>
          <w:rFonts w:ascii="Arial" w:hAnsi="Arial" w:cs="Arial"/>
          <w:color w:val="2F5496" w:themeColor="accent1" w:themeShade="BF"/>
          <w:sz w:val="22"/>
          <w:szCs w:val="22"/>
        </w:rPr>
        <w:t>eviewer that doubling time is an important aspect to consider when monitoring drug responses</w:t>
      </w:r>
      <w:r w:rsidR="005C5562">
        <w:rPr>
          <w:rFonts w:ascii="Arial" w:hAnsi="Arial" w:cs="Arial"/>
          <w:color w:val="2F5496" w:themeColor="accent1" w:themeShade="BF"/>
          <w:sz w:val="22"/>
          <w:szCs w:val="22"/>
        </w:rPr>
        <w:t xml:space="preserve">. </w:t>
      </w:r>
      <w:r w:rsidR="00BE4E6B">
        <w:rPr>
          <w:rFonts w:ascii="Arial" w:hAnsi="Arial" w:cs="Arial"/>
          <w:color w:val="2F5496" w:themeColor="accent1" w:themeShade="BF"/>
          <w:sz w:val="22"/>
          <w:szCs w:val="22"/>
        </w:rPr>
        <w:t xml:space="preserve">We have optimized the presented protocol according to similar considerations. </w:t>
      </w:r>
      <w:r w:rsidR="005C5562">
        <w:rPr>
          <w:rFonts w:ascii="Arial" w:hAnsi="Arial" w:cs="Arial"/>
          <w:color w:val="2F5496" w:themeColor="accent1" w:themeShade="BF"/>
          <w:sz w:val="22"/>
          <w:szCs w:val="22"/>
        </w:rPr>
        <w:t>We now present quantitative data regarding changes in organoid size / doubling in Figure 1B to allow the reader</w:t>
      </w:r>
      <w:r w:rsidR="00927AC8">
        <w:rPr>
          <w:rFonts w:ascii="Arial" w:hAnsi="Arial" w:cs="Arial"/>
          <w:color w:val="2F5496" w:themeColor="accent1" w:themeShade="BF"/>
          <w:sz w:val="22"/>
          <w:szCs w:val="22"/>
        </w:rPr>
        <w:t>s</w:t>
      </w:r>
      <w:r w:rsidR="00BE4E6B">
        <w:rPr>
          <w:rFonts w:ascii="Arial" w:hAnsi="Arial" w:cs="Arial"/>
          <w:color w:val="2F5496" w:themeColor="accent1" w:themeShade="BF"/>
          <w:sz w:val="22"/>
          <w:szCs w:val="22"/>
        </w:rPr>
        <w:t xml:space="preserve"> to evaluate organoid growth during the experiment more accurately. W</w:t>
      </w:r>
      <w:r w:rsidR="005C5562">
        <w:rPr>
          <w:rFonts w:ascii="Arial" w:hAnsi="Arial" w:cs="Arial"/>
          <w:color w:val="2F5496" w:themeColor="accent1" w:themeShade="BF"/>
          <w:sz w:val="22"/>
          <w:szCs w:val="22"/>
        </w:rPr>
        <w:t>e have extended our discussion to highlight this fact (</w:t>
      </w:r>
      <w:r w:rsidR="00665D74">
        <w:rPr>
          <w:rFonts w:ascii="Arial" w:hAnsi="Arial" w:cs="Arial"/>
          <w:color w:val="2F5496" w:themeColor="accent1" w:themeShade="BF"/>
          <w:sz w:val="22"/>
          <w:szCs w:val="22"/>
        </w:rPr>
        <w:t>page 10, line 427-434</w:t>
      </w:r>
      <w:r w:rsidR="005C5562">
        <w:rPr>
          <w:rFonts w:ascii="Arial" w:hAnsi="Arial" w:cs="Arial"/>
          <w:color w:val="2F5496" w:themeColor="accent1" w:themeShade="BF"/>
          <w:sz w:val="22"/>
          <w:szCs w:val="22"/>
        </w:rPr>
        <w:t>)</w:t>
      </w:r>
      <w:r w:rsidR="00023F62">
        <w:rPr>
          <w:rFonts w:ascii="Arial" w:hAnsi="Arial" w:cs="Arial"/>
          <w:color w:val="2F5496" w:themeColor="accent1" w:themeShade="BF"/>
          <w:sz w:val="22"/>
          <w:szCs w:val="22"/>
        </w:rPr>
        <w:t xml:space="preserve">. </w:t>
      </w:r>
      <w:r w:rsidR="00023F62">
        <w:rPr>
          <w:rFonts w:ascii="Arial" w:hAnsi="Arial" w:cs="Arial"/>
          <w:color w:val="2F5496" w:themeColor="accent1" w:themeShade="BF"/>
          <w:sz w:val="22"/>
          <w:szCs w:val="22"/>
        </w:rPr>
        <w:br/>
      </w:r>
      <w:r>
        <w:br/>
        <w:t>- Drugging protocol lacks detail. Is this based on manual drugging? Can it be extended to drugging with dispensers? If authors have extensive experience in this field they should be able to communicate both methods. Can this be extended to 384 well or 1536 well plates? 96 well plates are seldom used for the drugging of organoids; currently, the majority of papers that have reported the use of organoids for drug screening are using a 384 well format or a 136 well format.</w:t>
      </w:r>
      <w:r w:rsidR="00023F62">
        <w:br/>
      </w:r>
      <w:r w:rsidR="00927AC8">
        <w:rPr>
          <w:rFonts w:ascii="Arial" w:hAnsi="Arial" w:cs="Arial"/>
          <w:color w:val="2F5496" w:themeColor="accent1" w:themeShade="BF"/>
          <w:sz w:val="22"/>
          <w:szCs w:val="22"/>
        </w:rPr>
        <w:t xml:space="preserve">Author response:  </w:t>
      </w:r>
      <w:r w:rsidR="00BE4E6B">
        <w:rPr>
          <w:rFonts w:ascii="Arial" w:hAnsi="Arial" w:cs="Arial"/>
          <w:color w:val="2F5496" w:themeColor="accent1" w:themeShade="BF"/>
          <w:sz w:val="22"/>
          <w:szCs w:val="22"/>
        </w:rPr>
        <w:t>The protocol is based on manual drugging using a multichannel or regular pipette. As outline in step 3, the protocol simpl</w:t>
      </w:r>
      <w:r w:rsidR="00D14575">
        <w:rPr>
          <w:rFonts w:ascii="Arial" w:hAnsi="Arial" w:cs="Arial"/>
          <w:color w:val="2F5496" w:themeColor="accent1" w:themeShade="BF"/>
          <w:sz w:val="22"/>
          <w:szCs w:val="22"/>
        </w:rPr>
        <w:t>y</w:t>
      </w:r>
      <w:r w:rsidR="00BE4E6B">
        <w:rPr>
          <w:rFonts w:ascii="Arial" w:hAnsi="Arial" w:cs="Arial"/>
          <w:color w:val="2F5496" w:themeColor="accent1" w:themeShade="BF"/>
          <w:sz w:val="22"/>
          <w:szCs w:val="22"/>
        </w:rPr>
        <w:t xml:space="preserve"> requires the aspiration of media and the addition of prepared drug solutions. Critical steps such as rotating the organoid plate to avoid aspiration of embedded organoids are indicated. </w:t>
      </w:r>
    </w:p>
    <w:p w14:paraId="400DF550" w14:textId="7AB261E4" w:rsidR="00BE4E6B" w:rsidRDefault="00BE4E6B" w:rsidP="009F0882">
      <w:pPr>
        <w:pStyle w:val="NormalWeb"/>
        <w:rPr>
          <w:rFonts w:ascii="Arial" w:hAnsi="Arial" w:cs="Arial"/>
          <w:color w:val="2F5496" w:themeColor="accent1" w:themeShade="BF"/>
          <w:sz w:val="22"/>
          <w:szCs w:val="22"/>
        </w:rPr>
      </w:pPr>
      <w:r>
        <w:rPr>
          <w:rFonts w:ascii="Arial" w:hAnsi="Arial" w:cs="Arial"/>
          <w:color w:val="2F5496" w:themeColor="accent1" w:themeShade="BF"/>
          <w:sz w:val="22"/>
          <w:szCs w:val="22"/>
        </w:rPr>
        <w:t>We have experience using media dispenser and liquid handling devices in cell line models. Given the limitations in organoids biomass and the high cost-factor for media production, we have not optimized the use of media dispensers with organoids</w:t>
      </w:r>
      <w:r w:rsidR="00020EF5">
        <w:rPr>
          <w:rFonts w:ascii="Arial" w:hAnsi="Arial" w:cs="Arial"/>
          <w:color w:val="2F5496" w:themeColor="accent1" w:themeShade="BF"/>
          <w:sz w:val="22"/>
          <w:szCs w:val="22"/>
        </w:rPr>
        <w:t xml:space="preserve">. Similarly, we have not and </w:t>
      </w:r>
      <w:r w:rsidR="00020EF5">
        <w:rPr>
          <w:rFonts w:ascii="Arial" w:hAnsi="Arial" w:cs="Arial"/>
          <w:color w:val="2F5496" w:themeColor="accent1" w:themeShade="BF"/>
          <w:sz w:val="22"/>
          <w:szCs w:val="22"/>
        </w:rPr>
        <w:lastRenderedPageBreak/>
        <w:t>would not recommend the use of 384 and 1536 well plates at this point, given the variation when working with BME2 / matrigel – especially at smaller volumes than 5 µL.</w:t>
      </w:r>
    </w:p>
    <w:p w14:paraId="688C4C4B" w14:textId="722237B9" w:rsidR="00D14575" w:rsidRDefault="00764EF3" w:rsidP="009F0882">
      <w:pPr>
        <w:pStyle w:val="NormalWeb"/>
        <w:rPr>
          <w:rFonts w:ascii="Arial" w:hAnsi="Arial" w:cs="Arial"/>
          <w:color w:val="2F5496" w:themeColor="accent1" w:themeShade="BF"/>
          <w:sz w:val="22"/>
          <w:szCs w:val="22"/>
        </w:rPr>
      </w:pPr>
      <w:r>
        <w:t>- The only representative data shown is with few models and one drug (Osimertinib). More representative data is needed. More models should be tested with different drugs including chemotherapeutic agents. Is the same protocol used for chemo and molecular targeted drugs? Chemo drugs generally act faster than molecularly targeted drugs.</w:t>
      </w:r>
      <w:r w:rsidR="009A6E00">
        <w:br/>
      </w:r>
      <w:r w:rsidR="00927AC8">
        <w:rPr>
          <w:rFonts w:ascii="Arial" w:hAnsi="Arial" w:cs="Arial"/>
          <w:color w:val="2F5496" w:themeColor="accent1" w:themeShade="BF"/>
          <w:sz w:val="22"/>
          <w:szCs w:val="22"/>
        </w:rPr>
        <w:t xml:space="preserve">Author response: </w:t>
      </w:r>
      <w:r w:rsidR="00020EF5">
        <w:rPr>
          <w:rFonts w:ascii="Arial" w:hAnsi="Arial" w:cs="Arial"/>
          <w:color w:val="2F5496" w:themeColor="accent1" w:themeShade="BF"/>
          <w:sz w:val="22"/>
          <w:szCs w:val="22"/>
        </w:rPr>
        <w:t>Our protocol presents the profiling of drug sensitivity in NSCLC organoids. NSCLC is a cancer entity with molecularly defined subsets harboring clear oncogenic drivers. Targeted therapies have significantly improved patient survival and safety during treatment. In EGFR mutant NSCLC, Osimertinib is a widely used</w:t>
      </w:r>
      <w:r w:rsidR="00775816">
        <w:rPr>
          <w:rFonts w:ascii="Arial" w:hAnsi="Arial" w:cs="Arial"/>
          <w:color w:val="2F5496" w:themeColor="accent1" w:themeShade="BF"/>
          <w:sz w:val="22"/>
          <w:szCs w:val="22"/>
        </w:rPr>
        <w:t xml:space="preserve"> and current</w:t>
      </w:r>
      <w:r w:rsidR="00020EF5">
        <w:rPr>
          <w:rFonts w:ascii="Arial" w:hAnsi="Arial" w:cs="Arial"/>
          <w:color w:val="2F5496" w:themeColor="accent1" w:themeShade="BF"/>
          <w:sz w:val="22"/>
          <w:szCs w:val="22"/>
        </w:rPr>
        <w:t xml:space="preserve"> FDA-approved EGFR inhibitor, that improves overall patient survival when used as first line treatment. We have included respective references in our manuscript (</w:t>
      </w:r>
      <w:r w:rsidR="00665335">
        <w:rPr>
          <w:rFonts w:ascii="Arial" w:hAnsi="Arial" w:cs="Arial"/>
          <w:color w:val="2F5496" w:themeColor="accent1" w:themeShade="BF"/>
          <w:sz w:val="22"/>
          <w:szCs w:val="22"/>
        </w:rPr>
        <w:t>page 7, line 310-312</w:t>
      </w:r>
      <w:r w:rsidR="00020EF5">
        <w:rPr>
          <w:rFonts w:ascii="Arial" w:hAnsi="Arial" w:cs="Arial"/>
          <w:color w:val="2F5496" w:themeColor="accent1" w:themeShade="BF"/>
          <w:sz w:val="22"/>
          <w:szCs w:val="22"/>
        </w:rPr>
        <w:t xml:space="preserve">). </w:t>
      </w:r>
      <w:r w:rsidR="00775816">
        <w:rPr>
          <w:rFonts w:ascii="Arial" w:hAnsi="Arial" w:cs="Arial"/>
          <w:color w:val="2F5496" w:themeColor="accent1" w:themeShade="BF"/>
          <w:sz w:val="22"/>
          <w:szCs w:val="22"/>
        </w:rPr>
        <w:t>To</w:t>
      </w:r>
      <w:r w:rsidR="00020EF5">
        <w:rPr>
          <w:rFonts w:ascii="Arial" w:hAnsi="Arial" w:cs="Arial"/>
          <w:color w:val="2F5496" w:themeColor="accent1" w:themeShade="BF"/>
          <w:sz w:val="22"/>
          <w:szCs w:val="22"/>
        </w:rPr>
        <w:t xml:space="preserve"> highlight our aim regarding the profiling of NSCLC organoids and the focus on EGFR-mutant </w:t>
      </w:r>
      <w:r w:rsidR="00775816">
        <w:rPr>
          <w:rFonts w:ascii="Arial" w:hAnsi="Arial" w:cs="Arial"/>
          <w:color w:val="2F5496" w:themeColor="accent1" w:themeShade="BF"/>
          <w:sz w:val="22"/>
          <w:szCs w:val="22"/>
        </w:rPr>
        <w:t>models</w:t>
      </w:r>
      <w:r w:rsidR="00020EF5">
        <w:rPr>
          <w:rFonts w:ascii="Arial" w:hAnsi="Arial" w:cs="Arial"/>
          <w:color w:val="2F5496" w:themeColor="accent1" w:themeShade="BF"/>
          <w:sz w:val="22"/>
          <w:szCs w:val="22"/>
        </w:rPr>
        <w:t xml:space="preserve">, we have now adapted our title respectively. </w:t>
      </w:r>
      <w:r w:rsidR="00177D61">
        <w:rPr>
          <w:rFonts w:ascii="Arial" w:hAnsi="Arial" w:cs="Arial"/>
          <w:color w:val="2F5496" w:themeColor="accent1" w:themeShade="BF"/>
          <w:sz w:val="22"/>
          <w:szCs w:val="22"/>
        </w:rPr>
        <w:t xml:space="preserve">We believe that this protocol can be used to profile chemotherapeutic responses, with </w:t>
      </w:r>
      <w:r w:rsidR="00775816">
        <w:rPr>
          <w:rFonts w:ascii="Arial" w:hAnsi="Arial" w:cs="Arial"/>
          <w:color w:val="2F5496" w:themeColor="accent1" w:themeShade="BF"/>
          <w:sz w:val="22"/>
          <w:szCs w:val="22"/>
        </w:rPr>
        <w:t>minimal</w:t>
      </w:r>
      <w:r w:rsidR="00177D61">
        <w:rPr>
          <w:rFonts w:ascii="Arial" w:hAnsi="Arial" w:cs="Arial"/>
          <w:color w:val="2F5496" w:themeColor="accent1" w:themeShade="BF"/>
          <w:sz w:val="22"/>
          <w:szCs w:val="22"/>
        </w:rPr>
        <w:t xml:space="preserve"> alterations. However, we have not tested such agents </w:t>
      </w:r>
      <w:r w:rsidR="00C41205">
        <w:rPr>
          <w:rFonts w:ascii="Arial" w:hAnsi="Arial" w:cs="Arial"/>
          <w:color w:val="2F5496" w:themeColor="accent1" w:themeShade="BF"/>
          <w:sz w:val="22"/>
          <w:szCs w:val="22"/>
        </w:rPr>
        <w:t>given the</w:t>
      </w:r>
      <w:r w:rsidR="00177D61">
        <w:rPr>
          <w:rFonts w:ascii="Arial" w:hAnsi="Arial" w:cs="Arial"/>
          <w:color w:val="2F5496" w:themeColor="accent1" w:themeShade="BF"/>
          <w:sz w:val="22"/>
          <w:szCs w:val="22"/>
        </w:rPr>
        <w:t xml:space="preserve"> reduced clinical relevance in our </w:t>
      </w:r>
      <w:r w:rsidR="00775816">
        <w:rPr>
          <w:rFonts w:ascii="Arial" w:hAnsi="Arial" w:cs="Arial"/>
          <w:color w:val="2F5496" w:themeColor="accent1" w:themeShade="BF"/>
          <w:sz w:val="22"/>
          <w:szCs w:val="22"/>
        </w:rPr>
        <w:t xml:space="preserve">EGFR-mutant NSCLC </w:t>
      </w:r>
      <w:r w:rsidR="00177D61">
        <w:rPr>
          <w:rFonts w:ascii="Arial" w:hAnsi="Arial" w:cs="Arial"/>
          <w:color w:val="2F5496" w:themeColor="accent1" w:themeShade="BF"/>
          <w:sz w:val="22"/>
          <w:szCs w:val="22"/>
        </w:rPr>
        <w:t xml:space="preserve">setting. </w:t>
      </w:r>
      <w:r w:rsidR="009A6E00">
        <w:rPr>
          <w:color w:val="2F5496" w:themeColor="accent1" w:themeShade="BF"/>
          <w:sz w:val="21"/>
          <w:szCs w:val="21"/>
        </w:rPr>
        <w:br/>
      </w:r>
      <w:r>
        <w:br/>
        <w:t>- This protocol is not novel and is outdated. The majority of the papers that have published organoid establishment have used similar or more advanced protocols with far more detail.</w:t>
      </w:r>
      <w:r w:rsidR="009F0882">
        <w:br/>
      </w:r>
      <w:r w:rsidR="006E02C0">
        <w:rPr>
          <w:rFonts w:ascii="Arial" w:hAnsi="Arial" w:cs="Arial"/>
          <w:color w:val="2F5496" w:themeColor="accent1" w:themeShade="BF"/>
          <w:sz w:val="22"/>
          <w:szCs w:val="22"/>
        </w:rPr>
        <w:t xml:space="preserve">Author response:  </w:t>
      </w:r>
      <w:r w:rsidR="00177D61">
        <w:rPr>
          <w:rFonts w:ascii="Arial" w:hAnsi="Arial" w:cs="Arial"/>
          <w:color w:val="2F5496" w:themeColor="accent1" w:themeShade="BF"/>
          <w:sz w:val="22"/>
          <w:szCs w:val="22"/>
        </w:rPr>
        <w:t xml:space="preserve">We apologize for the </w:t>
      </w:r>
      <w:r w:rsidR="006E02C0">
        <w:rPr>
          <w:rFonts w:ascii="Arial" w:hAnsi="Arial" w:cs="Arial"/>
          <w:color w:val="2F5496" w:themeColor="accent1" w:themeShade="BF"/>
          <w:sz w:val="22"/>
          <w:szCs w:val="22"/>
        </w:rPr>
        <w:t>lack of clarity regarding our main focus</w:t>
      </w:r>
      <w:r w:rsidR="00177D61">
        <w:rPr>
          <w:rFonts w:ascii="Arial" w:hAnsi="Arial" w:cs="Arial"/>
          <w:color w:val="2F5496" w:themeColor="accent1" w:themeShade="BF"/>
          <w:sz w:val="22"/>
          <w:szCs w:val="22"/>
        </w:rPr>
        <w:t xml:space="preserve">. Our aim is to profile drug sensitivity in NSCLC cancer organoids, while we rely </w:t>
      </w:r>
      <w:r w:rsidR="006E02C0">
        <w:rPr>
          <w:rFonts w:ascii="Arial" w:hAnsi="Arial" w:cs="Arial"/>
          <w:color w:val="2F5496" w:themeColor="accent1" w:themeShade="BF"/>
          <w:sz w:val="22"/>
          <w:szCs w:val="22"/>
        </w:rPr>
        <w:t xml:space="preserve">on </w:t>
      </w:r>
      <w:r w:rsidR="00177D61">
        <w:rPr>
          <w:rFonts w:ascii="Arial" w:hAnsi="Arial" w:cs="Arial"/>
          <w:color w:val="2F5496" w:themeColor="accent1" w:themeShade="BF"/>
          <w:sz w:val="22"/>
          <w:szCs w:val="22"/>
        </w:rPr>
        <w:t>and reference establishment protocols.</w:t>
      </w:r>
      <w:r w:rsidR="006E02C0">
        <w:rPr>
          <w:rFonts w:ascii="Arial" w:hAnsi="Arial" w:cs="Arial"/>
          <w:color w:val="2F5496" w:themeColor="accent1" w:themeShade="BF"/>
          <w:sz w:val="22"/>
          <w:szCs w:val="22"/>
        </w:rPr>
        <w:t xml:space="preserve"> </w:t>
      </w:r>
      <w:r w:rsidR="00177D61">
        <w:rPr>
          <w:rFonts w:ascii="Arial" w:hAnsi="Arial" w:cs="Arial"/>
          <w:color w:val="2F5496" w:themeColor="accent1" w:themeShade="BF"/>
          <w:sz w:val="22"/>
          <w:szCs w:val="22"/>
        </w:rPr>
        <w:t xml:space="preserve">We have now included a brief paragraph at the beginning of our manuscript regarding organoid establishment, linking to our collaboration partners and previous literature on organoid establishment. We have also updated our title to highlight our </w:t>
      </w:r>
      <w:r w:rsidR="006E02C0">
        <w:rPr>
          <w:rFonts w:ascii="Arial" w:hAnsi="Arial" w:cs="Arial"/>
          <w:color w:val="2F5496" w:themeColor="accent1" w:themeShade="BF"/>
          <w:sz w:val="22"/>
          <w:szCs w:val="22"/>
        </w:rPr>
        <w:t xml:space="preserve">distinct </w:t>
      </w:r>
      <w:r w:rsidR="00177D61">
        <w:rPr>
          <w:rFonts w:ascii="Arial" w:hAnsi="Arial" w:cs="Arial"/>
          <w:color w:val="2F5496" w:themeColor="accent1" w:themeShade="BF"/>
          <w:sz w:val="22"/>
          <w:szCs w:val="22"/>
        </w:rPr>
        <w:t xml:space="preserve">aim of profiling drug sensitivities rather than organoid establishment. </w:t>
      </w:r>
    </w:p>
    <w:p w14:paraId="7F8D00C8" w14:textId="5ED9E753" w:rsidR="00FA6DB8" w:rsidRDefault="009F0882" w:rsidP="009F0882">
      <w:pPr>
        <w:pStyle w:val="NormalWeb"/>
        <w:rPr>
          <w:rFonts w:ascii="Arial" w:hAnsi="Arial" w:cs="Arial"/>
          <w:color w:val="2F5496" w:themeColor="accent1" w:themeShade="BF"/>
          <w:sz w:val="22"/>
          <w:szCs w:val="22"/>
        </w:rPr>
      </w:pPr>
      <w:r>
        <w:rPr>
          <w:rFonts w:ascii="Arial" w:hAnsi="Arial" w:cs="Arial"/>
          <w:color w:val="2F5496" w:themeColor="accent1" w:themeShade="BF"/>
          <w:sz w:val="22"/>
          <w:szCs w:val="22"/>
        </w:rPr>
        <w:br/>
      </w:r>
      <w:r w:rsidR="00764EF3">
        <w:t>- Authors refer to using this protocol for combination treatment yet there are no step-by-step instructions on how to set up combination treatment plates or how to analyze them. Furthermore, no representative data is shown for combination treatment.</w:t>
      </w:r>
      <w:r>
        <w:br/>
      </w:r>
      <w:r w:rsidR="006E02C0">
        <w:rPr>
          <w:rFonts w:ascii="Arial" w:hAnsi="Arial" w:cs="Arial"/>
          <w:color w:val="2F5496" w:themeColor="accent1" w:themeShade="BF"/>
          <w:sz w:val="22"/>
          <w:szCs w:val="22"/>
        </w:rPr>
        <w:t xml:space="preserve">Author response:  </w:t>
      </w:r>
      <w:r w:rsidR="00BE5F02">
        <w:rPr>
          <w:rFonts w:ascii="Arial" w:hAnsi="Arial" w:cs="Arial"/>
          <w:color w:val="2F5496" w:themeColor="accent1" w:themeShade="BF"/>
          <w:sz w:val="22"/>
          <w:szCs w:val="22"/>
        </w:rPr>
        <w:t xml:space="preserve">We are discussing the potential use of the protocol for combination treatments as </w:t>
      </w:r>
      <w:r w:rsidR="001E5B2C">
        <w:rPr>
          <w:rFonts w:ascii="Arial" w:hAnsi="Arial" w:cs="Arial"/>
          <w:color w:val="2F5496" w:themeColor="accent1" w:themeShade="BF"/>
          <w:sz w:val="22"/>
          <w:szCs w:val="22"/>
        </w:rPr>
        <w:t>an</w:t>
      </w:r>
      <w:r w:rsidR="00BE5F02">
        <w:rPr>
          <w:rFonts w:ascii="Arial" w:hAnsi="Arial" w:cs="Arial"/>
          <w:color w:val="2F5496" w:themeColor="accent1" w:themeShade="BF"/>
          <w:sz w:val="22"/>
          <w:szCs w:val="22"/>
        </w:rPr>
        <w:t xml:space="preserve"> </w:t>
      </w:r>
      <w:r w:rsidR="001E5B2C">
        <w:rPr>
          <w:rFonts w:ascii="Arial" w:hAnsi="Arial" w:cs="Arial"/>
          <w:color w:val="2F5496" w:themeColor="accent1" w:themeShade="BF"/>
          <w:sz w:val="22"/>
          <w:szCs w:val="22"/>
        </w:rPr>
        <w:t>adaptation</w:t>
      </w:r>
      <w:r w:rsidR="00BE5F02">
        <w:rPr>
          <w:rFonts w:ascii="Arial" w:hAnsi="Arial" w:cs="Arial"/>
          <w:color w:val="2F5496" w:themeColor="accent1" w:themeShade="BF"/>
          <w:sz w:val="22"/>
          <w:szCs w:val="22"/>
        </w:rPr>
        <w:t>. In general, we are using either i) a combination of one fixed dose for the additive drugs while escalating our main inhibitor or ii) complex matrix-based drug combinations escalating both drugs against each other to allow the calculation of Loewe, Bliss or HSA combination</w:t>
      </w:r>
      <w:r w:rsidR="006E02C0">
        <w:rPr>
          <w:rFonts w:ascii="Arial" w:hAnsi="Arial" w:cs="Arial"/>
          <w:color w:val="2F5496" w:themeColor="accent1" w:themeShade="BF"/>
          <w:sz w:val="22"/>
          <w:szCs w:val="22"/>
        </w:rPr>
        <w:t xml:space="preserve"> or synergy</w:t>
      </w:r>
      <w:r w:rsidR="00BE5F02">
        <w:rPr>
          <w:rFonts w:ascii="Arial" w:hAnsi="Arial" w:cs="Arial"/>
          <w:color w:val="2F5496" w:themeColor="accent1" w:themeShade="BF"/>
          <w:sz w:val="22"/>
          <w:szCs w:val="22"/>
        </w:rPr>
        <w:t xml:space="preserve"> scores</w:t>
      </w:r>
      <w:r w:rsidR="001E5B2C">
        <w:rPr>
          <w:rFonts w:ascii="Arial" w:hAnsi="Arial" w:cs="Arial"/>
          <w:color w:val="2F5496" w:themeColor="accent1" w:themeShade="BF"/>
          <w:sz w:val="22"/>
          <w:szCs w:val="22"/>
        </w:rPr>
        <w:t xml:space="preserve"> in cell line systems</w:t>
      </w:r>
      <w:r w:rsidR="00BE5F02">
        <w:rPr>
          <w:rFonts w:ascii="Arial" w:hAnsi="Arial" w:cs="Arial"/>
          <w:color w:val="2F5496" w:themeColor="accent1" w:themeShade="BF"/>
          <w:sz w:val="22"/>
          <w:szCs w:val="22"/>
        </w:rPr>
        <w:t>.</w:t>
      </w:r>
      <w:r w:rsidR="00BE410C">
        <w:rPr>
          <w:rFonts w:ascii="Arial" w:hAnsi="Arial" w:cs="Arial"/>
          <w:color w:val="2F5496" w:themeColor="accent1" w:themeShade="BF"/>
          <w:sz w:val="22"/>
          <w:szCs w:val="22"/>
        </w:rPr>
        <w:t xml:space="preserve"> </w:t>
      </w:r>
      <w:r w:rsidR="006E02C0">
        <w:rPr>
          <w:rFonts w:ascii="Arial" w:hAnsi="Arial" w:cs="Arial"/>
          <w:color w:val="2F5496" w:themeColor="accent1" w:themeShade="BF"/>
          <w:sz w:val="22"/>
          <w:szCs w:val="22"/>
        </w:rPr>
        <w:t>B</w:t>
      </w:r>
      <w:r w:rsidR="00BE410C">
        <w:rPr>
          <w:rFonts w:ascii="Arial" w:hAnsi="Arial" w:cs="Arial"/>
          <w:color w:val="2F5496" w:themeColor="accent1" w:themeShade="BF"/>
          <w:sz w:val="22"/>
          <w:szCs w:val="22"/>
        </w:rPr>
        <w:t xml:space="preserve">oth options could be implemented </w:t>
      </w:r>
      <w:r w:rsidR="006E02C0">
        <w:rPr>
          <w:rFonts w:ascii="Arial" w:hAnsi="Arial" w:cs="Arial"/>
          <w:color w:val="2F5496" w:themeColor="accent1" w:themeShade="BF"/>
          <w:sz w:val="22"/>
          <w:szCs w:val="22"/>
        </w:rPr>
        <w:t xml:space="preserve">using our organoid protocol </w:t>
      </w:r>
      <w:r w:rsidR="00BE410C">
        <w:rPr>
          <w:rFonts w:ascii="Arial" w:hAnsi="Arial" w:cs="Arial"/>
          <w:color w:val="2F5496" w:themeColor="accent1" w:themeShade="BF"/>
          <w:sz w:val="22"/>
          <w:szCs w:val="22"/>
        </w:rPr>
        <w:t xml:space="preserve">and only the preparation of drug dilutions would have to be adapted in a way </w:t>
      </w:r>
      <w:r w:rsidR="006E02C0">
        <w:rPr>
          <w:rFonts w:ascii="Arial" w:hAnsi="Arial" w:cs="Arial"/>
          <w:color w:val="2F5496" w:themeColor="accent1" w:themeShade="BF"/>
          <w:sz w:val="22"/>
          <w:szCs w:val="22"/>
        </w:rPr>
        <w:t xml:space="preserve">that </w:t>
      </w:r>
      <w:r w:rsidR="00BE410C">
        <w:rPr>
          <w:rFonts w:ascii="Arial" w:hAnsi="Arial" w:cs="Arial"/>
          <w:color w:val="2F5496" w:themeColor="accent1" w:themeShade="BF"/>
          <w:sz w:val="22"/>
          <w:szCs w:val="22"/>
        </w:rPr>
        <w:t>it addresses the experimental question.</w:t>
      </w:r>
      <w:r w:rsidR="00BE5F02">
        <w:rPr>
          <w:rFonts w:ascii="Arial" w:hAnsi="Arial" w:cs="Arial"/>
          <w:color w:val="2F5496" w:themeColor="accent1" w:themeShade="BF"/>
          <w:sz w:val="22"/>
          <w:szCs w:val="22"/>
        </w:rPr>
        <w:t xml:space="preserve"> For organoids, we </w:t>
      </w:r>
      <w:r w:rsidR="001E5B2C">
        <w:rPr>
          <w:rFonts w:ascii="Arial" w:hAnsi="Arial" w:cs="Arial"/>
          <w:color w:val="2F5496" w:themeColor="accent1" w:themeShade="BF"/>
          <w:sz w:val="22"/>
          <w:szCs w:val="22"/>
        </w:rPr>
        <w:t xml:space="preserve">prefer to combine a fixed additive drug while escalating the main inhibitor, allowing </w:t>
      </w:r>
      <w:r w:rsidR="006E02C0">
        <w:rPr>
          <w:rFonts w:ascii="Arial" w:hAnsi="Arial" w:cs="Arial"/>
          <w:color w:val="2F5496" w:themeColor="accent1" w:themeShade="BF"/>
          <w:sz w:val="22"/>
          <w:szCs w:val="22"/>
        </w:rPr>
        <w:t xml:space="preserve">us </w:t>
      </w:r>
      <w:r w:rsidR="001E5B2C">
        <w:rPr>
          <w:rFonts w:ascii="Arial" w:hAnsi="Arial" w:cs="Arial"/>
          <w:color w:val="2F5496" w:themeColor="accent1" w:themeShade="BF"/>
          <w:sz w:val="22"/>
          <w:szCs w:val="22"/>
        </w:rPr>
        <w:t xml:space="preserve">to include more replicates and accounting for the higher standard deviation observed in organoid sensitivity profiling. Please find a representative example below. Please note that we are not able to share this data at this point as </w:t>
      </w:r>
      <w:r w:rsidR="006E02C0">
        <w:rPr>
          <w:rFonts w:ascii="Arial" w:hAnsi="Arial" w:cs="Arial"/>
          <w:color w:val="2F5496" w:themeColor="accent1" w:themeShade="BF"/>
          <w:sz w:val="22"/>
          <w:szCs w:val="22"/>
        </w:rPr>
        <w:t xml:space="preserve">it is </w:t>
      </w:r>
      <w:r w:rsidR="001E5B2C">
        <w:rPr>
          <w:rFonts w:ascii="Arial" w:hAnsi="Arial" w:cs="Arial"/>
          <w:color w:val="2F5496" w:themeColor="accent1" w:themeShade="BF"/>
          <w:sz w:val="22"/>
          <w:szCs w:val="22"/>
        </w:rPr>
        <w:t xml:space="preserve">included in another </w:t>
      </w:r>
      <w:r w:rsidR="00FA6DB8">
        <w:rPr>
          <w:rFonts w:ascii="Arial" w:hAnsi="Arial" w:cs="Arial"/>
          <w:color w:val="2F5496" w:themeColor="accent1" w:themeShade="BF"/>
          <w:sz w:val="22"/>
          <w:szCs w:val="22"/>
        </w:rPr>
        <w:t>publicatio</w:t>
      </w:r>
      <w:r w:rsidR="001E5B2C">
        <w:rPr>
          <w:rFonts w:ascii="Arial" w:hAnsi="Arial" w:cs="Arial"/>
          <w:color w:val="2F5496" w:themeColor="accent1" w:themeShade="BF"/>
          <w:sz w:val="22"/>
          <w:szCs w:val="22"/>
        </w:rPr>
        <w:t>n</w:t>
      </w:r>
      <w:r w:rsidR="006E02C0">
        <w:rPr>
          <w:rFonts w:ascii="Arial" w:hAnsi="Arial" w:cs="Arial"/>
          <w:color w:val="2F5496" w:themeColor="accent1" w:themeShade="BF"/>
          <w:sz w:val="22"/>
          <w:szCs w:val="22"/>
        </w:rPr>
        <w:t xml:space="preserve"> in preparation</w:t>
      </w:r>
      <w:r w:rsidR="001E5B2C">
        <w:rPr>
          <w:rFonts w:ascii="Arial" w:hAnsi="Arial" w:cs="Arial"/>
          <w:color w:val="2F5496" w:themeColor="accent1" w:themeShade="BF"/>
          <w:sz w:val="22"/>
          <w:szCs w:val="22"/>
        </w:rPr>
        <w:t xml:space="preserve">. </w:t>
      </w:r>
    </w:p>
    <w:p w14:paraId="19BEFCB4" w14:textId="2C7AED4E" w:rsidR="00FA6DB8" w:rsidRDefault="00FA6DB8" w:rsidP="009F0882">
      <w:pPr>
        <w:pStyle w:val="NormalWeb"/>
        <w:rPr>
          <w:noProof/>
        </w:rPr>
      </w:pPr>
      <w:r w:rsidRPr="00FA6DB8">
        <w:rPr>
          <w:rFonts w:ascii="Arial" w:hAnsi="Arial" w:cs="Arial"/>
          <w:noProof/>
          <w:color w:val="2F5496" w:themeColor="accent1" w:themeShade="BF"/>
          <w:sz w:val="22"/>
          <w:szCs w:val="22"/>
        </w:rPr>
        <w:lastRenderedPageBreak/>
        <w:drawing>
          <wp:inline distT="0" distB="0" distL="0" distR="0" wp14:anchorId="2FA830A2" wp14:editId="7BDC6C62">
            <wp:extent cx="2808260" cy="2165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8755" cy="2188812"/>
                    </a:xfrm>
                    <a:prstGeom prst="rect">
                      <a:avLst/>
                    </a:prstGeom>
                  </pic:spPr>
                </pic:pic>
              </a:graphicData>
            </a:graphic>
          </wp:inline>
        </w:drawing>
      </w:r>
      <w:r w:rsidRPr="00FA6DB8">
        <w:rPr>
          <w:noProof/>
        </w:rPr>
        <w:t xml:space="preserve"> </w:t>
      </w:r>
      <w:r w:rsidRPr="00FA6DB8">
        <w:rPr>
          <w:rFonts w:ascii="Arial" w:hAnsi="Arial" w:cs="Arial"/>
          <w:noProof/>
          <w:color w:val="2F5496" w:themeColor="accent1" w:themeShade="BF"/>
          <w:sz w:val="22"/>
          <w:szCs w:val="22"/>
        </w:rPr>
        <w:drawing>
          <wp:inline distT="0" distB="0" distL="0" distR="0" wp14:anchorId="09306B2E" wp14:editId="165777CC">
            <wp:extent cx="2824696" cy="21652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9636" cy="2184417"/>
                    </a:xfrm>
                    <a:prstGeom prst="rect">
                      <a:avLst/>
                    </a:prstGeom>
                  </pic:spPr>
                </pic:pic>
              </a:graphicData>
            </a:graphic>
          </wp:inline>
        </w:drawing>
      </w:r>
    </w:p>
    <w:p w14:paraId="02EE8402" w14:textId="60EF34C8" w:rsidR="00FA6DB8" w:rsidRDefault="00FA6DB8" w:rsidP="009F0882">
      <w:pPr>
        <w:pStyle w:val="NormalWeb"/>
        <w:rPr>
          <w:rFonts w:ascii="Arial" w:hAnsi="Arial" w:cs="Arial"/>
          <w:color w:val="2F5496" w:themeColor="accent1" w:themeShade="BF"/>
          <w:sz w:val="22"/>
          <w:szCs w:val="22"/>
        </w:rPr>
      </w:pPr>
      <w:r w:rsidRPr="00FA6DB8">
        <w:rPr>
          <w:rFonts w:ascii="Arial" w:hAnsi="Arial" w:cs="Arial"/>
          <w:i/>
          <w:iCs/>
          <w:color w:val="2F5496" w:themeColor="accent1" w:themeShade="BF"/>
          <w:sz w:val="20"/>
          <w:szCs w:val="20"/>
        </w:rPr>
        <w:t>Combinatorial drug treatment in EGFR-mutant TH107 organoid model treated with Osimertinib escalation in presence of a second additive inhibitor at fixed concentration</w:t>
      </w:r>
      <w:r>
        <w:rPr>
          <w:rFonts w:ascii="Arial" w:hAnsi="Arial" w:cs="Arial"/>
          <w:color w:val="2F5496" w:themeColor="accent1" w:themeShade="BF"/>
          <w:sz w:val="22"/>
          <w:szCs w:val="22"/>
        </w:rPr>
        <w:t xml:space="preserve">. </w:t>
      </w:r>
    </w:p>
    <w:p w14:paraId="478286F7" w14:textId="5F92041A" w:rsidR="00FA6DB8" w:rsidRPr="00020EF5" w:rsidRDefault="00BE410C" w:rsidP="009F0882">
      <w:pPr>
        <w:pStyle w:val="NormalWeb"/>
        <w:rPr>
          <w:rFonts w:ascii="Arial" w:hAnsi="Arial" w:cs="Arial"/>
          <w:color w:val="2F5496" w:themeColor="accent1" w:themeShade="BF"/>
          <w:sz w:val="22"/>
          <w:szCs w:val="22"/>
        </w:rPr>
      </w:pPr>
      <w:r>
        <w:rPr>
          <w:rFonts w:ascii="Arial" w:hAnsi="Arial" w:cs="Arial"/>
          <w:color w:val="2F5496" w:themeColor="accent1" w:themeShade="BF"/>
          <w:sz w:val="22"/>
          <w:szCs w:val="22"/>
        </w:rPr>
        <w:t>We have now indicated this example for combinatorial treatment approaches in the discussion (</w:t>
      </w:r>
      <w:r w:rsidR="00665335">
        <w:rPr>
          <w:rFonts w:ascii="Arial" w:hAnsi="Arial" w:cs="Arial"/>
          <w:color w:val="2F5496" w:themeColor="accent1" w:themeShade="BF"/>
          <w:sz w:val="22"/>
          <w:szCs w:val="22"/>
        </w:rPr>
        <w:t>page 11, line 509-512</w:t>
      </w:r>
      <w:r>
        <w:rPr>
          <w:rFonts w:ascii="Arial" w:hAnsi="Arial" w:cs="Arial"/>
          <w:color w:val="2F5496" w:themeColor="accent1" w:themeShade="BF"/>
          <w:sz w:val="22"/>
          <w:szCs w:val="22"/>
        </w:rPr>
        <w:t xml:space="preserve">). </w:t>
      </w:r>
      <w:r w:rsidR="00E10426">
        <w:rPr>
          <w:rFonts w:ascii="Arial" w:hAnsi="Arial" w:cs="Arial"/>
          <w:color w:val="2F5496" w:themeColor="accent1" w:themeShade="BF"/>
          <w:sz w:val="22"/>
          <w:szCs w:val="22"/>
        </w:rPr>
        <w:t xml:space="preserve">We have adapted keywords to not overemphasize combinatorial treatments. </w:t>
      </w:r>
      <w:r>
        <w:rPr>
          <w:rFonts w:ascii="Arial" w:hAnsi="Arial" w:cs="Arial"/>
          <w:color w:val="2F5496" w:themeColor="accent1" w:themeShade="BF"/>
          <w:sz w:val="22"/>
          <w:szCs w:val="22"/>
        </w:rPr>
        <w:t xml:space="preserve">We have not made further adaptations to the protocol in this regard as only the used drug dilutions that organoids are treated with </w:t>
      </w:r>
      <w:r w:rsidR="00E10426">
        <w:rPr>
          <w:rFonts w:ascii="Arial" w:hAnsi="Arial" w:cs="Arial"/>
          <w:color w:val="2F5496" w:themeColor="accent1" w:themeShade="BF"/>
          <w:sz w:val="22"/>
          <w:szCs w:val="22"/>
        </w:rPr>
        <w:t xml:space="preserve">would </w:t>
      </w:r>
      <w:r>
        <w:rPr>
          <w:rFonts w:ascii="Arial" w:hAnsi="Arial" w:cs="Arial"/>
          <w:color w:val="2F5496" w:themeColor="accent1" w:themeShade="BF"/>
          <w:sz w:val="22"/>
          <w:szCs w:val="22"/>
        </w:rPr>
        <w:t>differ</w:t>
      </w:r>
      <w:r w:rsidR="00E10426">
        <w:rPr>
          <w:rFonts w:ascii="Arial" w:hAnsi="Arial" w:cs="Arial"/>
          <w:color w:val="2F5496" w:themeColor="accent1" w:themeShade="BF"/>
          <w:sz w:val="22"/>
          <w:szCs w:val="22"/>
        </w:rPr>
        <w:t xml:space="preserve"> to allow </w:t>
      </w:r>
      <w:r w:rsidR="006E02C0">
        <w:rPr>
          <w:rFonts w:ascii="Arial" w:hAnsi="Arial" w:cs="Arial"/>
          <w:color w:val="2F5496" w:themeColor="accent1" w:themeShade="BF"/>
          <w:sz w:val="22"/>
          <w:szCs w:val="22"/>
        </w:rPr>
        <w:t xml:space="preserve">for the testing of </w:t>
      </w:r>
      <w:r w:rsidR="00E10426">
        <w:rPr>
          <w:rFonts w:ascii="Arial" w:hAnsi="Arial" w:cs="Arial"/>
          <w:color w:val="2F5496" w:themeColor="accent1" w:themeShade="BF"/>
          <w:sz w:val="22"/>
          <w:szCs w:val="22"/>
        </w:rPr>
        <w:t>combinatorial treatments</w:t>
      </w:r>
      <w:r>
        <w:rPr>
          <w:rFonts w:ascii="Arial" w:hAnsi="Arial" w:cs="Arial"/>
          <w:color w:val="2F5496" w:themeColor="accent1" w:themeShade="BF"/>
          <w:sz w:val="22"/>
          <w:szCs w:val="22"/>
        </w:rPr>
        <w:t xml:space="preserve">. </w:t>
      </w:r>
    </w:p>
    <w:sectPr w:rsidR="00FA6DB8" w:rsidRPr="00020EF5" w:rsidSect="00D030BE">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9708F" w14:textId="77777777" w:rsidR="00E430F4" w:rsidRDefault="00E430F4" w:rsidP="00696CC4">
      <w:r>
        <w:separator/>
      </w:r>
    </w:p>
  </w:endnote>
  <w:endnote w:type="continuationSeparator" w:id="0">
    <w:p w14:paraId="3EEDA88F" w14:textId="77777777" w:rsidR="00E430F4" w:rsidRDefault="00E430F4" w:rsidP="00696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0917467"/>
      <w:docPartObj>
        <w:docPartGallery w:val="Page Numbers (Bottom of Page)"/>
        <w:docPartUnique/>
      </w:docPartObj>
    </w:sdtPr>
    <w:sdtEndPr>
      <w:rPr>
        <w:rStyle w:val="PageNumber"/>
      </w:rPr>
    </w:sdtEndPr>
    <w:sdtContent>
      <w:p w14:paraId="31E03314" w14:textId="059AFEC7" w:rsidR="00696CC4" w:rsidRDefault="00696CC4" w:rsidP="001749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F94BDC" w14:textId="77777777" w:rsidR="00696CC4" w:rsidRDefault="00696CC4" w:rsidP="00696C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446388"/>
      <w:docPartObj>
        <w:docPartGallery w:val="Page Numbers (Bottom of Page)"/>
        <w:docPartUnique/>
      </w:docPartObj>
    </w:sdtPr>
    <w:sdtEndPr>
      <w:rPr>
        <w:rStyle w:val="PageNumber"/>
      </w:rPr>
    </w:sdtEndPr>
    <w:sdtContent>
      <w:p w14:paraId="357DF799" w14:textId="3683F244" w:rsidR="00696CC4" w:rsidRDefault="00696CC4" w:rsidP="00B573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7BB28F" w14:textId="77777777" w:rsidR="00696CC4" w:rsidRDefault="00696CC4" w:rsidP="00696C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48E6E" w14:textId="77777777" w:rsidR="00E430F4" w:rsidRDefault="00E430F4" w:rsidP="00696CC4">
      <w:r>
        <w:separator/>
      </w:r>
    </w:p>
  </w:footnote>
  <w:footnote w:type="continuationSeparator" w:id="0">
    <w:p w14:paraId="30E771F1" w14:textId="77777777" w:rsidR="00E430F4" w:rsidRDefault="00E430F4" w:rsidP="00696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64FF7"/>
    <w:multiLevelType w:val="hybridMultilevel"/>
    <w:tmpl w:val="FA8C4E68"/>
    <w:lvl w:ilvl="0" w:tplc="26667FF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zMjW1NDW2MDMyNjdU0lEKTi0uzszPAykwrAUAr1DQbSwAAAA="/>
  </w:docVars>
  <w:rsids>
    <w:rsidRoot w:val="00764EF3"/>
    <w:rsid w:val="000057DA"/>
    <w:rsid w:val="00020EF5"/>
    <w:rsid w:val="00023B3B"/>
    <w:rsid w:val="00023F62"/>
    <w:rsid w:val="000310F0"/>
    <w:rsid w:val="00044CCF"/>
    <w:rsid w:val="00060427"/>
    <w:rsid w:val="000606A1"/>
    <w:rsid w:val="0007166E"/>
    <w:rsid w:val="00076E50"/>
    <w:rsid w:val="00083667"/>
    <w:rsid w:val="000855B5"/>
    <w:rsid w:val="00094765"/>
    <w:rsid w:val="000C7C02"/>
    <w:rsid w:val="000F6B6E"/>
    <w:rsid w:val="00111B79"/>
    <w:rsid w:val="0012078E"/>
    <w:rsid w:val="00127890"/>
    <w:rsid w:val="0016719C"/>
    <w:rsid w:val="001749E0"/>
    <w:rsid w:val="00177D61"/>
    <w:rsid w:val="00182AB6"/>
    <w:rsid w:val="0019129A"/>
    <w:rsid w:val="00193EE7"/>
    <w:rsid w:val="001A0172"/>
    <w:rsid w:val="001A5EBD"/>
    <w:rsid w:val="001A7BE1"/>
    <w:rsid w:val="001B315C"/>
    <w:rsid w:val="001B5B17"/>
    <w:rsid w:val="001D68A2"/>
    <w:rsid w:val="001E5B2C"/>
    <w:rsid w:val="0021285A"/>
    <w:rsid w:val="0021550B"/>
    <w:rsid w:val="00223E5D"/>
    <w:rsid w:val="00226DDF"/>
    <w:rsid w:val="0022704E"/>
    <w:rsid w:val="00234B0D"/>
    <w:rsid w:val="002373D4"/>
    <w:rsid w:val="002434CB"/>
    <w:rsid w:val="002454F8"/>
    <w:rsid w:val="002520D2"/>
    <w:rsid w:val="00274097"/>
    <w:rsid w:val="00275DBB"/>
    <w:rsid w:val="00290A21"/>
    <w:rsid w:val="00294CC4"/>
    <w:rsid w:val="002A29E0"/>
    <w:rsid w:val="002B78EE"/>
    <w:rsid w:val="002C329C"/>
    <w:rsid w:val="002D7706"/>
    <w:rsid w:val="002E14D7"/>
    <w:rsid w:val="002E5BB9"/>
    <w:rsid w:val="002F1724"/>
    <w:rsid w:val="002F45B8"/>
    <w:rsid w:val="00332E9F"/>
    <w:rsid w:val="00334647"/>
    <w:rsid w:val="003363C5"/>
    <w:rsid w:val="00342C84"/>
    <w:rsid w:val="00343B8C"/>
    <w:rsid w:val="00350408"/>
    <w:rsid w:val="00395E61"/>
    <w:rsid w:val="003B42CF"/>
    <w:rsid w:val="003C0322"/>
    <w:rsid w:val="003C3788"/>
    <w:rsid w:val="003D722C"/>
    <w:rsid w:val="003D7B52"/>
    <w:rsid w:val="003E7882"/>
    <w:rsid w:val="003F65A2"/>
    <w:rsid w:val="0040524C"/>
    <w:rsid w:val="00417243"/>
    <w:rsid w:val="00432B58"/>
    <w:rsid w:val="00437B4B"/>
    <w:rsid w:val="00470DAE"/>
    <w:rsid w:val="004746D4"/>
    <w:rsid w:val="0049393D"/>
    <w:rsid w:val="004A2997"/>
    <w:rsid w:val="004A69A5"/>
    <w:rsid w:val="004C1051"/>
    <w:rsid w:val="004D41F4"/>
    <w:rsid w:val="004D47D4"/>
    <w:rsid w:val="004D7048"/>
    <w:rsid w:val="004E2963"/>
    <w:rsid w:val="00502B5A"/>
    <w:rsid w:val="00503533"/>
    <w:rsid w:val="00506DBB"/>
    <w:rsid w:val="00516C5E"/>
    <w:rsid w:val="00536A50"/>
    <w:rsid w:val="0054416C"/>
    <w:rsid w:val="005743BC"/>
    <w:rsid w:val="00577A5A"/>
    <w:rsid w:val="00580F16"/>
    <w:rsid w:val="005958C5"/>
    <w:rsid w:val="005A64F1"/>
    <w:rsid w:val="005A692E"/>
    <w:rsid w:val="005A7AB1"/>
    <w:rsid w:val="005C16EB"/>
    <w:rsid w:val="005C5562"/>
    <w:rsid w:val="005E0C9C"/>
    <w:rsid w:val="005E7B26"/>
    <w:rsid w:val="00600AB3"/>
    <w:rsid w:val="006244AC"/>
    <w:rsid w:val="00625FF4"/>
    <w:rsid w:val="00626F2C"/>
    <w:rsid w:val="006440D8"/>
    <w:rsid w:val="006507FE"/>
    <w:rsid w:val="00652CAF"/>
    <w:rsid w:val="00665335"/>
    <w:rsid w:val="00665D74"/>
    <w:rsid w:val="006726D2"/>
    <w:rsid w:val="006903B9"/>
    <w:rsid w:val="00696CC4"/>
    <w:rsid w:val="006A019E"/>
    <w:rsid w:val="006A487F"/>
    <w:rsid w:val="006C241E"/>
    <w:rsid w:val="006C6751"/>
    <w:rsid w:val="006E02C0"/>
    <w:rsid w:val="006E4539"/>
    <w:rsid w:val="006F165F"/>
    <w:rsid w:val="007179D2"/>
    <w:rsid w:val="0072386C"/>
    <w:rsid w:val="0073203C"/>
    <w:rsid w:val="00743EB1"/>
    <w:rsid w:val="00751D6A"/>
    <w:rsid w:val="00753194"/>
    <w:rsid w:val="00764EF3"/>
    <w:rsid w:val="00775816"/>
    <w:rsid w:val="007959C0"/>
    <w:rsid w:val="007A47F4"/>
    <w:rsid w:val="007A6FBF"/>
    <w:rsid w:val="007B478E"/>
    <w:rsid w:val="007B5CE5"/>
    <w:rsid w:val="007E051D"/>
    <w:rsid w:val="007E3E2C"/>
    <w:rsid w:val="0081693D"/>
    <w:rsid w:val="008578D2"/>
    <w:rsid w:val="00857AD7"/>
    <w:rsid w:val="00864715"/>
    <w:rsid w:val="00871106"/>
    <w:rsid w:val="00871A12"/>
    <w:rsid w:val="008722AC"/>
    <w:rsid w:val="00875D90"/>
    <w:rsid w:val="00875FF0"/>
    <w:rsid w:val="0088752D"/>
    <w:rsid w:val="00887D9F"/>
    <w:rsid w:val="00887F76"/>
    <w:rsid w:val="008924C4"/>
    <w:rsid w:val="008947B1"/>
    <w:rsid w:val="008954E5"/>
    <w:rsid w:val="008B0D66"/>
    <w:rsid w:val="008B5BE4"/>
    <w:rsid w:val="008F7EEA"/>
    <w:rsid w:val="009063CE"/>
    <w:rsid w:val="00917BB5"/>
    <w:rsid w:val="00924BEF"/>
    <w:rsid w:val="00925AE5"/>
    <w:rsid w:val="0092613F"/>
    <w:rsid w:val="00927AC8"/>
    <w:rsid w:val="009339B8"/>
    <w:rsid w:val="00935542"/>
    <w:rsid w:val="00940A0C"/>
    <w:rsid w:val="0098160E"/>
    <w:rsid w:val="009A6175"/>
    <w:rsid w:val="009A6E00"/>
    <w:rsid w:val="009B0364"/>
    <w:rsid w:val="009C34A9"/>
    <w:rsid w:val="009F0882"/>
    <w:rsid w:val="009F3ADF"/>
    <w:rsid w:val="00A14A1B"/>
    <w:rsid w:val="00A20AAA"/>
    <w:rsid w:val="00A30FB8"/>
    <w:rsid w:val="00A4427B"/>
    <w:rsid w:val="00A5410E"/>
    <w:rsid w:val="00A56122"/>
    <w:rsid w:val="00A63633"/>
    <w:rsid w:val="00A63A71"/>
    <w:rsid w:val="00AA71C3"/>
    <w:rsid w:val="00AB4B71"/>
    <w:rsid w:val="00AC0ED5"/>
    <w:rsid w:val="00AC4684"/>
    <w:rsid w:val="00AE05A7"/>
    <w:rsid w:val="00AE2F56"/>
    <w:rsid w:val="00B036AE"/>
    <w:rsid w:val="00B05571"/>
    <w:rsid w:val="00B0610D"/>
    <w:rsid w:val="00B50074"/>
    <w:rsid w:val="00B56B41"/>
    <w:rsid w:val="00B573DA"/>
    <w:rsid w:val="00B617DB"/>
    <w:rsid w:val="00B70308"/>
    <w:rsid w:val="00B85654"/>
    <w:rsid w:val="00B87BF2"/>
    <w:rsid w:val="00BB27D9"/>
    <w:rsid w:val="00BC5E49"/>
    <w:rsid w:val="00BC632C"/>
    <w:rsid w:val="00BD0518"/>
    <w:rsid w:val="00BD4D1D"/>
    <w:rsid w:val="00BD6A36"/>
    <w:rsid w:val="00BD6BC7"/>
    <w:rsid w:val="00BE410C"/>
    <w:rsid w:val="00BE4E6B"/>
    <w:rsid w:val="00BE5F02"/>
    <w:rsid w:val="00C13A0B"/>
    <w:rsid w:val="00C2061C"/>
    <w:rsid w:val="00C36B61"/>
    <w:rsid w:val="00C41205"/>
    <w:rsid w:val="00C42B20"/>
    <w:rsid w:val="00C55682"/>
    <w:rsid w:val="00C72361"/>
    <w:rsid w:val="00C8261F"/>
    <w:rsid w:val="00C852D9"/>
    <w:rsid w:val="00CA16D0"/>
    <w:rsid w:val="00CA3F08"/>
    <w:rsid w:val="00CB115E"/>
    <w:rsid w:val="00CC14D1"/>
    <w:rsid w:val="00CC36E7"/>
    <w:rsid w:val="00CC512A"/>
    <w:rsid w:val="00CD2464"/>
    <w:rsid w:val="00CE39A8"/>
    <w:rsid w:val="00CE5143"/>
    <w:rsid w:val="00CF6350"/>
    <w:rsid w:val="00D030BE"/>
    <w:rsid w:val="00D12B71"/>
    <w:rsid w:val="00D13D85"/>
    <w:rsid w:val="00D14575"/>
    <w:rsid w:val="00D16C85"/>
    <w:rsid w:val="00D21810"/>
    <w:rsid w:val="00D21893"/>
    <w:rsid w:val="00D31448"/>
    <w:rsid w:val="00D378CC"/>
    <w:rsid w:val="00D6101B"/>
    <w:rsid w:val="00D852AE"/>
    <w:rsid w:val="00DB74CA"/>
    <w:rsid w:val="00DC20E5"/>
    <w:rsid w:val="00DD72A7"/>
    <w:rsid w:val="00DE7F23"/>
    <w:rsid w:val="00DF11CB"/>
    <w:rsid w:val="00DF69B3"/>
    <w:rsid w:val="00E10426"/>
    <w:rsid w:val="00E14FB8"/>
    <w:rsid w:val="00E279BF"/>
    <w:rsid w:val="00E310E7"/>
    <w:rsid w:val="00E33C48"/>
    <w:rsid w:val="00E343E5"/>
    <w:rsid w:val="00E430F4"/>
    <w:rsid w:val="00E46E0E"/>
    <w:rsid w:val="00E51604"/>
    <w:rsid w:val="00E57917"/>
    <w:rsid w:val="00E70376"/>
    <w:rsid w:val="00E92283"/>
    <w:rsid w:val="00E93802"/>
    <w:rsid w:val="00E958C8"/>
    <w:rsid w:val="00EA0D34"/>
    <w:rsid w:val="00EC6F5E"/>
    <w:rsid w:val="00EC76C0"/>
    <w:rsid w:val="00ED3EFB"/>
    <w:rsid w:val="00ED4467"/>
    <w:rsid w:val="00EE296F"/>
    <w:rsid w:val="00EF7EBD"/>
    <w:rsid w:val="00F020D8"/>
    <w:rsid w:val="00F43CA5"/>
    <w:rsid w:val="00F44C42"/>
    <w:rsid w:val="00F45A04"/>
    <w:rsid w:val="00F50C2A"/>
    <w:rsid w:val="00F54E1E"/>
    <w:rsid w:val="00F6151F"/>
    <w:rsid w:val="00F62A66"/>
    <w:rsid w:val="00F62B8E"/>
    <w:rsid w:val="00F8510B"/>
    <w:rsid w:val="00F979E0"/>
    <w:rsid w:val="00FA6DB8"/>
    <w:rsid w:val="00FD0B82"/>
    <w:rsid w:val="00FD4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844B1"/>
  <w15:chartTrackingRefBased/>
  <w15:docId w15:val="{D22C5B6B-4A0D-0E4A-A1ED-3CE51721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4EF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64EF3"/>
    <w:rPr>
      <w:b/>
      <w:bCs/>
    </w:rPr>
  </w:style>
  <w:style w:type="character" w:styleId="Hyperlink">
    <w:name w:val="Hyperlink"/>
    <w:basedOn w:val="DefaultParagraphFont"/>
    <w:uiPriority w:val="99"/>
    <w:unhideWhenUsed/>
    <w:rsid w:val="00437B4B"/>
    <w:rPr>
      <w:color w:val="0563C1" w:themeColor="hyperlink"/>
      <w:u w:val="single"/>
    </w:rPr>
  </w:style>
  <w:style w:type="character" w:styleId="UnresolvedMention">
    <w:name w:val="Unresolved Mention"/>
    <w:basedOn w:val="DefaultParagraphFont"/>
    <w:uiPriority w:val="99"/>
    <w:semiHidden/>
    <w:unhideWhenUsed/>
    <w:rsid w:val="00437B4B"/>
    <w:rPr>
      <w:color w:val="605E5C"/>
      <w:shd w:val="clear" w:color="auto" w:fill="E1DFDD"/>
    </w:rPr>
  </w:style>
  <w:style w:type="paragraph" w:styleId="Footer">
    <w:name w:val="footer"/>
    <w:basedOn w:val="Normal"/>
    <w:link w:val="FooterChar"/>
    <w:uiPriority w:val="99"/>
    <w:unhideWhenUsed/>
    <w:rsid w:val="00696CC4"/>
    <w:pPr>
      <w:tabs>
        <w:tab w:val="center" w:pos="4680"/>
        <w:tab w:val="right" w:pos="9360"/>
      </w:tabs>
    </w:pPr>
  </w:style>
  <w:style w:type="character" w:customStyle="1" w:styleId="FooterChar">
    <w:name w:val="Footer Char"/>
    <w:basedOn w:val="DefaultParagraphFont"/>
    <w:link w:val="Footer"/>
    <w:uiPriority w:val="99"/>
    <w:rsid w:val="00696CC4"/>
  </w:style>
  <w:style w:type="character" w:styleId="PageNumber">
    <w:name w:val="page number"/>
    <w:basedOn w:val="DefaultParagraphFont"/>
    <w:uiPriority w:val="99"/>
    <w:semiHidden/>
    <w:unhideWhenUsed/>
    <w:rsid w:val="00696CC4"/>
  </w:style>
  <w:style w:type="character" w:styleId="CommentReference">
    <w:name w:val="annotation reference"/>
    <w:basedOn w:val="DefaultParagraphFont"/>
    <w:uiPriority w:val="99"/>
    <w:semiHidden/>
    <w:unhideWhenUsed/>
    <w:rsid w:val="00332E9F"/>
    <w:rPr>
      <w:sz w:val="16"/>
      <w:szCs w:val="16"/>
    </w:rPr>
  </w:style>
  <w:style w:type="paragraph" w:styleId="CommentText">
    <w:name w:val="annotation text"/>
    <w:basedOn w:val="Normal"/>
    <w:link w:val="CommentTextChar"/>
    <w:uiPriority w:val="99"/>
    <w:semiHidden/>
    <w:unhideWhenUsed/>
    <w:rsid w:val="00332E9F"/>
    <w:rPr>
      <w:sz w:val="20"/>
      <w:szCs w:val="20"/>
    </w:rPr>
  </w:style>
  <w:style w:type="character" w:customStyle="1" w:styleId="CommentTextChar">
    <w:name w:val="Comment Text Char"/>
    <w:basedOn w:val="DefaultParagraphFont"/>
    <w:link w:val="CommentText"/>
    <w:uiPriority w:val="99"/>
    <w:semiHidden/>
    <w:rsid w:val="00332E9F"/>
    <w:rPr>
      <w:sz w:val="20"/>
      <w:szCs w:val="20"/>
    </w:rPr>
  </w:style>
  <w:style w:type="paragraph" w:styleId="CommentSubject">
    <w:name w:val="annotation subject"/>
    <w:basedOn w:val="CommentText"/>
    <w:next w:val="CommentText"/>
    <w:link w:val="CommentSubjectChar"/>
    <w:uiPriority w:val="99"/>
    <w:semiHidden/>
    <w:unhideWhenUsed/>
    <w:rsid w:val="00332E9F"/>
    <w:rPr>
      <w:b/>
      <w:bCs/>
    </w:rPr>
  </w:style>
  <w:style w:type="character" w:customStyle="1" w:styleId="CommentSubjectChar">
    <w:name w:val="Comment Subject Char"/>
    <w:basedOn w:val="CommentTextChar"/>
    <w:link w:val="CommentSubject"/>
    <w:uiPriority w:val="99"/>
    <w:semiHidden/>
    <w:rsid w:val="00332E9F"/>
    <w:rPr>
      <w:b/>
      <w:bCs/>
      <w:sz w:val="20"/>
      <w:szCs w:val="20"/>
    </w:rPr>
  </w:style>
  <w:style w:type="paragraph" w:styleId="Header">
    <w:name w:val="header"/>
    <w:basedOn w:val="Normal"/>
    <w:link w:val="HeaderChar"/>
    <w:uiPriority w:val="99"/>
    <w:unhideWhenUsed/>
    <w:rsid w:val="00B573DA"/>
    <w:pPr>
      <w:tabs>
        <w:tab w:val="center" w:pos="4680"/>
        <w:tab w:val="right" w:pos="9360"/>
      </w:tabs>
    </w:pPr>
  </w:style>
  <w:style w:type="character" w:customStyle="1" w:styleId="HeaderChar">
    <w:name w:val="Header Char"/>
    <w:basedOn w:val="DefaultParagraphFont"/>
    <w:link w:val="Header"/>
    <w:uiPriority w:val="99"/>
    <w:rsid w:val="00B573DA"/>
  </w:style>
  <w:style w:type="paragraph" w:styleId="Revision">
    <w:name w:val="Revision"/>
    <w:hidden/>
    <w:uiPriority w:val="99"/>
    <w:semiHidden/>
    <w:rsid w:val="00191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48105">
      <w:bodyDiv w:val="1"/>
      <w:marLeft w:val="0"/>
      <w:marRight w:val="0"/>
      <w:marTop w:val="0"/>
      <w:marBottom w:val="0"/>
      <w:divBdr>
        <w:top w:val="none" w:sz="0" w:space="0" w:color="auto"/>
        <w:left w:val="none" w:sz="0" w:space="0" w:color="auto"/>
        <w:bottom w:val="none" w:sz="0" w:space="0" w:color="auto"/>
        <w:right w:val="none" w:sz="0" w:space="0" w:color="auto"/>
      </w:divBdr>
    </w:div>
    <w:div w:id="1057125084">
      <w:bodyDiv w:val="1"/>
      <w:marLeft w:val="0"/>
      <w:marRight w:val="0"/>
      <w:marTop w:val="0"/>
      <w:marBottom w:val="0"/>
      <w:divBdr>
        <w:top w:val="none" w:sz="0" w:space="0" w:color="auto"/>
        <w:left w:val="none" w:sz="0" w:space="0" w:color="auto"/>
        <w:bottom w:val="none" w:sz="0" w:space="0" w:color="auto"/>
        <w:right w:val="none" w:sz="0" w:space="0" w:color="auto"/>
      </w:divBdr>
    </w:div>
    <w:div w:id="1586304572">
      <w:bodyDiv w:val="1"/>
      <w:marLeft w:val="0"/>
      <w:marRight w:val="0"/>
      <w:marTop w:val="0"/>
      <w:marBottom w:val="0"/>
      <w:divBdr>
        <w:top w:val="none" w:sz="0" w:space="0" w:color="auto"/>
        <w:left w:val="none" w:sz="0" w:space="0" w:color="auto"/>
        <w:bottom w:val="none" w:sz="0" w:space="0" w:color="auto"/>
        <w:right w:val="none" w:sz="0" w:space="0" w:color="auto"/>
      </w:divBdr>
    </w:div>
    <w:div w:id="197324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rmofisher.com/order/catalog/product/12604013"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5159</Words>
  <Characters>29412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Haderk</dc:creator>
  <cp:keywords/>
  <dc:description/>
  <cp:lastModifiedBy>Nilanjana Das</cp:lastModifiedBy>
  <cp:revision>2</cp:revision>
  <cp:lastPrinted>2021-07-21T15:02:00Z</cp:lastPrinted>
  <dcterms:created xsi:type="dcterms:W3CDTF">2021-09-20T15:33:00Z</dcterms:created>
  <dcterms:modified xsi:type="dcterms:W3CDTF">2021-09-20T15:33:00Z</dcterms:modified>
</cp:coreProperties>
</file>