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Droplet PCR Method for the Quantification of AAV Transduction Efficiency in Murine Retina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Iskalen Cansu Topcu Okan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Mehri Ahmadian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Yesim Tutuncu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Halit Yusuf Altay</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and Cavit Agca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Molecular Biology, Genetics and Bioengineering Program, Sabanci University, Istanbul, Turkey.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Nanotechnology Research and Application Center (SUNUM), Sabanci University, Istanbul, Turkey.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Iskalen Cansu Topcu Okan: </w:t>
      </w:r>
      <w:r>
        <w:rPr>
          <w:rFonts w:ascii="Calibri" w:hAnsi="Calibri" w:cs="Calibri" w:eastAsia="Calibri"/>
          <w:color w:val="0563C1"/>
          <w:spacing w:val="0"/>
          <w:position w:val="0"/>
          <w:sz w:val="24"/>
          <w:u w:val="single"/>
          <w:shd w:fill="auto" w:val="clear"/>
        </w:rPr>
        <w:t xml:space="preserve">ctopcu@sabanciuniv.edu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Mehri Ahmadian: </w:t>
      </w:r>
      <w:r>
        <w:rPr>
          <w:rFonts w:ascii="Calibri" w:hAnsi="Calibri" w:cs="Calibri" w:eastAsia="Calibri"/>
          <w:color w:val="0563C1"/>
          <w:spacing w:val="0"/>
          <w:position w:val="0"/>
          <w:sz w:val="24"/>
          <w:u w:val="single"/>
          <w:shd w:fill="auto" w:val="clear"/>
        </w:rPr>
        <w:t xml:space="preserve">mehriahmadian@sabanciuniv.edu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Yesim Tutuncu: </w:t>
      </w:r>
      <w:r>
        <w:rPr>
          <w:rFonts w:ascii="Calibri" w:hAnsi="Calibri" w:cs="Calibri" w:eastAsia="Calibri"/>
          <w:color w:val="0563C1"/>
          <w:spacing w:val="0"/>
          <w:position w:val="0"/>
          <w:sz w:val="24"/>
          <w:u w:val="single"/>
          <w:shd w:fill="auto" w:val="clear"/>
        </w:rPr>
        <w:t xml:space="preserve">yesimtutuncu@sabanciuniv.edu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Halit Yusuf Altay: </w:t>
      </w:r>
      <w:r>
        <w:rPr>
          <w:rFonts w:ascii="Calibri" w:hAnsi="Calibri" w:cs="Calibri" w:eastAsia="Calibri"/>
          <w:color w:val="0563C1"/>
          <w:spacing w:val="0"/>
          <w:position w:val="0"/>
          <w:sz w:val="24"/>
          <w:u w:val="single"/>
          <w:shd w:fill="auto" w:val="clear"/>
        </w:rPr>
        <w:t xml:space="preserve">hyusuf@sabanciuniv.edu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Cavit Agca: </w:t>
      </w:r>
      <w:r>
        <w:rPr>
          <w:rFonts w:ascii="Calibri" w:hAnsi="Calibri" w:cs="Calibri" w:eastAsia="Calibri"/>
          <w:color w:val="0563C1"/>
          <w:spacing w:val="0"/>
          <w:position w:val="0"/>
          <w:sz w:val="24"/>
          <w:u w:val="single"/>
          <w:shd w:fill="auto" w:val="clear"/>
        </w:rPr>
        <w:t xml:space="preserve">cavit.agca@sabanciuniv.edu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how to quantify AAV transduction efficiency in mouse retina using digital droplet PCR (dd-PCR) together with small scale AAV production, intravitreal injection, retinal imaging, and retinal genomic DNA isolation.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retinal cell biology laboratories now routinely use Adeno-associated viruses (AAVs) for gene editing and regulatory applications. The efficiency of AAV transduction is usually critical, which affects the overall experimental outcomes. One of the main determinants for transduction efficiency is the serotype or variant of the AAV vector.  Currently, various artificial AAV serotypes and variants are available with different affinities to host cell surface receptors. For retinal gene therapy, this results in varying degrees of transduction efficiencies for different retinal cell types. In addition, the injection route and the quality of AAV production may also affect the retinal AAV transduction efficiencies. Therefore, it is essential to compare the efficiency of different variants, batches, and methodologies. The digital droplet PCR (dd-PCR) method quantifies the nucleic acids with high precision and allows performing absolute quantification of a given target without any standard or a reference. Using dd-PCR, it is also feasible to assess the transduction efficiencies of AAVs by absolute quantification of AAV genome copy numbers within an injected retina. Here, we provide a straightforward method to quantify the transduction rate of AAVs in retinal cells using dd-PCR. With minor modifications, this methodology can also be the basis for the copy number quantification of mitochondrial DNA as well as assessing the efficiency of base editing, critical for several retinal diseases and gene therapy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Adeno associated viruses (AAVs) are now commonly used for a variety of retinal gene therapy studies. AAVs provide a safe and efficient way of gene delivery with less immunogenicity and fewer genome integrations. AAV entry into the target cell occurs through endocytosis, which requires binding of receptors and co-receptors on the cell surface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Therefore, the transduction efficiency of AAVs for different cell types depends mainly on the capsid and its interactions with the host cell receptors. AAVs have serotypes and each serotype can have distinct cellular/tissue tropisms and transduction efficiencies. There are also artificial AAV serotypes and variants generated by chemical modification of the virus capsid, production of hybrid capsids, peptide insertion, capsid shuffling, directed evolution, and rational mutagenesis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Even minor changes in amino acid sequence or capsid structure can have an influence on interactions with host cell factors and result in different tropisms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to capsid variants, other factors like injection route and batch-to-batch variation of AAV production can affect the transduction efficiency of AAVs in the neuronal retina. Therefore, reliable methods for the comparison of transduction rates for different variants are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the methods for determining AAV transduction efficiency rely on reporter gene expression. These include fluorescent imaging, immunohistochemistry, western blot, or histochemical analysis of the reporter gene product</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However, due to the size constraint of AAVs, it is not always feasible to include reporter genes to monitor the transduction efficiency. Using strong promoters like the hybrid CMV enhancer/chicken beta-actin or Woodchuck hepatitis post-transcriptional regulatory element (WPRE) as an mRNA stabilizer sequence further complicates the size problem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it will also be beneficial to define the transduction rate of injected AAVs with a more direct methodology.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droplet PCR (dd-PCR) is a powerful technique to quantify target DNA from minute amounts of samples. dd-PCR technology depends on encapsulation of the target DNA and PCR reaction mixture by oil droplets. Each dd-PCR reaction contains thousands of droplets. Each droplet is processed and analyzed as an independent PCR reaction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Analysis of droplets enables calculating the absolute copy number of target DNA molecules in any sample by simply using the Poisson algorithm. Since the transduction efficiency of the AAVs is correlated with the copy number of AAV genomes in the neuronal retina, we used the dd-PCR method to quantify AAV genomes.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dd-PCR methodology to calculate the transduction efficiency of AAV vectors from retinal genomic DNA</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First, AAVs that express tdTomato reporter were generated using the small scale protocol, and titered by the dd-PCR method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Secondly, AAVs were intravitreally injected into the neuronal retina. To demonstrate the transduction efficiency, we first quantified tdTomato expression using fluorescent microscopy and ImageJ software. This was followed by the isolation of genomic DNA for the quantification of AAV genomes in injected retinas using dd-PCR. Comparison of tdTomato expression levels with the transduced AAV genomes quantified by the dd-PCR showed that the dd-PCR method accurately quantified the transduction efficiency of AAV vectors. Our protocols demonstrated a detailed description of a dd-PCR based methodology to quantify AAV transduction efficiencies. In this protocol, we also show the absolute number of AAV genomes that are transduced after intravitreal injections by simply using the dilution factor after genomic DNA isolation and the dd-PCR results. Overall, this protocol provides a powerful method, which would be an alternative to reporter expression to quantify transduction efficiencies of AAV vectors in the retina.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protocols were accepted by the Sabanci University ethics committee 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were conducted in accordance with the statement of ‘The Association for Research in Vision and Ophthalmology’ for the use of animals in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Small scale AAV production</w:t>
      </w:r>
      <w:r>
        <w:rPr>
          <w:rFonts w:ascii="Calibri" w:hAnsi="Calibri" w:cs="Calibri" w:eastAsia="Calibri"/>
          <w:b/>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Culture HEK293T cells using 15 cm plates in complete 10 mL of DMEM/10% FBS until 70-80% confluency.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the transfection mixture with 20 &amp;#181;g of helper plasmid (pHGT1-Adeno1), 7 &amp;#181;g of capsid plasmid and 7 &amp;#181;g of AAV2-CBA-tdTomato-WPRE vector and 136 &amp;#181;L of PEI solution (1 mg/mL) in 5 mL of DMEM.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Add the 5 mL prepared transfection mixture into to a cell culture dish containing 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mL of culture media and incubate the transfected cells for 48-60 h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Collect the media at 48-60 h post-transfection and digest it with DNase I at a final concentration of 250 U/mL for 30 min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Centrifuge the digested media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min </w:t>
      </w:r>
      <w:r>
        <w:rPr>
          <w:rFonts w:ascii="Calibri" w:hAnsi="Calibri" w:cs="Calibri" w:eastAsia="Calibri"/>
          <w:color w:val="auto"/>
          <w:spacing w:val="0"/>
          <w:position w:val="0"/>
          <w:sz w:val="24"/>
          <w:shd w:fill="auto" w:val="clear"/>
        </w:rPr>
        <w:t xml:space="preserve">and then</w:t>
      </w:r>
      <w:r>
        <w:rPr>
          <w:rFonts w:ascii="Calibri" w:hAnsi="Calibri" w:cs="Calibri" w:eastAsia="Calibri"/>
          <w:color w:val="000000"/>
          <w:spacing w:val="0"/>
          <w:position w:val="0"/>
          <w:sz w:val="24"/>
          <w:shd w:fill="auto" w:val="clear"/>
        </w:rPr>
        <w:t xml:space="preserve"> filter it with a 0.22 &amp;#181;m syringe filter into the pre-wetted regenerated cellulose membrane for 100 kDa.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Centrifuge the regenerated cellulose membrane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min and discard the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Wash and centrifuge the regenerated cellulose membrane with PBS containing 0.001% Pluronic F-68 three times at 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30 min.</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Discard the PBS at each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Collect concentrated AAVs from the top part of the regenerated cellulose membrane and aliquot for further uses.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Digest 5 &amp;#181;L of freshly made AAV with DNase I (0.2U/&amp;#181;l) for 15 min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titering. This is followed by 10 min at 95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incubation for both inactivating the DNase I and degrading the viral capsids.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Prepare a 10-fold serial dilution from digested AAVs using 0.05% Pluronic F-68. </w:t>
      </w:r>
      <w:r>
        <w:rPr>
          <w:rFonts w:ascii="Calibri" w:hAnsi="Calibri" w:cs="Calibri" w:eastAsia="Calibri"/>
          <w:color w:val="auto"/>
          <w:spacing w:val="0"/>
          <w:position w:val="0"/>
          <w:sz w:val="24"/>
          <w:shd w:fill="auto" w:val="clear"/>
        </w:rPr>
        <w:t xml:space="preserve">Use AAV2-ITR and WPRE primers for titration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titers were calculated by multiplying dd-PCR results with the dilution factors. Results were converted to genome copy/mL (GC/mL).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AAV concentrations for small scale AAV production are expected to be around 1 x 10</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GC/mL. This protocol is not applicable for AAV strains that </w:t>
      </w:r>
      <w:r>
        <w:rPr>
          <w:rFonts w:ascii="Calibri" w:hAnsi="Calibri" w:cs="Calibri" w:eastAsia="Calibri"/>
          <w:color w:val="auto"/>
          <w:spacing w:val="0"/>
          <w:position w:val="0"/>
          <w:sz w:val="24"/>
          <w:shd w:fill="auto" w:val="clear"/>
        </w:rPr>
        <w:t xml:space="preserve">do</w:t>
      </w:r>
      <w:r>
        <w:rPr>
          <w:rFonts w:ascii="Calibri" w:hAnsi="Calibri" w:cs="Calibri" w:eastAsia="Calibri"/>
          <w:color w:val="000000"/>
          <w:spacing w:val="0"/>
          <w:position w:val="0"/>
          <w:sz w:val="24"/>
          <w:shd w:fill="auto" w:val="clear"/>
        </w:rPr>
        <w:t xml:space="preserve"> not efficiently release AAVs into media like AAV2</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Intravitreal injection of AAV</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Preparation of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Before starting, prepare 10 &amp;#181;L microsyringe with a 36 G blunt needle. Rinse five times with 70% EtOH, five times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finally five times with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Load the appropriate</w:t>
      </w:r>
      <w:r>
        <w:rPr>
          <w:rFonts w:ascii="Calibri" w:hAnsi="Calibri" w:cs="Calibri" w:eastAsia="Calibri"/>
          <w:color w:val="000000"/>
          <w:spacing w:val="0"/>
          <w:position w:val="0"/>
          <w:sz w:val="24"/>
          <w:shd w:fill="auto" w:val="clear"/>
        </w:rPr>
        <w:t xml:space="preserve"> amount of AAV into the microsyringe for each injection.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Prepare the surgical needle (suture, silk, 6/0), tape, forceps, and scissors.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Intravitreal injection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Apply 1 drop of 0.5% tropicamide and 2.5% phenylephrine hydrochloride </w:t>
      </w:r>
      <w:r>
        <w:rPr>
          <w:rFonts w:ascii="Calibri" w:hAnsi="Calibri" w:cs="Calibri" w:eastAsia="Calibri"/>
          <w:color w:val="202124"/>
          <w:spacing w:val="0"/>
          <w:position w:val="0"/>
          <w:sz w:val="24"/>
          <w:shd w:fill="FFFFFF" w:val="clear"/>
        </w:rPr>
        <w:t xml:space="preserve">(e.g., Mydfrin)</w:t>
      </w:r>
      <w:r>
        <w:rPr>
          <w:rFonts w:ascii="Calibri" w:hAnsi="Calibri" w:cs="Calibri" w:eastAsia="Calibri"/>
          <w:color w:val="000000"/>
          <w:spacing w:val="0"/>
          <w:position w:val="0"/>
          <w:sz w:val="24"/>
          <w:shd w:fill="auto" w:val="clear"/>
        </w:rPr>
        <w:t xml:space="preserve"> containing eye drop before anesthesia to dilate pupils.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Anesthetize mice with isoflurane 5% (1 L/min) and continue with 1.5% isoflurane (1 L/min) during the procedure. A small isoflurane chamber is used for the first induction.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Verify the depth of anesthesia by the loss of righting reflex, the withdrawal reflex, and tail pinch response.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2.2.4. Apply</w:t>
      </w:r>
      <w:r>
        <w:rPr>
          <w:rFonts w:ascii="Calibri" w:hAnsi="Calibri" w:cs="Calibri" w:eastAsia="Calibri"/>
          <w:color w:val="auto"/>
          <w:spacing w:val="0"/>
          <w:position w:val="0"/>
          <w:sz w:val="24"/>
          <w:shd w:fill="auto" w:val="clear"/>
        </w:rPr>
        <w:t xml:space="preserve"> 0.3% tobramycin and 0.1% dexamethasone sterile ophthalmic solution to each eye before the injection procedure. Application of eye drop prevents dryness and exerts anti-inflammatory and anti-bacterial effects.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2.2.5. Use</w:t>
      </w:r>
      <w:r>
        <w:rPr>
          <w:rFonts w:ascii="Calibri" w:hAnsi="Calibri" w:cs="Calibri" w:eastAsia="Calibri"/>
          <w:color w:val="auto"/>
          <w:spacing w:val="0"/>
          <w:position w:val="0"/>
          <w:sz w:val="24"/>
          <w:shd w:fill="auto" w:val="clear"/>
        </w:rPr>
        <w:t xml:space="preserve"> the surgical hook to stabilize the upper eyelid. Slightly pull back to expose the dorsal part of the eye. Tape the hook to the bench to hold it in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2.2.6. Remove</w:t>
      </w:r>
      <w:r>
        <w:rPr>
          <w:rFonts w:ascii="Calibri" w:hAnsi="Calibri" w:cs="Calibri" w:eastAsia="Calibri"/>
          <w:color w:val="auto"/>
          <w:spacing w:val="0"/>
          <w:position w:val="0"/>
          <w:sz w:val="24"/>
          <w:shd w:fill="auto" w:val="clear"/>
        </w:rPr>
        <w:t xml:space="preserve"> conjunctiva (less than 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the curved iris scissors to expose the sclera of the eye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under the dissecting microscope. Use a fresh and sterile insulin syringe (30 G) to puncture the sclera.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2.2.7. Insert</w:t>
      </w:r>
      <w:r>
        <w:rPr>
          <w:rFonts w:ascii="Calibri" w:hAnsi="Calibri" w:cs="Calibri" w:eastAsia="Calibri"/>
          <w:color w:val="auto"/>
          <w:spacing w:val="0"/>
          <w:position w:val="0"/>
          <w:sz w:val="24"/>
          <w:shd w:fill="auto" w:val="clear"/>
        </w:rPr>
        <w:t xml:space="preserve"> the needle of the microsyringe through the same puncture using a micromanipulator. Place the tip of the needle behind the lens in the middle of the eyecup.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2.2.8. Inject</w:t>
      </w:r>
      <w:r>
        <w:rPr>
          <w:rFonts w:ascii="Calibri" w:hAnsi="Calibri" w:cs="Calibri" w:eastAsia="Calibri"/>
          <w:color w:val="auto"/>
          <w:spacing w:val="0"/>
          <w:position w:val="0"/>
          <w:sz w:val="24"/>
          <w:shd w:fill="auto" w:val="clear"/>
        </w:rPr>
        <w:t xml:space="preserve"> 1 &amp;#181;L of AAV2/BP2 and AAV2/PHP.S vectors having 1.63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and 1.7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concentrations slowly into the vitreous of the eye. Injection volume control is done manually. Leave the needle in place for 1 min and slowly withdraw the needle.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2.2.9. </w:t>
      </w:r>
      <w:r>
        <w:rPr>
          <w:rFonts w:ascii="Calibri" w:hAnsi="Calibri" w:cs="Calibri" w:eastAsia="Calibri"/>
          <w:color w:val="auto"/>
          <w:spacing w:val="0"/>
          <w:position w:val="0"/>
          <w:sz w:val="24"/>
          <w:shd w:fill="auto" w:val="clear"/>
        </w:rPr>
        <w:t xml:space="preserve">Release the eyelid and apply anti-inflammatory and anti-bacterial topical gel treatment containing 0.3% tobramycin and 0.1% dexamethasone to eyecup. Monitor and evaluate the mice in the following days according to the score sheet in terms of appearance (bright eyes, groomed coat, hunching), behavior (activity, immobilization, self-mutilation), and body weight on a scale of 0 to 3. Each condition has a score from 0-3 and a total score of 3 or above is a termination criterion.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Place the animals in the cage after recovery.</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Fluorescence and fundus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Strain the mouse and dilate the pupil by placing drops of 0.5% tropicamide and 2.5% phenylephrine hydrochloride into each 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Anesthetize the animal with the above procedure with isoflurane. Assess the depth of anesthesia carefully by pinching the paws.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Place the mouse on the imaging stage and verify the proper dilation by checking through the fundus camera. Apply topical gel (0.2% carbomer 980) onto the surface of the eyes to protect eyes from dehydrating under anesthesia and to use it as a coupling gel for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Manipulate the imaging stage to line up with the nosepiece of the objective. Adjust the stage as needed to center the mouse eye. Once the eye is centered, slowly move the objective until it makes contact with the eye.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Perform fundus and fluorescence imaging on both eyes to follow up tdTomato expression at 1 week and 2 weeks after intravitreal injection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Take fundus and fluorescence images at identical settings for comparison of reporter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Retina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Euthanize</w:t>
      </w:r>
      <w:r>
        <w:rPr>
          <w:rFonts w:ascii="Calibri" w:hAnsi="Calibri" w:cs="Calibri" w:eastAsia="Calibri"/>
          <w:color w:val="auto"/>
          <w:spacing w:val="0"/>
          <w:position w:val="0"/>
          <w:sz w:val="24"/>
          <w:shd w:fill="auto" w:val="clear"/>
        </w:rPr>
        <w:t xml:space="preserve"> animals after fundus and fluorescence imaging </w:t>
      </w:r>
      <w:r>
        <w:rPr>
          <w:rFonts w:ascii="Calibri" w:hAnsi="Calibri" w:cs="Calibri" w:eastAsia="Calibri"/>
          <w:color w:val="000000"/>
          <w:spacing w:val="0"/>
          <w:position w:val="0"/>
          <w:sz w:val="24"/>
          <w:shd w:fill="auto" w:val="clear"/>
        </w:rPr>
        <w:t xml:space="preserve">by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for </w:t>
      </w:r>
      <w:r>
        <w:rPr>
          <w:rFonts w:ascii="Calibri" w:hAnsi="Calibri" w:cs="Calibri" w:eastAsia="Calibri"/>
          <w:color w:val="auto"/>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etina collection at 2 weeks time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Shift</w:t>
      </w:r>
      <w:r>
        <w:rPr>
          <w:rFonts w:ascii="Calibri" w:hAnsi="Calibri" w:cs="Calibri" w:eastAsia="Calibri"/>
          <w:color w:val="auto"/>
          <w:spacing w:val="0"/>
          <w:position w:val="0"/>
          <w:sz w:val="24"/>
          <w:shd w:fill="auto" w:val="clear"/>
        </w:rPr>
        <w:t xml:space="preserve"> the eyeball forward with the help of a 13.5 cm splitter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Remove the lens together with the leftover vitreous by applying gentle pressure with the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Cut the connection of the eyeball to the optic nerve with precision curved forceps and gently squeeze the retina with the same curved forceps.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Transfer dissected retinas into a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Snap freeze retina by placing the tubes into the liquid nitrogen.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Tissue genomic DNA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Isolate genomic DNA with a commercialized Proteinase K digestion-based tissue genomic DNA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Digest retina at 55 &amp;#176;C,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with Proteinase K, which is already supplied in the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Perform RNase incubation step, wash steps with wash buffer I and II, and finally elution step according to the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Add an extra spin step after the last wash to remove residual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Measure the concentration of genomic DNA and store samples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Droplet digital PCR analysis of mouse retina samples for quantification of viral genomes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Dilute genomic DNAs from injected retinas in 0.05% Pluronic F-68 solution to </w:t>
      </w:r>
      <w:r>
        <w:rPr>
          <w:rFonts w:ascii="Calibri" w:hAnsi="Calibri" w:cs="Calibri" w:eastAsia="Calibri"/>
          <w:color w:val="auto"/>
          <w:spacing w:val="0"/>
          <w:position w:val="0"/>
          <w:sz w:val="24"/>
          <w:shd w:fill="auto" w:val="clear"/>
        </w:rPr>
        <w:t xml:space="preserve">reach a</w:t>
      </w:r>
      <w:r>
        <w:rPr>
          <w:rFonts w:ascii="Calibri" w:hAnsi="Calibri" w:cs="Calibri" w:eastAsia="Calibri"/>
          <w:color w:val="000000"/>
          <w:spacing w:val="0"/>
          <w:position w:val="0"/>
          <w:sz w:val="24"/>
          <w:shd w:fill="auto" w:val="clear"/>
        </w:rPr>
        <w:t xml:space="preserve"> final concentration of 1 ng/&amp;#181;L for each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Perform separate reactions for WPRE and 18S using target specific primers with a final concentration of 125 nM for each primer.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Perform droplet generation in </w:t>
      </w:r>
      <w:r>
        <w:rPr>
          <w:rFonts w:ascii="Calibri" w:hAnsi="Calibri" w:cs="Calibri" w:eastAsia="Calibri"/>
          <w:color w:val="auto"/>
          <w:spacing w:val="0"/>
          <w:position w:val="0"/>
          <w:sz w:val="24"/>
          <w:shd w:fill="auto" w:val="clear"/>
        </w:rPr>
        <w:t xml:space="preserve">a 20 &amp;#181;L of</w:t>
      </w:r>
      <w:r>
        <w:rPr>
          <w:rFonts w:ascii="Calibri" w:hAnsi="Calibri" w:cs="Calibri" w:eastAsia="Calibri"/>
          <w:color w:val="000000"/>
          <w:spacing w:val="0"/>
          <w:position w:val="0"/>
          <w:sz w:val="24"/>
          <w:shd w:fill="auto" w:val="clear"/>
        </w:rPr>
        <w:t xml:space="preserve"> PCR reaction mix including 1 ng of genomic DNA, 125 nM primers, and 2x evagreen supermix.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Load the sample mix in the</w:t>
      </w:r>
      <w:r>
        <w:rPr>
          <w:rFonts w:ascii="Calibri" w:hAnsi="Calibri" w:cs="Calibri" w:eastAsia="Calibri"/>
          <w:color w:val="auto"/>
          <w:spacing w:val="0"/>
          <w:position w:val="0"/>
          <w:sz w:val="24"/>
          <w:shd w:fill="auto" w:val="clear"/>
        </w:rPr>
        <w:t xml:space="preserve"> middle</w:t>
      </w:r>
      <w:r>
        <w:rPr>
          <w:rFonts w:ascii="Calibri" w:hAnsi="Calibri" w:cs="Calibri" w:eastAsia="Calibri"/>
          <w:color w:val="000000"/>
          <w:spacing w:val="0"/>
          <w:position w:val="0"/>
          <w:sz w:val="24"/>
          <w:shd w:fill="auto" w:val="clear"/>
        </w:rPr>
        <w:t xml:space="preserve"> part </w:t>
      </w:r>
      <w:r>
        <w:rPr>
          <w:rFonts w:ascii="Calibri" w:hAnsi="Calibri" w:cs="Calibri" w:eastAsia="Calibri"/>
          <w:color w:val="auto"/>
          <w:spacing w:val="0"/>
          <w:position w:val="0"/>
          <w:sz w:val="24"/>
          <w:shd w:fill="auto" w:val="clear"/>
        </w:rPr>
        <w:t xml:space="preserve">of the cartridge</w:t>
      </w:r>
      <w:r>
        <w:rPr>
          <w:rFonts w:ascii="Calibri" w:hAnsi="Calibri" w:cs="Calibri" w:eastAsia="Calibri"/>
          <w:color w:val="000000"/>
          <w:spacing w:val="0"/>
          <w:position w:val="0"/>
          <w:sz w:val="24"/>
          <w:shd w:fill="auto" w:val="clear"/>
        </w:rPr>
        <w:t xml:space="preserve"> for droplet 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After sample loading to cartridge was done, add 70 &amp;#181;L of the droplet generation oil into the bottom row of the cartridge.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Put the gasket on top </w:t>
      </w:r>
      <w:r>
        <w:rPr>
          <w:rFonts w:ascii="Calibri" w:hAnsi="Calibri" w:cs="Calibri" w:eastAsia="Calibri"/>
          <w:color w:val="auto"/>
          <w:spacing w:val="0"/>
          <w:position w:val="0"/>
          <w:sz w:val="24"/>
          <w:shd w:fill="auto" w:val="clear"/>
        </w:rPr>
        <w:t xml:space="preserve">of the cartridge</w:t>
      </w:r>
      <w:r>
        <w:rPr>
          <w:rFonts w:ascii="Calibri" w:hAnsi="Calibri" w:cs="Calibri" w:eastAsia="Calibri"/>
          <w:color w:val="000000"/>
          <w:spacing w:val="0"/>
          <w:position w:val="0"/>
          <w:sz w:val="24"/>
          <w:shd w:fill="auto" w:val="clear"/>
        </w:rPr>
        <w:t xml:space="preserve"> and place it </w:t>
      </w:r>
      <w:r>
        <w:rPr>
          <w:rFonts w:ascii="Calibri" w:hAnsi="Calibri" w:cs="Calibri" w:eastAsia="Calibri"/>
          <w:color w:val="auto"/>
          <w:spacing w:val="0"/>
          <w:position w:val="0"/>
          <w:sz w:val="24"/>
          <w:shd w:fill="auto" w:val="clear"/>
        </w:rPr>
        <w:t xml:space="preserve">into the droplet</w:t>
      </w:r>
      <w:r>
        <w:rPr>
          <w:rFonts w:ascii="Calibri" w:hAnsi="Calibri" w:cs="Calibri" w:eastAsia="Calibri"/>
          <w:color w:val="000000"/>
          <w:spacing w:val="0"/>
          <w:position w:val="0"/>
          <w:sz w:val="24"/>
          <w:shd w:fill="auto" w:val="clear"/>
        </w:rPr>
        <w:t xml:space="preserve"> generator. Make sure that there is no gap between the gasket and the cartridge.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Gently take approximately 40 &amp;#181;L of droplets that are generated in the top well. Add the droplet solution to the semi-skirted 96-well PCR reaction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Seal the PCR plate with PCR plate sealer by using aluminum sealing foil.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Place PCR plate into 96-well heat-sealed thermal cycler. Use the PCR protocol; 95 &amp;#176;C for 5 min, 40 cycles of  95 &amp;#176;C for 30 s, 60 &amp;#176;C for 1 min, 4 &amp;#176;C for 5 min,  90 &amp;#176;C for 5 min and 4 &amp;#176;C infinite hold. Apply 2 &amp;#176;C/s ramp rate at each cycle to ensure that the droplets reach the correct temperature for each step during the cycling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Place PCR plate into the droplet reader to quantify droplets using dd-PCR software. A template is set up using specific settings for evagreen.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Analyze data </w:t>
      </w:r>
      <w:r>
        <w:rPr>
          <w:rFonts w:ascii="Calibri" w:hAnsi="Calibri" w:cs="Calibri" w:eastAsia="Calibri"/>
          <w:color w:val="auto"/>
          <w:spacing w:val="0"/>
          <w:position w:val="0"/>
          <w:sz w:val="24"/>
          <w:shd w:fill="auto" w:val="clear"/>
        </w:rPr>
        <w:t xml:space="preserve">using a 1-D</w:t>
      </w:r>
      <w:r>
        <w:rPr>
          <w:rFonts w:ascii="Calibri" w:hAnsi="Calibri" w:cs="Calibri" w:eastAsia="Calibri"/>
          <w:color w:val="000000"/>
          <w:spacing w:val="0"/>
          <w:position w:val="0"/>
          <w:sz w:val="24"/>
          <w:shd w:fill="auto" w:val="clear"/>
        </w:rPr>
        <w:t xml:space="preserve"> plot graph with each specimen for fluorescence intensity vs droplet number. The threshold value is arranged so that the droplets above the threshold are assigned as positive and the below ones as negative. This is followed by the application </w:t>
      </w:r>
      <w:r>
        <w:rPr>
          <w:rFonts w:ascii="Calibri" w:hAnsi="Calibri" w:cs="Calibri" w:eastAsia="Calibri"/>
          <w:color w:val="auto"/>
          <w:spacing w:val="0"/>
          <w:position w:val="0"/>
          <w:sz w:val="24"/>
          <w:shd w:fill="auto" w:val="clear"/>
        </w:rPr>
        <w:t xml:space="preserve">of the Poisson</w:t>
      </w:r>
      <w:r>
        <w:rPr>
          <w:rFonts w:ascii="Calibri" w:hAnsi="Calibri" w:cs="Calibri" w:eastAsia="Calibri"/>
          <w:color w:val="000000"/>
          <w:spacing w:val="0"/>
          <w:position w:val="0"/>
          <w:sz w:val="24"/>
          <w:shd w:fill="auto" w:val="clear"/>
        </w:rPr>
        <w:t xml:space="preserve"> algorithm to determine the starting concentration of target DNA in units of copies/&amp;#181;L. The ratio of WPRE versus 18S is calculated for measuring AAV transduction efficiency.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w:t>
      </w:r>
      <w:r>
        <w:rPr>
          <w:rFonts w:ascii="Calibri" w:hAnsi="Calibri" w:cs="Calibri" w:eastAsia="Calibri"/>
          <w:b/>
          <w:color w:val="auto"/>
          <w:spacing w:val="0"/>
          <w:position w:val="0"/>
          <w:sz w:val="24"/>
          <w:shd w:fill="auto" w:val="clear"/>
        </w:rPr>
        <w:t xml:space="preserve">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scale AAV production is a fast and efficient method that provides vectors for intravitreal injections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Small scale AAV production usually gives titers within the range of 1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which is sufficient to detect reporter expression in the retina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Titering of AAV using dd-PCR gives consistent results. ITR2 and WPRE specific primers are routinely used and the starting concentration of each target molecule was calculated with dd-PCR software by modeling as a Poisson distribution. Calculations were finalized by multiplication of dilution factors and converted to genome copy per mL. AAVs that are produced for this protocol had titers of 1.63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and 1.7x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for AAV2/BP2 and AAV2/PHP.S</w:t>
      </w:r>
      <w:r>
        <w:rPr>
          <w:rFonts w:ascii="Calibri" w:hAnsi="Calibri" w:cs="Calibri" w:eastAsia="Calibri"/>
          <w:color w:val="auto"/>
          <w:spacing w:val="0"/>
          <w:position w:val="0"/>
          <w:sz w:val="24"/>
          <w:shd w:fill="auto" w:val="clear"/>
          <w:vertAlign w:val="superscript"/>
        </w:rPr>
        <w:t xml:space="preserve">7,15</w:t>
      </w:r>
      <w:r>
        <w:rPr>
          <w:rFonts w:ascii="Calibri" w:hAnsi="Calibri" w:cs="Calibri" w:eastAsia="Calibri"/>
          <w:color w:val="auto"/>
          <w:spacing w:val="0"/>
          <w:position w:val="0"/>
          <w:sz w:val="24"/>
          <w:shd w:fill="auto" w:val="clear"/>
        </w:rPr>
        <w:t xml:space="preserve">, respectively. For comparison, identical tdTomato expression constructs were used for both strains. We injected approximately equal titers of AAV for the quantification of AAV transduction efficiency. After injection of 1 &amp;#181;L from the aforementioned concentrations of AAVs, animals were imaged at 1 week and 2 week time points. A fundus and fluorescence imaging system was used for both AAV2/BP2 and AAV2/PHP.S injected retinas generating similar reporter expression profiles except for retina #1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TdTomato expression was quantified using ImageJ software for average gray value (mean fluorescence intensity) in order to cross compare transduction efficiency and reporter expression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This is basically the sum of the gray values of all the pixels in the selection divided by the number of pixels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Fluorescent images of Retina #1 showed only a small area of tdTomato expression, most likely due to backflow or leakage after intravitreal injections. Consistent with this finding, fluorescence intensity of retina #1 was 0.9 which was the lowest compared to all retinas that were intravitreally injected and imaged. Mean fluorescence intensity was between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 This showed that the quantification of fluorescent images of tdTomato expression was successful and correlated with the images that were shown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imaging of retinas, genomic DNA was isolated from injected retinas at 2-week time point. dd-PCR was performed using WPRE primers for AAV genome quantification. Mouse 18S was used for the normalization of AAV genomes to the mouse genome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Consistent with the mean fluorescence intensity and images, retina #1 had a very low AAV genome copy number relative to 18S, 0.011 fold lower compared to retina #2. Moreover, retinas #2, 3, 4, and 5 give similar fold level differences. The fold differences compared to retina #2 for retinas #3, 4, and 5 were 1.75, 0.55, and 0.99, respectively. Among those, retina #3 both gave the highest fluorescent intensity and the AAV genome copy number. This already showed that quantification of transduced AAV genomes with dd-PCR correlates with the fluorescence intensity and thus to tdTomato expression that is observed. The dd-PCR method also allowed us to do absolute quantification of transduced AAVs. Absolute quantification of the total AAV genome per retina was calculated simply by multiplying the total number identified from dd-PCR and the dilution factor for genomic DNA. This yielded similar results compared to 18S normalized AAV genome transduction efficiency </w:t>
      </w:r>
      <w:r>
        <w:rPr>
          <w:rFonts w:ascii="Calibri" w:hAnsi="Calibri" w:cs="Calibri" w:eastAsia="Calibri"/>
          <w:b/>
          <w:color w:val="auto"/>
          <w:spacing w:val="0"/>
          <w:position w:val="0"/>
          <w:sz w:val="24"/>
          <w:shd w:fill="auto" w:val="clear"/>
        </w:rPr>
        <w:t xml:space="preserve">(Figure 3D).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of the experimental procedures. </w:t>
      </w:r>
      <w:r>
        <w:rPr>
          <w:rFonts w:ascii="Calibri" w:hAnsi="Calibri" w:cs="Calibri" w:eastAsia="Calibri"/>
          <w:color w:val="auto"/>
          <w:spacing w:val="0"/>
          <w:position w:val="0"/>
          <w:sz w:val="24"/>
          <w:shd w:fill="auto" w:val="clear"/>
        </w:rPr>
        <w:t xml:space="preserve">Small scale AAV production is followed by dd-PCR -based AAV titering. AAVs are intravitreally injected into the adult retina. Follow up of animals were performed using a fundus and fluorescent imaging system in order to analyze the reporter expression. Fundus and fluorescent images were taken at 1 week and 2-week time points.  Genomic DNA is isolated from injected retinas for analysis with dd-PCR to quantify the total AAV genome that is present in the injected retinas.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AAV titering using the dd-PCR method.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Dd-PCR method benefits from encapsulated PCR reactions within a droplet. After PCR reaction using evagreen chemistry, positive and negative droplets for the target gene were analyzed to determine the absolute number of target DNAs within a solution. (red boxes in green droplets).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dd-PCR data for AAV titering. Several batches of AAVs were titered using ITR2 primers. Positive and negative droplets are separated above and below the threshold (purple line).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transduced AAV genomes in the retina by dd-PCR.  </w:t>
      </w:r>
      <w:r>
        <w:rPr>
          <w:rFonts w:ascii="Calibri" w:hAnsi="Calibri" w:cs="Calibri" w:eastAsia="Calibri"/>
          <w:color w:val="auto"/>
          <w:spacing w:val="0"/>
          <w:position w:val="0"/>
          <w:sz w:val="24"/>
          <w:shd w:fill="auto" w:val="clear"/>
        </w:rPr>
        <w:t xml:space="preserve">16-week-old wild type animals were intravitreally injected with AAV2/BP2 and AAV2/PHP.S vectors having 1.63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and 1.7x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GC/mL concentrations, respectively. Both AAVs had the identical tdTomato expression construct and injection volume for all AAVs was 1 &amp;#181;L. Injected retinas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were followed up with fundus and fluorescence imaging. Images that are taken were quantified using Image J software. Despite the capsid difference, all animals had a fluorescence mean intensity value (</w:t>
      </w:r>
      <w:r>
        <w:rPr>
          <w:rFonts w:ascii="Calibri" w:hAnsi="Calibri" w:cs="Calibri" w:eastAsia="Calibri"/>
          <w:i/>
          <w:color w:val="auto"/>
          <w:spacing w:val="0"/>
          <w:position w:val="0"/>
          <w:sz w:val="24"/>
          <w:shd w:fill="auto" w:val="clear"/>
        </w:rPr>
        <w:t xml:space="preserve">average gray value</w:t>
      </w:r>
      <w:r>
        <w:rPr>
          <w:rFonts w:ascii="Calibri" w:hAnsi="Calibri" w:cs="Calibri" w:eastAsia="Calibri"/>
          <w:color w:val="auto"/>
          <w:spacing w:val="0"/>
          <w:position w:val="0"/>
          <w:sz w:val="24"/>
          <w:shd w:fill="auto" w:val="clear"/>
        </w:rPr>
        <w:t xml:space="preserve">) ranging between 4 to 11 except retina #1 which had the lowest intensity, 0.9, and weak tdTomato expression. Red and gray columns are AAV2/BP2 and AAV2/PHP.S injected retinas, respectively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dd-PCR was performed using WPRE primers for AAV genome and 18S primer for normalization at 2-week time point. Retina # 1 also showed distinctively lower AAV copy numbers per 18S copies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Total AAV genomes per retina were also calculated using WPRE copy number and dilution factor for genomic DNA isolation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 and gray squares are AAV2/BP2 and AAV2/PHP.S injected retinas,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dd-PCR primer sequences. </w:t>
      </w:r>
      <w:r>
        <w:rPr>
          <w:rFonts w:ascii="Calibri" w:hAnsi="Calibri" w:cs="Calibri" w:eastAsia="Calibri"/>
          <w:color w:val="auto"/>
          <w:spacing w:val="0"/>
          <w:position w:val="0"/>
          <w:sz w:val="24"/>
          <w:shd w:fill="auto" w:val="clear"/>
        </w:rPr>
        <w:t xml:space="preserve">Sequences of forward and reverse primers for WPRE, ITR2, and mouse 18S.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generated two AAV vectors that have different capsid proteins and then titered them accordingly. One of the most crucial steps of this protocol is to produce sufficient amounts of AAVs that will yield detectable reporter expression after the transduction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Titering of AAVs is also an important factor to adjust dosages of AAV for intravitreal injections. Once these important criteria are achieved, it is feasible to quantify the transduction efficiency of AAVs by dd-PCR methodology.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laboratories are using the quantitative PCR (qPCR) method for AAV titering. qPCR-based absolute quantification method requires a standard curve that has dilutions of known amounts of target DNA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dd-PCR does not require a standard curve as it directly quantifies the total number of target molecules within a given sample by detecting the positive droplets that have at least one copy of target DNA. Since dd-PCR is an end-point analysis and no standard curve is required, the efficiency problems that occurred during the qPCR reaction are of less concern for dd-PCR like low-efficiency PCRs or the quality of standard curves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dd-PCR methodology can be applied to samples that are already prepared for qPCR. As it was already mentioned in the Methods section for AAV titering, dd-PCR require diluted samples. This is a critical step since sample concentration should be adjusted in a way that there are sufficient negative droplets to perform the Poisson algorithm. In other words, it is not possible to perform the dd-PCR reaction with samples with too high concentrations of target DNA that do not yield negative droplets.</w:t>
      </w:r>
    </w:p>
    <w:p>
      <w:pPr>
        <w:spacing w:before="0" w:after="16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For both AAV titering and transduction efficiency measurements, different target sets are possible to use. For AAV titering, we mainly use AAV2 ITR specific primers due to the AAV2 backbone in our constructs.  It is also possible to use WPRE and other gene-specific targets depending on the AAV construct that has been analyzed.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transduction efficiency of AAVs in the neuronal retina, we applied the dd-PCR method using whole retina samples to quantify the total amount of AAV genomes per retina. We assessed the accuracy of methodology by using an AAV vector that expresses tdTomato reporter. Comparison of dd-PCR results with tdTomato expression levels correlated except the two outliers. Retinas #6 and #7 yielded excess AAV genome copies despite showing similar fluorescence intensities compared to retinas #2,3 4 or 5. This may be because these retinas have higher transduction rates with limited expression levels or may in part be related to enduring AAV particles or vector DNA within the vitreous or neuronal retina</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Overall, this was the only limiting factor for our method and can easily be identified among other samples. We also quantified the total number of AAV genomes per retina which was one of the strengths of this methodology. This allows the comparison of data between different laboratories and batches of animals. Therefore, this method can easily be applied to assess the transduction efficiency of a new serotype, variant or batch to batch variation for AAV vectors that have no reporter expression and help us to cross-compare data at different settings. This is critical for AAV vectors that do not allow the expression of a reporter due to size constraints.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also provides a basis for other types of sensitive assays that utilizes target DNA. Using the identical protocols, we can quantify mitochondrial genome copy numbers with appropriate primers. Further improvements are also possible including dissociation of retina and flow cytometry sorting steps to quantify the target DNA in either single cells or batches of cells. Moreover, it is also feasible to assess the correction efficiency of base editing using this method</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which is also critical for several retinal diseases and gene 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Oezkan Keles, Josephine J&amp;#252;ttner, and Prof. Botond Roska, Institute of Molecular and Clinical Ophthalmology Basel, Complex Viruses Platform for their help and support for AAV production. We also would like to thank Prof. Jean Bennett, Perelman School of Medicine, the University of Pennsylvania for the AAV8/BP2 strain. Animal work is performed at the Gebze Technical University animal facility. For that, we thank Leyla Dikmetas and Prof. Uygar Halis Tazebay for technical assistance and support for animal husbandry.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We also would like to thank Dr. Fatma Ozdemir for her comments on the manuscript.  This work is supported by TUBITAK, grant numbers 118C226 and 121N275, and Sabanci University Integration grant.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Herrmann, A. K., Grimm, D. High-throughput dissection of AAV-host interactions: The fast and the curious.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(17), 2626-2640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Pillay, S., Carette, J. E. Host determinants of adeno-associated viral vector entry. </w:t>
      </w:r>
      <w:r>
        <w:rPr>
          <w:rFonts w:ascii="Calibri" w:hAnsi="Calibri" w:cs="Calibri" w:eastAsia="Calibri"/>
          <w:i/>
          <w:color w:val="auto"/>
          <w:spacing w:val="0"/>
          <w:position w:val="0"/>
          <w:sz w:val="24"/>
          <w:shd w:fill="auto" w:val="clear"/>
        </w:rPr>
        <w:t xml:space="preserve">Current Opinion in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124-131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Castle, M. J., Turunen, H. T., Vandenberghe, L. H., Wolfe, J. H. Controlling AAV tropism in the nervous system with natural and engineered capsids.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1382</w:t>
      </w:r>
      <w:r>
        <w:rPr>
          <w:rFonts w:ascii="Calibri" w:hAnsi="Calibri" w:cs="Calibri" w:eastAsia="Calibri"/>
          <w:color w:val="auto"/>
          <w:spacing w:val="0"/>
          <w:position w:val="0"/>
          <w:sz w:val="24"/>
          <w:shd w:fill="auto" w:val="clear"/>
        </w:rPr>
        <w:t xml:space="preserve">, 133-149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Agbandje-McKenna, M., Kleinschmidt, J. AAV capsid structure and cell interactions.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807</w:t>
      </w:r>
      <w:r>
        <w:rPr>
          <w:rFonts w:ascii="Calibri" w:hAnsi="Calibri" w:cs="Calibri" w:eastAsia="Calibri"/>
          <w:color w:val="auto"/>
          <w:spacing w:val="0"/>
          <w:position w:val="0"/>
          <w:sz w:val="24"/>
          <w:shd w:fill="auto" w:val="clear"/>
        </w:rPr>
        <w:t xml:space="preserve">, 47-92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Han, I. C. et al. Retinal tropism and transduction of adeno-associated virus varies by serotype and route of delivery (intravitreal, subretinal, or suprachoroidal) in rats.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(23-24), 1288-1299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Muraine, L. et al. Transduction efficiency of adeno-associated virus serotypes after local injection in mouse and human skeletal muscle.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(3-4), 233-240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Cronin,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Efficient transduction and optogenetic stimulation of retinal bipolar cells by a synthetic adeno-associated virus capsid and promoter.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1175-1190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Higashimoto,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woodchuck hepatitis virus post-transcriptional regulatory element reduces readthrough transcription from retroviral vectors.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(17), 1298-1304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Pinheiro, L.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a droplet digital polymerase chain reaction format for DNA copy number quantification. </w:t>
      </w:r>
      <w:r>
        <w:rPr>
          <w:rFonts w:ascii="Calibri" w:hAnsi="Calibri" w:cs="Calibri" w:eastAsia="Calibri"/>
          <w:i/>
          <w:color w:val="auto"/>
          <w:spacing w:val="0"/>
          <w:position w:val="0"/>
          <w:sz w:val="24"/>
          <w:shd w:fill="auto" w:val="clear"/>
        </w:rPr>
        <w:t xml:space="preserve">Annals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 1003-1011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Albayrak,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Digital quantification of proteins and mrna in single mammalian cells.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914-924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Lock, M., Alvira, M. R., Chen, S. J., Wilson, J. M. Absolute determination of single-stranded and self-complementary adeno-associated viral vector genome titers by droplet digital PCR. </w:t>
      </w:r>
      <w:r>
        <w:rPr>
          <w:rFonts w:ascii="Calibri" w:hAnsi="Calibri" w:cs="Calibri" w:eastAsia="Calibri"/>
          <w:i/>
          <w:color w:val="auto"/>
          <w:spacing w:val="0"/>
          <w:position w:val="0"/>
          <w:sz w:val="24"/>
          <w:shd w:fill="auto" w:val="clear"/>
        </w:rPr>
        <w:t xml:space="preserve">Hum Gene Therapy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115-125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Juttner,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Targeting neuronal and glial cell types with synthetic promoter AAVs in mice, non-human primates and humans.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1345-1356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Vandenberghe, L.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Efficient serotype-dependent release of functional vector into the culture medium during adeno-associated virus manufacturing.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1251-1257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Barben, M., Schori, C., Samardzija, M., Grimm, C. Targeting Hif1a rescues cone degeneration and prevents subretinal neovascularization in a model of chronic hypoxia.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12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Chan, K.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Engineered AAVs for efficient noninvasive gene delivery to the central and peripheral nervous systems.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1172-1179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Guiet, R., Burri, O., Seitz, A. Open source tools for biological image analysis. </w:t>
      </w:r>
      <w:r>
        <w:rPr>
          <w:rFonts w:ascii="Calibri" w:hAnsi="Calibri" w:cs="Calibri" w:eastAsia="Calibri"/>
          <w:i/>
          <w:color w:val="auto"/>
          <w:spacing w:val="0"/>
          <w:position w:val="0"/>
          <w:sz w:val="24"/>
          <w:shd w:fill="auto" w:val="clear"/>
        </w:rPr>
        <w:t xml:space="preserve">Methods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2040</w:t>
      </w:r>
      <w:r>
        <w:rPr>
          <w:rFonts w:ascii="Calibri" w:hAnsi="Calibri" w:cs="Calibri" w:eastAsia="Calibri"/>
          <w:color w:val="auto"/>
          <w:spacing w:val="0"/>
          <w:position w:val="0"/>
          <w:sz w:val="24"/>
          <w:shd w:fill="auto" w:val="clear"/>
        </w:rPr>
        <w:t xml:space="preserve">, 23-37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Parks,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Variant ribosomal RNA alleles are conserved and exhibit tissue-specific expression.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eaao0665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Aurnhammer, C. et al. Universal real-time PCR for the detection and quantification of adeno-associated virus serotype 2-derived inverted terminal repeat sequences. </w:t>
      </w:r>
      <w:r>
        <w:rPr>
          <w:rFonts w:ascii="Calibri" w:hAnsi="Calibri" w:cs="Calibri" w:eastAsia="Calibri"/>
          <w:i/>
          <w:color w:val="auto"/>
          <w:spacing w:val="0"/>
          <w:position w:val="0"/>
          <w:sz w:val="24"/>
          <w:shd w:fill="auto" w:val="clear"/>
        </w:rPr>
        <w:t xml:space="preserve">Human Gene Therapy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18-28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Maclachlan, T. K. et al. Preclinical safety evaluation of AAV2-sFLT01- a gene therapy for age-related macular degeneration.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326-334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Stieger, K. et al. Detection of intact rAAV particles up to 6 years after successful gene transfer in the retina of dogs and primates.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516-523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Gyorgy,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Allele-specific gene editing prevents deafness in a model of dominant progressive hearing loss.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1123-1130 (2019).</w:t>
      </w:r>
    </w:p>
    <w:p>
      <w:pPr>
        <w:spacing w:before="0" w:after="16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Cox, D. B. T. et al. RNA editing with CRISPR-Cas13.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358</w:t>
      </w:r>
      <w:r>
        <w:rPr>
          <w:rFonts w:ascii="Calibri" w:hAnsi="Calibri" w:cs="Calibri" w:eastAsia="Calibri"/>
          <w:color w:val="auto"/>
          <w:spacing w:val="0"/>
          <w:position w:val="0"/>
          <w:sz w:val="24"/>
          <w:shd w:fill="auto" w:val="clear"/>
        </w:rPr>
        <w:t xml:space="preserve"> (6366), 1019-1027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